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0AE5766F"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7FBD424C" wp14:editId="51633E5C">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D4928" w14:textId="77777777" w:rsidR="00A97160" w:rsidRPr="006D0240" w:rsidRDefault="00A97160" w:rsidP="00301755">
          <w:pPr>
            <w:pStyle w:val="Header"/>
            <w:spacing w:after="1200"/>
          </w:pPr>
        </w:p>
        <w:p w14:paraId="52EC4C49" w14:textId="77777777" w:rsidR="00A97160" w:rsidRPr="00962D1E" w:rsidRDefault="009948D1" w:rsidP="0047601F">
          <w:pPr>
            <w:pStyle w:val="Title"/>
            <w:tabs>
              <w:tab w:val="left" w:pos="6379"/>
            </w:tabs>
            <w:spacing w:after="120"/>
            <w:ind w:right="990"/>
            <w:rPr>
              <w:sz w:val="56"/>
              <w:szCs w:val="48"/>
            </w:rPr>
          </w:pPr>
          <w:r w:rsidRPr="00962D1E">
            <w:rPr>
              <w:sz w:val="56"/>
              <w:szCs w:val="48"/>
            </w:rPr>
            <w:t>Review of the Australian Securities and Investments Commission Industry Funding Model</w:t>
          </w:r>
        </w:p>
        <w:p w14:paraId="4E3774AB" w14:textId="77777777" w:rsidR="00A97160" w:rsidRPr="006923DF" w:rsidRDefault="009948D1" w:rsidP="004C2902">
          <w:pPr>
            <w:pStyle w:val="Subtitle"/>
            <w:spacing w:after="360"/>
          </w:pPr>
          <w:r>
            <w:t>Final Report</w:t>
          </w:r>
        </w:p>
        <w:p w14:paraId="4083B065" w14:textId="0E061426" w:rsidR="00A97160" w:rsidRPr="00586605" w:rsidRDefault="000D1664" w:rsidP="006923DF">
          <w:pPr>
            <w:pStyle w:val="ReportDate"/>
          </w:pPr>
          <w:r>
            <w:rPr>
              <w:rStyle w:val="ReportDateChar"/>
            </w:rPr>
            <w:t>June</w:t>
          </w:r>
          <w:r w:rsidR="0056785C" w:rsidRPr="003E5808">
            <w:rPr>
              <w:rStyle w:val="ReportDateChar"/>
            </w:rPr>
            <w:t xml:space="preserve"> </w:t>
          </w:r>
          <w:r w:rsidR="009948D1" w:rsidRPr="003E5808">
            <w:rPr>
              <w:rStyle w:val="ReportDateChar"/>
            </w:rPr>
            <w:t>202</w:t>
          </w:r>
          <w:r w:rsidR="0032739E" w:rsidRPr="003E5808">
            <w:rPr>
              <w:rStyle w:val="ReportDateChar"/>
            </w:rPr>
            <w:t>3</w:t>
          </w:r>
        </w:p>
        <w:p w14:paraId="1712D83A" w14:textId="77777777" w:rsidR="00A97160" w:rsidRDefault="00A97160">
          <w:pPr>
            <w:spacing w:before="0" w:after="160" w:line="259" w:lineRule="auto"/>
          </w:pPr>
          <w:r>
            <w:br w:type="page"/>
          </w:r>
        </w:p>
      </w:sdtContent>
    </w:sdt>
    <w:p w14:paraId="48FDF220" w14:textId="3307FFB4" w:rsidR="000E0B74" w:rsidRDefault="000E0B74" w:rsidP="005877AC">
      <w:pPr>
        <w:spacing w:before="0" w:after="160" w:line="259" w:lineRule="auto"/>
      </w:pPr>
      <w:r w:rsidRPr="00661BF0">
        <w:lastRenderedPageBreak/>
        <w:t xml:space="preserve">© Commonwealth of Australia </w:t>
      </w:r>
      <w:r w:rsidRPr="003E3ADD">
        <w:t>20</w:t>
      </w:r>
      <w:r w:rsidR="003E3ADD" w:rsidRPr="003E3ADD">
        <w:t>23</w:t>
      </w:r>
    </w:p>
    <w:p w14:paraId="68A5334E" w14:textId="1863F691"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24AE24BC" w14:textId="77777777" w:rsidR="000E0B74" w:rsidRDefault="000E0B74" w:rsidP="000E0B74">
      <w:pPr>
        <w:pStyle w:val="ChartGraphic"/>
        <w:jc w:val="left"/>
      </w:pPr>
      <w:r w:rsidRPr="00E56DFB">
        <w:rPr>
          <w:noProof/>
        </w:rPr>
        <w:drawing>
          <wp:inline distT="0" distB="0" distL="0" distR="0" wp14:anchorId="56E43119" wp14:editId="0B3C7B21">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7C3FB4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448B37AB" w14:textId="2144C51B" w:rsidR="000E0B74" w:rsidRPr="006469CC" w:rsidRDefault="000E0B74" w:rsidP="006469CC">
      <w:pPr>
        <w:spacing w:before="240"/>
        <w:rPr>
          <w:b/>
        </w:rPr>
      </w:pPr>
      <w:r w:rsidRPr="006469CC">
        <w:rPr>
          <w:b/>
        </w:rPr>
        <w:t xml:space="preserve">Treasury material used </w:t>
      </w:r>
      <w:r w:rsidR="00BD190B">
        <w:rPr>
          <w:b/>
        </w:rPr>
        <w:t>‘</w:t>
      </w:r>
      <w:r w:rsidRPr="006469CC">
        <w:rPr>
          <w:b/>
        </w:rPr>
        <w:t>as supplied</w:t>
      </w:r>
      <w:r w:rsidR="00BD190B">
        <w:rPr>
          <w:b/>
        </w:rPr>
        <w:t>’</w:t>
      </w:r>
    </w:p>
    <w:p w14:paraId="2BE37E67" w14:textId="6C4074B6"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901E80">
        <w:t xml:space="preserve"> – </w:t>
      </w:r>
      <w:r>
        <w:t>then Treasury prefers t</w:t>
      </w:r>
      <w:r w:rsidRPr="00476F09">
        <w:t xml:space="preserve">he following attribution: </w:t>
      </w:r>
    </w:p>
    <w:p w14:paraId="517502BE" w14:textId="53DD5D30"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10F71E40"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3502DF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5FFC606" w14:textId="66436F0E" w:rsidR="000E0B74" w:rsidRPr="006627B4" w:rsidRDefault="000E0B74" w:rsidP="000E0B74">
      <w:pPr>
        <w:ind w:firstLine="720"/>
      </w:pPr>
      <w:r w:rsidRPr="002F1BC2">
        <w:rPr>
          <w:i/>
        </w:rPr>
        <w:t>Based on The Australian Government the Treasury data</w:t>
      </w:r>
      <w:r>
        <w:t>.</w:t>
      </w:r>
    </w:p>
    <w:p w14:paraId="205CD309" w14:textId="77777777" w:rsidR="000E0B74" w:rsidRPr="006627B4" w:rsidRDefault="000E0B74" w:rsidP="000E0B74">
      <w:pPr>
        <w:spacing w:before="240"/>
        <w:rPr>
          <w:b/>
        </w:rPr>
      </w:pPr>
      <w:r w:rsidRPr="006627B4">
        <w:rPr>
          <w:b/>
        </w:rPr>
        <w:t>Use of the Coat of Arms</w:t>
      </w:r>
    </w:p>
    <w:p w14:paraId="2418C79A" w14:textId="43EDFD7F"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6" w:history="1">
        <w:r w:rsidR="000D1664">
          <w:rPr>
            <w:rStyle w:val="Hyperlink"/>
          </w:rPr>
          <w:t>http://www.pmc.gov.au/honours-and-symbols/commonwealth-coat-arms</w:t>
        </w:r>
      </w:hyperlink>
      <w:r w:rsidRPr="005C503A">
        <w:t>).</w:t>
      </w:r>
    </w:p>
    <w:p w14:paraId="65AE35C9" w14:textId="77777777" w:rsidR="000E0B74" w:rsidRPr="006627B4" w:rsidRDefault="000E0B74" w:rsidP="000E0B74">
      <w:pPr>
        <w:spacing w:before="240"/>
        <w:rPr>
          <w:b/>
        </w:rPr>
      </w:pPr>
      <w:r>
        <w:rPr>
          <w:b/>
        </w:rPr>
        <w:t>Other u</w:t>
      </w:r>
      <w:r w:rsidRPr="006627B4">
        <w:rPr>
          <w:b/>
        </w:rPr>
        <w:t>ses</w:t>
      </w:r>
    </w:p>
    <w:p w14:paraId="67524DDD" w14:textId="77777777" w:rsidR="000E0B74" w:rsidRPr="006627B4" w:rsidRDefault="000E0B74" w:rsidP="000E0B74">
      <w:r>
        <w:t>E</w:t>
      </w:r>
      <w:r w:rsidRPr="006627B4">
        <w:t>nquiries regarding this licence and any other use of this document are welcome at:</w:t>
      </w:r>
    </w:p>
    <w:p w14:paraId="5B81FC10" w14:textId="77777777"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00386297">
          <w:rPr>
            <w:rStyle w:val="Hyperlink"/>
          </w:rPr>
          <w:t>media@treasury.gov.au</w:t>
        </w:r>
      </w:hyperlink>
    </w:p>
    <w:p w14:paraId="24AFD76B" w14:textId="77777777" w:rsidR="00F836F9" w:rsidRDefault="00F836F9" w:rsidP="000E0B74">
      <w:pPr>
        <w:pStyle w:val="Heading1"/>
        <w:sectPr w:rsidR="00F836F9" w:rsidSect="006C7547">
          <w:pgSz w:w="11906" w:h="16838" w:code="9"/>
          <w:pgMar w:top="1843" w:right="1418" w:bottom="1418" w:left="1418" w:header="709" w:footer="709" w:gutter="0"/>
          <w:pgNumType w:fmt="lowerRoman" w:start="0"/>
          <w:cols w:space="708"/>
          <w:titlePg/>
          <w:docGrid w:linePitch="360"/>
        </w:sectPr>
      </w:pPr>
    </w:p>
    <w:p w14:paraId="756102C8" w14:textId="77777777" w:rsidR="00645D54" w:rsidRDefault="000E0B74" w:rsidP="00901E80">
      <w:pPr>
        <w:pStyle w:val="Heading1"/>
        <w:rPr>
          <w:noProof/>
        </w:rPr>
      </w:pPr>
      <w:bookmarkStart w:id="0" w:name="_Toc111026801"/>
      <w:bookmarkStart w:id="1" w:name="_Toc129270415"/>
      <w:r w:rsidRPr="001F1B27">
        <w:lastRenderedPageBreak/>
        <w:t>Contents</w:t>
      </w:r>
      <w:bookmarkEnd w:id="0"/>
      <w:bookmarkEnd w:id="1"/>
      <w:r>
        <w:rPr>
          <w:noProof/>
          <w:color w:val="004A7F"/>
          <w:szCs w:val="22"/>
        </w:rPr>
        <w:fldChar w:fldCharType="begin"/>
      </w:r>
      <w:r w:rsidRPr="0025652F">
        <w:instrText xml:space="preserve"> TOC \o "1-3" \h \z \u </w:instrText>
      </w:r>
      <w:r>
        <w:rPr>
          <w:noProof/>
          <w:color w:val="004A7F"/>
          <w:szCs w:val="22"/>
        </w:rPr>
        <w:fldChar w:fldCharType="separate"/>
      </w:r>
    </w:p>
    <w:p w14:paraId="1D10F832" w14:textId="07F690B3" w:rsidR="00645D54" w:rsidRDefault="00FD3D82">
      <w:pPr>
        <w:pStyle w:val="TOC1"/>
        <w:rPr>
          <w:rFonts w:asciiTheme="minorHAnsi" w:eastAsiaTheme="minorEastAsia" w:hAnsiTheme="minorHAnsi" w:cstheme="minorBidi"/>
          <w:b w:val="0"/>
          <w:color w:val="auto"/>
        </w:rPr>
      </w:pPr>
      <w:hyperlink w:anchor="_Toc129270416" w:history="1">
        <w:r w:rsidR="00645D54" w:rsidRPr="002C155F">
          <w:rPr>
            <w:rStyle w:val="Hyperlink"/>
          </w:rPr>
          <w:t>Terms of Reference</w:t>
        </w:r>
        <w:r w:rsidR="00645D54">
          <w:rPr>
            <w:webHidden/>
          </w:rPr>
          <w:tab/>
        </w:r>
        <w:r w:rsidR="00645D54">
          <w:rPr>
            <w:webHidden/>
          </w:rPr>
          <w:fldChar w:fldCharType="begin"/>
        </w:r>
        <w:r w:rsidR="00645D54">
          <w:rPr>
            <w:webHidden/>
          </w:rPr>
          <w:instrText xml:space="preserve"> PAGEREF _Toc129270416 \h </w:instrText>
        </w:r>
        <w:r w:rsidR="00645D54">
          <w:rPr>
            <w:webHidden/>
          </w:rPr>
        </w:r>
        <w:r w:rsidR="00645D54">
          <w:rPr>
            <w:webHidden/>
          </w:rPr>
          <w:fldChar w:fldCharType="separate"/>
        </w:r>
        <w:r w:rsidR="002C09C9">
          <w:rPr>
            <w:webHidden/>
          </w:rPr>
          <w:t>1</w:t>
        </w:r>
        <w:r w:rsidR="00645D54">
          <w:rPr>
            <w:webHidden/>
          </w:rPr>
          <w:fldChar w:fldCharType="end"/>
        </w:r>
      </w:hyperlink>
    </w:p>
    <w:p w14:paraId="2F0E588D" w14:textId="308CE9A9" w:rsidR="00645D54" w:rsidRDefault="00FD3D82">
      <w:pPr>
        <w:pStyle w:val="TOC2"/>
        <w:rPr>
          <w:rFonts w:asciiTheme="minorHAnsi" w:eastAsiaTheme="minorEastAsia" w:hAnsiTheme="minorHAnsi" w:cstheme="minorBidi"/>
          <w:color w:val="auto"/>
          <w:szCs w:val="22"/>
        </w:rPr>
      </w:pPr>
      <w:hyperlink w:anchor="_Toc129270417" w:history="1">
        <w:r w:rsidR="00645D54" w:rsidRPr="002C155F">
          <w:rPr>
            <w:rStyle w:val="Hyperlink"/>
          </w:rPr>
          <w:t>Purpose of the Review</w:t>
        </w:r>
        <w:r w:rsidR="00645D54">
          <w:rPr>
            <w:webHidden/>
          </w:rPr>
          <w:tab/>
        </w:r>
        <w:r w:rsidR="00645D54">
          <w:rPr>
            <w:webHidden/>
          </w:rPr>
          <w:fldChar w:fldCharType="begin"/>
        </w:r>
        <w:r w:rsidR="00645D54">
          <w:rPr>
            <w:webHidden/>
          </w:rPr>
          <w:instrText xml:space="preserve"> PAGEREF _Toc129270417 \h </w:instrText>
        </w:r>
        <w:r w:rsidR="00645D54">
          <w:rPr>
            <w:webHidden/>
          </w:rPr>
        </w:r>
        <w:r w:rsidR="00645D54">
          <w:rPr>
            <w:webHidden/>
          </w:rPr>
          <w:fldChar w:fldCharType="separate"/>
        </w:r>
        <w:r w:rsidR="002C09C9">
          <w:rPr>
            <w:webHidden/>
          </w:rPr>
          <w:t>1</w:t>
        </w:r>
        <w:r w:rsidR="00645D54">
          <w:rPr>
            <w:webHidden/>
          </w:rPr>
          <w:fldChar w:fldCharType="end"/>
        </w:r>
      </w:hyperlink>
    </w:p>
    <w:p w14:paraId="5467F083" w14:textId="1C678638" w:rsidR="00645D54" w:rsidRDefault="00FD3D82">
      <w:pPr>
        <w:pStyle w:val="TOC2"/>
        <w:rPr>
          <w:rFonts w:asciiTheme="minorHAnsi" w:eastAsiaTheme="minorEastAsia" w:hAnsiTheme="minorHAnsi" w:cstheme="minorBidi"/>
          <w:color w:val="auto"/>
          <w:szCs w:val="22"/>
        </w:rPr>
      </w:pPr>
      <w:hyperlink w:anchor="_Toc129270418" w:history="1">
        <w:r w:rsidR="00645D54" w:rsidRPr="002C155F">
          <w:rPr>
            <w:rStyle w:val="Hyperlink"/>
          </w:rPr>
          <w:t>Scope of the Review</w:t>
        </w:r>
        <w:r w:rsidR="00645D54">
          <w:rPr>
            <w:webHidden/>
          </w:rPr>
          <w:tab/>
        </w:r>
        <w:r w:rsidR="00645D54">
          <w:rPr>
            <w:webHidden/>
          </w:rPr>
          <w:fldChar w:fldCharType="begin"/>
        </w:r>
        <w:r w:rsidR="00645D54">
          <w:rPr>
            <w:webHidden/>
          </w:rPr>
          <w:instrText xml:space="preserve"> PAGEREF _Toc129270418 \h </w:instrText>
        </w:r>
        <w:r w:rsidR="00645D54">
          <w:rPr>
            <w:webHidden/>
          </w:rPr>
        </w:r>
        <w:r w:rsidR="00645D54">
          <w:rPr>
            <w:webHidden/>
          </w:rPr>
          <w:fldChar w:fldCharType="separate"/>
        </w:r>
        <w:r w:rsidR="002C09C9">
          <w:rPr>
            <w:webHidden/>
          </w:rPr>
          <w:t>2</w:t>
        </w:r>
        <w:r w:rsidR="00645D54">
          <w:rPr>
            <w:webHidden/>
          </w:rPr>
          <w:fldChar w:fldCharType="end"/>
        </w:r>
      </w:hyperlink>
    </w:p>
    <w:p w14:paraId="3282C2E2" w14:textId="495BD09D" w:rsidR="00645D54" w:rsidRDefault="00FD3D82">
      <w:pPr>
        <w:pStyle w:val="TOC1"/>
        <w:rPr>
          <w:rFonts w:asciiTheme="minorHAnsi" w:eastAsiaTheme="minorEastAsia" w:hAnsiTheme="minorHAnsi" w:cstheme="minorBidi"/>
          <w:b w:val="0"/>
          <w:color w:val="auto"/>
        </w:rPr>
      </w:pPr>
      <w:hyperlink w:anchor="_Toc129270419" w:history="1">
        <w:r w:rsidR="00645D54" w:rsidRPr="002C155F">
          <w:rPr>
            <w:rStyle w:val="Hyperlink"/>
          </w:rPr>
          <w:t>Glossary</w:t>
        </w:r>
        <w:r w:rsidR="00645D54">
          <w:rPr>
            <w:webHidden/>
          </w:rPr>
          <w:tab/>
        </w:r>
        <w:r w:rsidR="00645D54">
          <w:rPr>
            <w:webHidden/>
          </w:rPr>
          <w:fldChar w:fldCharType="begin"/>
        </w:r>
        <w:r w:rsidR="00645D54">
          <w:rPr>
            <w:webHidden/>
          </w:rPr>
          <w:instrText xml:space="preserve"> PAGEREF _Toc129270419 \h </w:instrText>
        </w:r>
        <w:r w:rsidR="00645D54">
          <w:rPr>
            <w:webHidden/>
          </w:rPr>
        </w:r>
        <w:r w:rsidR="00645D54">
          <w:rPr>
            <w:webHidden/>
          </w:rPr>
          <w:fldChar w:fldCharType="separate"/>
        </w:r>
        <w:r w:rsidR="002C09C9">
          <w:rPr>
            <w:webHidden/>
          </w:rPr>
          <w:t>3</w:t>
        </w:r>
        <w:r w:rsidR="00645D54">
          <w:rPr>
            <w:webHidden/>
          </w:rPr>
          <w:fldChar w:fldCharType="end"/>
        </w:r>
      </w:hyperlink>
    </w:p>
    <w:p w14:paraId="5D7B2427" w14:textId="719038EC" w:rsidR="00645D54" w:rsidRDefault="00FD3D82">
      <w:pPr>
        <w:pStyle w:val="TOC1"/>
        <w:rPr>
          <w:rFonts w:asciiTheme="minorHAnsi" w:eastAsiaTheme="minorEastAsia" w:hAnsiTheme="minorHAnsi" w:cstheme="minorBidi"/>
          <w:b w:val="0"/>
          <w:color w:val="auto"/>
        </w:rPr>
      </w:pPr>
      <w:hyperlink w:anchor="_Toc129270420" w:history="1">
        <w:r w:rsidR="00645D54" w:rsidRPr="002C155F">
          <w:rPr>
            <w:rStyle w:val="Hyperlink"/>
          </w:rPr>
          <w:t>Executive Summary</w:t>
        </w:r>
        <w:r w:rsidR="00645D54">
          <w:rPr>
            <w:webHidden/>
          </w:rPr>
          <w:tab/>
        </w:r>
        <w:r w:rsidR="00645D54">
          <w:rPr>
            <w:webHidden/>
          </w:rPr>
          <w:fldChar w:fldCharType="begin"/>
        </w:r>
        <w:r w:rsidR="00645D54">
          <w:rPr>
            <w:webHidden/>
          </w:rPr>
          <w:instrText xml:space="preserve"> PAGEREF _Toc129270420 \h </w:instrText>
        </w:r>
        <w:r w:rsidR="00645D54">
          <w:rPr>
            <w:webHidden/>
          </w:rPr>
        </w:r>
        <w:r w:rsidR="00645D54">
          <w:rPr>
            <w:webHidden/>
          </w:rPr>
          <w:fldChar w:fldCharType="separate"/>
        </w:r>
        <w:r w:rsidR="002C09C9">
          <w:rPr>
            <w:webHidden/>
          </w:rPr>
          <w:t>5</w:t>
        </w:r>
        <w:r w:rsidR="00645D54">
          <w:rPr>
            <w:webHidden/>
          </w:rPr>
          <w:fldChar w:fldCharType="end"/>
        </w:r>
      </w:hyperlink>
    </w:p>
    <w:p w14:paraId="5826D404" w14:textId="110E3903" w:rsidR="00645D54" w:rsidRDefault="00FD3D82">
      <w:pPr>
        <w:pStyle w:val="TOC2"/>
        <w:rPr>
          <w:rFonts w:asciiTheme="minorHAnsi" w:eastAsiaTheme="minorEastAsia" w:hAnsiTheme="minorHAnsi" w:cstheme="minorBidi"/>
          <w:color w:val="auto"/>
          <w:szCs w:val="22"/>
        </w:rPr>
      </w:pPr>
      <w:hyperlink w:anchor="_Toc129270421" w:history="1">
        <w:r w:rsidR="00645D54" w:rsidRPr="002C155F">
          <w:rPr>
            <w:rStyle w:val="Hyperlink"/>
          </w:rPr>
          <w:t>List of recommendations</w:t>
        </w:r>
        <w:r w:rsidR="00645D54">
          <w:rPr>
            <w:webHidden/>
          </w:rPr>
          <w:tab/>
        </w:r>
        <w:r w:rsidR="00645D54">
          <w:rPr>
            <w:webHidden/>
          </w:rPr>
          <w:fldChar w:fldCharType="begin"/>
        </w:r>
        <w:r w:rsidR="00645D54">
          <w:rPr>
            <w:webHidden/>
          </w:rPr>
          <w:instrText xml:space="preserve"> PAGEREF _Toc129270421 \h </w:instrText>
        </w:r>
        <w:r w:rsidR="00645D54">
          <w:rPr>
            <w:webHidden/>
          </w:rPr>
        </w:r>
        <w:r w:rsidR="00645D54">
          <w:rPr>
            <w:webHidden/>
          </w:rPr>
          <w:fldChar w:fldCharType="separate"/>
        </w:r>
        <w:r w:rsidR="002C09C9">
          <w:rPr>
            <w:webHidden/>
          </w:rPr>
          <w:t>6</w:t>
        </w:r>
        <w:r w:rsidR="00645D54">
          <w:rPr>
            <w:webHidden/>
          </w:rPr>
          <w:fldChar w:fldCharType="end"/>
        </w:r>
      </w:hyperlink>
    </w:p>
    <w:p w14:paraId="64A09436" w14:textId="4F5CA95F" w:rsidR="00645D54" w:rsidRDefault="00FD3D82">
      <w:pPr>
        <w:pStyle w:val="TOC3"/>
        <w:rPr>
          <w:rFonts w:asciiTheme="minorHAnsi" w:eastAsiaTheme="minorEastAsia" w:hAnsiTheme="minorHAnsi" w:cstheme="minorBidi"/>
          <w:szCs w:val="22"/>
        </w:rPr>
      </w:pPr>
      <w:hyperlink w:anchor="_Toc129270422" w:history="1">
        <w:r w:rsidR="00645D54" w:rsidRPr="002C155F">
          <w:rPr>
            <w:rStyle w:val="Hyperlink"/>
          </w:rPr>
          <w:t>Industry funding levies</w:t>
        </w:r>
        <w:r w:rsidR="00645D54">
          <w:rPr>
            <w:webHidden/>
          </w:rPr>
          <w:tab/>
        </w:r>
        <w:r w:rsidR="00645D54">
          <w:rPr>
            <w:webHidden/>
          </w:rPr>
          <w:fldChar w:fldCharType="begin"/>
        </w:r>
        <w:r w:rsidR="00645D54">
          <w:rPr>
            <w:webHidden/>
          </w:rPr>
          <w:instrText xml:space="preserve"> PAGEREF _Toc129270422 \h </w:instrText>
        </w:r>
        <w:r w:rsidR="00645D54">
          <w:rPr>
            <w:webHidden/>
          </w:rPr>
        </w:r>
        <w:r w:rsidR="00645D54">
          <w:rPr>
            <w:webHidden/>
          </w:rPr>
          <w:fldChar w:fldCharType="separate"/>
        </w:r>
        <w:r w:rsidR="002C09C9">
          <w:rPr>
            <w:webHidden/>
          </w:rPr>
          <w:t>6</w:t>
        </w:r>
        <w:r w:rsidR="00645D54">
          <w:rPr>
            <w:webHidden/>
          </w:rPr>
          <w:fldChar w:fldCharType="end"/>
        </w:r>
      </w:hyperlink>
    </w:p>
    <w:p w14:paraId="7F62D7FF" w14:textId="490E599E" w:rsidR="00645D54" w:rsidRDefault="00FD3D82">
      <w:pPr>
        <w:pStyle w:val="TOC3"/>
        <w:rPr>
          <w:rFonts w:asciiTheme="minorHAnsi" w:eastAsiaTheme="minorEastAsia" w:hAnsiTheme="minorHAnsi" w:cstheme="minorBidi"/>
          <w:szCs w:val="22"/>
        </w:rPr>
      </w:pPr>
      <w:hyperlink w:anchor="_Toc129270423" w:history="1">
        <w:r w:rsidR="00645D54" w:rsidRPr="002C155F">
          <w:rPr>
            <w:rStyle w:val="Hyperlink"/>
          </w:rPr>
          <w:t>Fees</w:t>
        </w:r>
        <w:r w:rsidR="00BD190B">
          <w:rPr>
            <w:rStyle w:val="Hyperlink"/>
          </w:rPr>
          <w:noBreakHyphen/>
        </w:r>
        <w:r w:rsidR="00645D54" w:rsidRPr="002C155F">
          <w:rPr>
            <w:rStyle w:val="Hyperlink"/>
          </w:rPr>
          <w:t>for</w:t>
        </w:r>
        <w:r w:rsidR="00BD190B">
          <w:rPr>
            <w:rStyle w:val="Hyperlink"/>
          </w:rPr>
          <w:noBreakHyphen/>
        </w:r>
        <w:r w:rsidR="00645D54" w:rsidRPr="002C155F">
          <w:rPr>
            <w:rStyle w:val="Hyperlink"/>
          </w:rPr>
          <w:t>service</w:t>
        </w:r>
        <w:r w:rsidR="00645D54">
          <w:rPr>
            <w:webHidden/>
          </w:rPr>
          <w:tab/>
        </w:r>
        <w:r w:rsidR="00645D54">
          <w:rPr>
            <w:webHidden/>
          </w:rPr>
          <w:fldChar w:fldCharType="begin"/>
        </w:r>
        <w:r w:rsidR="00645D54">
          <w:rPr>
            <w:webHidden/>
          </w:rPr>
          <w:instrText xml:space="preserve"> PAGEREF _Toc129270423 \h </w:instrText>
        </w:r>
        <w:r w:rsidR="00645D54">
          <w:rPr>
            <w:webHidden/>
          </w:rPr>
        </w:r>
        <w:r w:rsidR="00645D54">
          <w:rPr>
            <w:webHidden/>
          </w:rPr>
          <w:fldChar w:fldCharType="separate"/>
        </w:r>
        <w:r w:rsidR="002C09C9">
          <w:rPr>
            <w:webHidden/>
          </w:rPr>
          <w:t>6</w:t>
        </w:r>
        <w:r w:rsidR="00645D54">
          <w:rPr>
            <w:webHidden/>
          </w:rPr>
          <w:fldChar w:fldCharType="end"/>
        </w:r>
      </w:hyperlink>
    </w:p>
    <w:p w14:paraId="0E053F8F" w14:textId="3DA30A3D" w:rsidR="00645D54" w:rsidRDefault="00FD3D82">
      <w:pPr>
        <w:pStyle w:val="TOC3"/>
        <w:rPr>
          <w:rFonts w:asciiTheme="minorHAnsi" w:eastAsiaTheme="minorEastAsia" w:hAnsiTheme="minorHAnsi" w:cstheme="minorBidi"/>
          <w:szCs w:val="22"/>
        </w:rPr>
      </w:pPr>
      <w:hyperlink w:anchor="_Toc129270424" w:history="1">
        <w:r w:rsidR="00645D54" w:rsidRPr="002C155F">
          <w:rPr>
            <w:rStyle w:val="Hyperlink"/>
          </w:rPr>
          <w:t>Reporting, transparency and consultation</w:t>
        </w:r>
        <w:r w:rsidR="00645D54">
          <w:rPr>
            <w:webHidden/>
          </w:rPr>
          <w:tab/>
        </w:r>
        <w:r w:rsidR="00645D54">
          <w:rPr>
            <w:webHidden/>
          </w:rPr>
          <w:fldChar w:fldCharType="begin"/>
        </w:r>
        <w:r w:rsidR="00645D54">
          <w:rPr>
            <w:webHidden/>
          </w:rPr>
          <w:instrText xml:space="preserve"> PAGEREF _Toc129270424 \h </w:instrText>
        </w:r>
        <w:r w:rsidR="00645D54">
          <w:rPr>
            <w:webHidden/>
          </w:rPr>
        </w:r>
        <w:r w:rsidR="00645D54">
          <w:rPr>
            <w:webHidden/>
          </w:rPr>
          <w:fldChar w:fldCharType="separate"/>
        </w:r>
        <w:r w:rsidR="002C09C9">
          <w:rPr>
            <w:webHidden/>
          </w:rPr>
          <w:t>7</w:t>
        </w:r>
        <w:r w:rsidR="00645D54">
          <w:rPr>
            <w:webHidden/>
          </w:rPr>
          <w:fldChar w:fldCharType="end"/>
        </w:r>
      </w:hyperlink>
    </w:p>
    <w:p w14:paraId="7A641668" w14:textId="6EF7D39C" w:rsidR="00645D54" w:rsidRDefault="00FD3D82">
      <w:pPr>
        <w:pStyle w:val="TOC1"/>
        <w:rPr>
          <w:rFonts w:asciiTheme="minorHAnsi" w:eastAsiaTheme="minorEastAsia" w:hAnsiTheme="minorHAnsi" w:cstheme="minorBidi"/>
          <w:b w:val="0"/>
          <w:color w:val="auto"/>
        </w:rPr>
      </w:pPr>
      <w:hyperlink w:anchor="_Toc129270425" w:history="1">
        <w:r w:rsidR="00645D54" w:rsidRPr="002C155F">
          <w:rPr>
            <w:rStyle w:val="Hyperlink"/>
          </w:rPr>
          <w:t>Chapter 1: Context and background</w:t>
        </w:r>
        <w:r w:rsidR="00645D54">
          <w:rPr>
            <w:webHidden/>
          </w:rPr>
          <w:tab/>
        </w:r>
        <w:r w:rsidR="00645D54">
          <w:rPr>
            <w:webHidden/>
          </w:rPr>
          <w:fldChar w:fldCharType="begin"/>
        </w:r>
        <w:r w:rsidR="00645D54">
          <w:rPr>
            <w:webHidden/>
          </w:rPr>
          <w:instrText xml:space="preserve"> PAGEREF _Toc129270425 \h </w:instrText>
        </w:r>
        <w:r w:rsidR="00645D54">
          <w:rPr>
            <w:webHidden/>
          </w:rPr>
        </w:r>
        <w:r w:rsidR="00645D54">
          <w:rPr>
            <w:webHidden/>
          </w:rPr>
          <w:fldChar w:fldCharType="separate"/>
        </w:r>
        <w:r w:rsidR="002C09C9">
          <w:rPr>
            <w:webHidden/>
          </w:rPr>
          <w:t>8</w:t>
        </w:r>
        <w:r w:rsidR="00645D54">
          <w:rPr>
            <w:webHidden/>
          </w:rPr>
          <w:fldChar w:fldCharType="end"/>
        </w:r>
      </w:hyperlink>
    </w:p>
    <w:p w14:paraId="6CBC7C3B" w14:textId="5FB3A8B5" w:rsidR="00645D54" w:rsidRDefault="00FD3D82">
      <w:pPr>
        <w:pStyle w:val="TOC2"/>
        <w:rPr>
          <w:rFonts w:asciiTheme="minorHAnsi" w:eastAsiaTheme="minorEastAsia" w:hAnsiTheme="minorHAnsi" w:cstheme="minorBidi"/>
          <w:color w:val="auto"/>
          <w:szCs w:val="22"/>
        </w:rPr>
      </w:pPr>
      <w:hyperlink w:anchor="_Toc129270426" w:history="1">
        <w:r w:rsidR="00645D54" w:rsidRPr="002C155F">
          <w:rPr>
            <w:rStyle w:val="Hyperlink"/>
          </w:rPr>
          <w:t>Introduction</w:t>
        </w:r>
        <w:r w:rsidR="00645D54">
          <w:rPr>
            <w:webHidden/>
          </w:rPr>
          <w:tab/>
        </w:r>
        <w:r w:rsidR="00645D54">
          <w:rPr>
            <w:webHidden/>
          </w:rPr>
          <w:fldChar w:fldCharType="begin"/>
        </w:r>
        <w:r w:rsidR="00645D54">
          <w:rPr>
            <w:webHidden/>
          </w:rPr>
          <w:instrText xml:space="preserve"> PAGEREF _Toc129270426 \h </w:instrText>
        </w:r>
        <w:r w:rsidR="00645D54">
          <w:rPr>
            <w:webHidden/>
          </w:rPr>
        </w:r>
        <w:r w:rsidR="00645D54">
          <w:rPr>
            <w:webHidden/>
          </w:rPr>
          <w:fldChar w:fldCharType="separate"/>
        </w:r>
        <w:r w:rsidR="002C09C9">
          <w:rPr>
            <w:webHidden/>
          </w:rPr>
          <w:t>8</w:t>
        </w:r>
        <w:r w:rsidR="00645D54">
          <w:rPr>
            <w:webHidden/>
          </w:rPr>
          <w:fldChar w:fldCharType="end"/>
        </w:r>
      </w:hyperlink>
    </w:p>
    <w:p w14:paraId="15F6C55E" w14:textId="08DAFD31" w:rsidR="00645D54" w:rsidRDefault="00FD3D82">
      <w:pPr>
        <w:pStyle w:val="TOC2"/>
        <w:rPr>
          <w:rFonts w:asciiTheme="minorHAnsi" w:eastAsiaTheme="minorEastAsia" w:hAnsiTheme="minorHAnsi" w:cstheme="minorBidi"/>
          <w:color w:val="auto"/>
          <w:szCs w:val="22"/>
        </w:rPr>
      </w:pPr>
      <w:hyperlink w:anchor="_Toc129270427" w:history="1">
        <w:r w:rsidR="00645D54" w:rsidRPr="002C155F">
          <w:rPr>
            <w:rStyle w:val="Hyperlink"/>
          </w:rPr>
          <w:t>Establishment of the ASIC IFM</w:t>
        </w:r>
        <w:r w:rsidR="00645D54">
          <w:rPr>
            <w:webHidden/>
          </w:rPr>
          <w:tab/>
        </w:r>
        <w:r w:rsidR="00645D54">
          <w:rPr>
            <w:webHidden/>
          </w:rPr>
          <w:fldChar w:fldCharType="begin"/>
        </w:r>
        <w:r w:rsidR="00645D54">
          <w:rPr>
            <w:webHidden/>
          </w:rPr>
          <w:instrText xml:space="preserve"> PAGEREF _Toc129270427 \h </w:instrText>
        </w:r>
        <w:r w:rsidR="00645D54">
          <w:rPr>
            <w:webHidden/>
          </w:rPr>
        </w:r>
        <w:r w:rsidR="00645D54">
          <w:rPr>
            <w:webHidden/>
          </w:rPr>
          <w:fldChar w:fldCharType="separate"/>
        </w:r>
        <w:r w:rsidR="002C09C9">
          <w:rPr>
            <w:webHidden/>
          </w:rPr>
          <w:t>8</w:t>
        </w:r>
        <w:r w:rsidR="00645D54">
          <w:rPr>
            <w:webHidden/>
          </w:rPr>
          <w:fldChar w:fldCharType="end"/>
        </w:r>
      </w:hyperlink>
    </w:p>
    <w:p w14:paraId="36FE6A36" w14:textId="516FDA4C" w:rsidR="00645D54" w:rsidRDefault="00FD3D82">
      <w:pPr>
        <w:pStyle w:val="TOC2"/>
        <w:rPr>
          <w:rFonts w:asciiTheme="minorHAnsi" w:eastAsiaTheme="minorEastAsia" w:hAnsiTheme="minorHAnsi" w:cstheme="minorBidi"/>
          <w:color w:val="auto"/>
          <w:szCs w:val="22"/>
        </w:rPr>
      </w:pPr>
      <w:hyperlink w:anchor="_Toc129270428" w:history="1">
        <w:r w:rsidR="00645D54" w:rsidRPr="002C155F">
          <w:rPr>
            <w:rStyle w:val="Hyperlink"/>
          </w:rPr>
          <w:t>Design of the ASIC IFM</w:t>
        </w:r>
        <w:r w:rsidR="00645D54">
          <w:rPr>
            <w:webHidden/>
          </w:rPr>
          <w:tab/>
        </w:r>
        <w:r w:rsidR="00645D54">
          <w:rPr>
            <w:webHidden/>
          </w:rPr>
          <w:fldChar w:fldCharType="begin"/>
        </w:r>
        <w:r w:rsidR="00645D54">
          <w:rPr>
            <w:webHidden/>
          </w:rPr>
          <w:instrText xml:space="preserve"> PAGEREF _Toc129270428 \h </w:instrText>
        </w:r>
        <w:r w:rsidR="00645D54">
          <w:rPr>
            <w:webHidden/>
          </w:rPr>
        </w:r>
        <w:r w:rsidR="00645D54">
          <w:rPr>
            <w:webHidden/>
          </w:rPr>
          <w:fldChar w:fldCharType="separate"/>
        </w:r>
        <w:r w:rsidR="002C09C9">
          <w:rPr>
            <w:webHidden/>
          </w:rPr>
          <w:t>8</w:t>
        </w:r>
        <w:r w:rsidR="00645D54">
          <w:rPr>
            <w:webHidden/>
          </w:rPr>
          <w:fldChar w:fldCharType="end"/>
        </w:r>
      </w:hyperlink>
    </w:p>
    <w:p w14:paraId="593D62E5" w14:textId="3750F9DB" w:rsidR="00645D54" w:rsidRDefault="00FD3D82">
      <w:pPr>
        <w:pStyle w:val="TOC3"/>
        <w:rPr>
          <w:rFonts w:asciiTheme="minorHAnsi" w:eastAsiaTheme="minorEastAsia" w:hAnsiTheme="minorHAnsi" w:cstheme="minorBidi"/>
          <w:szCs w:val="22"/>
        </w:rPr>
      </w:pPr>
      <w:hyperlink w:anchor="_Toc129270429" w:history="1">
        <w:r w:rsidR="00645D54" w:rsidRPr="002C155F">
          <w:rPr>
            <w:rStyle w:val="Hyperlink"/>
          </w:rPr>
          <w:t>Design principles, objectives, and benefits</w:t>
        </w:r>
        <w:r w:rsidR="00645D54">
          <w:rPr>
            <w:webHidden/>
          </w:rPr>
          <w:tab/>
        </w:r>
        <w:r w:rsidR="00645D54">
          <w:rPr>
            <w:webHidden/>
          </w:rPr>
          <w:fldChar w:fldCharType="begin"/>
        </w:r>
        <w:r w:rsidR="00645D54">
          <w:rPr>
            <w:webHidden/>
          </w:rPr>
          <w:instrText xml:space="preserve"> PAGEREF _Toc129270429 \h </w:instrText>
        </w:r>
        <w:r w:rsidR="00645D54">
          <w:rPr>
            <w:webHidden/>
          </w:rPr>
        </w:r>
        <w:r w:rsidR="00645D54">
          <w:rPr>
            <w:webHidden/>
          </w:rPr>
          <w:fldChar w:fldCharType="separate"/>
        </w:r>
        <w:r w:rsidR="002C09C9">
          <w:rPr>
            <w:webHidden/>
          </w:rPr>
          <w:t>9</w:t>
        </w:r>
        <w:r w:rsidR="00645D54">
          <w:rPr>
            <w:webHidden/>
          </w:rPr>
          <w:fldChar w:fldCharType="end"/>
        </w:r>
      </w:hyperlink>
    </w:p>
    <w:p w14:paraId="2307DDC2" w14:textId="3CAC3B30" w:rsidR="00645D54" w:rsidRDefault="00FD3D82">
      <w:pPr>
        <w:pStyle w:val="TOC3"/>
        <w:rPr>
          <w:rFonts w:asciiTheme="minorHAnsi" w:eastAsiaTheme="minorEastAsia" w:hAnsiTheme="minorHAnsi" w:cstheme="minorBidi"/>
          <w:szCs w:val="22"/>
        </w:rPr>
      </w:pPr>
      <w:hyperlink w:anchor="_Toc129270430" w:history="1">
        <w:r w:rsidR="00645D54" w:rsidRPr="002C155F">
          <w:rPr>
            <w:rStyle w:val="Hyperlink"/>
          </w:rPr>
          <w:t>Role of Government</w:t>
        </w:r>
        <w:r w:rsidR="00645D54">
          <w:rPr>
            <w:webHidden/>
          </w:rPr>
          <w:tab/>
        </w:r>
        <w:r w:rsidR="00645D54">
          <w:rPr>
            <w:webHidden/>
          </w:rPr>
          <w:fldChar w:fldCharType="begin"/>
        </w:r>
        <w:r w:rsidR="00645D54">
          <w:rPr>
            <w:webHidden/>
          </w:rPr>
          <w:instrText xml:space="preserve"> PAGEREF _Toc129270430 \h </w:instrText>
        </w:r>
        <w:r w:rsidR="00645D54">
          <w:rPr>
            <w:webHidden/>
          </w:rPr>
        </w:r>
        <w:r w:rsidR="00645D54">
          <w:rPr>
            <w:webHidden/>
          </w:rPr>
          <w:fldChar w:fldCharType="separate"/>
        </w:r>
        <w:r w:rsidR="002C09C9">
          <w:rPr>
            <w:webHidden/>
          </w:rPr>
          <w:t>10</w:t>
        </w:r>
        <w:r w:rsidR="00645D54">
          <w:rPr>
            <w:webHidden/>
          </w:rPr>
          <w:fldChar w:fldCharType="end"/>
        </w:r>
      </w:hyperlink>
    </w:p>
    <w:p w14:paraId="7FD32AE6" w14:textId="3A82EAB3" w:rsidR="00645D54" w:rsidRDefault="00FD3D82">
      <w:pPr>
        <w:pStyle w:val="TOC3"/>
        <w:rPr>
          <w:rFonts w:asciiTheme="minorHAnsi" w:eastAsiaTheme="minorEastAsia" w:hAnsiTheme="minorHAnsi" w:cstheme="minorBidi"/>
          <w:szCs w:val="22"/>
        </w:rPr>
      </w:pPr>
      <w:hyperlink w:anchor="_Toc129270431" w:history="1">
        <w:r w:rsidR="00645D54" w:rsidRPr="002C155F">
          <w:rPr>
            <w:rStyle w:val="Hyperlink"/>
          </w:rPr>
          <w:t>Role of ASIC</w:t>
        </w:r>
        <w:r w:rsidR="00645D54">
          <w:rPr>
            <w:webHidden/>
          </w:rPr>
          <w:tab/>
        </w:r>
        <w:r w:rsidR="00645D54">
          <w:rPr>
            <w:webHidden/>
          </w:rPr>
          <w:fldChar w:fldCharType="begin"/>
        </w:r>
        <w:r w:rsidR="00645D54">
          <w:rPr>
            <w:webHidden/>
          </w:rPr>
          <w:instrText xml:space="preserve"> PAGEREF _Toc129270431 \h </w:instrText>
        </w:r>
        <w:r w:rsidR="00645D54">
          <w:rPr>
            <w:webHidden/>
          </w:rPr>
        </w:r>
        <w:r w:rsidR="00645D54">
          <w:rPr>
            <w:webHidden/>
          </w:rPr>
          <w:fldChar w:fldCharType="separate"/>
        </w:r>
        <w:r w:rsidR="002C09C9">
          <w:rPr>
            <w:webHidden/>
          </w:rPr>
          <w:t>11</w:t>
        </w:r>
        <w:r w:rsidR="00645D54">
          <w:rPr>
            <w:webHidden/>
          </w:rPr>
          <w:fldChar w:fldCharType="end"/>
        </w:r>
      </w:hyperlink>
    </w:p>
    <w:p w14:paraId="6321A812" w14:textId="07CB41EC" w:rsidR="00645D54" w:rsidRDefault="00FD3D82">
      <w:pPr>
        <w:pStyle w:val="TOC2"/>
        <w:rPr>
          <w:rFonts w:asciiTheme="minorHAnsi" w:eastAsiaTheme="minorEastAsia" w:hAnsiTheme="minorHAnsi" w:cstheme="minorBidi"/>
          <w:color w:val="auto"/>
          <w:szCs w:val="22"/>
        </w:rPr>
      </w:pPr>
      <w:hyperlink w:anchor="_Toc129270432" w:history="1">
        <w:r w:rsidR="00645D54" w:rsidRPr="002C155F">
          <w:rPr>
            <w:rStyle w:val="Hyperlink"/>
          </w:rPr>
          <w:t>Scope of the Review</w:t>
        </w:r>
        <w:r w:rsidR="00645D54">
          <w:rPr>
            <w:webHidden/>
          </w:rPr>
          <w:tab/>
        </w:r>
        <w:r w:rsidR="00645D54">
          <w:rPr>
            <w:webHidden/>
          </w:rPr>
          <w:fldChar w:fldCharType="begin"/>
        </w:r>
        <w:r w:rsidR="00645D54">
          <w:rPr>
            <w:webHidden/>
          </w:rPr>
          <w:instrText xml:space="preserve"> PAGEREF _Toc129270432 \h </w:instrText>
        </w:r>
        <w:r w:rsidR="00645D54">
          <w:rPr>
            <w:webHidden/>
          </w:rPr>
        </w:r>
        <w:r w:rsidR="00645D54">
          <w:rPr>
            <w:webHidden/>
          </w:rPr>
          <w:fldChar w:fldCharType="separate"/>
        </w:r>
        <w:r w:rsidR="002C09C9">
          <w:rPr>
            <w:webHidden/>
          </w:rPr>
          <w:t>12</w:t>
        </w:r>
        <w:r w:rsidR="00645D54">
          <w:rPr>
            <w:webHidden/>
          </w:rPr>
          <w:fldChar w:fldCharType="end"/>
        </w:r>
      </w:hyperlink>
    </w:p>
    <w:p w14:paraId="1D39B7BF" w14:textId="4A39C413" w:rsidR="00645D54" w:rsidRDefault="00FD3D82">
      <w:pPr>
        <w:pStyle w:val="TOC2"/>
        <w:rPr>
          <w:rFonts w:asciiTheme="minorHAnsi" w:eastAsiaTheme="minorEastAsia" w:hAnsiTheme="minorHAnsi" w:cstheme="minorBidi"/>
          <w:color w:val="auto"/>
          <w:szCs w:val="22"/>
        </w:rPr>
      </w:pPr>
      <w:hyperlink w:anchor="_Toc129270433" w:history="1">
        <w:r w:rsidR="00645D54" w:rsidRPr="002C155F">
          <w:rPr>
            <w:rStyle w:val="Hyperlink"/>
          </w:rPr>
          <w:t>The approach undertaken by the Review</w:t>
        </w:r>
        <w:r w:rsidR="00645D54">
          <w:rPr>
            <w:webHidden/>
          </w:rPr>
          <w:tab/>
        </w:r>
        <w:r w:rsidR="00645D54">
          <w:rPr>
            <w:webHidden/>
          </w:rPr>
          <w:fldChar w:fldCharType="begin"/>
        </w:r>
        <w:r w:rsidR="00645D54">
          <w:rPr>
            <w:webHidden/>
          </w:rPr>
          <w:instrText xml:space="preserve"> PAGEREF _Toc129270433 \h </w:instrText>
        </w:r>
        <w:r w:rsidR="00645D54">
          <w:rPr>
            <w:webHidden/>
          </w:rPr>
        </w:r>
        <w:r w:rsidR="00645D54">
          <w:rPr>
            <w:webHidden/>
          </w:rPr>
          <w:fldChar w:fldCharType="separate"/>
        </w:r>
        <w:r w:rsidR="002C09C9">
          <w:rPr>
            <w:webHidden/>
          </w:rPr>
          <w:t>12</w:t>
        </w:r>
        <w:r w:rsidR="00645D54">
          <w:rPr>
            <w:webHidden/>
          </w:rPr>
          <w:fldChar w:fldCharType="end"/>
        </w:r>
      </w:hyperlink>
    </w:p>
    <w:p w14:paraId="4A4AE1DE" w14:textId="6D213B26" w:rsidR="00645D54" w:rsidRDefault="00FD3D82">
      <w:pPr>
        <w:pStyle w:val="TOC1"/>
        <w:rPr>
          <w:rFonts w:asciiTheme="minorHAnsi" w:eastAsiaTheme="minorEastAsia" w:hAnsiTheme="minorHAnsi" w:cstheme="minorBidi"/>
          <w:b w:val="0"/>
          <w:color w:val="auto"/>
        </w:rPr>
      </w:pPr>
      <w:hyperlink w:anchor="_Toc129270434" w:history="1">
        <w:r w:rsidR="00645D54" w:rsidRPr="002C155F">
          <w:rPr>
            <w:rStyle w:val="Hyperlink"/>
            <w:rFonts w:eastAsia="Calibri"/>
            <w:lang w:eastAsia="en-US"/>
          </w:rPr>
          <w:t>Chapter 2: Industry funding levies</w:t>
        </w:r>
        <w:r w:rsidR="00645D54">
          <w:rPr>
            <w:webHidden/>
          </w:rPr>
          <w:tab/>
        </w:r>
        <w:r w:rsidR="00645D54">
          <w:rPr>
            <w:webHidden/>
          </w:rPr>
          <w:fldChar w:fldCharType="begin"/>
        </w:r>
        <w:r w:rsidR="00645D54">
          <w:rPr>
            <w:webHidden/>
          </w:rPr>
          <w:instrText xml:space="preserve"> PAGEREF _Toc129270434 \h </w:instrText>
        </w:r>
        <w:r w:rsidR="00645D54">
          <w:rPr>
            <w:webHidden/>
          </w:rPr>
        </w:r>
        <w:r w:rsidR="00645D54">
          <w:rPr>
            <w:webHidden/>
          </w:rPr>
          <w:fldChar w:fldCharType="separate"/>
        </w:r>
        <w:r w:rsidR="002C09C9">
          <w:rPr>
            <w:webHidden/>
          </w:rPr>
          <w:t>14</w:t>
        </w:r>
        <w:r w:rsidR="00645D54">
          <w:rPr>
            <w:webHidden/>
          </w:rPr>
          <w:fldChar w:fldCharType="end"/>
        </w:r>
      </w:hyperlink>
    </w:p>
    <w:p w14:paraId="35C7E66E" w14:textId="7415399B" w:rsidR="00645D54" w:rsidRDefault="00FD3D82">
      <w:pPr>
        <w:pStyle w:val="TOC2"/>
        <w:rPr>
          <w:rFonts w:asciiTheme="minorHAnsi" w:eastAsiaTheme="minorEastAsia" w:hAnsiTheme="minorHAnsi" w:cstheme="minorBidi"/>
          <w:color w:val="auto"/>
          <w:szCs w:val="22"/>
        </w:rPr>
      </w:pPr>
      <w:hyperlink w:anchor="_Toc129270435" w:history="1">
        <w:r w:rsidR="00645D54" w:rsidRPr="002C155F">
          <w:rPr>
            <w:rStyle w:val="Hyperlink"/>
          </w:rPr>
          <w:t>Introduction</w:t>
        </w:r>
        <w:r w:rsidR="00645D54">
          <w:rPr>
            <w:webHidden/>
          </w:rPr>
          <w:tab/>
        </w:r>
        <w:r w:rsidR="00645D54">
          <w:rPr>
            <w:webHidden/>
          </w:rPr>
          <w:fldChar w:fldCharType="begin"/>
        </w:r>
        <w:r w:rsidR="00645D54">
          <w:rPr>
            <w:webHidden/>
          </w:rPr>
          <w:instrText xml:space="preserve"> PAGEREF _Toc129270435 \h </w:instrText>
        </w:r>
        <w:r w:rsidR="00645D54">
          <w:rPr>
            <w:webHidden/>
          </w:rPr>
        </w:r>
        <w:r w:rsidR="00645D54">
          <w:rPr>
            <w:webHidden/>
          </w:rPr>
          <w:fldChar w:fldCharType="separate"/>
        </w:r>
        <w:r w:rsidR="002C09C9">
          <w:rPr>
            <w:webHidden/>
          </w:rPr>
          <w:t>14</w:t>
        </w:r>
        <w:r w:rsidR="00645D54">
          <w:rPr>
            <w:webHidden/>
          </w:rPr>
          <w:fldChar w:fldCharType="end"/>
        </w:r>
      </w:hyperlink>
    </w:p>
    <w:p w14:paraId="50DFC933" w14:textId="2D25F79D" w:rsidR="00645D54" w:rsidRDefault="00FD3D82">
      <w:pPr>
        <w:pStyle w:val="TOC2"/>
        <w:rPr>
          <w:rFonts w:asciiTheme="minorHAnsi" w:eastAsiaTheme="minorEastAsia" w:hAnsiTheme="minorHAnsi" w:cstheme="minorBidi"/>
          <w:color w:val="auto"/>
          <w:szCs w:val="22"/>
        </w:rPr>
      </w:pPr>
      <w:hyperlink w:anchor="_Toc129270436" w:history="1">
        <w:r w:rsidR="00645D54" w:rsidRPr="002C155F">
          <w:rPr>
            <w:rStyle w:val="Hyperlink"/>
          </w:rPr>
          <w:t>Industry funding levies framework</w:t>
        </w:r>
        <w:r w:rsidR="00645D54">
          <w:rPr>
            <w:webHidden/>
          </w:rPr>
          <w:tab/>
        </w:r>
        <w:r w:rsidR="00645D54">
          <w:rPr>
            <w:webHidden/>
          </w:rPr>
          <w:fldChar w:fldCharType="begin"/>
        </w:r>
        <w:r w:rsidR="00645D54">
          <w:rPr>
            <w:webHidden/>
          </w:rPr>
          <w:instrText xml:space="preserve"> PAGEREF _Toc129270436 \h </w:instrText>
        </w:r>
        <w:r w:rsidR="00645D54">
          <w:rPr>
            <w:webHidden/>
          </w:rPr>
        </w:r>
        <w:r w:rsidR="00645D54">
          <w:rPr>
            <w:webHidden/>
          </w:rPr>
          <w:fldChar w:fldCharType="separate"/>
        </w:r>
        <w:r w:rsidR="002C09C9">
          <w:rPr>
            <w:webHidden/>
          </w:rPr>
          <w:t>14</w:t>
        </w:r>
        <w:r w:rsidR="00645D54">
          <w:rPr>
            <w:webHidden/>
          </w:rPr>
          <w:fldChar w:fldCharType="end"/>
        </w:r>
      </w:hyperlink>
    </w:p>
    <w:p w14:paraId="34368F0E" w14:textId="1EBE49D8" w:rsidR="00645D54" w:rsidRDefault="00FD3D82">
      <w:pPr>
        <w:pStyle w:val="TOC3"/>
        <w:rPr>
          <w:rFonts w:asciiTheme="minorHAnsi" w:eastAsiaTheme="minorEastAsia" w:hAnsiTheme="minorHAnsi" w:cstheme="minorBidi"/>
          <w:szCs w:val="22"/>
        </w:rPr>
      </w:pPr>
      <w:hyperlink w:anchor="_Toc129270437" w:history="1">
        <w:r w:rsidR="00645D54" w:rsidRPr="002C155F">
          <w:rPr>
            <w:rStyle w:val="Hyperlink"/>
          </w:rPr>
          <w:t>Table 2.1: Levies compared to total ASIC funding since the commencement of the IFM</w:t>
        </w:r>
        <w:r w:rsidR="00645D54">
          <w:rPr>
            <w:webHidden/>
          </w:rPr>
          <w:tab/>
        </w:r>
        <w:r w:rsidR="00645D54">
          <w:rPr>
            <w:webHidden/>
          </w:rPr>
          <w:fldChar w:fldCharType="begin"/>
        </w:r>
        <w:r w:rsidR="00645D54">
          <w:rPr>
            <w:webHidden/>
          </w:rPr>
          <w:instrText xml:space="preserve"> PAGEREF _Toc129270437 \h </w:instrText>
        </w:r>
        <w:r w:rsidR="00645D54">
          <w:rPr>
            <w:webHidden/>
          </w:rPr>
        </w:r>
        <w:r w:rsidR="00645D54">
          <w:rPr>
            <w:webHidden/>
          </w:rPr>
          <w:fldChar w:fldCharType="separate"/>
        </w:r>
        <w:r w:rsidR="002C09C9">
          <w:rPr>
            <w:webHidden/>
          </w:rPr>
          <w:t>14</w:t>
        </w:r>
        <w:r w:rsidR="00645D54">
          <w:rPr>
            <w:webHidden/>
          </w:rPr>
          <w:fldChar w:fldCharType="end"/>
        </w:r>
      </w:hyperlink>
    </w:p>
    <w:p w14:paraId="2C1AEAA6" w14:textId="45B821AB" w:rsidR="00645D54" w:rsidRDefault="00FD3D82">
      <w:pPr>
        <w:pStyle w:val="TOC3"/>
        <w:rPr>
          <w:rFonts w:asciiTheme="minorHAnsi" w:eastAsiaTheme="minorEastAsia" w:hAnsiTheme="minorHAnsi" w:cstheme="minorBidi"/>
          <w:szCs w:val="22"/>
        </w:rPr>
      </w:pPr>
      <w:hyperlink w:anchor="_Toc129270438" w:history="1">
        <w:r w:rsidR="00645D54" w:rsidRPr="002C155F">
          <w:rPr>
            <w:rStyle w:val="Hyperlink"/>
          </w:rPr>
          <w:t>Costs recovered through levies</w:t>
        </w:r>
        <w:r w:rsidR="00645D54">
          <w:rPr>
            <w:webHidden/>
          </w:rPr>
          <w:tab/>
        </w:r>
        <w:r w:rsidR="00645D54">
          <w:rPr>
            <w:webHidden/>
          </w:rPr>
          <w:fldChar w:fldCharType="begin"/>
        </w:r>
        <w:r w:rsidR="00645D54">
          <w:rPr>
            <w:webHidden/>
          </w:rPr>
          <w:instrText xml:space="preserve"> PAGEREF _Toc129270438 \h </w:instrText>
        </w:r>
        <w:r w:rsidR="00645D54">
          <w:rPr>
            <w:webHidden/>
          </w:rPr>
        </w:r>
        <w:r w:rsidR="00645D54">
          <w:rPr>
            <w:webHidden/>
          </w:rPr>
          <w:fldChar w:fldCharType="separate"/>
        </w:r>
        <w:r w:rsidR="002C09C9">
          <w:rPr>
            <w:webHidden/>
          </w:rPr>
          <w:t>15</w:t>
        </w:r>
        <w:r w:rsidR="00645D54">
          <w:rPr>
            <w:webHidden/>
          </w:rPr>
          <w:fldChar w:fldCharType="end"/>
        </w:r>
      </w:hyperlink>
    </w:p>
    <w:p w14:paraId="1FA89EA0" w14:textId="78532C97" w:rsidR="00645D54" w:rsidRDefault="00FD3D82">
      <w:pPr>
        <w:pStyle w:val="TOC3"/>
        <w:rPr>
          <w:rFonts w:asciiTheme="minorHAnsi" w:eastAsiaTheme="minorEastAsia" w:hAnsiTheme="minorHAnsi" w:cstheme="minorBidi"/>
          <w:szCs w:val="22"/>
        </w:rPr>
      </w:pPr>
      <w:hyperlink w:anchor="_Toc129270439" w:history="1">
        <w:r w:rsidR="00645D54" w:rsidRPr="002C155F">
          <w:rPr>
            <w:rStyle w:val="Hyperlink"/>
            <w:rFonts w:eastAsiaTheme="minorHAnsi"/>
            <w:lang w:eastAsia="en-US"/>
          </w:rPr>
          <w:t xml:space="preserve">Table 2.2: ASIC activity costs* as a proportion of total operating costs since the </w:t>
        </w:r>
        <w:r w:rsidR="0004735F">
          <w:rPr>
            <w:rStyle w:val="Hyperlink"/>
            <w:rFonts w:eastAsiaTheme="minorHAnsi"/>
            <w:lang w:eastAsia="en-US"/>
          </w:rPr>
          <w:br/>
        </w:r>
        <w:r w:rsidR="00645D54" w:rsidRPr="002C155F">
          <w:rPr>
            <w:rStyle w:val="Hyperlink"/>
            <w:rFonts w:eastAsiaTheme="minorHAnsi"/>
            <w:lang w:eastAsia="en-US"/>
          </w:rPr>
          <w:t>commencement of the IFM</w:t>
        </w:r>
        <w:r w:rsidR="00645D54">
          <w:rPr>
            <w:webHidden/>
          </w:rPr>
          <w:tab/>
        </w:r>
        <w:r w:rsidR="00645D54">
          <w:rPr>
            <w:webHidden/>
          </w:rPr>
          <w:fldChar w:fldCharType="begin"/>
        </w:r>
        <w:r w:rsidR="00645D54">
          <w:rPr>
            <w:webHidden/>
          </w:rPr>
          <w:instrText xml:space="preserve"> PAGEREF _Toc129270439 \h </w:instrText>
        </w:r>
        <w:r w:rsidR="00645D54">
          <w:rPr>
            <w:webHidden/>
          </w:rPr>
        </w:r>
        <w:r w:rsidR="00645D54">
          <w:rPr>
            <w:webHidden/>
          </w:rPr>
          <w:fldChar w:fldCharType="separate"/>
        </w:r>
        <w:r w:rsidR="002C09C9">
          <w:rPr>
            <w:webHidden/>
          </w:rPr>
          <w:t>16</w:t>
        </w:r>
        <w:r w:rsidR="00645D54">
          <w:rPr>
            <w:webHidden/>
          </w:rPr>
          <w:fldChar w:fldCharType="end"/>
        </w:r>
      </w:hyperlink>
    </w:p>
    <w:p w14:paraId="22DA1C12" w14:textId="76D54D00" w:rsidR="00645D54" w:rsidRDefault="00FD3D82">
      <w:pPr>
        <w:pStyle w:val="TOC3"/>
        <w:rPr>
          <w:rFonts w:asciiTheme="minorHAnsi" w:eastAsiaTheme="minorEastAsia" w:hAnsiTheme="minorHAnsi" w:cstheme="minorBidi"/>
          <w:szCs w:val="22"/>
        </w:rPr>
      </w:pPr>
      <w:hyperlink w:anchor="_Toc129270440" w:history="1">
        <w:r w:rsidR="00645D54" w:rsidRPr="002C155F">
          <w:rPr>
            <w:rStyle w:val="Hyperlink"/>
          </w:rPr>
          <w:t>Methodology</w:t>
        </w:r>
        <w:r w:rsidR="00645D54">
          <w:rPr>
            <w:webHidden/>
          </w:rPr>
          <w:tab/>
        </w:r>
        <w:r w:rsidR="00645D54">
          <w:rPr>
            <w:webHidden/>
          </w:rPr>
          <w:fldChar w:fldCharType="begin"/>
        </w:r>
        <w:r w:rsidR="00645D54">
          <w:rPr>
            <w:webHidden/>
          </w:rPr>
          <w:instrText xml:space="preserve"> PAGEREF _Toc129270440 \h </w:instrText>
        </w:r>
        <w:r w:rsidR="00645D54">
          <w:rPr>
            <w:webHidden/>
          </w:rPr>
        </w:r>
        <w:r w:rsidR="00645D54">
          <w:rPr>
            <w:webHidden/>
          </w:rPr>
          <w:fldChar w:fldCharType="separate"/>
        </w:r>
        <w:r w:rsidR="002C09C9">
          <w:rPr>
            <w:webHidden/>
          </w:rPr>
          <w:t>16</w:t>
        </w:r>
        <w:r w:rsidR="00645D54">
          <w:rPr>
            <w:webHidden/>
          </w:rPr>
          <w:fldChar w:fldCharType="end"/>
        </w:r>
      </w:hyperlink>
    </w:p>
    <w:p w14:paraId="24739E01" w14:textId="18596378" w:rsidR="00645D54" w:rsidRDefault="00FD3D82">
      <w:pPr>
        <w:pStyle w:val="TOC3"/>
        <w:rPr>
          <w:rFonts w:asciiTheme="minorHAnsi" w:eastAsiaTheme="minorEastAsia" w:hAnsiTheme="minorHAnsi" w:cstheme="minorBidi"/>
          <w:szCs w:val="22"/>
        </w:rPr>
      </w:pPr>
      <w:hyperlink w:anchor="_Toc129270441" w:history="1">
        <w:r w:rsidR="00645D54" w:rsidRPr="002C155F">
          <w:rPr>
            <w:rStyle w:val="Hyperlink"/>
          </w:rPr>
          <w:t>Levy waivers</w:t>
        </w:r>
        <w:r w:rsidR="00645D54">
          <w:rPr>
            <w:webHidden/>
          </w:rPr>
          <w:tab/>
        </w:r>
        <w:r w:rsidR="00645D54">
          <w:rPr>
            <w:webHidden/>
          </w:rPr>
          <w:fldChar w:fldCharType="begin"/>
        </w:r>
        <w:r w:rsidR="00645D54">
          <w:rPr>
            <w:webHidden/>
          </w:rPr>
          <w:instrText xml:space="preserve"> PAGEREF _Toc129270441 \h </w:instrText>
        </w:r>
        <w:r w:rsidR="00645D54">
          <w:rPr>
            <w:webHidden/>
          </w:rPr>
        </w:r>
        <w:r w:rsidR="00645D54">
          <w:rPr>
            <w:webHidden/>
          </w:rPr>
          <w:fldChar w:fldCharType="separate"/>
        </w:r>
        <w:r w:rsidR="002C09C9">
          <w:rPr>
            <w:webHidden/>
          </w:rPr>
          <w:t>17</w:t>
        </w:r>
        <w:r w:rsidR="00645D54">
          <w:rPr>
            <w:webHidden/>
          </w:rPr>
          <w:fldChar w:fldCharType="end"/>
        </w:r>
      </w:hyperlink>
    </w:p>
    <w:p w14:paraId="02816070" w14:textId="7E12BF96" w:rsidR="00645D54" w:rsidRDefault="00FD3D82">
      <w:pPr>
        <w:pStyle w:val="TOC2"/>
        <w:rPr>
          <w:rFonts w:asciiTheme="minorHAnsi" w:eastAsiaTheme="minorEastAsia" w:hAnsiTheme="minorHAnsi" w:cstheme="minorBidi"/>
          <w:color w:val="auto"/>
          <w:szCs w:val="22"/>
        </w:rPr>
      </w:pPr>
      <w:hyperlink w:anchor="_Toc129270442" w:history="1">
        <w:r w:rsidR="00645D54" w:rsidRPr="002C155F">
          <w:rPr>
            <w:rStyle w:val="Hyperlink"/>
          </w:rPr>
          <w:t>Principles of the levies framework</w:t>
        </w:r>
        <w:r w:rsidR="00645D54">
          <w:rPr>
            <w:webHidden/>
          </w:rPr>
          <w:tab/>
        </w:r>
        <w:r w:rsidR="00645D54">
          <w:rPr>
            <w:webHidden/>
          </w:rPr>
          <w:fldChar w:fldCharType="begin"/>
        </w:r>
        <w:r w:rsidR="00645D54">
          <w:rPr>
            <w:webHidden/>
          </w:rPr>
          <w:instrText xml:space="preserve"> PAGEREF _Toc129270442 \h </w:instrText>
        </w:r>
        <w:r w:rsidR="00645D54">
          <w:rPr>
            <w:webHidden/>
          </w:rPr>
        </w:r>
        <w:r w:rsidR="00645D54">
          <w:rPr>
            <w:webHidden/>
          </w:rPr>
          <w:fldChar w:fldCharType="separate"/>
        </w:r>
        <w:r w:rsidR="002C09C9">
          <w:rPr>
            <w:webHidden/>
          </w:rPr>
          <w:t>17</w:t>
        </w:r>
        <w:r w:rsidR="00645D54">
          <w:rPr>
            <w:webHidden/>
          </w:rPr>
          <w:fldChar w:fldCharType="end"/>
        </w:r>
      </w:hyperlink>
    </w:p>
    <w:p w14:paraId="385D5485" w14:textId="0D1EA73A" w:rsidR="00645D54" w:rsidRDefault="00FD3D82">
      <w:pPr>
        <w:pStyle w:val="TOC3"/>
        <w:rPr>
          <w:rFonts w:asciiTheme="minorHAnsi" w:eastAsiaTheme="minorEastAsia" w:hAnsiTheme="minorHAnsi" w:cstheme="minorBidi"/>
          <w:szCs w:val="22"/>
        </w:rPr>
      </w:pPr>
      <w:hyperlink w:anchor="_Toc129270443"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_Toc129270443 \h </w:instrText>
        </w:r>
        <w:r w:rsidR="00645D54">
          <w:rPr>
            <w:webHidden/>
          </w:rPr>
        </w:r>
        <w:r w:rsidR="00645D54">
          <w:rPr>
            <w:webHidden/>
          </w:rPr>
          <w:fldChar w:fldCharType="separate"/>
        </w:r>
        <w:r w:rsidR="002C09C9">
          <w:rPr>
            <w:webHidden/>
          </w:rPr>
          <w:t>17</w:t>
        </w:r>
        <w:r w:rsidR="00645D54">
          <w:rPr>
            <w:webHidden/>
          </w:rPr>
          <w:fldChar w:fldCharType="end"/>
        </w:r>
      </w:hyperlink>
    </w:p>
    <w:p w14:paraId="6F80561F" w14:textId="2987F817" w:rsidR="00645D54" w:rsidRDefault="00FD3D82">
      <w:pPr>
        <w:pStyle w:val="TOC2"/>
        <w:rPr>
          <w:rFonts w:asciiTheme="minorHAnsi" w:eastAsiaTheme="minorEastAsia" w:hAnsiTheme="minorHAnsi" w:cstheme="minorBidi"/>
          <w:color w:val="auto"/>
          <w:szCs w:val="22"/>
        </w:rPr>
      </w:pPr>
      <w:hyperlink w:anchor="_Toc129270444" w:history="1">
        <w:r w:rsidR="00645D54" w:rsidRPr="002C155F">
          <w:rPr>
            <w:rStyle w:val="Hyperlink"/>
          </w:rPr>
          <w:t>Activities and costs recovered through levies</w:t>
        </w:r>
        <w:r w:rsidR="00645D54">
          <w:rPr>
            <w:webHidden/>
          </w:rPr>
          <w:tab/>
        </w:r>
        <w:r w:rsidR="00645D54">
          <w:rPr>
            <w:webHidden/>
          </w:rPr>
          <w:fldChar w:fldCharType="begin"/>
        </w:r>
        <w:r w:rsidR="00645D54">
          <w:rPr>
            <w:webHidden/>
          </w:rPr>
          <w:instrText xml:space="preserve"> PAGEREF _Toc129270444 \h </w:instrText>
        </w:r>
        <w:r w:rsidR="00645D54">
          <w:rPr>
            <w:webHidden/>
          </w:rPr>
        </w:r>
        <w:r w:rsidR="00645D54">
          <w:rPr>
            <w:webHidden/>
          </w:rPr>
          <w:fldChar w:fldCharType="separate"/>
        </w:r>
        <w:r w:rsidR="002C09C9">
          <w:rPr>
            <w:webHidden/>
          </w:rPr>
          <w:t>19</w:t>
        </w:r>
        <w:r w:rsidR="00645D54">
          <w:rPr>
            <w:webHidden/>
          </w:rPr>
          <w:fldChar w:fldCharType="end"/>
        </w:r>
      </w:hyperlink>
    </w:p>
    <w:p w14:paraId="2974D202" w14:textId="5CAF570C" w:rsidR="00645D54" w:rsidRDefault="00FD3D82">
      <w:pPr>
        <w:pStyle w:val="TOC3"/>
        <w:rPr>
          <w:rFonts w:asciiTheme="minorHAnsi" w:eastAsiaTheme="minorEastAsia" w:hAnsiTheme="minorHAnsi" w:cstheme="minorBidi"/>
          <w:szCs w:val="22"/>
        </w:rPr>
      </w:pPr>
      <w:hyperlink w:anchor="_Toc129270445"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_Toc129270445 \h </w:instrText>
        </w:r>
        <w:r w:rsidR="00645D54">
          <w:rPr>
            <w:webHidden/>
          </w:rPr>
        </w:r>
        <w:r w:rsidR="00645D54">
          <w:rPr>
            <w:webHidden/>
          </w:rPr>
          <w:fldChar w:fldCharType="separate"/>
        </w:r>
        <w:r w:rsidR="002C09C9">
          <w:rPr>
            <w:webHidden/>
          </w:rPr>
          <w:t>19</w:t>
        </w:r>
        <w:r w:rsidR="00645D54">
          <w:rPr>
            <w:webHidden/>
          </w:rPr>
          <w:fldChar w:fldCharType="end"/>
        </w:r>
      </w:hyperlink>
    </w:p>
    <w:p w14:paraId="01A95C30" w14:textId="40F93048" w:rsidR="00645D54" w:rsidRDefault="00FD3D82">
      <w:pPr>
        <w:pStyle w:val="TOC2"/>
        <w:rPr>
          <w:rFonts w:asciiTheme="minorHAnsi" w:eastAsiaTheme="minorEastAsia" w:hAnsiTheme="minorHAnsi" w:cstheme="minorBidi"/>
          <w:color w:val="auto"/>
          <w:szCs w:val="22"/>
        </w:rPr>
      </w:pPr>
      <w:hyperlink w:anchor="_Toc129270446" w:history="1">
        <w:r w:rsidR="00645D54" w:rsidRPr="002C155F">
          <w:rPr>
            <w:rStyle w:val="Hyperlink"/>
          </w:rPr>
          <w:t>Costs not recovered through levies</w:t>
        </w:r>
        <w:r w:rsidR="00645D54">
          <w:rPr>
            <w:webHidden/>
          </w:rPr>
          <w:tab/>
        </w:r>
        <w:r w:rsidR="00645D54">
          <w:rPr>
            <w:webHidden/>
          </w:rPr>
          <w:fldChar w:fldCharType="begin"/>
        </w:r>
        <w:r w:rsidR="00645D54">
          <w:rPr>
            <w:webHidden/>
          </w:rPr>
          <w:instrText xml:space="preserve"> PAGEREF _Toc129270446 \h </w:instrText>
        </w:r>
        <w:r w:rsidR="00645D54">
          <w:rPr>
            <w:webHidden/>
          </w:rPr>
        </w:r>
        <w:r w:rsidR="00645D54">
          <w:rPr>
            <w:webHidden/>
          </w:rPr>
          <w:fldChar w:fldCharType="separate"/>
        </w:r>
        <w:r w:rsidR="002C09C9">
          <w:rPr>
            <w:webHidden/>
          </w:rPr>
          <w:t>20</w:t>
        </w:r>
        <w:r w:rsidR="00645D54">
          <w:rPr>
            <w:webHidden/>
          </w:rPr>
          <w:fldChar w:fldCharType="end"/>
        </w:r>
      </w:hyperlink>
    </w:p>
    <w:p w14:paraId="59425F86" w14:textId="40FAF058" w:rsidR="00645D54" w:rsidRDefault="00FD3D82">
      <w:pPr>
        <w:pStyle w:val="TOC3"/>
        <w:rPr>
          <w:rFonts w:asciiTheme="minorHAnsi" w:eastAsiaTheme="minorEastAsia" w:hAnsiTheme="minorHAnsi" w:cstheme="minorBidi"/>
          <w:szCs w:val="22"/>
        </w:rPr>
      </w:pPr>
      <w:hyperlink w:anchor="_Toc129270447"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_Toc129270447 \h </w:instrText>
        </w:r>
        <w:r w:rsidR="00645D54">
          <w:rPr>
            <w:webHidden/>
          </w:rPr>
        </w:r>
        <w:r w:rsidR="00645D54">
          <w:rPr>
            <w:webHidden/>
          </w:rPr>
          <w:fldChar w:fldCharType="separate"/>
        </w:r>
        <w:r w:rsidR="002C09C9">
          <w:rPr>
            <w:webHidden/>
          </w:rPr>
          <w:t>21</w:t>
        </w:r>
        <w:r w:rsidR="00645D54">
          <w:rPr>
            <w:webHidden/>
          </w:rPr>
          <w:fldChar w:fldCharType="end"/>
        </w:r>
      </w:hyperlink>
    </w:p>
    <w:p w14:paraId="62577976" w14:textId="284D55F6" w:rsidR="00645D54" w:rsidRDefault="00FD3D82">
      <w:pPr>
        <w:pStyle w:val="TOC2"/>
        <w:rPr>
          <w:rFonts w:asciiTheme="minorHAnsi" w:eastAsiaTheme="minorEastAsia" w:hAnsiTheme="minorHAnsi" w:cstheme="minorBidi"/>
          <w:color w:val="auto"/>
          <w:szCs w:val="22"/>
        </w:rPr>
      </w:pPr>
      <w:hyperlink w:anchor="_Toc129270448" w:history="1">
        <w:r w:rsidR="00645D54" w:rsidRPr="002C155F">
          <w:rPr>
            <w:rStyle w:val="Hyperlink"/>
          </w:rPr>
          <w:t>Cost recovery policy</w:t>
        </w:r>
        <w:r w:rsidR="00645D54">
          <w:rPr>
            <w:webHidden/>
          </w:rPr>
          <w:tab/>
        </w:r>
        <w:r w:rsidR="00645D54">
          <w:rPr>
            <w:webHidden/>
          </w:rPr>
          <w:fldChar w:fldCharType="begin"/>
        </w:r>
        <w:r w:rsidR="00645D54">
          <w:rPr>
            <w:webHidden/>
          </w:rPr>
          <w:instrText xml:space="preserve"> PAGEREF _Toc129270448 \h </w:instrText>
        </w:r>
        <w:r w:rsidR="00645D54">
          <w:rPr>
            <w:webHidden/>
          </w:rPr>
        </w:r>
        <w:r w:rsidR="00645D54">
          <w:rPr>
            <w:webHidden/>
          </w:rPr>
          <w:fldChar w:fldCharType="separate"/>
        </w:r>
        <w:r w:rsidR="002C09C9">
          <w:rPr>
            <w:webHidden/>
          </w:rPr>
          <w:t>21</w:t>
        </w:r>
        <w:r w:rsidR="00645D54">
          <w:rPr>
            <w:webHidden/>
          </w:rPr>
          <w:fldChar w:fldCharType="end"/>
        </w:r>
      </w:hyperlink>
    </w:p>
    <w:p w14:paraId="50DB8ABE" w14:textId="0123A4D5" w:rsidR="00645D54" w:rsidRDefault="00FD3D82">
      <w:pPr>
        <w:pStyle w:val="TOC3"/>
        <w:rPr>
          <w:rFonts w:asciiTheme="minorHAnsi" w:eastAsiaTheme="minorEastAsia" w:hAnsiTheme="minorHAnsi" w:cstheme="minorBidi"/>
          <w:szCs w:val="22"/>
        </w:rPr>
      </w:pPr>
      <w:hyperlink w:anchor="_Toc129270449" w:history="1">
        <w:r w:rsidR="00645D54" w:rsidRPr="002C155F">
          <w:rPr>
            <w:rStyle w:val="Hyperlink"/>
          </w:rPr>
          <w:t>New policy measures and proposals</w:t>
        </w:r>
        <w:r w:rsidR="00645D54">
          <w:rPr>
            <w:webHidden/>
          </w:rPr>
          <w:tab/>
        </w:r>
        <w:r w:rsidR="00645D54">
          <w:rPr>
            <w:webHidden/>
          </w:rPr>
          <w:fldChar w:fldCharType="begin"/>
        </w:r>
        <w:r w:rsidR="00645D54">
          <w:rPr>
            <w:webHidden/>
          </w:rPr>
          <w:instrText xml:space="preserve"> PAGEREF _Toc129270449 \h </w:instrText>
        </w:r>
        <w:r w:rsidR="00645D54">
          <w:rPr>
            <w:webHidden/>
          </w:rPr>
        </w:r>
        <w:r w:rsidR="00645D54">
          <w:rPr>
            <w:webHidden/>
          </w:rPr>
          <w:fldChar w:fldCharType="separate"/>
        </w:r>
        <w:r w:rsidR="002C09C9">
          <w:rPr>
            <w:webHidden/>
          </w:rPr>
          <w:t>21</w:t>
        </w:r>
        <w:r w:rsidR="00645D54">
          <w:rPr>
            <w:webHidden/>
          </w:rPr>
          <w:fldChar w:fldCharType="end"/>
        </w:r>
      </w:hyperlink>
    </w:p>
    <w:p w14:paraId="116683ED" w14:textId="29B61AF1" w:rsidR="00645D54" w:rsidRDefault="00FD3D82">
      <w:pPr>
        <w:pStyle w:val="TOC3"/>
        <w:rPr>
          <w:rFonts w:asciiTheme="minorHAnsi" w:eastAsiaTheme="minorEastAsia" w:hAnsiTheme="minorHAnsi" w:cstheme="minorBidi"/>
          <w:szCs w:val="22"/>
        </w:rPr>
      </w:pPr>
      <w:hyperlink w:anchor="_Toc129270450" w:history="1">
        <w:r w:rsidR="00645D54" w:rsidRPr="002C155F">
          <w:rPr>
            <w:rStyle w:val="Hyperlink"/>
          </w:rPr>
          <w:t>Existing activities</w:t>
        </w:r>
        <w:r w:rsidR="00645D54">
          <w:rPr>
            <w:webHidden/>
          </w:rPr>
          <w:tab/>
        </w:r>
        <w:r w:rsidR="00645D54">
          <w:rPr>
            <w:webHidden/>
          </w:rPr>
          <w:fldChar w:fldCharType="begin"/>
        </w:r>
        <w:r w:rsidR="00645D54">
          <w:rPr>
            <w:webHidden/>
          </w:rPr>
          <w:instrText xml:space="preserve"> PAGEREF _Toc129270450 \h </w:instrText>
        </w:r>
        <w:r w:rsidR="00645D54">
          <w:rPr>
            <w:webHidden/>
          </w:rPr>
        </w:r>
        <w:r w:rsidR="00645D54">
          <w:rPr>
            <w:webHidden/>
          </w:rPr>
          <w:fldChar w:fldCharType="separate"/>
        </w:r>
        <w:r w:rsidR="002C09C9">
          <w:rPr>
            <w:webHidden/>
          </w:rPr>
          <w:t>22</w:t>
        </w:r>
        <w:r w:rsidR="00645D54">
          <w:rPr>
            <w:webHidden/>
          </w:rPr>
          <w:fldChar w:fldCharType="end"/>
        </w:r>
      </w:hyperlink>
    </w:p>
    <w:p w14:paraId="24DFD9F7" w14:textId="55DBE899" w:rsidR="00645D54" w:rsidRDefault="00FD3D82">
      <w:pPr>
        <w:pStyle w:val="TOC2"/>
        <w:rPr>
          <w:rFonts w:asciiTheme="minorHAnsi" w:eastAsiaTheme="minorEastAsia" w:hAnsiTheme="minorHAnsi" w:cstheme="minorBidi"/>
          <w:color w:val="auto"/>
          <w:szCs w:val="22"/>
        </w:rPr>
      </w:pPr>
      <w:hyperlink w:anchor="_Toc129270451" w:history="1">
        <w:r w:rsidR="00645D54" w:rsidRPr="002C155F">
          <w:rPr>
            <w:rStyle w:val="Hyperlink"/>
          </w:rPr>
          <w:t>Allocation of costs to sub</w:t>
        </w:r>
        <w:r w:rsidR="00BD190B">
          <w:rPr>
            <w:rStyle w:val="Hyperlink"/>
          </w:rPr>
          <w:noBreakHyphen/>
        </w:r>
        <w:r w:rsidR="00645D54" w:rsidRPr="002C155F">
          <w:rPr>
            <w:rStyle w:val="Hyperlink"/>
          </w:rPr>
          <w:t>sectors</w:t>
        </w:r>
        <w:r w:rsidR="00645D54">
          <w:rPr>
            <w:webHidden/>
          </w:rPr>
          <w:tab/>
        </w:r>
        <w:r w:rsidR="00645D54">
          <w:rPr>
            <w:webHidden/>
          </w:rPr>
          <w:fldChar w:fldCharType="begin"/>
        </w:r>
        <w:r w:rsidR="00645D54">
          <w:rPr>
            <w:webHidden/>
          </w:rPr>
          <w:instrText xml:space="preserve"> PAGEREF _Toc129270451 \h </w:instrText>
        </w:r>
        <w:r w:rsidR="00645D54">
          <w:rPr>
            <w:webHidden/>
          </w:rPr>
        </w:r>
        <w:r w:rsidR="00645D54">
          <w:rPr>
            <w:webHidden/>
          </w:rPr>
          <w:fldChar w:fldCharType="separate"/>
        </w:r>
        <w:r w:rsidR="002C09C9">
          <w:rPr>
            <w:webHidden/>
          </w:rPr>
          <w:t>22</w:t>
        </w:r>
        <w:r w:rsidR="00645D54">
          <w:rPr>
            <w:webHidden/>
          </w:rPr>
          <w:fldChar w:fldCharType="end"/>
        </w:r>
      </w:hyperlink>
    </w:p>
    <w:p w14:paraId="3AB99B6B" w14:textId="222D18B2" w:rsidR="00645D54" w:rsidRDefault="00FD3D82">
      <w:pPr>
        <w:pStyle w:val="TOC3"/>
        <w:rPr>
          <w:rFonts w:asciiTheme="minorHAnsi" w:eastAsiaTheme="minorEastAsia" w:hAnsiTheme="minorHAnsi" w:cstheme="minorBidi"/>
          <w:szCs w:val="22"/>
        </w:rPr>
      </w:pPr>
      <w:hyperlink w:anchor="_Toc129270452" w:history="1">
        <w:r w:rsidR="00645D54" w:rsidRPr="002C155F">
          <w:rPr>
            <w:rStyle w:val="Hyperlink"/>
          </w:rPr>
          <w:t>Direct costs</w:t>
        </w:r>
        <w:r w:rsidR="00645D54">
          <w:rPr>
            <w:webHidden/>
          </w:rPr>
          <w:tab/>
        </w:r>
        <w:r w:rsidR="00645D54">
          <w:rPr>
            <w:webHidden/>
          </w:rPr>
          <w:fldChar w:fldCharType="begin"/>
        </w:r>
        <w:r w:rsidR="00645D54">
          <w:rPr>
            <w:webHidden/>
          </w:rPr>
          <w:instrText xml:space="preserve"> PAGEREF _Toc129270452 \h </w:instrText>
        </w:r>
        <w:r w:rsidR="00645D54">
          <w:rPr>
            <w:webHidden/>
          </w:rPr>
        </w:r>
        <w:r w:rsidR="00645D54">
          <w:rPr>
            <w:webHidden/>
          </w:rPr>
          <w:fldChar w:fldCharType="separate"/>
        </w:r>
        <w:r w:rsidR="002C09C9">
          <w:rPr>
            <w:webHidden/>
          </w:rPr>
          <w:t>23</w:t>
        </w:r>
        <w:r w:rsidR="00645D54">
          <w:rPr>
            <w:webHidden/>
          </w:rPr>
          <w:fldChar w:fldCharType="end"/>
        </w:r>
      </w:hyperlink>
    </w:p>
    <w:p w14:paraId="7D8C24AB" w14:textId="588C3114" w:rsidR="00645D54" w:rsidRDefault="00FD3D82">
      <w:pPr>
        <w:pStyle w:val="TOC3"/>
        <w:rPr>
          <w:rFonts w:asciiTheme="minorHAnsi" w:eastAsiaTheme="minorEastAsia" w:hAnsiTheme="minorHAnsi" w:cstheme="minorBidi"/>
          <w:szCs w:val="22"/>
        </w:rPr>
      </w:pPr>
      <w:hyperlink w:anchor="_Toc129270453" w:history="1">
        <w:r w:rsidR="00645D54" w:rsidRPr="002C155F">
          <w:rPr>
            <w:rStyle w:val="Hyperlink"/>
          </w:rPr>
          <w:t>Indirect costs</w:t>
        </w:r>
        <w:r w:rsidR="00645D54">
          <w:rPr>
            <w:webHidden/>
          </w:rPr>
          <w:tab/>
        </w:r>
        <w:r w:rsidR="00645D54">
          <w:rPr>
            <w:webHidden/>
          </w:rPr>
          <w:fldChar w:fldCharType="begin"/>
        </w:r>
        <w:r w:rsidR="00645D54">
          <w:rPr>
            <w:webHidden/>
          </w:rPr>
          <w:instrText xml:space="preserve"> PAGEREF _Toc129270453 \h </w:instrText>
        </w:r>
        <w:r w:rsidR="00645D54">
          <w:rPr>
            <w:webHidden/>
          </w:rPr>
        </w:r>
        <w:r w:rsidR="00645D54">
          <w:rPr>
            <w:webHidden/>
          </w:rPr>
          <w:fldChar w:fldCharType="separate"/>
        </w:r>
        <w:r w:rsidR="002C09C9">
          <w:rPr>
            <w:webHidden/>
          </w:rPr>
          <w:t>24</w:t>
        </w:r>
        <w:r w:rsidR="00645D54">
          <w:rPr>
            <w:webHidden/>
          </w:rPr>
          <w:fldChar w:fldCharType="end"/>
        </w:r>
      </w:hyperlink>
    </w:p>
    <w:p w14:paraId="0467BB4C" w14:textId="5ED530A7" w:rsidR="00645D54" w:rsidRDefault="00FD3D82">
      <w:pPr>
        <w:pStyle w:val="TOC3"/>
        <w:rPr>
          <w:rFonts w:asciiTheme="minorHAnsi" w:eastAsiaTheme="minorEastAsia" w:hAnsiTheme="minorHAnsi" w:cstheme="minorBidi"/>
          <w:szCs w:val="22"/>
        </w:rPr>
      </w:pPr>
      <w:hyperlink w:anchor="_Toc129270454" w:history="1">
        <w:r w:rsidR="00645D54" w:rsidRPr="002C155F">
          <w:rPr>
            <w:rStyle w:val="Hyperlink"/>
          </w:rPr>
          <w:t>Enforcement</w:t>
        </w:r>
        <w:r w:rsidR="00645D54">
          <w:rPr>
            <w:webHidden/>
          </w:rPr>
          <w:tab/>
        </w:r>
        <w:r w:rsidR="00645D54">
          <w:rPr>
            <w:webHidden/>
          </w:rPr>
          <w:fldChar w:fldCharType="begin"/>
        </w:r>
        <w:r w:rsidR="00645D54">
          <w:rPr>
            <w:webHidden/>
          </w:rPr>
          <w:instrText xml:space="preserve"> PAGEREF _Toc129270454 \h </w:instrText>
        </w:r>
        <w:r w:rsidR="00645D54">
          <w:rPr>
            <w:webHidden/>
          </w:rPr>
        </w:r>
        <w:r w:rsidR="00645D54">
          <w:rPr>
            <w:webHidden/>
          </w:rPr>
          <w:fldChar w:fldCharType="separate"/>
        </w:r>
        <w:r w:rsidR="002C09C9">
          <w:rPr>
            <w:webHidden/>
          </w:rPr>
          <w:t>24</w:t>
        </w:r>
        <w:r w:rsidR="00645D54">
          <w:rPr>
            <w:webHidden/>
          </w:rPr>
          <w:fldChar w:fldCharType="end"/>
        </w:r>
      </w:hyperlink>
    </w:p>
    <w:p w14:paraId="1A88F9CD" w14:textId="42990A04" w:rsidR="00645D54" w:rsidRDefault="00FD3D82">
      <w:pPr>
        <w:pStyle w:val="TOC3"/>
        <w:rPr>
          <w:rFonts w:asciiTheme="minorHAnsi" w:eastAsiaTheme="minorEastAsia" w:hAnsiTheme="minorHAnsi" w:cstheme="minorBidi"/>
          <w:szCs w:val="22"/>
        </w:rPr>
      </w:pPr>
      <w:hyperlink w:anchor="_Toc129270455" w:history="1">
        <w:r w:rsidR="00645D54" w:rsidRPr="002C155F">
          <w:rPr>
            <w:rStyle w:val="Hyperlink"/>
          </w:rPr>
          <w:t>Table 2.3: ESA amounts since the commencement of the IFM</w:t>
        </w:r>
        <w:r w:rsidR="00645D54">
          <w:rPr>
            <w:webHidden/>
          </w:rPr>
          <w:tab/>
        </w:r>
        <w:r w:rsidR="00645D54">
          <w:rPr>
            <w:webHidden/>
          </w:rPr>
          <w:fldChar w:fldCharType="begin"/>
        </w:r>
        <w:r w:rsidR="00645D54">
          <w:rPr>
            <w:webHidden/>
          </w:rPr>
          <w:instrText xml:space="preserve"> PAGEREF _Toc129270455 \h </w:instrText>
        </w:r>
        <w:r w:rsidR="00645D54">
          <w:rPr>
            <w:webHidden/>
          </w:rPr>
        </w:r>
        <w:r w:rsidR="00645D54">
          <w:rPr>
            <w:webHidden/>
          </w:rPr>
          <w:fldChar w:fldCharType="separate"/>
        </w:r>
        <w:r w:rsidR="002C09C9">
          <w:rPr>
            <w:webHidden/>
          </w:rPr>
          <w:t>25</w:t>
        </w:r>
        <w:r w:rsidR="00645D54">
          <w:rPr>
            <w:webHidden/>
          </w:rPr>
          <w:fldChar w:fldCharType="end"/>
        </w:r>
      </w:hyperlink>
    </w:p>
    <w:p w14:paraId="13E3E0E0" w14:textId="2C581BBF" w:rsidR="00645D54" w:rsidRDefault="00FD3D82">
      <w:pPr>
        <w:pStyle w:val="TOC3"/>
        <w:rPr>
          <w:rFonts w:asciiTheme="minorHAnsi" w:eastAsiaTheme="minorEastAsia" w:hAnsiTheme="minorHAnsi" w:cstheme="minorBidi"/>
          <w:szCs w:val="22"/>
        </w:rPr>
      </w:pPr>
      <w:hyperlink w:anchor="_Toc129270456" w:history="1">
        <w:r w:rsidR="00645D54" w:rsidRPr="002C155F">
          <w:rPr>
            <w:rStyle w:val="Hyperlink"/>
          </w:rPr>
          <w:t>Unlicensed conduct</w:t>
        </w:r>
        <w:r w:rsidR="00645D54">
          <w:rPr>
            <w:webHidden/>
          </w:rPr>
          <w:tab/>
        </w:r>
        <w:r w:rsidR="00645D54">
          <w:rPr>
            <w:webHidden/>
          </w:rPr>
          <w:fldChar w:fldCharType="begin"/>
        </w:r>
        <w:r w:rsidR="00645D54">
          <w:rPr>
            <w:webHidden/>
          </w:rPr>
          <w:instrText xml:space="preserve"> PAGEREF _Toc129270456 \h </w:instrText>
        </w:r>
        <w:r w:rsidR="00645D54">
          <w:rPr>
            <w:webHidden/>
          </w:rPr>
        </w:r>
        <w:r w:rsidR="00645D54">
          <w:rPr>
            <w:webHidden/>
          </w:rPr>
          <w:fldChar w:fldCharType="separate"/>
        </w:r>
        <w:r w:rsidR="002C09C9">
          <w:rPr>
            <w:webHidden/>
          </w:rPr>
          <w:t>26</w:t>
        </w:r>
        <w:r w:rsidR="00645D54">
          <w:rPr>
            <w:webHidden/>
          </w:rPr>
          <w:fldChar w:fldCharType="end"/>
        </w:r>
      </w:hyperlink>
    </w:p>
    <w:p w14:paraId="2836BC15" w14:textId="1ECC1DB3" w:rsidR="00645D54" w:rsidRDefault="00FD3D82">
      <w:pPr>
        <w:pStyle w:val="TOC3"/>
        <w:rPr>
          <w:rFonts w:asciiTheme="minorHAnsi" w:eastAsiaTheme="minorEastAsia" w:hAnsiTheme="minorHAnsi" w:cstheme="minorBidi"/>
          <w:szCs w:val="22"/>
        </w:rPr>
      </w:pPr>
      <w:hyperlink w:anchor="_Toc129270457" w:history="1">
        <w:r w:rsidR="00645D54" w:rsidRPr="002C155F">
          <w:rPr>
            <w:rStyle w:val="Hyperlink"/>
          </w:rPr>
          <w:t>Emerging industry sectors and providers</w:t>
        </w:r>
        <w:r w:rsidR="00645D54">
          <w:rPr>
            <w:webHidden/>
          </w:rPr>
          <w:tab/>
        </w:r>
        <w:r w:rsidR="00645D54">
          <w:rPr>
            <w:webHidden/>
          </w:rPr>
          <w:fldChar w:fldCharType="begin"/>
        </w:r>
        <w:r w:rsidR="00645D54">
          <w:rPr>
            <w:webHidden/>
          </w:rPr>
          <w:instrText xml:space="preserve"> PAGEREF _Toc129270457 \h </w:instrText>
        </w:r>
        <w:r w:rsidR="00645D54">
          <w:rPr>
            <w:webHidden/>
          </w:rPr>
        </w:r>
        <w:r w:rsidR="00645D54">
          <w:rPr>
            <w:webHidden/>
          </w:rPr>
          <w:fldChar w:fldCharType="separate"/>
        </w:r>
        <w:r w:rsidR="002C09C9">
          <w:rPr>
            <w:webHidden/>
          </w:rPr>
          <w:t>27</w:t>
        </w:r>
        <w:r w:rsidR="00645D54">
          <w:rPr>
            <w:webHidden/>
          </w:rPr>
          <w:fldChar w:fldCharType="end"/>
        </w:r>
      </w:hyperlink>
    </w:p>
    <w:p w14:paraId="56DA28C6" w14:textId="5AD784D7" w:rsidR="00645D54" w:rsidRDefault="00FD3D82">
      <w:pPr>
        <w:pStyle w:val="TOC3"/>
        <w:rPr>
          <w:rFonts w:asciiTheme="minorHAnsi" w:eastAsiaTheme="minorEastAsia" w:hAnsiTheme="minorHAnsi" w:cstheme="minorBidi"/>
          <w:szCs w:val="22"/>
        </w:rPr>
      </w:pPr>
      <w:hyperlink w:anchor="_Toc129270458" w:history="1">
        <w:r w:rsidR="00645D54" w:rsidRPr="002C155F">
          <w:rPr>
            <w:rStyle w:val="Hyperlink"/>
          </w:rPr>
          <w:t>Capital expenditure</w:t>
        </w:r>
        <w:r w:rsidR="00645D54">
          <w:rPr>
            <w:webHidden/>
          </w:rPr>
          <w:tab/>
        </w:r>
        <w:r w:rsidR="00645D54">
          <w:rPr>
            <w:webHidden/>
          </w:rPr>
          <w:fldChar w:fldCharType="begin"/>
        </w:r>
        <w:r w:rsidR="00645D54">
          <w:rPr>
            <w:webHidden/>
          </w:rPr>
          <w:instrText xml:space="preserve"> PAGEREF _Toc129270458 \h </w:instrText>
        </w:r>
        <w:r w:rsidR="00645D54">
          <w:rPr>
            <w:webHidden/>
          </w:rPr>
        </w:r>
        <w:r w:rsidR="00645D54">
          <w:rPr>
            <w:webHidden/>
          </w:rPr>
          <w:fldChar w:fldCharType="separate"/>
        </w:r>
        <w:r w:rsidR="002C09C9">
          <w:rPr>
            <w:webHidden/>
          </w:rPr>
          <w:t>29</w:t>
        </w:r>
        <w:r w:rsidR="00645D54">
          <w:rPr>
            <w:webHidden/>
          </w:rPr>
          <w:fldChar w:fldCharType="end"/>
        </w:r>
      </w:hyperlink>
    </w:p>
    <w:p w14:paraId="0A5B2826" w14:textId="1B5B7191" w:rsidR="00645D54" w:rsidRDefault="00FD3D82">
      <w:pPr>
        <w:pStyle w:val="TOC2"/>
        <w:rPr>
          <w:rFonts w:asciiTheme="minorHAnsi" w:eastAsiaTheme="minorEastAsia" w:hAnsiTheme="minorHAnsi" w:cstheme="minorBidi"/>
          <w:color w:val="auto"/>
          <w:szCs w:val="22"/>
        </w:rPr>
      </w:pPr>
      <w:hyperlink w:anchor="_Toc129270459" w:history="1">
        <w:r w:rsidR="00645D54" w:rsidRPr="002C155F">
          <w:rPr>
            <w:rStyle w:val="Hyperlink"/>
          </w:rPr>
          <w:t>Other cost recovery mechanisms</w:t>
        </w:r>
        <w:r w:rsidR="00645D54">
          <w:rPr>
            <w:webHidden/>
          </w:rPr>
          <w:tab/>
        </w:r>
        <w:r w:rsidR="00645D54">
          <w:rPr>
            <w:webHidden/>
          </w:rPr>
          <w:fldChar w:fldCharType="begin"/>
        </w:r>
        <w:r w:rsidR="00645D54">
          <w:rPr>
            <w:webHidden/>
          </w:rPr>
          <w:instrText xml:space="preserve"> PAGEREF _Toc129270459 \h </w:instrText>
        </w:r>
        <w:r w:rsidR="00645D54">
          <w:rPr>
            <w:webHidden/>
          </w:rPr>
        </w:r>
        <w:r w:rsidR="00645D54">
          <w:rPr>
            <w:webHidden/>
          </w:rPr>
          <w:fldChar w:fldCharType="separate"/>
        </w:r>
        <w:r w:rsidR="002C09C9">
          <w:rPr>
            <w:webHidden/>
          </w:rPr>
          <w:t>29</w:t>
        </w:r>
        <w:r w:rsidR="00645D54">
          <w:rPr>
            <w:webHidden/>
          </w:rPr>
          <w:fldChar w:fldCharType="end"/>
        </w:r>
      </w:hyperlink>
    </w:p>
    <w:p w14:paraId="661FE2B7" w14:textId="0AE2910D" w:rsidR="00645D54" w:rsidRDefault="00FD3D82">
      <w:pPr>
        <w:pStyle w:val="TOC3"/>
        <w:rPr>
          <w:rFonts w:asciiTheme="minorHAnsi" w:eastAsiaTheme="minorEastAsia" w:hAnsiTheme="minorHAnsi" w:cstheme="minorBidi"/>
          <w:szCs w:val="22"/>
        </w:rPr>
      </w:pPr>
      <w:hyperlink w:anchor="_Toc129270460" w:history="1">
        <w:r w:rsidR="00645D54" w:rsidRPr="002C155F">
          <w:rPr>
            <w:rStyle w:val="Hyperlink"/>
          </w:rPr>
          <w:t>Analysis and findings</w:t>
        </w:r>
        <w:r w:rsidR="00645D54">
          <w:rPr>
            <w:webHidden/>
          </w:rPr>
          <w:tab/>
        </w:r>
        <w:r w:rsidR="00F03791">
          <w:rPr>
            <w:webHidden/>
          </w:rPr>
          <w:t>30</w:t>
        </w:r>
      </w:hyperlink>
    </w:p>
    <w:p w14:paraId="7049670F" w14:textId="5ED0DC76" w:rsidR="00645D54" w:rsidRDefault="00FD3D82">
      <w:pPr>
        <w:pStyle w:val="TOC3"/>
        <w:rPr>
          <w:rFonts w:asciiTheme="minorHAnsi" w:eastAsiaTheme="minorEastAsia" w:hAnsiTheme="minorHAnsi" w:cstheme="minorBidi"/>
          <w:szCs w:val="22"/>
        </w:rPr>
      </w:pPr>
      <w:hyperlink w:anchor="_Toc129270461" w:history="1">
        <w:r w:rsidR="00645D54" w:rsidRPr="002C155F">
          <w:rPr>
            <w:rStyle w:val="Hyperlink"/>
          </w:rPr>
          <w:t>Table 2.4: ASIC own source revenue compared to total enforcement costs</w:t>
        </w:r>
        <w:r w:rsidR="00645D54">
          <w:rPr>
            <w:webHidden/>
          </w:rPr>
          <w:tab/>
        </w:r>
        <w:r w:rsidR="00645D54">
          <w:rPr>
            <w:webHidden/>
          </w:rPr>
          <w:fldChar w:fldCharType="begin"/>
        </w:r>
        <w:r w:rsidR="00645D54">
          <w:rPr>
            <w:webHidden/>
          </w:rPr>
          <w:instrText xml:space="preserve"> PAGEREF _Toc129270461 \h </w:instrText>
        </w:r>
        <w:r w:rsidR="00645D54">
          <w:rPr>
            <w:webHidden/>
          </w:rPr>
        </w:r>
        <w:r w:rsidR="00645D54">
          <w:rPr>
            <w:webHidden/>
          </w:rPr>
          <w:fldChar w:fldCharType="separate"/>
        </w:r>
        <w:r w:rsidR="002C09C9">
          <w:rPr>
            <w:webHidden/>
          </w:rPr>
          <w:t>30</w:t>
        </w:r>
        <w:r w:rsidR="00645D54">
          <w:rPr>
            <w:webHidden/>
          </w:rPr>
          <w:fldChar w:fldCharType="end"/>
        </w:r>
      </w:hyperlink>
    </w:p>
    <w:p w14:paraId="4B03AFD2" w14:textId="45D255AF" w:rsidR="00645D54" w:rsidRDefault="00FD3D82">
      <w:pPr>
        <w:pStyle w:val="TOC2"/>
        <w:rPr>
          <w:rFonts w:asciiTheme="minorHAnsi" w:eastAsiaTheme="minorEastAsia" w:hAnsiTheme="minorHAnsi" w:cstheme="minorBidi"/>
          <w:color w:val="auto"/>
          <w:szCs w:val="22"/>
        </w:rPr>
      </w:pPr>
      <w:hyperlink w:anchor="_Toc129270462" w:history="1">
        <w:r w:rsidR="00645D54" w:rsidRPr="002C155F">
          <w:rPr>
            <w:rStyle w:val="Hyperlink"/>
          </w:rPr>
          <w:t>Calculation of levies</w:t>
        </w:r>
        <w:r w:rsidR="00645D54">
          <w:rPr>
            <w:webHidden/>
          </w:rPr>
          <w:tab/>
        </w:r>
        <w:r w:rsidR="00645D54">
          <w:rPr>
            <w:webHidden/>
          </w:rPr>
          <w:fldChar w:fldCharType="begin"/>
        </w:r>
        <w:r w:rsidR="00645D54">
          <w:rPr>
            <w:webHidden/>
          </w:rPr>
          <w:instrText xml:space="preserve"> PAGEREF _Toc129270462 \h </w:instrText>
        </w:r>
        <w:r w:rsidR="00645D54">
          <w:rPr>
            <w:webHidden/>
          </w:rPr>
        </w:r>
        <w:r w:rsidR="00645D54">
          <w:rPr>
            <w:webHidden/>
          </w:rPr>
          <w:fldChar w:fldCharType="separate"/>
        </w:r>
        <w:r w:rsidR="002C09C9">
          <w:rPr>
            <w:webHidden/>
          </w:rPr>
          <w:t>31</w:t>
        </w:r>
        <w:r w:rsidR="00645D54">
          <w:rPr>
            <w:webHidden/>
          </w:rPr>
          <w:fldChar w:fldCharType="end"/>
        </w:r>
      </w:hyperlink>
    </w:p>
    <w:p w14:paraId="677CF16A" w14:textId="4C314ABB" w:rsidR="00645D54" w:rsidRDefault="00FD3D82">
      <w:pPr>
        <w:pStyle w:val="TOC3"/>
        <w:rPr>
          <w:rFonts w:asciiTheme="minorHAnsi" w:eastAsiaTheme="minorEastAsia" w:hAnsiTheme="minorHAnsi" w:cstheme="minorBidi"/>
          <w:szCs w:val="22"/>
        </w:rPr>
      </w:pPr>
      <w:hyperlink w:anchor="_Toc129270463"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_Toc129270463 \h </w:instrText>
        </w:r>
        <w:r w:rsidR="00645D54">
          <w:rPr>
            <w:webHidden/>
          </w:rPr>
        </w:r>
        <w:r w:rsidR="00645D54">
          <w:rPr>
            <w:webHidden/>
          </w:rPr>
          <w:fldChar w:fldCharType="separate"/>
        </w:r>
        <w:r w:rsidR="002C09C9">
          <w:rPr>
            <w:webHidden/>
          </w:rPr>
          <w:t>31</w:t>
        </w:r>
        <w:r w:rsidR="00645D54">
          <w:rPr>
            <w:webHidden/>
          </w:rPr>
          <w:fldChar w:fldCharType="end"/>
        </w:r>
      </w:hyperlink>
    </w:p>
    <w:p w14:paraId="3F465F73" w14:textId="756466C1" w:rsidR="00645D54" w:rsidRDefault="00FD3D82">
      <w:pPr>
        <w:pStyle w:val="TOC2"/>
        <w:rPr>
          <w:rFonts w:asciiTheme="minorHAnsi" w:eastAsiaTheme="minorEastAsia" w:hAnsiTheme="minorHAnsi" w:cstheme="minorBidi"/>
          <w:color w:val="auto"/>
          <w:szCs w:val="22"/>
        </w:rPr>
      </w:pPr>
      <w:hyperlink w:anchor="_Toc129270464" w:history="1">
        <w:r w:rsidR="00645D54" w:rsidRPr="002C155F">
          <w:rPr>
            <w:rStyle w:val="Hyperlink"/>
          </w:rPr>
          <w:t>Flexibility of the levies framework</w:t>
        </w:r>
        <w:r w:rsidR="00645D54">
          <w:rPr>
            <w:webHidden/>
          </w:rPr>
          <w:tab/>
        </w:r>
        <w:r w:rsidR="00645D54">
          <w:rPr>
            <w:webHidden/>
          </w:rPr>
          <w:fldChar w:fldCharType="begin"/>
        </w:r>
        <w:r w:rsidR="00645D54">
          <w:rPr>
            <w:webHidden/>
          </w:rPr>
          <w:instrText xml:space="preserve"> PAGEREF _Toc129270464 \h </w:instrText>
        </w:r>
        <w:r w:rsidR="00645D54">
          <w:rPr>
            <w:webHidden/>
          </w:rPr>
        </w:r>
        <w:r w:rsidR="00645D54">
          <w:rPr>
            <w:webHidden/>
          </w:rPr>
          <w:fldChar w:fldCharType="separate"/>
        </w:r>
        <w:r w:rsidR="002C09C9">
          <w:rPr>
            <w:webHidden/>
          </w:rPr>
          <w:t>33</w:t>
        </w:r>
        <w:r w:rsidR="00645D54">
          <w:rPr>
            <w:webHidden/>
          </w:rPr>
          <w:fldChar w:fldCharType="end"/>
        </w:r>
      </w:hyperlink>
    </w:p>
    <w:p w14:paraId="09C8A6DB" w14:textId="17FC417C" w:rsidR="00645D54" w:rsidRDefault="00FD3D82">
      <w:pPr>
        <w:pStyle w:val="TOC3"/>
        <w:rPr>
          <w:rFonts w:asciiTheme="minorHAnsi" w:eastAsiaTheme="minorEastAsia" w:hAnsiTheme="minorHAnsi" w:cstheme="minorBidi"/>
          <w:szCs w:val="22"/>
        </w:rPr>
      </w:pPr>
      <w:hyperlink w:anchor="_Toc129270465"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_Toc129270465 \h </w:instrText>
        </w:r>
        <w:r w:rsidR="00645D54">
          <w:rPr>
            <w:webHidden/>
          </w:rPr>
        </w:r>
        <w:r w:rsidR="00645D54">
          <w:rPr>
            <w:webHidden/>
          </w:rPr>
          <w:fldChar w:fldCharType="separate"/>
        </w:r>
        <w:r w:rsidR="002C09C9">
          <w:rPr>
            <w:webHidden/>
          </w:rPr>
          <w:t>33</w:t>
        </w:r>
        <w:r w:rsidR="00645D54">
          <w:rPr>
            <w:webHidden/>
          </w:rPr>
          <w:fldChar w:fldCharType="end"/>
        </w:r>
      </w:hyperlink>
    </w:p>
    <w:p w14:paraId="71B5DE7F" w14:textId="2CC699FF" w:rsidR="00645D54" w:rsidRDefault="00FD3D82">
      <w:pPr>
        <w:pStyle w:val="TOC1"/>
        <w:rPr>
          <w:rFonts w:asciiTheme="minorHAnsi" w:eastAsiaTheme="minorEastAsia" w:hAnsiTheme="minorHAnsi" w:cstheme="minorBidi"/>
          <w:b w:val="0"/>
          <w:color w:val="auto"/>
        </w:rPr>
      </w:pPr>
      <w:hyperlink w:anchor="_Toc129270466" w:history="1">
        <w:r w:rsidR="00645D54" w:rsidRPr="002C155F">
          <w:rPr>
            <w:rStyle w:val="Hyperlink"/>
          </w:rPr>
          <w:t>Chapter 3: Levy volatility &amp; variance</w:t>
        </w:r>
        <w:r w:rsidR="00645D54">
          <w:rPr>
            <w:webHidden/>
          </w:rPr>
          <w:tab/>
        </w:r>
        <w:r w:rsidR="00645D54">
          <w:rPr>
            <w:webHidden/>
          </w:rPr>
          <w:fldChar w:fldCharType="begin"/>
        </w:r>
        <w:r w:rsidR="00645D54">
          <w:rPr>
            <w:webHidden/>
          </w:rPr>
          <w:instrText xml:space="preserve"> PAGEREF _Toc129270466 \h </w:instrText>
        </w:r>
        <w:r w:rsidR="00645D54">
          <w:rPr>
            <w:webHidden/>
          </w:rPr>
        </w:r>
        <w:r w:rsidR="00645D54">
          <w:rPr>
            <w:webHidden/>
          </w:rPr>
          <w:fldChar w:fldCharType="separate"/>
        </w:r>
        <w:r w:rsidR="002C09C9">
          <w:rPr>
            <w:webHidden/>
          </w:rPr>
          <w:t>35</w:t>
        </w:r>
        <w:r w:rsidR="00645D54">
          <w:rPr>
            <w:webHidden/>
          </w:rPr>
          <w:fldChar w:fldCharType="end"/>
        </w:r>
      </w:hyperlink>
    </w:p>
    <w:p w14:paraId="69259E27" w14:textId="7CA7853E" w:rsidR="00645D54" w:rsidRDefault="00FD3D82">
      <w:pPr>
        <w:pStyle w:val="TOC2"/>
        <w:rPr>
          <w:rFonts w:asciiTheme="minorHAnsi" w:eastAsiaTheme="minorEastAsia" w:hAnsiTheme="minorHAnsi" w:cstheme="minorBidi"/>
          <w:color w:val="auto"/>
          <w:szCs w:val="22"/>
        </w:rPr>
      </w:pPr>
      <w:hyperlink w:anchor="_Toc129270467" w:history="1">
        <w:r w:rsidR="00645D54" w:rsidRPr="002C155F">
          <w:rPr>
            <w:rStyle w:val="Hyperlink"/>
          </w:rPr>
          <w:t>Introduction</w:t>
        </w:r>
        <w:r w:rsidR="00645D54">
          <w:rPr>
            <w:webHidden/>
          </w:rPr>
          <w:tab/>
        </w:r>
        <w:r w:rsidR="00645D54">
          <w:rPr>
            <w:webHidden/>
          </w:rPr>
          <w:fldChar w:fldCharType="begin"/>
        </w:r>
        <w:r w:rsidR="00645D54">
          <w:rPr>
            <w:webHidden/>
          </w:rPr>
          <w:instrText xml:space="preserve"> PAGEREF _Toc129270467 \h </w:instrText>
        </w:r>
        <w:r w:rsidR="00645D54">
          <w:rPr>
            <w:webHidden/>
          </w:rPr>
        </w:r>
        <w:r w:rsidR="00645D54">
          <w:rPr>
            <w:webHidden/>
          </w:rPr>
          <w:fldChar w:fldCharType="separate"/>
        </w:r>
        <w:r w:rsidR="002C09C9">
          <w:rPr>
            <w:webHidden/>
          </w:rPr>
          <w:t>35</w:t>
        </w:r>
        <w:r w:rsidR="00645D54">
          <w:rPr>
            <w:webHidden/>
          </w:rPr>
          <w:fldChar w:fldCharType="end"/>
        </w:r>
      </w:hyperlink>
    </w:p>
    <w:p w14:paraId="63312D49" w14:textId="07C82DFA" w:rsidR="00645D54" w:rsidRDefault="00FD3D82">
      <w:pPr>
        <w:pStyle w:val="TOC2"/>
        <w:rPr>
          <w:rFonts w:asciiTheme="minorHAnsi" w:eastAsiaTheme="minorEastAsia" w:hAnsiTheme="minorHAnsi" w:cstheme="minorBidi"/>
          <w:color w:val="auto"/>
          <w:szCs w:val="22"/>
        </w:rPr>
      </w:pPr>
      <w:hyperlink w:anchor="_Toc129270468" w:history="1">
        <w:r w:rsidR="00645D54" w:rsidRPr="002C155F">
          <w:rPr>
            <w:rStyle w:val="Hyperlink"/>
          </w:rPr>
          <w:t>ASIC funding profile</w:t>
        </w:r>
        <w:r w:rsidR="00645D54">
          <w:rPr>
            <w:webHidden/>
          </w:rPr>
          <w:tab/>
        </w:r>
        <w:r w:rsidR="00645D54">
          <w:rPr>
            <w:webHidden/>
          </w:rPr>
          <w:fldChar w:fldCharType="begin"/>
        </w:r>
        <w:r w:rsidR="00645D54">
          <w:rPr>
            <w:webHidden/>
          </w:rPr>
          <w:instrText xml:space="preserve"> PAGEREF _Toc129270468 \h </w:instrText>
        </w:r>
        <w:r w:rsidR="00645D54">
          <w:rPr>
            <w:webHidden/>
          </w:rPr>
        </w:r>
        <w:r w:rsidR="00645D54">
          <w:rPr>
            <w:webHidden/>
          </w:rPr>
          <w:fldChar w:fldCharType="separate"/>
        </w:r>
        <w:r w:rsidR="002C09C9">
          <w:rPr>
            <w:webHidden/>
          </w:rPr>
          <w:t>35</w:t>
        </w:r>
        <w:r w:rsidR="00645D54">
          <w:rPr>
            <w:webHidden/>
          </w:rPr>
          <w:fldChar w:fldCharType="end"/>
        </w:r>
      </w:hyperlink>
    </w:p>
    <w:p w14:paraId="70A331AB" w14:textId="64D284B9" w:rsidR="00645D54" w:rsidRDefault="00FD3D82">
      <w:pPr>
        <w:pStyle w:val="TOC3"/>
        <w:rPr>
          <w:rFonts w:asciiTheme="minorHAnsi" w:eastAsiaTheme="minorEastAsia" w:hAnsiTheme="minorHAnsi" w:cstheme="minorBidi"/>
          <w:szCs w:val="22"/>
        </w:rPr>
      </w:pPr>
      <w:hyperlink w:anchor="_Toc129270469" w:history="1">
        <w:r w:rsidR="00645D54" w:rsidRPr="002C155F">
          <w:rPr>
            <w:rStyle w:val="Hyperlink"/>
          </w:rPr>
          <w:t>Table 3.1 ASIC</w:t>
        </w:r>
        <w:r w:rsidR="00BD190B">
          <w:rPr>
            <w:rStyle w:val="Hyperlink"/>
          </w:rPr>
          <w:t>’</w:t>
        </w:r>
        <w:r w:rsidR="00645D54" w:rsidRPr="002C155F">
          <w:rPr>
            <w:rStyle w:val="Hyperlink"/>
          </w:rPr>
          <w:t>s funding profile relative to amounts recovered via levies and fees</w:t>
        </w:r>
        <w:r w:rsidR="00645D54">
          <w:rPr>
            <w:webHidden/>
          </w:rPr>
          <w:tab/>
        </w:r>
        <w:r w:rsidR="00645D54">
          <w:rPr>
            <w:webHidden/>
          </w:rPr>
          <w:fldChar w:fldCharType="begin"/>
        </w:r>
        <w:r w:rsidR="00645D54">
          <w:rPr>
            <w:webHidden/>
          </w:rPr>
          <w:instrText xml:space="preserve"> PAGEREF _Toc129270469 \h </w:instrText>
        </w:r>
        <w:r w:rsidR="00645D54">
          <w:rPr>
            <w:webHidden/>
          </w:rPr>
        </w:r>
        <w:r w:rsidR="00645D54">
          <w:rPr>
            <w:webHidden/>
          </w:rPr>
          <w:fldChar w:fldCharType="separate"/>
        </w:r>
        <w:r w:rsidR="002C09C9">
          <w:rPr>
            <w:webHidden/>
          </w:rPr>
          <w:t>36</w:t>
        </w:r>
        <w:r w:rsidR="00645D54">
          <w:rPr>
            <w:webHidden/>
          </w:rPr>
          <w:fldChar w:fldCharType="end"/>
        </w:r>
      </w:hyperlink>
    </w:p>
    <w:p w14:paraId="3FB55965" w14:textId="1107F5C4" w:rsidR="00645D54" w:rsidRDefault="00FD3D82">
      <w:pPr>
        <w:pStyle w:val="TOC3"/>
        <w:rPr>
          <w:rFonts w:asciiTheme="minorHAnsi" w:eastAsiaTheme="minorEastAsia" w:hAnsiTheme="minorHAnsi" w:cstheme="minorBidi"/>
          <w:szCs w:val="22"/>
        </w:rPr>
      </w:pPr>
      <w:hyperlink w:anchor="_Toc129270470" w:history="1">
        <w:r w:rsidR="00645D54" w:rsidRPr="002C155F">
          <w:rPr>
            <w:rStyle w:val="Hyperlink"/>
          </w:rPr>
          <w:t>Sub</w:t>
        </w:r>
        <w:r w:rsidR="00BD190B">
          <w:rPr>
            <w:rStyle w:val="Hyperlink"/>
          </w:rPr>
          <w:noBreakHyphen/>
        </w:r>
        <w:r w:rsidR="00645D54" w:rsidRPr="002C155F">
          <w:rPr>
            <w:rStyle w:val="Hyperlink"/>
          </w:rPr>
          <w:t>sectors experiencing increasing levies</w:t>
        </w:r>
        <w:r w:rsidR="00645D54">
          <w:rPr>
            <w:webHidden/>
          </w:rPr>
          <w:tab/>
        </w:r>
        <w:r w:rsidR="00645D54">
          <w:rPr>
            <w:webHidden/>
          </w:rPr>
          <w:fldChar w:fldCharType="begin"/>
        </w:r>
        <w:r w:rsidR="00645D54">
          <w:rPr>
            <w:webHidden/>
          </w:rPr>
          <w:instrText xml:space="preserve"> PAGEREF _Toc129270470 \h </w:instrText>
        </w:r>
        <w:r w:rsidR="00645D54">
          <w:rPr>
            <w:webHidden/>
          </w:rPr>
        </w:r>
        <w:r w:rsidR="00645D54">
          <w:rPr>
            <w:webHidden/>
          </w:rPr>
          <w:fldChar w:fldCharType="separate"/>
        </w:r>
        <w:r w:rsidR="002C09C9">
          <w:rPr>
            <w:webHidden/>
          </w:rPr>
          <w:t>36</w:t>
        </w:r>
        <w:r w:rsidR="00645D54">
          <w:rPr>
            <w:webHidden/>
          </w:rPr>
          <w:fldChar w:fldCharType="end"/>
        </w:r>
      </w:hyperlink>
    </w:p>
    <w:p w14:paraId="2B333D4D" w14:textId="4224CCEB" w:rsidR="00645D54" w:rsidRDefault="00FD3D82">
      <w:pPr>
        <w:pStyle w:val="TOC3"/>
        <w:rPr>
          <w:rFonts w:asciiTheme="minorHAnsi" w:eastAsiaTheme="minorEastAsia" w:hAnsiTheme="minorHAnsi" w:cstheme="minorBidi"/>
          <w:szCs w:val="22"/>
        </w:rPr>
      </w:pPr>
      <w:hyperlink w:anchor="_Toc129270471" w:history="1">
        <w:r w:rsidR="00645D54" w:rsidRPr="002C155F">
          <w:rPr>
            <w:rStyle w:val="Hyperlink"/>
          </w:rPr>
          <w:t>Table 3.2: Levy amounts for the personal financial advice licensee sub</w:t>
        </w:r>
        <w:r w:rsidR="00BD190B">
          <w:rPr>
            <w:rStyle w:val="Hyperlink"/>
          </w:rPr>
          <w:noBreakHyphen/>
        </w:r>
        <w:r w:rsidR="00645D54" w:rsidRPr="002C155F">
          <w:rPr>
            <w:rStyle w:val="Hyperlink"/>
          </w:rPr>
          <w:t xml:space="preserve">sector with and </w:t>
        </w:r>
        <w:r w:rsidR="0004735F">
          <w:rPr>
            <w:rStyle w:val="Hyperlink"/>
          </w:rPr>
          <w:br/>
        </w:r>
        <w:r w:rsidR="00645D54" w:rsidRPr="002C155F">
          <w:rPr>
            <w:rStyle w:val="Hyperlink"/>
          </w:rPr>
          <w:t>without the temporary levy relief</w:t>
        </w:r>
        <w:r w:rsidR="00645D54">
          <w:rPr>
            <w:webHidden/>
          </w:rPr>
          <w:tab/>
        </w:r>
        <w:r w:rsidR="00645D54">
          <w:rPr>
            <w:webHidden/>
          </w:rPr>
          <w:fldChar w:fldCharType="begin"/>
        </w:r>
        <w:r w:rsidR="00645D54">
          <w:rPr>
            <w:webHidden/>
          </w:rPr>
          <w:instrText xml:space="preserve"> PAGEREF _Toc129270471 \h </w:instrText>
        </w:r>
        <w:r w:rsidR="00645D54">
          <w:rPr>
            <w:webHidden/>
          </w:rPr>
        </w:r>
        <w:r w:rsidR="00645D54">
          <w:rPr>
            <w:webHidden/>
          </w:rPr>
          <w:fldChar w:fldCharType="separate"/>
        </w:r>
        <w:r w:rsidR="002C09C9">
          <w:rPr>
            <w:webHidden/>
          </w:rPr>
          <w:t>37</w:t>
        </w:r>
        <w:r w:rsidR="00645D54">
          <w:rPr>
            <w:webHidden/>
          </w:rPr>
          <w:fldChar w:fldCharType="end"/>
        </w:r>
      </w:hyperlink>
    </w:p>
    <w:p w14:paraId="67C382FE" w14:textId="6AB6CC1E" w:rsidR="00645D54" w:rsidRDefault="00FD3D82">
      <w:pPr>
        <w:pStyle w:val="TOC2"/>
        <w:rPr>
          <w:rFonts w:asciiTheme="minorHAnsi" w:eastAsiaTheme="minorEastAsia" w:hAnsiTheme="minorHAnsi" w:cstheme="minorBidi"/>
          <w:color w:val="auto"/>
          <w:szCs w:val="22"/>
        </w:rPr>
      </w:pPr>
      <w:hyperlink w:anchor="_Toc129270472" w:history="1">
        <w:r w:rsidR="00645D54" w:rsidRPr="002C155F">
          <w:rPr>
            <w:rStyle w:val="Hyperlink"/>
          </w:rPr>
          <w:t>Levy volatility</w:t>
        </w:r>
        <w:r w:rsidR="00645D54">
          <w:rPr>
            <w:webHidden/>
          </w:rPr>
          <w:tab/>
        </w:r>
        <w:r w:rsidR="00645D54">
          <w:rPr>
            <w:webHidden/>
          </w:rPr>
          <w:fldChar w:fldCharType="begin"/>
        </w:r>
        <w:r w:rsidR="00645D54">
          <w:rPr>
            <w:webHidden/>
          </w:rPr>
          <w:instrText xml:space="preserve"> PAGEREF _Toc129270472 \h </w:instrText>
        </w:r>
        <w:r w:rsidR="00645D54">
          <w:rPr>
            <w:webHidden/>
          </w:rPr>
        </w:r>
        <w:r w:rsidR="00645D54">
          <w:rPr>
            <w:webHidden/>
          </w:rPr>
          <w:fldChar w:fldCharType="separate"/>
        </w:r>
        <w:r w:rsidR="002C09C9">
          <w:rPr>
            <w:webHidden/>
          </w:rPr>
          <w:t>37</w:t>
        </w:r>
        <w:r w:rsidR="00645D54">
          <w:rPr>
            <w:webHidden/>
          </w:rPr>
          <w:fldChar w:fldCharType="end"/>
        </w:r>
      </w:hyperlink>
    </w:p>
    <w:p w14:paraId="52854A2D" w14:textId="76887E3E" w:rsidR="00645D54" w:rsidRDefault="00FD3D82">
      <w:pPr>
        <w:pStyle w:val="TOC3"/>
        <w:rPr>
          <w:rFonts w:asciiTheme="minorHAnsi" w:eastAsiaTheme="minorEastAsia" w:hAnsiTheme="minorHAnsi" w:cstheme="minorBidi"/>
          <w:szCs w:val="22"/>
        </w:rPr>
      </w:pPr>
      <w:hyperlink w:anchor="_Toc129270473"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_Toc129270473 \h </w:instrText>
        </w:r>
        <w:r w:rsidR="00645D54">
          <w:rPr>
            <w:webHidden/>
          </w:rPr>
        </w:r>
        <w:r w:rsidR="00645D54">
          <w:rPr>
            <w:webHidden/>
          </w:rPr>
          <w:fldChar w:fldCharType="separate"/>
        </w:r>
        <w:r w:rsidR="002C09C9">
          <w:rPr>
            <w:webHidden/>
          </w:rPr>
          <w:t>37</w:t>
        </w:r>
        <w:r w:rsidR="00645D54">
          <w:rPr>
            <w:webHidden/>
          </w:rPr>
          <w:fldChar w:fldCharType="end"/>
        </w:r>
      </w:hyperlink>
    </w:p>
    <w:p w14:paraId="5E7B7C82" w14:textId="172FB21D" w:rsidR="00645D54" w:rsidRDefault="00FD3D82">
      <w:pPr>
        <w:pStyle w:val="TOC2"/>
        <w:rPr>
          <w:rFonts w:asciiTheme="minorHAnsi" w:eastAsiaTheme="minorEastAsia" w:hAnsiTheme="minorHAnsi" w:cstheme="minorBidi"/>
          <w:color w:val="auto"/>
          <w:szCs w:val="22"/>
        </w:rPr>
      </w:pPr>
      <w:hyperlink w:anchor="_Toc129270474" w:history="1">
        <w:r w:rsidR="00645D54" w:rsidRPr="002C155F">
          <w:rPr>
            <w:rStyle w:val="Hyperlink"/>
          </w:rPr>
          <w:t>Ex</w:t>
        </w:r>
        <w:r w:rsidR="00BD190B">
          <w:rPr>
            <w:rStyle w:val="Hyperlink"/>
          </w:rPr>
          <w:noBreakHyphen/>
        </w:r>
        <w:r w:rsidR="00645D54" w:rsidRPr="002C155F">
          <w:rPr>
            <w:rStyle w:val="Hyperlink"/>
          </w:rPr>
          <w:t>post charging</w:t>
        </w:r>
        <w:r w:rsidR="00645D54">
          <w:rPr>
            <w:webHidden/>
          </w:rPr>
          <w:tab/>
        </w:r>
        <w:r w:rsidR="00645D54">
          <w:rPr>
            <w:webHidden/>
          </w:rPr>
          <w:fldChar w:fldCharType="begin"/>
        </w:r>
        <w:r w:rsidR="00645D54">
          <w:rPr>
            <w:webHidden/>
          </w:rPr>
          <w:instrText xml:space="preserve"> PAGEREF _Toc129270474 \h </w:instrText>
        </w:r>
        <w:r w:rsidR="00645D54">
          <w:rPr>
            <w:webHidden/>
          </w:rPr>
        </w:r>
        <w:r w:rsidR="00645D54">
          <w:rPr>
            <w:webHidden/>
          </w:rPr>
          <w:fldChar w:fldCharType="separate"/>
        </w:r>
        <w:r w:rsidR="002C09C9">
          <w:rPr>
            <w:webHidden/>
          </w:rPr>
          <w:t>39</w:t>
        </w:r>
        <w:r w:rsidR="00645D54">
          <w:rPr>
            <w:webHidden/>
          </w:rPr>
          <w:fldChar w:fldCharType="end"/>
        </w:r>
      </w:hyperlink>
    </w:p>
    <w:p w14:paraId="4264711A" w14:textId="324212FC" w:rsidR="00645D54" w:rsidRDefault="00FD3D82">
      <w:pPr>
        <w:pStyle w:val="TOC3"/>
        <w:rPr>
          <w:rFonts w:asciiTheme="minorHAnsi" w:eastAsiaTheme="minorEastAsia" w:hAnsiTheme="minorHAnsi" w:cstheme="minorBidi"/>
          <w:szCs w:val="22"/>
        </w:rPr>
      </w:pPr>
      <w:hyperlink w:anchor="_Toc129270475"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_Toc129270475 \h </w:instrText>
        </w:r>
        <w:r w:rsidR="00645D54">
          <w:rPr>
            <w:webHidden/>
          </w:rPr>
        </w:r>
        <w:r w:rsidR="00645D54">
          <w:rPr>
            <w:webHidden/>
          </w:rPr>
          <w:fldChar w:fldCharType="separate"/>
        </w:r>
        <w:r w:rsidR="002C09C9">
          <w:rPr>
            <w:webHidden/>
          </w:rPr>
          <w:t>39</w:t>
        </w:r>
        <w:r w:rsidR="00645D54">
          <w:rPr>
            <w:webHidden/>
          </w:rPr>
          <w:fldChar w:fldCharType="end"/>
        </w:r>
      </w:hyperlink>
    </w:p>
    <w:p w14:paraId="2253BF2D" w14:textId="2A4A5A66" w:rsidR="00645D54" w:rsidRDefault="00FD3D82">
      <w:pPr>
        <w:pStyle w:val="TOC2"/>
        <w:rPr>
          <w:rFonts w:asciiTheme="minorHAnsi" w:eastAsiaTheme="minorEastAsia" w:hAnsiTheme="minorHAnsi" w:cstheme="minorBidi"/>
          <w:color w:val="auto"/>
          <w:szCs w:val="22"/>
        </w:rPr>
      </w:pPr>
      <w:hyperlink w:anchor="_Toc129270476" w:history="1">
        <w:r w:rsidR="00645D54" w:rsidRPr="002C155F">
          <w:rPr>
            <w:rStyle w:val="Hyperlink"/>
          </w:rPr>
          <w:t>Levy variance</w:t>
        </w:r>
        <w:r w:rsidR="00645D54">
          <w:rPr>
            <w:webHidden/>
          </w:rPr>
          <w:tab/>
        </w:r>
        <w:r w:rsidR="00645D54">
          <w:rPr>
            <w:webHidden/>
          </w:rPr>
          <w:fldChar w:fldCharType="begin"/>
        </w:r>
        <w:r w:rsidR="00645D54">
          <w:rPr>
            <w:webHidden/>
          </w:rPr>
          <w:instrText xml:space="preserve"> PAGEREF _Toc129270476 \h </w:instrText>
        </w:r>
        <w:r w:rsidR="00645D54">
          <w:rPr>
            <w:webHidden/>
          </w:rPr>
        </w:r>
        <w:r w:rsidR="00645D54">
          <w:rPr>
            <w:webHidden/>
          </w:rPr>
          <w:fldChar w:fldCharType="separate"/>
        </w:r>
        <w:r w:rsidR="002C09C9">
          <w:rPr>
            <w:webHidden/>
          </w:rPr>
          <w:t>40</w:t>
        </w:r>
        <w:r w:rsidR="00645D54">
          <w:rPr>
            <w:webHidden/>
          </w:rPr>
          <w:fldChar w:fldCharType="end"/>
        </w:r>
      </w:hyperlink>
    </w:p>
    <w:p w14:paraId="01D9D4D4" w14:textId="5D048C5E" w:rsidR="00645D54" w:rsidRDefault="00FD3D82">
      <w:pPr>
        <w:pStyle w:val="TOC3"/>
        <w:rPr>
          <w:rFonts w:asciiTheme="minorHAnsi" w:eastAsiaTheme="minorEastAsia" w:hAnsiTheme="minorHAnsi" w:cstheme="minorBidi"/>
          <w:szCs w:val="22"/>
        </w:rPr>
      </w:pPr>
      <w:hyperlink w:anchor="_Toc129270477"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_Toc129270477 \h </w:instrText>
        </w:r>
        <w:r w:rsidR="00645D54">
          <w:rPr>
            <w:webHidden/>
          </w:rPr>
        </w:r>
        <w:r w:rsidR="00645D54">
          <w:rPr>
            <w:webHidden/>
          </w:rPr>
          <w:fldChar w:fldCharType="separate"/>
        </w:r>
        <w:r w:rsidR="002C09C9">
          <w:rPr>
            <w:webHidden/>
          </w:rPr>
          <w:t>40</w:t>
        </w:r>
        <w:r w:rsidR="00645D54">
          <w:rPr>
            <w:webHidden/>
          </w:rPr>
          <w:fldChar w:fldCharType="end"/>
        </w:r>
      </w:hyperlink>
    </w:p>
    <w:p w14:paraId="1CC67454" w14:textId="4C327CBC" w:rsidR="00645D54" w:rsidRDefault="00FD3D82">
      <w:pPr>
        <w:pStyle w:val="TOC1"/>
        <w:rPr>
          <w:rFonts w:asciiTheme="minorHAnsi" w:eastAsiaTheme="minorEastAsia" w:hAnsiTheme="minorHAnsi" w:cstheme="minorBidi"/>
          <w:b w:val="0"/>
          <w:color w:val="auto"/>
        </w:rPr>
      </w:pPr>
      <w:hyperlink w:anchor="_Toc129270478" w:history="1">
        <w:r w:rsidR="00645D54" w:rsidRPr="002C155F">
          <w:rPr>
            <w:rStyle w:val="Hyperlink"/>
          </w:rPr>
          <w:t>Chapter 4: Fees</w:t>
        </w:r>
        <w:r w:rsidR="00BD190B">
          <w:rPr>
            <w:rStyle w:val="Hyperlink"/>
          </w:rPr>
          <w:noBreakHyphen/>
        </w:r>
        <w:r w:rsidR="00645D54" w:rsidRPr="002C155F">
          <w:rPr>
            <w:rStyle w:val="Hyperlink"/>
          </w:rPr>
          <w:t>for</w:t>
        </w:r>
        <w:r w:rsidR="00BD190B">
          <w:rPr>
            <w:rStyle w:val="Hyperlink"/>
          </w:rPr>
          <w:noBreakHyphen/>
        </w:r>
        <w:r w:rsidR="00645D54" w:rsidRPr="002C155F">
          <w:rPr>
            <w:rStyle w:val="Hyperlink"/>
          </w:rPr>
          <w:t>service</w:t>
        </w:r>
        <w:r w:rsidR="00645D54">
          <w:rPr>
            <w:webHidden/>
          </w:rPr>
          <w:tab/>
        </w:r>
        <w:r w:rsidR="00645D54">
          <w:rPr>
            <w:webHidden/>
          </w:rPr>
          <w:fldChar w:fldCharType="begin"/>
        </w:r>
        <w:r w:rsidR="00645D54">
          <w:rPr>
            <w:webHidden/>
          </w:rPr>
          <w:instrText xml:space="preserve"> PAGEREF _Toc129270478 \h </w:instrText>
        </w:r>
        <w:r w:rsidR="00645D54">
          <w:rPr>
            <w:webHidden/>
          </w:rPr>
        </w:r>
        <w:r w:rsidR="00645D54">
          <w:rPr>
            <w:webHidden/>
          </w:rPr>
          <w:fldChar w:fldCharType="separate"/>
        </w:r>
        <w:r w:rsidR="002C09C9">
          <w:rPr>
            <w:webHidden/>
          </w:rPr>
          <w:t>42</w:t>
        </w:r>
        <w:r w:rsidR="00645D54">
          <w:rPr>
            <w:webHidden/>
          </w:rPr>
          <w:fldChar w:fldCharType="end"/>
        </w:r>
      </w:hyperlink>
    </w:p>
    <w:p w14:paraId="04696D8C" w14:textId="2D4EB76A" w:rsidR="00645D54" w:rsidRDefault="00FD3D82">
      <w:pPr>
        <w:pStyle w:val="TOC2"/>
        <w:rPr>
          <w:rFonts w:asciiTheme="minorHAnsi" w:eastAsiaTheme="minorEastAsia" w:hAnsiTheme="minorHAnsi" w:cstheme="minorBidi"/>
          <w:color w:val="auto"/>
          <w:szCs w:val="22"/>
        </w:rPr>
      </w:pPr>
      <w:hyperlink w:anchor="_Toc129270479" w:history="1">
        <w:r w:rsidR="00645D54" w:rsidRPr="002C155F">
          <w:rPr>
            <w:rStyle w:val="Hyperlink"/>
          </w:rPr>
          <w:t>Introduction</w:t>
        </w:r>
        <w:r w:rsidR="00645D54">
          <w:rPr>
            <w:webHidden/>
          </w:rPr>
          <w:tab/>
        </w:r>
        <w:r w:rsidR="00645D54">
          <w:rPr>
            <w:webHidden/>
          </w:rPr>
          <w:fldChar w:fldCharType="begin"/>
        </w:r>
        <w:r w:rsidR="00645D54">
          <w:rPr>
            <w:webHidden/>
          </w:rPr>
          <w:instrText xml:space="preserve"> PAGEREF _Toc129270479 \h </w:instrText>
        </w:r>
        <w:r w:rsidR="00645D54">
          <w:rPr>
            <w:webHidden/>
          </w:rPr>
        </w:r>
        <w:r w:rsidR="00645D54">
          <w:rPr>
            <w:webHidden/>
          </w:rPr>
          <w:fldChar w:fldCharType="separate"/>
        </w:r>
        <w:r w:rsidR="002C09C9">
          <w:rPr>
            <w:webHidden/>
          </w:rPr>
          <w:t>42</w:t>
        </w:r>
        <w:r w:rsidR="00645D54">
          <w:rPr>
            <w:webHidden/>
          </w:rPr>
          <w:fldChar w:fldCharType="end"/>
        </w:r>
      </w:hyperlink>
    </w:p>
    <w:p w14:paraId="5B9C52B9" w14:textId="6E9522F2" w:rsidR="00645D54" w:rsidRDefault="00FD3D82">
      <w:pPr>
        <w:pStyle w:val="TOC2"/>
        <w:rPr>
          <w:rFonts w:asciiTheme="minorHAnsi" w:eastAsiaTheme="minorEastAsia" w:hAnsiTheme="minorHAnsi" w:cstheme="minorBidi"/>
          <w:color w:val="auto"/>
          <w:szCs w:val="22"/>
        </w:rPr>
      </w:pPr>
      <w:hyperlink w:anchor="_Toc129270480" w:history="1">
        <w:r w:rsidR="00645D54" w:rsidRPr="002C155F">
          <w:rPr>
            <w:rStyle w:val="Hyperlink"/>
          </w:rPr>
          <w:t>Fees</w:t>
        </w:r>
        <w:r w:rsidR="00BD190B">
          <w:rPr>
            <w:rStyle w:val="Hyperlink"/>
          </w:rPr>
          <w:noBreakHyphen/>
        </w:r>
        <w:r w:rsidR="00645D54" w:rsidRPr="002C155F">
          <w:rPr>
            <w:rStyle w:val="Hyperlink"/>
          </w:rPr>
          <w:t>for</w:t>
        </w:r>
        <w:r w:rsidR="00BD190B">
          <w:rPr>
            <w:rStyle w:val="Hyperlink"/>
          </w:rPr>
          <w:noBreakHyphen/>
        </w:r>
        <w:r w:rsidR="00645D54" w:rsidRPr="002C155F">
          <w:rPr>
            <w:rStyle w:val="Hyperlink"/>
          </w:rPr>
          <w:t>service framework</w:t>
        </w:r>
        <w:r w:rsidR="00645D54">
          <w:rPr>
            <w:webHidden/>
          </w:rPr>
          <w:tab/>
        </w:r>
        <w:r w:rsidR="00645D54">
          <w:rPr>
            <w:webHidden/>
          </w:rPr>
          <w:fldChar w:fldCharType="begin"/>
        </w:r>
        <w:r w:rsidR="00645D54">
          <w:rPr>
            <w:webHidden/>
          </w:rPr>
          <w:instrText xml:space="preserve"> PAGEREF _Toc129270480 \h </w:instrText>
        </w:r>
        <w:r w:rsidR="00645D54">
          <w:rPr>
            <w:webHidden/>
          </w:rPr>
        </w:r>
        <w:r w:rsidR="00645D54">
          <w:rPr>
            <w:webHidden/>
          </w:rPr>
          <w:fldChar w:fldCharType="separate"/>
        </w:r>
        <w:r w:rsidR="002C09C9">
          <w:rPr>
            <w:webHidden/>
          </w:rPr>
          <w:t>42</w:t>
        </w:r>
        <w:r w:rsidR="00645D54">
          <w:rPr>
            <w:webHidden/>
          </w:rPr>
          <w:fldChar w:fldCharType="end"/>
        </w:r>
      </w:hyperlink>
    </w:p>
    <w:p w14:paraId="171E6C42" w14:textId="14807668" w:rsidR="00645D54" w:rsidRDefault="00FD3D82">
      <w:pPr>
        <w:pStyle w:val="TOC3"/>
        <w:rPr>
          <w:rFonts w:asciiTheme="minorHAnsi" w:eastAsiaTheme="minorEastAsia" w:hAnsiTheme="minorHAnsi" w:cstheme="minorBidi"/>
          <w:szCs w:val="22"/>
        </w:rPr>
      </w:pPr>
      <w:hyperlink w:anchor="_Toc129270481" w:history="1">
        <w:r w:rsidR="00645D54" w:rsidRPr="002C155F">
          <w:rPr>
            <w:rStyle w:val="Hyperlink"/>
            <w:rFonts w:eastAsia="Calibri"/>
            <w:lang w:eastAsia="en-US"/>
          </w:rPr>
          <w:t>Table 4.1: Fee revenue compared to total industry funding</w:t>
        </w:r>
        <w:r w:rsidR="00645D54">
          <w:rPr>
            <w:webHidden/>
          </w:rPr>
          <w:tab/>
        </w:r>
        <w:r w:rsidR="00645D54">
          <w:rPr>
            <w:webHidden/>
          </w:rPr>
          <w:fldChar w:fldCharType="begin"/>
        </w:r>
        <w:r w:rsidR="00645D54">
          <w:rPr>
            <w:webHidden/>
          </w:rPr>
          <w:instrText xml:space="preserve"> PAGEREF _Toc129270481 \h </w:instrText>
        </w:r>
        <w:r w:rsidR="00645D54">
          <w:rPr>
            <w:webHidden/>
          </w:rPr>
        </w:r>
        <w:r w:rsidR="00645D54">
          <w:rPr>
            <w:webHidden/>
          </w:rPr>
          <w:fldChar w:fldCharType="separate"/>
        </w:r>
        <w:r w:rsidR="002C09C9">
          <w:rPr>
            <w:webHidden/>
          </w:rPr>
          <w:t>42</w:t>
        </w:r>
        <w:r w:rsidR="00645D54">
          <w:rPr>
            <w:webHidden/>
          </w:rPr>
          <w:fldChar w:fldCharType="end"/>
        </w:r>
      </w:hyperlink>
    </w:p>
    <w:p w14:paraId="052BECC8" w14:textId="2507D44B" w:rsidR="00645D54" w:rsidRDefault="00FD3D82">
      <w:pPr>
        <w:pStyle w:val="TOC3"/>
        <w:rPr>
          <w:rFonts w:asciiTheme="minorHAnsi" w:eastAsiaTheme="minorEastAsia" w:hAnsiTheme="minorHAnsi" w:cstheme="minorBidi"/>
          <w:szCs w:val="22"/>
        </w:rPr>
      </w:pPr>
      <w:hyperlink w:anchor="_Toc129270482" w:history="1">
        <w:r w:rsidR="00645D54" w:rsidRPr="002C155F">
          <w:rPr>
            <w:rStyle w:val="Hyperlink"/>
          </w:rPr>
          <w:t>Costs recovered through fees</w:t>
        </w:r>
        <w:r w:rsidR="00645D54">
          <w:rPr>
            <w:webHidden/>
          </w:rPr>
          <w:tab/>
        </w:r>
        <w:r w:rsidR="00645D54">
          <w:rPr>
            <w:webHidden/>
          </w:rPr>
          <w:fldChar w:fldCharType="begin"/>
        </w:r>
        <w:r w:rsidR="00645D54">
          <w:rPr>
            <w:webHidden/>
          </w:rPr>
          <w:instrText xml:space="preserve"> PAGEREF _Toc129270482 \h </w:instrText>
        </w:r>
        <w:r w:rsidR="00645D54">
          <w:rPr>
            <w:webHidden/>
          </w:rPr>
        </w:r>
        <w:r w:rsidR="00645D54">
          <w:rPr>
            <w:webHidden/>
          </w:rPr>
          <w:fldChar w:fldCharType="separate"/>
        </w:r>
        <w:r w:rsidR="002C09C9">
          <w:rPr>
            <w:webHidden/>
          </w:rPr>
          <w:t>42</w:t>
        </w:r>
        <w:r w:rsidR="00645D54">
          <w:rPr>
            <w:webHidden/>
          </w:rPr>
          <w:fldChar w:fldCharType="end"/>
        </w:r>
      </w:hyperlink>
    </w:p>
    <w:p w14:paraId="01276F1B" w14:textId="07F60571" w:rsidR="00645D54" w:rsidRDefault="00FD3D82">
      <w:pPr>
        <w:pStyle w:val="TOC3"/>
        <w:rPr>
          <w:rFonts w:asciiTheme="minorHAnsi" w:eastAsiaTheme="minorEastAsia" w:hAnsiTheme="minorHAnsi" w:cstheme="minorBidi"/>
          <w:szCs w:val="22"/>
        </w:rPr>
      </w:pPr>
      <w:hyperlink w:anchor="_Toc129270483" w:history="1">
        <w:r w:rsidR="00645D54" w:rsidRPr="002C155F">
          <w:rPr>
            <w:rStyle w:val="Hyperlink"/>
          </w:rPr>
          <w:t>Methodology</w:t>
        </w:r>
        <w:r w:rsidR="00645D54">
          <w:rPr>
            <w:webHidden/>
          </w:rPr>
          <w:tab/>
        </w:r>
        <w:r w:rsidR="00645D54">
          <w:rPr>
            <w:webHidden/>
          </w:rPr>
          <w:fldChar w:fldCharType="begin"/>
        </w:r>
        <w:r w:rsidR="00645D54">
          <w:rPr>
            <w:webHidden/>
          </w:rPr>
          <w:instrText xml:space="preserve"> PAGEREF _Toc129270483 \h </w:instrText>
        </w:r>
        <w:r w:rsidR="00645D54">
          <w:rPr>
            <w:webHidden/>
          </w:rPr>
        </w:r>
        <w:r w:rsidR="00645D54">
          <w:rPr>
            <w:webHidden/>
          </w:rPr>
          <w:fldChar w:fldCharType="separate"/>
        </w:r>
        <w:r w:rsidR="002C09C9">
          <w:rPr>
            <w:webHidden/>
          </w:rPr>
          <w:t>43</w:t>
        </w:r>
        <w:r w:rsidR="00645D54">
          <w:rPr>
            <w:webHidden/>
          </w:rPr>
          <w:fldChar w:fldCharType="end"/>
        </w:r>
      </w:hyperlink>
    </w:p>
    <w:p w14:paraId="60DE05FF" w14:textId="78A36A03" w:rsidR="00645D54" w:rsidRDefault="00FD3D82">
      <w:pPr>
        <w:pStyle w:val="TOC3"/>
        <w:rPr>
          <w:rFonts w:asciiTheme="minorHAnsi" w:eastAsiaTheme="minorEastAsia" w:hAnsiTheme="minorHAnsi" w:cstheme="minorBidi"/>
          <w:szCs w:val="22"/>
        </w:rPr>
      </w:pPr>
      <w:hyperlink w:anchor="_Toc129270484" w:history="1">
        <w:r w:rsidR="00645D54" w:rsidRPr="002C155F">
          <w:rPr>
            <w:rStyle w:val="Hyperlink"/>
            <w:rFonts w:eastAsia="Calibri"/>
            <w:lang w:eastAsia="en-US"/>
          </w:rPr>
          <w:t xml:space="preserve">Figure 4.2: Fee </w:t>
        </w:r>
        <w:r w:rsidR="00645D54" w:rsidRPr="002C155F">
          <w:rPr>
            <w:rStyle w:val="Hyperlink"/>
            <w:rFonts w:eastAsia="Calibri"/>
          </w:rPr>
          <w:t>methodology</w:t>
        </w:r>
        <w:r w:rsidR="00645D54">
          <w:rPr>
            <w:webHidden/>
          </w:rPr>
          <w:tab/>
        </w:r>
        <w:r w:rsidR="00645D54">
          <w:rPr>
            <w:webHidden/>
          </w:rPr>
          <w:fldChar w:fldCharType="begin"/>
        </w:r>
        <w:r w:rsidR="00645D54">
          <w:rPr>
            <w:webHidden/>
          </w:rPr>
          <w:instrText xml:space="preserve"> PAGEREF _Toc129270484 \h </w:instrText>
        </w:r>
        <w:r w:rsidR="00645D54">
          <w:rPr>
            <w:webHidden/>
          </w:rPr>
        </w:r>
        <w:r w:rsidR="00645D54">
          <w:rPr>
            <w:webHidden/>
          </w:rPr>
          <w:fldChar w:fldCharType="separate"/>
        </w:r>
        <w:r w:rsidR="002C09C9">
          <w:rPr>
            <w:webHidden/>
          </w:rPr>
          <w:t>43</w:t>
        </w:r>
        <w:r w:rsidR="00645D54">
          <w:rPr>
            <w:webHidden/>
          </w:rPr>
          <w:fldChar w:fldCharType="end"/>
        </w:r>
      </w:hyperlink>
    </w:p>
    <w:p w14:paraId="4098E167" w14:textId="61387471" w:rsidR="00645D54" w:rsidRDefault="00FD3D82">
      <w:pPr>
        <w:pStyle w:val="TOC3"/>
        <w:rPr>
          <w:rFonts w:asciiTheme="minorHAnsi" w:eastAsiaTheme="minorEastAsia" w:hAnsiTheme="minorHAnsi" w:cstheme="minorBidi"/>
          <w:szCs w:val="22"/>
        </w:rPr>
      </w:pPr>
      <w:hyperlink w:anchor="_Toc129270485" w:history="1">
        <w:r w:rsidR="00645D54" w:rsidRPr="002C155F">
          <w:rPr>
            <w:rStyle w:val="Hyperlink"/>
          </w:rPr>
          <w:t>Fee waivers</w:t>
        </w:r>
        <w:r w:rsidR="00645D54">
          <w:rPr>
            <w:webHidden/>
          </w:rPr>
          <w:tab/>
        </w:r>
        <w:r w:rsidR="00645D54">
          <w:rPr>
            <w:webHidden/>
          </w:rPr>
          <w:fldChar w:fldCharType="begin"/>
        </w:r>
        <w:r w:rsidR="00645D54">
          <w:rPr>
            <w:webHidden/>
          </w:rPr>
          <w:instrText xml:space="preserve"> PAGEREF _Toc129270485 \h </w:instrText>
        </w:r>
        <w:r w:rsidR="00645D54">
          <w:rPr>
            <w:webHidden/>
          </w:rPr>
        </w:r>
        <w:r w:rsidR="00645D54">
          <w:rPr>
            <w:webHidden/>
          </w:rPr>
          <w:fldChar w:fldCharType="separate"/>
        </w:r>
        <w:r w:rsidR="002C09C9">
          <w:rPr>
            <w:webHidden/>
          </w:rPr>
          <w:t>44</w:t>
        </w:r>
        <w:r w:rsidR="00645D54">
          <w:rPr>
            <w:webHidden/>
          </w:rPr>
          <w:fldChar w:fldCharType="end"/>
        </w:r>
      </w:hyperlink>
    </w:p>
    <w:p w14:paraId="440C0296" w14:textId="73F4A6F7" w:rsidR="00645D54" w:rsidRDefault="00FD3D82">
      <w:pPr>
        <w:pStyle w:val="TOC3"/>
        <w:rPr>
          <w:rFonts w:asciiTheme="minorHAnsi" w:eastAsiaTheme="minorEastAsia" w:hAnsiTheme="minorHAnsi" w:cstheme="minorBidi"/>
          <w:szCs w:val="22"/>
        </w:rPr>
      </w:pPr>
      <w:hyperlink w:anchor="_Toc129270486" w:history="1">
        <w:r w:rsidR="00645D54" w:rsidRPr="002C155F">
          <w:rPr>
            <w:rStyle w:val="Hyperlink"/>
          </w:rPr>
          <w:t>Registry fees</w:t>
        </w:r>
        <w:r w:rsidR="00645D54">
          <w:rPr>
            <w:webHidden/>
          </w:rPr>
          <w:tab/>
        </w:r>
        <w:r w:rsidR="00645D54">
          <w:rPr>
            <w:webHidden/>
          </w:rPr>
          <w:fldChar w:fldCharType="begin"/>
        </w:r>
        <w:r w:rsidR="00645D54">
          <w:rPr>
            <w:webHidden/>
          </w:rPr>
          <w:instrText xml:space="preserve"> PAGEREF _Toc129270486 \h </w:instrText>
        </w:r>
        <w:r w:rsidR="00645D54">
          <w:rPr>
            <w:webHidden/>
          </w:rPr>
        </w:r>
        <w:r w:rsidR="00645D54">
          <w:rPr>
            <w:webHidden/>
          </w:rPr>
          <w:fldChar w:fldCharType="separate"/>
        </w:r>
        <w:r w:rsidR="002C09C9">
          <w:rPr>
            <w:webHidden/>
          </w:rPr>
          <w:t>44</w:t>
        </w:r>
        <w:r w:rsidR="00645D54">
          <w:rPr>
            <w:webHidden/>
          </w:rPr>
          <w:fldChar w:fldCharType="end"/>
        </w:r>
      </w:hyperlink>
    </w:p>
    <w:p w14:paraId="1BCC09FD" w14:textId="6B8EF9B6" w:rsidR="00645D54" w:rsidRDefault="00FD3D82">
      <w:pPr>
        <w:pStyle w:val="TOC2"/>
        <w:rPr>
          <w:rFonts w:asciiTheme="minorHAnsi" w:eastAsiaTheme="minorEastAsia" w:hAnsiTheme="minorHAnsi" w:cstheme="minorBidi"/>
          <w:color w:val="auto"/>
          <w:szCs w:val="22"/>
        </w:rPr>
      </w:pPr>
      <w:hyperlink w:anchor="_Toc129270487" w:history="1">
        <w:r w:rsidR="00645D54" w:rsidRPr="002C155F">
          <w:rPr>
            <w:rStyle w:val="Hyperlink"/>
          </w:rPr>
          <w:t>Cost recovery policy</w:t>
        </w:r>
        <w:r w:rsidR="00645D54">
          <w:rPr>
            <w:webHidden/>
          </w:rPr>
          <w:tab/>
        </w:r>
        <w:r w:rsidR="00645D54">
          <w:rPr>
            <w:webHidden/>
          </w:rPr>
          <w:fldChar w:fldCharType="begin"/>
        </w:r>
        <w:r w:rsidR="00645D54">
          <w:rPr>
            <w:webHidden/>
          </w:rPr>
          <w:instrText xml:space="preserve"> PAGEREF _Toc129270487 \h </w:instrText>
        </w:r>
        <w:r w:rsidR="00645D54">
          <w:rPr>
            <w:webHidden/>
          </w:rPr>
        </w:r>
        <w:r w:rsidR="00645D54">
          <w:rPr>
            <w:webHidden/>
          </w:rPr>
          <w:fldChar w:fldCharType="separate"/>
        </w:r>
        <w:r w:rsidR="002C09C9">
          <w:rPr>
            <w:webHidden/>
          </w:rPr>
          <w:t>44</w:t>
        </w:r>
        <w:r w:rsidR="00645D54">
          <w:rPr>
            <w:webHidden/>
          </w:rPr>
          <w:fldChar w:fldCharType="end"/>
        </w:r>
      </w:hyperlink>
    </w:p>
    <w:p w14:paraId="7DA7EC0C" w14:textId="382FCD66" w:rsidR="00645D54" w:rsidRDefault="00FD3D82">
      <w:pPr>
        <w:pStyle w:val="TOC3"/>
        <w:rPr>
          <w:rFonts w:asciiTheme="minorHAnsi" w:eastAsiaTheme="minorEastAsia" w:hAnsiTheme="minorHAnsi" w:cstheme="minorBidi"/>
          <w:szCs w:val="22"/>
        </w:rPr>
      </w:pPr>
      <w:hyperlink w:anchor="_Toc129270488" w:history="1">
        <w:r w:rsidR="00645D54" w:rsidRPr="002C155F">
          <w:rPr>
            <w:rStyle w:val="Hyperlink"/>
          </w:rPr>
          <w:t>Table 4.2: Fee revenue relative to costs</w:t>
        </w:r>
        <w:r w:rsidR="00645D54">
          <w:rPr>
            <w:webHidden/>
          </w:rPr>
          <w:tab/>
        </w:r>
        <w:r w:rsidR="00645D54">
          <w:rPr>
            <w:webHidden/>
          </w:rPr>
          <w:fldChar w:fldCharType="begin"/>
        </w:r>
        <w:r w:rsidR="00645D54">
          <w:rPr>
            <w:webHidden/>
          </w:rPr>
          <w:instrText xml:space="preserve"> PAGEREF _Toc129270488 \h </w:instrText>
        </w:r>
        <w:r w:rsidR="00645D54">
          <w:rPr>
            <w:webHidden/>
          </w:rPr>
        </w:r>
        <w:r w:rsidR="00645D54">
          <w:rPr>
            <w:webHidden/>
          </w:rPr>
          <w:fldChar w:fldCharType="separate"/>
        </w:r>
        <w:r w:rsidR="002C09C9">
          <w:rPr>
            <w:webHidden/>
          </w:rPr>
          <w:t>45</w:t>
        </w:r>
        <w:r w:rsidR="00645D54">
          <w:rPr>
            <w:webHidden/>
          </w:rPr>
          <w:fldChar w:fldCharType="end"/>
        </w:r>
      </w:hyperlink>
    </w:p>
    <w:p w14:paraId="2E1790F4" w14:textId="7DC1816F" w:rsidR="00645D54" w:rsidRDefault="00FD3D82">
      <w:pPr>
        <w:pStyle w:val="TOC3"/>
        <w:rPr>
          <w:rFonts w:asciiTheme="minorHAnsi" w:eastAsiaTheme="minorEastAsia" w:hAnsiTheme="minorHAnsi" w:cstheme="minorBidi"/>
          <w:szCs w:val="22"/>
        </w:rPr>
      </w:pPr>
      <w:hyperlink w:anchor="_Toc129270489"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_Toc129270489 \h </w:instrText>
        </w:r>
        <w:r w:rsidR="00645D54">
          <w:rPr>
            <w:webHidden/>
          </w:rPr>
        </w:r>
        <w:r w:rsidR="00645D54">
          <w:rPr>
            <w:webHidden/>
          </w:rPr>
          <w:fldChar w:fldCharType="separate"/>
        </w:r>
        <w:r w:rsidR="002C09C9">
          <w:rPr>
            <w:webHidden/>
          </w:rPr>
          <w:t>46</w:t>
        </w:r>
        <w:r w:rsidR="00645D54">
          <w:rPr>
            <w:webHidden/>
          </w:rPr>
          <w:fldChar w:fldCharType="end"/>
        </w:r>
      </w:hyperlink>
    </w:p>
    <w:p w14:paraId="5920BF93" w14:textId="3518F8D3" w:rsidR="00645D54" w:rsidRDefault="00FD3D82">
      <w:pPr>
        <w:pStyle w:val="TOC2"/>
        <w:rPr>
          <w:rFonts w:asciiTheme="minorHAnsi" w:eastAsiaTheme="minorEastAsia" w:hAnsiTheme="minorHAnsi" w:cstheme="minorBidi"/>
          <w:color w:val="auto"/>
          <w:szCs w:val="22"/>
        </w:rPr>
      </w:pPr>
      <w:hyperlink w:anchor="_Toc129270490" w:history="1">
        <w:r w:rsidR="00645D54" w:rsidRPr="002C155F">
          <w:rPr>
            <w:rStyle w:val="Hyperlink"/>
          </w:rPr>
          <w:t>Flexibility of the fees framework</w:t>
        </w:r>
        <w:r w:rsidR="00645D54">
          <w:rPr>
            <w:webHidden/>
          </w:rPr>
          <w:tab/>
        </w:r>
        <w:r w:rsidR="00645D54">
          <w:rPr>
            <w:webHidden/>
          </w:rPr>
          <w:fldChar w:fldCharType="begin"/>
        </w:r>
        <w:r w:rsidR="00645D54">
          <w:rPr>
            <w:webHidden/>
          </w:rPr>
          <w:instrText xml:space="preserve"> PAGEREF _Toc129270490 \h </w:instrText>
        </w:r>
        <w:r w:rsidR="00645D54">
          <w:rPr>
            <w:webHidden/>
          </w:rPr>
        </w:r>
        <w:r w:rsidR="00645D54">
          <w:rPr>
            <w:webHidden/>
          </w:rPr>
          <w:fldChar w:fldCharType="separate"/>
        </w:r>
        <w:r w:rsidR="002C09C9">
          <w:rPr>
            <w:webHidden/>
          </w:rPr>
          <w:t>47</w:t>
        </w:r>
        <w:r w:rsidR="00645D54">
          <w:rPr>
            <w:webHidden/>
          </w:rPr>
          <w:fldChar w:fldCharType="end"/>
        </w:r>
      </w:hyperlink>
    </w:p>
    <w:p w14:paraId="5862498F" w14:textId="3BA4A521" w:rsidR="00645D54" w:rsidRDefault="00FD3D82">
      <w:pPr>
        <w:pStyle w:val="TOC3"/>
        <w:rPr>
          <w:rFonts w:asciiTheme="minorHAnsi" w:eastAsiaTheme="minorEastAsia" w:hAnsiTheme="minorHAnsi" w:cstheme="minorBidi"/>
          <w:szCs w:val="22"/>
        </w:rPr>
      </w:pPr>
      <w:hyperlink w:anchor="_Toc129270491"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_Toc129270491 \h </w:instrText>
        </w:r>
        <w:r w:rsidR="00645D54">
          <w:rPr>
            <w:webHidden/>
          </w:rPr>
        </w:r>
        <w:r w:rsidR="00645D54">
          <w:rPr>
            <w:webHidden/>
          </w:rPr>
          <w:fldChar w:fldCharType="separate"/>
        </w:r>
        <w:r w:rsidR="002C09C9">
          <w:rPr>
            <w:webHidden/>
          </w:rPr>
          <w:t>47</w:t>
        </w:r>
        <w:r w:rsidR="00645D54">
          <w:rPr>
            <w:webHidden/>
          </w:rPr>
          <w:fldChar w:fldCharType="end"/>
        </w:r>
      </w:hyperlink>
    </w:p>
    <w:p w14:paraId="4DACE703" w14:textId="0E526B6E" w:rsidR="00645D54" w:rsidRDefault="00FD3D82">
      <w:pPr>
        <w:pStyle w:val="TOC2"/>
        <w:rPr>
          <w:rFonts w:asciiTheme="minorHAnsi" w:eastAsiaTheme="minorEastAsia" w:hAnsiTheme="minorHAnsi" w:cstheme="minorBidi"/>
          <w:color w:val="auto"/>
          <w:szCs w:val="22"/>
        </w:rPr>
      </w:pPr>
      <w:hyperlink w:anchor="_Toc129270492" w:history="1">
        <w:r w:rsidR="00645D54" w:rsidRPr="002C155F">
          <w:rPr>
            <w:rStyle w:val="Hyperlink"/>
          </w:rPr>
          <w:t>Types of costs recovered through fees</w:t>
        </w:r>
        <w:r w:rsidR="00645D54">
          <w:rPr>
            <w:webHidden/>
          </w:rPr>
          <w:tab/>
        </w:r>
        <w:r w:rsidR="00645D54">
          <w:rPr>
            <w:webHidden/>
          </w:rPr>
          <w:fldChar w:fldCharType="begin"/>
        </w:r>
        <w:r w:rsidR="00645D54">
          <w:rPr>
            <w:webHidden/>
          </w:rPr>
          <w:instrText xml:space="preserve"> PAGEREF _Toc129270492 \h </w:instrText>
        </w:r>
        <w:r w:rsidR="00645D54">
          <w:rPr>
            <w:webHidden/>
          </w:rPr>
        </w:r>
        <w:r w:rsidR="00645D54">
          <w:rPr>
            <w:webHidden/>
          </w:rPr>
          <w:fldChar w:fldCharType="separate"/>
        </w:r>
        <w:r w:rsidR="002C09C9">
          <w:rPr>
            <w:webHidden/>
          </w:rPr>
          <w:t>50</w:t>
        </w:r>
        <w:r w:rsidR="00645D54">
          <w:rPr>
            <w:webHidden/>
          </w:rPr>
          <w:fldChar w:fldCharType="end"/>
        </w:r>
      </w:hyperlink>
    </w:p>
    <w:p w14:paraId="7D2745CA" w14:textId="3566DBDF" w:rsidR="00645D54" w:rsidRDefault="00FD3D82">
      <w:pPr>
        <w:pStyle w:val="TOC3"/>
        <w:rPr>
          <w:rFonts w:asciiTheme="minorHAnsi" w:eastAsiaTheme="minorEastAsia" w:hAnsiTheme="minorHAnsi" w:cstheme="minorBidi"/>
          <w:szCs w:val="22"/>
        </w:rPr>
      </w:pPr>
      <w:hyperlink w:anchor="_Toc129270493"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_Toc129270493 \h </w:instrText>
        </w:r>
        <w:r w:rsidR="00645D54">
          <w:rPr>
            <w:webHidden/>
          </w:rPr>
        </w:r>
        <w:r w:rsidR="00645D54">
          <w:rPr>
            <w:webHidden/>
          </w:rPr>
          <w:fldChar w:fldCharType="separate"/>
        </w:r>
        <w:r w:rsidR="002C09C9">
          <w:rPr>
            <w:webHidden/>
          </w:rPr>
          <w:t>50</w:t>
        </w:r>
        <w:r w:rsidR="00645D54">
          <w:rPr>
            <w:webHidden/>
          </w:rPr>
          <w:fldChar w:fldCharType="end"/>
        </w:r>
      </w:hyperlink>
    </w:p>
    <w:p w14:paraId="66AD3F35" w14:textId="18ED21BE" w:rsidR="00645D54" w:rsidRDefault="00FD3D82">
      <w:pPr>
        <w:pStyle w:val="TOC3"/>
        <w:rPr>
          <w:rFonts w:asciiTheme="minorHAnsi" w:eastAsiaTheme="minorEastAsia" w:hAnsiTheme="minorHAnsi" w:cstheme="minorBidi"/>
          <w:szCs w:val="22"/>
        </w:rPr>
      </w:pPr>
      <w:hyperlink w:anchor="_Toc129270494" w:history="1">
        <w:r w:rsidR="00645D54" w:rsidRPr="002C155F">
          <w:rPr>
            <w:rStyle w:val="Hyperlink"/>
            <w:rFonts w:eastAsia="Yu Gothic Light"/>
          </w:rPr>
          <w:t>Individual relief applications</w:t>
        </w:r>
        <w:r w:rsidR="00645D54">
          <w:rPr>
            <w:webHidden/>
          </w:rPr>
          <w:tab/>
        </w:r>
        <w:r w:rsidR="00645D54">
          <w:rPr>
            <w:webHidden/>
          </w:rPr>
          <w:fldChar w:fldCharType="begin"/>
        </w:r>
        <w:r w:rsidR="00645D54">
          <w:rPr>
            <w:webHidden/>
          </w:rPr>
          <w:instrText xml:space="preserve"> PAGEREF _Toc129270494 \h </w:instrText>
        </w:r>
        <w:r w:rsidR="00645D54">
          <w:rPr>
            <w:webHidden/>
          </w:rPr>
        </w:r>
        <w:r w:rsidR="00645D54">
          <w:rPr>
            <w:webHidden/>
          </w:rPr>
          <w:fldChar w:fldCharType="separate"/>
        </w:r>
        <w:r w:rsidR="002C09C9">
          <w:rPr>
            <w:webHidden/>
          </w:rPr>
          <w:t>51</w:t>
        </w:r>
        <w:r w:rsidR="00645D54">
          <w:rPr>
            <w:webHidden/>
          </w:rPr>
          <w:fldChar w:fldCharType="end"/>
        </w:r>
      </w:hyperlink>
    </w:p>
    <w:p w14:paraId="1F5EB297" w14:textId="5CC65004" w:rsidR="00645D54" w:rsidRDefault="00FD3D82">
      <w:pPr>
        <w:pStyle w:val="TOC2"/>
        <w:rPr>
          <w:rFonts w:asciiTheme="minorHAnsi" w:eastAsiaTheme="minorEastAsia" w:hAnsiTheme="minorHAnsi" w:cstheme="minorBidi"/>
          <w:color w:val="auto"/>
          <w:szCs w:val="22"/>
        </w:rPr>
      </w:pPr>
      <w:hyperlink w:anchor="_Toc129270495" w:history="1">
        <w:r w:rsidR="00645D54" w:rsidRPr="002C155F">
          <w:rPr>
            <w:rStyle w:val="Hyperlink"/>
          </w:rPr>
          <w:t>Costs recovered through fees and levies</w:t>
        </w:r>
        <w:r w:rsidR="00645D54">
          <w:rPr>
            <w:webHidden/>
          </w:rPr>
          <w:tab/>
        </w:r>
        <w:r w:rsidR="00645D54">
          <w:rPr>
            <w:webHidden/>
          </w:rPr>
          <w:fldChar w:fldCharType="begin"/>
        </w:r>
        <w:r w:rsidR="00645D54">
          <w:rPr>
            <w:webHidden/>
          </w:rPr>
          <w:instrText xml:space="preserve"> PAGEREF _Toc129270495 \h </w:instrText>
        </w:r>
        <w:r w:rsidR="00645D54">
          <w:rPr>
            <w:webHidden/>
          </w:rPr>
        </w:r>
        <w:r w:rsidR="00645D54">
          <w:rPr>
            <w:webHidden/>
          </w:rPr>
          <w:fldChar w:fldCharType="separate"/>
        </w:r>
        <w:r w:rsidR="002C09C9">
          <w:rPr>
            <w:webHidden/>
          </w:rPr>
          <w:t>54</w:t>
        </w:r>
        <w:r w:rsidR="00645D54">
          <w:rPr>
            <w:webHidden/>
          </w:rPr>
          <w:fldChar w:fldCharType="end"/>
        </w:r>
      </w:hyperlink>
    </w:p>
    <w:p w14:paraId="0EF618A2" w14:textId="63A2CE6F" w:rsidR="00645D54" w:rsidRDefault="00FD3D82">
      <w:pPr>
        <w:pStyle w:val="TOC3"/>
        <w:rPr>
          <w:rFonts w:asciiTheme="minorHAnsi" w:eastAsiaTheme="minorEastAsia" w:hAnsiTheme="minorHAnsi" w:cstheme="minorBidi"/>
          <w:szCs w:val="22"/>
        </w:rPr>
      </w:pPr>
      <w:hyperlink w:anchor="_Toc129270496"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_Toc129270496 \h </w:instrText>
        </w:r>
        <w:r w:rsidR="00645D54">
          <w:rPr>
            <w:webHidden/>
          </w:rPr>
        </w:r>
        <w:r w:rsidR="00645D54">
          <w:rPr>
            <w:webHidden/>
          </w:rPr>
          <w:fldChar w:fldCharType="separate"/>
        </w:r>
        <w:r w:rsidR="002C09C9">
          <w:rPr>
            <w:webHidden/>
          </w:rPr>
          <w:t>54</w:t>
        </w:r>
        <w:r w:rsidR="00645D54">
          <w:rPr>
            <w:webHidden/>
          </w:rPr>
          <w:fldChar w:fldCharType="end"/>
        </w:r>
      </w:hyperlink>
    </w:p>
    <w:p w14:paraId="121BC729" w14:textId="794DCB0C" w:rsidR="00645D54" w:rsidRDefault="00FD3D82">
      <w:pPr>
        <w:pStyle w:val="TOC1"/>
        <w:rPr>
          <w:rFonts w:asciiTheme="minorHAnsi" w:eastAsiaTheme="minorEastAsia" w:hAnsiTheme="minorHAnsi" w:cstheme="minorBidi"/>
          <w:b w:val="0"/>
          <w:color w:val="auto"/>
        </w:rPr>
      </w:pPr>
      <w:hyperlink w:anchor="_Toc129270497" w:history="1">
        <w:r w:rsidR="00645D54" w:rsidRPr="002C155F">
          <w:rPr>
            <w:rStyle w:val="Hyperlink"/>
            <w:rFonts w:asciiTheme="majorHAnsi" w:hAnsiTheme="majorHAnsi" w:cstheme="majorHAnsi"/>
            <w:kern w:val="32"/>
          </w:rPr>
          <w:t>Chapter 5: Reporting, transparency and consultation on the ASIC IFM</w:t>
        </w:r>
        <w:r w:rsidR="00645D54">
          <w:rPr>
            <w:webHidden/>
          </w:rPr>
          <w:tab/>
        </w:r>
        <w:r w:rsidR="00645D54">
          <w:rPr>
            <w:webHidden/>
          </w:rPr>
          <w:fldChar w:fldCharType="begin"/>
        </w:r>
        <w:r w:rsidR="00645D54">
          <w:rPr>
            <w:webHidden/>
          </w:rPr>
          <w:instrText xml:space="preserve"> PAGEREF _Toc129270497 \h </w:instrText>
        </w:r>
        <w:r w:rsidR="00645D54">
          <w:rPr>
            <w:webHidden/>
          </w:rPr>
        </w:r>
        <w:r w:rsidR="00645D54">
          <w:rPr>
            <w:webHidden/>
          </w:rPr>
          <w:fldChar w:fldCharType="separate"/>
        </w:r>
        <w:r w:rsidR="002C09C9">
          <w:rPr>
            <w:webHidden/>
          </w:rPr>
          <w:t>55</w:t>
        </w:r>
        <w:r w:rsidR="00645D54">
          <w:rPr>
            <w:webHidden/>
          </w:rPr>
          <w:fldChar w:fldCharType="end"/>
        </w:r>
      </w:hyperlink>
    </w:p>
    <w:p w14:paraId="4EB42E3C" w14:textId="4533943F" w:rsidR="00645D54" w:rsidRDefault="00FD3D82">
      <w:pPr>
        <w:pStyle w:val="TOC2"/>
        <w:rPr>
          <w:rFonts w:asciiTheme="minorHAnsi" w:eastAsiaTheme="minorEastAsia" w:hAnsiTheme="minorHAnsi" w:cstheme="minorBidi"/>
          <w:color w:val="auto"/>
          <w:szCs w:val="22"/>
        </w:rPr>
      </w:pPr>
      <w:hyperlink w:anchor="_Toc129270498" w:history="1">
        <w:r w:rsidR="00645D54" w:rsidRPr="002C155F">
          <w:rPr>
            <w:rStyle w:val="Hyperlink"/>
          </w:rPr>
          <w:t>Introduction</w:t>
        </w:r>
        <w:r w:rsidR="00645D54">
          <w:rPr>
            <w:webHidden/>
          </w:rPr>
          <w:tab/>
        </w:r>
        <w:r w:rsidR="00645D54">
          <w:rPr>
            <w:webHidden/>
          </w:rPr>
          <w:fldChar w:fldCharType="begin"/>
        </w:r>
        <w:r w:rsidR="00645D54">
          <w:rPr>
            <w:webHidden/>
          </w:rPr>
          <w:instrText xml:space="preserve"> PAGEREF _Toc129270498 \h </w:instrText>
        </w:r>
        <w:r w:rsidR="00645D54">
          <w:rPr>
            <w:webHidden/>
          </w:rPr>
        </w:r>
        <w:r w:rsidR="00645D54">
          <w:rPr>
            <w:webHidden/>
          </w:rPr>
          <w:fldChar w:fldCharType="separate"/>
        </w:r>
        <w:r w:rsidR="002C09C9">
          <w:rPr>
            <w:webHidden/>
          </w:rPr>
          <w:t>55</w:t>
        </w:r>
        <w:r w:rsidR="00645D54">
          <w:rPr>
            <w:webHidden/>
          </w:rPr>
          <w:fldChar w:fldCharType="end"/>
        </w:r>
      </w:hyperlink>
    </w:p>
    <w:p w14:paraId="715E926E" w14:textId="182E99AA" w:rsidR="00645D54" w:rsidRDefault="00FD3D82">
      <w:pPr>
        <w:pStyle w:val="TOC2"/>
        <w:rPr>
          <w:rFonts w:asciiTheme="minorHAnsi" w:eastAsiaTheme="minorEastAsia" w:hAnsiTheme="minorHAnsi" w:cstheme="minorBidi"/>
          <w:color w:val="auto"/>
          <w:szCs w:val="22"/>
        </w:rPr>
      </w:pPr>
      <w:hyperlink w:anchor="_Toc129270499" w:history="1">
        <w:r w:rsidR="00645D54" w:rsidRPr="002C155F">
          <w:rPr>
            <w:rStyle w:val="Hyperlink"/>
          </w:rPr>
          <w:t>ASIC</w:t>
        </w:r>
        <w:r w:rsidR="00BD190B">
          <w:rPr>
            <w:rStyle w:val="Hyperlink"/>
          </w:rPr>
          <w:t>’</w:t>
        </w:r>
        <w:r w:rsidR="00645D54" w:rsidRPr="002C155F">
          <w:rPr>
            <w:rStyle w:val="Hyperlink"/>
          </w:rPr>
          <w:t>s reporting, transparency and consultation framework</w:t>
        </w:r>
        <w:r w:rsidR="00645D54">
          <w:rPr>
            <w:webHidden/>
          </w:rPr>
          <w:tab/>
        </w:r>
        <w:r w:rsidR="00645D54">
          <w:rPr>
            <w:webHidden/>
          </w:rPr>
          <w:fldChar w:fldCharType="begin"/>
        </w:r>
        <w:r w:rsidR="00645D54">
          <w:rPr>
            <w:webHidden/>
          </w:rPr>
          <w:instrText xml:space="preserve"> PAGEREF _Toc129270499 \h </w:instrText>
        </w:r>
        <w:r w:rsidR="00645D54">
          <w:rPr>
            <w:webHidden/>
          </w:rPr>
        </w:r>
        <w:r w:rsidR="00645D54">
          <w:rPr>
            <w:webHidden/>
          </w:rPr>
          <w:fldChar w:fldCharType="separate"/>
        </w:r>
        <w:r w:rsidR="002C09C9">
          <w:rPr>
            <w:webHidden/>
          </w:rPr>
          <w:t>55</w:t>
        </w:r>
        <w:r w:rsidR="00645D54">
          <w:rPr>
            <w:webHidden/>
          </w:rPr>
          <w:fldChar w:fldCharType="end"/>
        </w:r>
      </w:hyperlink>
    </w:p>
    <w:p w14:paraId="54246F9C" w14:textId="3140BA86" w:rsidR="00645D54" w:rsidRDefault="00FD3D82">
      <w:pPr>
        <w:pStyle w:val="TOC3"/>
        <w:rPr>
          <w:rFonts w:asciiTheme="minorHAnsi" w:eastAsiaTheme="minorEastAsia" w:hAnsiTheme="minorHAnsi" w:cstheme="minorBidi"/>
          <w:szCs w:val="22"/>
        </w:rPr>
      </w:pPr>
      <w:hyperlink w:anchor="_Toc129270500" w:history="1">
        <w:r w:rsidR="00645D54" w:rsidRPr="002C155F">
          <w:rPr>
            <w:rStyle w:val="Hyperlink"/>
          </w:rPr>
          <w:t>Figure 5.1: ASIC</w:t>
        </w:r>
        <w:r w:rsidR="00BD190B">
          <w:rPr>
            <w:rStyle w:val="Hyperlink"/>
          </w:rPr>
          <w:t>’</w:t>
        </w:r>
        <w:r w:rsidR="00645D54" w:rsidRPr="002C155F">
          <w:rPr>
            <w:rStyle w:val="Hyperlink"/>
          </w:rPr>
          <w:t>s current reporting, transparency and consultation mechanisms</w:t>
        </w:r>
        <w:r w:rsidR="00645D54">
          <w:rPr>
            <w:webHidden/>
          </w:rPr>
          <w:tab/>
        </w:r>
        <w:r w:rsidR="00645D54">
          <w:rPr>
            <w:webHidden/>
          </w:rPr>
          <w:fldChar w:fldCharType="begin"/>
        </w:r>
        <w:r w:rsidR="00645D54">
          <w:rPr>
            <w:webHidden/>
          </w:rPr>
          <w:instrText xml:space="preserve"> PAGEREF _Toc129270500 \h </w:instrText>
        </w:r>
        <w:r w:rsidR="00645D54">
          <w:rPr>
            <w:webHidden/>
          </w:rPr>
        </w:r>
        <w:r w:rsidR="00645D54">
          <w:rPr>
            <w:webHidden/>
          </w:rPr>
          <w:fldChar w:fldCharType="separate"/>
        </w:r>
        <w:r w:rsidR="002C09C9">
          <w:rPr>
            <w:webHidden/>
          </w:rPr>
          <w:t>55</w:t>
        </w:r>
        <w:r w:rsidR="00645D54">
          <w:rPr>
            <w:webHidden/>
          </w:rPr>
          <w:fldChar w:fldCharType="end"/>
        </w:r>
      </w:hyperlink>
    </w:p>
    <w:p w14:paraId="14DA9202" w14:textId="1486A061" w:rsidR="00645D54" w:rsidRDefault="00FD3D82">
      <w:pPr>
        <w:pStyle w:val="TOC2"/>
        <w:rPr>
          <w:rFonts w:asciiTheme="minorHAnsi" w:eastAsiaTheme="minorEastAsia" w:hAnsiTheme="minorHAnsi" w:cstheme="minorBidi"/>
          <w:color w:val="auto"/>
          <w:szCs w:val="22"/>
        </w:rPr>
      </w:pPr>
      <w:hyperlink w:anchor="_Toc129270501" w:history="1">
        <w:r w:rsidR="00645D54" w:rsidRPr="002C155F">
          <w:rPr>
            <w:rStyle w:val="Hyperlink"/>
          </w:rPr>
          <w:t>Purpose and process of the CRIS</w:t>
        </w:r>
        <w:r w:rsidR="00645D54">
          <w:rPr>
            <w:webHidden/>
          </w:rPr>
          <w:tab/>
        </w:r>
        <w:r w:rsidR="00645D54">
          <w:rPr>
            <w:webHidden/>
          </w:rPr>
          <w:fldChar w:fldCharType="begin"/>
        </w:r>
        <w:r w:rsidR="00645D54">
          <w:rPr>
            <w:webHidden/>
          </w:rPr>
          <w:instrText xml:space="preserve"> PAGEREF _Toc129270501 \h </w:instrText>
        </w:r>
        <w:r w:rsidR="00645D54">
          <w:rPr>
            <w:webHidden/>
          </w:rPr>
        </w:r>
        <w:r w:rsidR="00645D54">
          <w:rPr>
            <w:webHidden/>
          </w:rPr>
          <w:fldChar w:fldCharType="separate"/>
        </w:r>
        <w:r w:rsidR="002C09C9">
          <w:rPr>
            <w:webHidden/>
          </w:rPr>
          <w:t>56</w:t>
        </w:r>
        <w:r w:rsidR="00645D54">
          <w:rPr>
            <w:webHidden/>
          </w:rPr>
          <w:fldChar w:fldCharType="end"/>
        </w:r>
      </w:hyperlink>
    </w:p>
    <w:p w14:paraId="20202481" w14:textId="6291B596" w:rsidR="00645D54" w:rsidRDefault="00FD3D82">
      <w:pPr>
        <w:pStyle w:val="TOC3"/>
        <w:rPr>
          <w:rFonts w:asciiTheme="minorHAnsi" w:eastAsiaTheme="minorEastAsia" w:hAnsiTheme="minorHAnsi" w:cstheme="minorBidi"/>
          <w:szCs w:val="22"/>
        </w:rPr>
      </w:pPr>
      <w:hyperlink w:anchor="_Toc129270502"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_Toc129270502 \h </w:instrText>
        </w:r>
        <w:r w:rsidR="00645D54">
          <w:rPr>
            <w:webHidden/>
          </w:rPr>
        </w:r>
        <w:r w:rsidR="00645D54">
          <w:rPr>
            <w:webHidden/>
          </w:rPr>
          <w:fldChar w:fldCharType="separate"/>
        </w:r>
        <w:r w:rsidR="002C09C9">
          <w:rPr>
            <w:webHidden/>
          </w:rPr>
          <w:t>56</w:t>
        </w:r>
        <w:r w:rsidR="00645D54">
          <w:rPr>
            <w:webHidden/>
          </w:rPr>
          <w:fldChar w:fldCharType="end"/>
        </w:r>
      </w:hyperlink>
    </w:p>
    <w:p w14:paraId="0C25312C" w14:textId="3CA7D36A" w:rsidR="00645D54" w:rsidRDefault="00FD3D82">
      <w:pPr>
        <w:pStyle w:val="TOC2"/>
        <w:rPr>
          <w:rFonts w:asciiTheme="minorHAnsi" w:eastAsiaTheme="minorEastAsia" w:hAnsiTheme="minorHAnsi" w:cstheme="minorBidi"/>
          <w:color w:val="auto"/>
          <w:szCs w:val="22"/>
        </w:rPr>
      </w:pPr>
      <w:hyperlink w:anchor="_Toc129270503" w:history="1">
        <w:r w:rsidR="00645D54" w:rsidRPr="002C155F">
          <w:rPr>
            <w:rStyle w:val="Hyperlink"/>
          </w:rPr>
          <w:t>Draft and final CRIS</w:t>
        </w:r>
        <w:r w:rsidR="00645D54">
          <w:rPr>
            <w:webHidden/>
          </w:rPr>
          <w:tab/>
        </w:r>
        <w:r w:rsidR="00645D54">
          <w:rPr>
            <w:webHidden/>
          </w:rPr>
          <w:fldChar w:fldCharType="begin"/>
        </w:r>
        <w:r w:rsidR="00645D54">
          <w:rPr>
            <w:webHidden/>
          </w:rPr>
          <w:instrText xml:space="preserve"> PAGEREF _Toc129270503 \h </w:instrText>
        </w:r>
        <w:r w:rsidR="00645D54">
          <w:rPr>
            <w:webHidden/>
          </w:rPr>
        </w:r>
        <w:r w:rsidR="00645D54">
          <w:rPr>
            <w:webHidden/>
          </w:rPr>
          <w:fldChar w:fldCharType="separate"/>
        </w:r>
        <w:r w:rsidR="002C09C9">
          <w:rPr>
            <w:webHidden/>
          </w:rPr>
          <w:t>58</w:t>
        </w:r>
        <w:r w:rsidR="00645D54">
          <w:rPr>
            <w:webHidden/>
          </w:rPr>
          <w:fldChar w:fldCharType="end"/>
        </w:r>
      </w:hyperlink>
    </w:p>
    <w:p w14:paraId="09DC2354" w14:textId="2C34BC8C" w:rsidR="00645D54" w:rsidRDefault="00FD3D82">
      <w:pPr>
        <w:pStyle w:val="TOC2"/>
        <w:rPr>
          <w:rFonts w:asciiTheme="minorHAnsi" w:eastAsiaTheme="minorEastAsia" w:hAnsiTheme="minorHAnsi" w:cstheme="minorBidi"/>
          <w:color w:val="auto"/>
          <w:szCs w:val="22"/>
        </w:rPr>
      </w:pPr>
      <w:hyperlink w:anchor="_Toc129270504" w:history="1">
        <w:r w:rsidR="00645D54" w:rsidRPr="002C155F">
          <w:rPr>
            <w:rStyle w:val="Hyperlink"/>
          </w:rPr>
          <w:t>Information and structure of the CRIS</w:t>
        </w:r>
        <w:r w:rsidR="00645D54">
          <w:rPr>
            <w:webHidden/>
          </w:rPr>
          <w:tab/>
        </w:r>
        <w:r w:rsidR="00645D54">
          <w:rPr>
            <w:webHidden/>
          </w:rPr>
          <w:fldChar w:fldCharType="begin"/>
        </w:r>
        <w:r w:rsidR="00645D54">
          <w:rPr>
            <w:webHidden/>
          </w:rPr>
          <w:instrText xml:space="preserve"> PAGEREF _Toc129270504 \h </w:instrText>
        </w:r>
        <w:r w:rsidR="00645D54">
          <w:rPr>
            <w:webHidden/>
          </w:rPr>
        </w:r>
        <w:r w:rsidR="00645D54">
          <w:rPr>
            <w:webHidden/>
          </w:rPr>
          <w:fldChar w:fldCharType="separate"/>
        </w:r>
        <w:r w:rsidR="002C09C9">
          <w:rPr>
            <w:webHidden/>
          </w:rPr>
          <w:t>59</w:t>
        </w:r>
        <w:r w:rsidR="00645D54">
          <w:rPr>
            <w:webHidden/>
          </w:rPr>
          <w:fldChar w:fldCharType="end"/>
        </w:r>
      </w:hyperlink>
    </w:p>
    <w:p w14:paraId="5D4405C9" w14:textId="63CFA830" w:rsidR="00645D54" w:rsidRDefault="00FD3D82">
      <w:pPr>
        <w:pStyle w:val="TOC3"/>
        <w:rPr>
          <w:rFonts w:asciiTheme="minorHAnsi" w:eastAsiaTheme="minorEastAsia" w:hAnsiTheme="minorHAnsi" w:cstheme="minorBidi"/>
          <w:szCs w:val="22"/>
        </w:rPr>
      </w:pPr>
      <w:hyperlink w:anchor="_Toc129270505"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_Toc129270505 \h </w:instrText>
        </w:r>
        <w:r w:rsidR="00645D54">
          <w:rPr>
            <w:webHidden/>
          </w:rPr>
        </w:r>
        <w:r w:rsidR="00645D54">
          <w:rPr>
            <w:webHidden/>
          </w:rPr>
          <w:fldChar w:fldCharType="separate"/>
        </w:r>
        <w:r w:rsidR="002C09C9">
          <w:rPr>
            <w:webHidden/>
          </w:rPr>
          <w:t>59</w:t>
        </w:r>
        <w:r w:rsidR="00645D54">
          <w:rPr>
            <w:webHidden/>
          </w:rPr>
          <w:fldChar w:fldCharType="end"/>
        </w:r>
      </w:hyperlink>
    </w:p>
    <w:p w14:paraId="159ED9AC" w14:textId="7533217D" w:rsidR="00645D54" w:rsidRDefault="00FD3D82">
      <w:pPr>
        <w:pStyle w:val="TOC2"/>
        <w:rPr>
          <w:rFonts w:asciiTheme="minorHAnsi" w:eastAsiaTheme="minorEastAsia" w:hAnsiTheme="minorHAnsi" w:cstheme="minorBidi"/>
          <w:color w:val="auto"/>
          <w:szCs w:val="22"/>
        </w:rPr>
      </w:pPr>
      <w:hyperlink w:anchor="_Toc129270506" w:history="1">
        <w:r w:rsidR="00645D54" w:rsidRPr="002C155F">
          <w:rPr>
            <w:rStyle w:val="Hyperlink"/>
          </w:rPr>
          <w:t>Timing of the levies and CRIS process</w:t>
        </w:r>
        <w:r w:rsidR="00645D54">
          <w:rPr>
            <w:webHidden/>
          </w:rPr>
          <w:tab/>
        </w:r>
        <w:r w:rsidR="00645D54">
          <w:rPr>
            <w:webHidden/>
          </w:rPr>
          <w:fldChar w:fldCharType="begin"/>
        </w:r>
        <w:r w:rsidR="00645D54">
          <w:rPr>
            <w:webHidden/>
          </w:rPr>
          <w:instrText xml:space="preserve"> PAGEREF _Toc129270506 \h </w:instrText>
        </w:r>
        <w:r w:rsidR="00645D54">
          <w:rPr>
            <w:webHidden/>
          </w:rPr>
        </w:r>
        <w:r w:rsidR="00645D54">
          <w:rPr>
            <w:webHidden/>
          </w:rPr>
          <w:fldChar w:fldCharType="separate"/>
        </w:r>
        <w:r w:rsidR="002C09C9">
          <w:rPr>
            <w:webHidden/>
          </w:rPr>
          <w:t>62</w:t>
        </w:r>
        <w:r w:rsidR="00645D54">
          <w:rPr>
            <w:webHidden/>
          </w:rPr>
          <w:fldChar w:fldCharType="end"/>
        </w:r>
      </w:hyperlink>
    </w:p>
    <w:p w14:paraId="0A11534F" w14:textId="0EF4F087" w:rsidR="00645D54" w:rsidRDefault="00FD3D82">
      <w:pPr>
        <w:pStyle w:val="TOC3"/>
        <w:rPr>
          <w:rFonts w:asciiTheme="minorHAnsi" w:eastAsiaTheme="minorEastAsia" w:hAnsiTheme="minorHAnsi" w:cstheme="minorBidi"/>
          <w:szCs w:val="22"/>
        </w:rPr>
      </w:pPr>
      <w:hyperlink w:anchor="_Toc129270507" w:history="1">
        <w:r w:rsidR="00645D54" w:rsidRPr="002C155F">
          <w:rPr>
            <w:rStyle w:val="Hyperlink"/>
          </w:rPr>
          <w:t>Table 5.1: Timeline of the levies and CRIS process for 2021–22</w:t>
        </w:r>
        <w:r w:rsidR="00645D54">
          <w:rPr>
            <w:webHidden/>
          </w:rPr>
          <w:tab/>
        </w:r>
        <w:r w:rsidR="00645D54">
          <w:rPr>
            <w:webHidden/>
          </w:rPr>
          <w:fldChar w:fldCharType="begin"/>
        </w:r>
        <w:r w:rsidR="00645D54">
          <w:rPr>
            <w:webHidden/>
          </w:rPr>
          <w:instrText xml:space="preserve"> PAGEREF _Toc129270507 \h </w:instrText>
        </w:r>
        <w:r w:rsidR="00645D54">
          <w:rPr>
            <w:webHidden/>
          </w:rPr>
        </w:r>
        <w:r w:rsidR="00645D54">
          <w:rPr>
            <w:webHidden/>
          </w:rPr>
          <w:fldChar w:fldCharType="separate"/>
        </w:r>
        <w:r w:rsidR="002C09C9">
          <w:rPr>
            <w:webHidden/>
          </w:rPr>
          <w:t>63</w:t>
        </w:r>
        <w:r w:rsidR="00645D54">
          <w:rPr>
            <w:webHidden/>
          </w:rPr>
          <w:fldChar w:fldCharType="end"/>
        </w:r>
      </w:hyperlink>
    </w:p>
    <w:p w14:paraId="55B5BD8A" w14:textId="7CA988F6" w:rsidR="00645D54" w:rsidRDefault="00FD3D82">
      <w:pPr>
        <w:pStyle w:val="TOC3"/>
        <w:rPr>
          <w:rFonts w:asciiTheme="minorHAnsi" w:eastAsiaTheme="minorEastAsia" w:hAnsiTheme="minorHAnsi" w:cstheme="minorBidi"/>
          <w:szCs w:val="22"/>
        </w:rPr>
      </w:pPr>
      <w:hyperlink w:anchor="_Toc129270508"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_Toc129270508 \h </w:instrText>
        </w:r>
        <w:r w:rsidR="00645D54">
          <w:rPr>
            <w:webHidden/>
          </w:rPr>
        </w:r>
        <w:r w:rsidR="00645D54">
          <w:rPr>
            <w:webHidden/>
          </w:rPr>
          <w:fldChar w:fldCharType="separate"/>
        </w:r>
        <w:r w:rsidR="002C09C9">
          <w:rPr>
            <w:webHidden/>
          </w:rPr>
          <w:t>63</w:t>
        </w:r>
        <w:r w:rsidR="00645D54">
          <w:rPr>
            <w:webHidden/>
          </w:rPr>
          <w:fldChar w:fldCharType="end"/>
        </w:r>
      </w:hyperlink>
    </w:p>
    <w:p w14:paraId="383527AE" w14:textId="627587AF" w:rsidR="00645D54" w:rsidRDefault="00FD3D82">
      <w:pPr>
        <w:pStyle w:val="TOC3"/>
        <w:rPr>
          <w:rFonts w:asciiTheme="minorHAnsi" w:eastAsiaTheme="minorEastAsia" w:hAnsiTheme="minorHAnsi" w:cstheme="minorBidi"/>
          <w:szCs w:val="22"/>
        </w:rPr>
      </w:pPr>
      <w:hyperlink w:anchor="_Toc129270509" w:history="1">
        <w:r w:rsidR="00645D54" w:rsidRPr="002C155F">
          <w:rPr>
            <w:rStyle w:val="Hyperlink"/>
          </w:rPr>
          <w:t>Table 5.2 Potential timeline of the CRIS and levies process for 2022</w:t>
        </w:r>
        <w:r w:rsidR="005D5A09">
          <w:rPr>
            <w:rStyle w:val="Hyperlink"/>
          </w:rPr>
          <w:t>–</w:t>
        </w:r>
        <w:r w:rsidR="00645D54" w:rsidRPr="002C155F">
          <w:rPr>
            <w:rStyle w:val="Hyperlink"/>
          </w:rPr>
          <w:t>23 onwards</w:t>
        </w:r>
        <w:r w:rsidR="00645D54">
          <w:rPr>
            <w:webHidden/>
          </w:rPr>
          <w:tab/>
        </w:r>
        <w:r w:rsidR="00645D54">
          <w:rPr>
            <w:webHidden/>
          </w:rPr>
          <w:fldChar w:fldCharType="begin"/>
        </w:r>
        <w:r w:rsidR="00645D54">
          <w:rPr>
            <w:webHidden/>
          </w:rPr>
          <w:instrText xml:space="preserve"> PAGEREF _Toc129270509 \h </w:instrText>
        </w:r>
        <w:r w:rsidR="00645D54">
          <w:rPr>
            <w:webHidden/>
          </w:rPr>
        </w:r>
        <w:r w:rsidR="00645D54">
          <w:rPr>
            <w:webHidden/>
          </w:rPr>
          <w:fldChar w:fldCharType="separate"/>
        </w:r>
        <w:r w:rsidR="002C09C9">
          <w:rPr>
            <w:webHidden/>
          </w:rPr>
          <w:t>64</w:t>
        </w:r>
        <w:r w:rsidR="00645D54">
          <w:rPr>
            <w:webHidden/>
          </w:rPr>
          <w:fldChar w:fldCharType="end"/>
        </w:r>
      </w:hyperlink>
    </w:p>
    <w:p w14:paraId="6A40222A" w14:textId="11B0B312" w:rsidR="00645D54" w:rsidRDefault="00FD3D82">
      <w:pPr>
        <w:pStyle w:val="TOC2"/>
        <w:rPr>
          <w:rFonts w:asciiTheme="minorHAnsi" w:eastAsiaTheme="minorEastAsia" w:hAnsiTheme="minorHAnsi" w:cstheme="minorBidi"/>
          <w:color w:val="auto"/>
          <w:szCs w:val="22"/>
        </w:rPr>
      </w:pPr>
      <w:hyperlink w:anchor="_Toc129270510" w:history="1">
        <w:r w:rsidR="00645D54" w:rsidRPr="002C155F">
          <w:rPr>
            <w:rStyle w:val="Hyperlink"/>
          </w:rPr>
          <w:t>Alignment of the CRIS with other corporate documents</w:t>
        </w:r>
        <w:r w:rsidR="00645D54">
          <w:rPr>
            <w:webHidden/>
          </w:rPr>
          <w:tab/>
        </w:r>
        <w:r w:rsidR="00645D54">
          <w:rPr>
            <w:webHidden/>
          </w:rPr>
          <w:fldChar w:fldCharType="begin"/>
        </w:r>
        <w:r w:rsidR="00645D54">
          <w:rPr>
            <w:webHidden/>
          </w:rPr>
          <w:instrText xml:space="preserve"> PAGEREF _Toc129270510 \h </w:instrText>
        </w:r>
        <w:r w:rsidR="00645D54">
          <w:rPr>
            <w:webHidden/>
          </w:rPr>
        </w:r>
        <w:r w:rsidR="00645D54">
          <w:rPr>
            <w:webHidden/>
          </w:rPr>
          <w:fldChar w:fldCharType="separate"/>
        </w:r>
        <w:r w:rsidR="002C09C9">
          <w:rPr>
            <w:webHidden/>
          </w:rPr>
          <w:t>65</w:t>
        </w:r>
        <w:r w:rsidR="00645D54">
          <w:rPr>
            <w:webHidden/>
          </w:rPr>
          <w:fldChar w:fldCharType="end"/>
        </w:r>
      </w:hyperlink>
    </w:p>
    <w:p w14:paraId="396B8AF0" w14:textId="1E22DED3" w:rsidR="00645D54" w:rsidRDefault="00FD3D82">
      <w:pPr>
        <w:pStyle w:val="TOC3"/>
        <w:rPr>
          <w:rFonts w:asciiTheme="minorHAnsi" w:eastAsiaTheme="minorEastAsia" w:hAnsiTheme="minorHAnsi" w:cstheme="minorBidi"/>
          <w:szCs w:val="22"/>
        </w:rPr>
      </w:pPr>
      <w:hyperlink w:anchor="_Toc129270511" w:history="1">
        <w:r w:rsidR="00645D54" w:rsidRPr="002C155F">
          <w:rPr>
            <w:rStyle w:val="Hyperlink"/>
          </w:rPr>
          <w:t>Phase 1 – Strategic planning (before the financial year)</w:t>
        </w:r>
        <w:r w:rsidR="00645D54">
          <w:rPr>
            <w:webHidden/>
          </w:rPr>
          <w:tab/>
        </w:r>
        <w:r w:rsidR="00645D54">
          <w:rPr>
            <w:webHidden/>
          </w:rPr>
          <w:fldChar w:fldCharType="begin"/>
        </w:r>
        <w:r w:rsidR="00645D54">
          <w:rPr>
            <w:webHidden/>
          </w:rPr>
          <w:instrText xml:space="preserve"> PAGEREF _Toc129270511 \h </w:instrText>
        </w:r>
        <w:r w:rsidR="00645D54">
          <w:rPr>
            <w:webHidden/>
          </w:rPr>
        </w:r>
        <w:r w:rsidR="00645D54">
          <w:rPr>
            <w:webHidden/>
          </w:rPr>
          <w:fldChar w:fldCharType="separate"/>
        </w:r>
        <w:r w:rsidR="002C09C9">
          <w:rPr>
            <w:webHidden/>
          </w:rPr>
          <w:t>66</w:t>
        </w:r>
        <w:r w:rsidR="00645D54">
          <w:rPr>
            <w:webHidden/>
          </w:rPr>
          <w:fldChar w:fldCharType="end"/>
        </w:r>
      </w:hyperlink>
    </w:p>
    <w:p w14:paraId="6DBDDF51" w14:textId="1AF954FF" w:rsidR="00645D54" w:rsidRDefault="00FD3D82">
      <w:pPr>
        <w:pStyle w:val="TOC3"/>
        <w:rPr>
          <w:rFonts w:asciiTheme="minorHAnsi" w:eastAsiaTheme="minorEastAsia" w:hAnsiTheme="minorHAnsi" w:cstheme="minorBidi"/>
          <w:szCs w:val="22"/>
        </w:rPr>
      </w:pPr>
      <w:hyperlink w:anchor="_Toc129270512" w:history="1">
        <w:r w:rsidR="00645D54" w:rsidRPr="002C155F">
          <w:rPr>
            <w:rStyle w:val="Hyperlink"/>
          </w:rPr>
          <w:t>Phase 2 – Ongoing regulation (during the financial year)</w:t>
        </w:r>
        <w:r w:rsidR="00645D54">
          <w:rPr>
            <w:webHidden/>
          </w:rPr>
          <w:tab/>
        </w:r>
        <w:r w:rsidR="00645D54">
          <w:rPr>
            <w:webHidden/>
          </w:rPr>
          <w:fldChar w:fldCharType="begin"/>
        </w:r>
        <w:r w:rsidR="00645D54">
          <w:rPr>
            <w:webHidden/>
          </w:rPr>
          <w:instrText xml:space="preserve"> PAGEREF _Toc129270512 \h </w:instrText>
        </w:r>
        <w:r w:rsidR="00645D54">
          <w:rPr>
            <w:webHidden/>
          </w:rPr>
        </w:r>
        <w:r w:rsidR="00645D54">
          <w:rPr>
            <w:webHidden/>
          </w:rPr>
          <w:fldChar w:fldCharType="separate"/>
        </w:r>
        <w:r w:rsidR="002C09C9">
          <w:rPr>
            <w:webHidden/>
          </w:rPr>
          <w:t>66</w:t>
        </w:r>
        <w:r w:rsidR="00645D54">
          <w:rPr>
            <w:webHidden/>
          </w:rPr>
          <w:fldChar w:fldCharType="end"/>
        </w:r>
      </w:hyperlink>
    </w:p>
    <w:p w14:paraId="282D273B" w14:textId="775288DE" w:rsidR="00645D54" w:rsidRDefault="00FD3D82">
      <w:pPr>
        <w:pStyle w:val="TOC3"/>
        <w:rPr>
          <w:rFonts w:asciiTheme="minorHAnsi" w:eastAsiaTheme="minorEastAsia" w:hAnsiTheme="minorHAnsi" w:cstheme="minorBidi"/>
          <w:szCs w:val="22"/>
        </w:rPr>
      </w:pPr>
      <w:hyperlink w:anchor="_Toc129270513" w:history="1">
        <w:r w:rsidR="00645D54" w:rsidRPr="002C155F">
          <w:rPr>
            <w:rStyle w:val="Hyperlink"/>
          </w:rPr>
          <w:t>Phase 3 – Performance analysis and outcomes (after the financial year)</w:t>
        </w:r>
        <w:r w:rsidR="00645D54">
          <w:rPr>
            <w:webHidden/>
          </w:rPr>
          <w:tab/>
        </w:r>
        <w:r w:rsidR="00645D54">
          <w:rPr>
            <w:webHidden/>
          </w:rPr>
          <w:fldChar w:fldCharType="begin"/>
        </w:r>
        <w:r w:rsidR="00645D54">
          <w:rPr>
            <w:webHidden/>
          </w:rPr>
          <w:instrText xml:space="preserve"> PAGEREF _Toc129270513 \h </w:instrText>
        </w:r>
        <w:r w:rsidR="00645D54">
          <w:rPr>
            <w:webHidden/>
          </w:rPr>
        </w:r>
        <w:r w:rsidR="00645D54">
          <w:rPr>
            <w:webHidden/>
          </w:rPr>
          <w:fldChar w:fldCharType="separate"/>
        </w:r>
        <w:r w:rsidR="002C09C9">
          <w:rPr>
            <w:webHidden/>
          </w:rPr>
          <w:t>66</w:t>
        </w:r>
        <w:r w:rsidR="00645D54">
          <w:rPr>
            <w:webHidden/>
          </w:rPr>
          <w:fldChar w:fldCharType="end"/>
        </w:r>
      </w:hyperlink>
    </w:p>
    <w:p w14:paraId="6746BF33" w14:textId="705A0CBA" w:rsidR="00645D54" w:rsidRDefault="00FD3D82">
      <w:pPr>
        <w:pStyle w:val="TOC3"/>
        <w:rPr>
          <w:rFonts w:asciiTheme="minorHAnsi" w:eastAsiaTheme="minorEastAsia" w:hAnsiTheme="minorHAnsi" w:cstheme="minorBidi"/>
          <w:szCs w:val="22"/>
        </w:rPr>
      </w:pPr>
      <w:hyperlink w:anchor="_Toc129270514" w:history="1">
        <w:r w:rsidR="00645D54" w:rsidRPr="002C155F">
          <w:rPr>
            <w:rStyle w:val="Hyperlink"/>
          </w:rPr>
          <w:t>Analysis and findings</w:t>
        </w:r>
        <w:r w:rsidR="00645D54">
          <w:rPr>
            <w:webHidden/>
          </w:rPr>
          <w:tab/>
        </w:r>
        <w:r w:rsidR="00645D54">
          <w:rPr>
            <w:webHidden/>
          </w:rPr>
          <w:fldChar w:fldCharType="begin"/>
        </w:r>
        <w:r w:rsidR="00645D54">
          <w:rPr>
            <w:webHidden/>
          </w:rPr>
          <w:instrText xml:space="preserve"> PAGEREF _Toc129270514 \h </w:instrText>
        </w:r>
        <w:r w:rsidR="00645D54">
          <w:rPr>
            <w:webHidden/>
          </w:rPr>
        </w:r>
        <w:r w:rsidR="00645D54">
          <w:rPr>
            <w:webHidden/>
          </w:rPr>
          <w:fldChar w:fldCharType="separate"/>
        </w:r>
        <w:r w:rsidR="002C09C9">
          <w:rPr>
            <w:webHidden/>
          </w:rPr>
          <w:t>66</w:t>
        </w:r>
        <w:r w:rsidR="00645D54">
          <w:rPr>
            <w:webHidden/>
          </w:rPr>
          <w:fldChar w:fldCharType="end"/>
        </w:r>
      </w:hyperlink>
    </w:p>
    <w:p w14:paraId="2021ED48" w14:textId="3084830E" w:rsidR="00645D54" w:rsidRDefault="00FD3D82">
      <w:pPr>
        <w:pStyle w:val="TOC1"/>
        <w:rPr>
          <w:rFonts w:asciiTheme="minorHAnsi" w:eastAsiaTheme="minorEastAsia" w:hAnsiTheme="minorHAnsi" w:cstheme="minorBidi"/>
          <w:b w:val="0"/>
          <w:color w:val="auto"/>
        </w:rPr>
      </w:pPr>
      <w:hyperlink w:anchor="_Toc129270515" w:history="1">
        <w:r w:rsidR="00645D54" w:rsidRPr="002C155F">
          <w:rPr>
            <w:rStyle w:val="Hyperlink"/>
            <w:lang w:eastAsia="en-US"/>
          </w:rPr>
          <w:t>Appendix A: ASIC IFM Framework</w:t>
        </w:r>
        <w:r w:rsidR="00645D54">
          <w:rPr>
            <w:webHidden/>
          </w:rPr>
          <w:tab/>
        </w:r>
        <w:r w:rsidR="00645D54">
          <w:rPr>
            <w:webHidden/>
          </w:rPr>
          <w:fldChar w:fldCharType="begin"/>
        </w:r>
        <w:r w:rsidR="00645D54">
          <w:rPr>
            <w:webHidden/>
          </w:rPr>
          <w:instrText xml:space="preserve"> PAGEREF _Toc129270515 \h </w:instrText>
        </w:r>
        <w:r w:rsidR="00645D54">
          <w:rPr>
            <w:webHidden/>
          </w:rPr>
        </w:r>
        <w:r w:rsidR="00645D54">
          <w:rPr>
            <w:webHidden/>
          </w:rPr>
          <w:fldChar w:fldCharType="separate"/>
        </w:r>
        <w:r w:rsidR="002C09C9">
          <w:rPr>
            <w:webHidden/>
          </w:rPr>
          <w:t>68</w:t>
        </w:r>
        <w:r w:rsidR="00645D54">
          <w:rPr>
            <w:webHidden/>
          </w:rPr>
          <w:fldChar w:fldCharType="end"/>
        </w:r>
      </w:hyperlink>
    </w:p>
    <w:p w14:paraId="5098B042" w14:textId="4D3E6975" w:rsidR="00645D54" w:rsidRDefault="00FD3D82">
      <w:pPr>
        <w:pStyle w:val="TOC2"/>
        <w:rPr>
          <w:rFonts w:asciiTheme="minorHAnsi" w:eastAsiaTheme="minorEastAsia" w:hAnsiTheme="minorHAnsi" w:cstheme="minorBidi"/>
          <w:color w:val="auto"/>
          <w:szCs w:val="22"/>
        </w:rPr>
      </w:pPr>
      <w:hyperlink w:anchor="_Toc129270516" w:history="1">
        <w:r w:rsidR="00645D54" w:rsidRPr="002C155F">
          <w:rPr>
            <w:rStyle w:val="Hyperlink"/>
            <w:lang w:eastAsia="en-US"/>
          </w:rPr>
          <w:t>Legislative framework</w:t>
        </w:r>
        <w:r w:rsidR="00645D54">
          <w:rPr>
            <w:webHidden/>
          </w:rPr>
          <w:tab/>
        </w:r>
        <w:r w:rsidR="00645D54">
          <w:rPr>
            <w:webHidden/>
          </w:rPr>
          <w:fldChar w:fldCharType="begin"/>
        </w:r>
        <w:r w:rsidR="00645D54">
          <w:rPr>
            <w:webHidden/>
          </w:rPr>
          <w:instrText xml:space="preserve"> PAGEREF _Toc129270516 \h </w:instrText>
        </w:r>
        <w:r w:rsidR="00645D54">
          <w:rPr>
            <w:webHidden/>
          </w:rPr>
        </w:r>
        <w:r w:rsidR="00645D54">
          <w:rPr>
            <w:webHidden/>
          </w:rPr>
          <w:fldChar w:fldCharType="separate"/>
        </w:r>
        <w:r w:rsidR="002C09C9">
          <w:rPr>
            <w:webHidden/>
          </w:rPr>
          <w:t>68</w:t>
        </w:r>
        <w:r w:rsidR="00645D54">
          <w:rPr>
            <w:webHidden/>
          </w:rPr>
          <w:fldChar w:fldCharType="end"/>
        </w:r>
      </w:hyperlink>
    </w:p>
    <w:p w14:paraId="0CAEAA4C" w14:textId="06DEFC09" w:rsidR="00645D54" w:rsidRDefault="00FD3D82">
      <w:pPr>
        <w:pStyle w:val="TOC3"/>
        <w:rPr>
          <w:rFonts w:asciiTheme="minorHAnsi" w:eastAsiaTheme="minorEastAsia" w:hAnsiTheme="minorHAnsi" w:cstheme="minorBidi"/>
          <w:szCs w:val="22"/>
        </w:rPr>
      </w:pPr>
      <w:hyperlink w:anchor="_Toc129270517" w:history="1">
        <w:r w:rsidR="00645D54" w:rsidRPr="002C155F">
          <w:rPr>
            <w:rStyle w:val="Hyperlink"/>
            <w:lang w:eastAsia="en-US"/>
          </w:rPr>
          <w:t>Industry funding levies (effective from 1 July 2017)</w:t>
        </w:r>
        <w:r w:rsidR="00645D54">
          <w:rPr>
            <w:webHidden/>
          </w:rPr>
          <w:tab/>
        </w:r>
        <w:r w:rsidR="00645D54">
          <w:rPr>
            <w:webHidden/>
          </w:rPr>
          <w:fldChar w:fldCharType="begin"/>
        </w:r>
        <w:r w:rsidR="00645D54">
          <w:rPr>
            <w:webHidden/>
          </w:rPr>
          <w:instrText xml:space="preserve"> PAGEREF _Toc129270517 \h </w:instrText>
        </w:r>
        <w:r w:rsidR="00645D54">
          <w:rPr>
            <w:webHidden/>
          </w:rPr>
        </w:r>
        <w:r w:rsidR="00645D54">
          <w:rPr>
            <w:webHidden/>
          </w:rPr>
          <w:fldChar w:fldCharType="separate"/>
        </w:r>
        <w:r w:rsidR="002C09C9">
          <w:rPr>
            <w:webHidden/>
          </w:rPr>
          <w:t>69</w:t>
        </w:r>
        <w:r w:rsidR="00645D54">
          <w:rPr>
            <w:webHidden/>
          </w:rPr>
          <w:fldChar w:fldCharType="end"/>
        </w:r>
      </w:hyperlink>
    </w:p>
    <w:p w14:paraId="23C7E2AE" w14:textId="0CDE3810" w:rsidR="00645D54" w:rsidRDefault="00FD3D82">
      <w:pPr>
        <w:pStyle w:val="TOC3"/>
        <w:rPr>
          <w:rFonts w:asciiTheme="minorHAnsi" w:eastAsiaTheme="minorEastAsia" w:hAnsiTheme="minorHAnsi" w:cstheme="minorBidi"/>
          <w:szCs w:val="22"/>
        </w:rPr>
      </w:pPr>
      <w:hyperlink w:anchor="_Toc129270518" w:history="1">
        <w:r w:rsidR="00645D54" w:rsidRPr="002C155F">
          <w:rPr>
            <w:rStyle w:val="Hyperlink"/>
            <w:lang w:eastAsia="en-US"/>
          </w:rPr>
          <w:t>Fees</w:t>
        </w:r>
        <w:r w:rsidR="00BD190B">
          <w:rPr>
            <w:rStyle w:val="Hyperlink"/>
            <w:lang w:eastAsia="en-US"/>
          </w:rPr>
          <w:noBreakHyphen/>
        </w:r>
        <w:r w:rsidR="00645D54" w:rsidRPr="002C155F">
          <w:rPr>
            <w:rStyle w:val="Hyperlink"/>
            <w:lang w:eastAsia="en-US"/>
          </w:rPr>
          <w:t>for</w:t>
        </w:r>
        <w:r w:rsidR="00BD190B">
          <w:rPr>
            <w:rStyle w:val="Hyperlink"/>
            <w:lang w:eastAsia="en-US"/>
          </w:rPr>
          <w:noBreakHyphen/>
        </w:r>
        <w:r w:rsidR="00645D54" w:rsidRPr="002C155F">
          <w:rPr>
            <w:rStyle w:val="Hyperlink"/>
            <w:lang w:eastAsia="en-US"/>
          </w:rPr>
          <w:t>service (effective from 4 July 2018)</w:t>
        </w:r>
        <w:r w:rsidR="00645D54">
          <w:rPr>
            <w:webHidden/>
          </w:rPr>
          <w:tab/>
        </w:r>
        <w:r w:rsidR="00645D54">
          <w:rPr>
            <w:webHidden/>
          </w:rPr>
          <w:fldChar w:fldCharType="begin"/>
        </w:r>
        <w:r w:rsidR="00645D54">
          <w:rPr>
            <w:webHidden/>
          </w:rPr>
          <w:instrText xml:space="preserve"> PAGEREF _Toc129270518 \h </w:instrText>
        </w:r>
        <w:r w:rsidR="00645D54">
          <w:rPr>
            <w:webHidden/>
          </w:rPr>
        </w:r>
        <w:r w:rsidR="00645D54">
          <w:rPr>
            <w:webHidden/>
          </w:rPr>
          <w:fldChar w:fldCharType="separate"/>
        </w:r>
        <w:r w:rsidR="002C09C9">
          <w:rPr>
            <w:webHidden/>
          </w:rPr>
          <w:t>70</w:t>
        </w:r>
        <w:r w:rsidR="00645D54">
          <w:rPr>
            <w:webHidden/>
          </w:rPr>
          <w:fldChar w:fldCharType="end"/>
        </w:r>
      </w:hyperlink>
    </w:p>
    <w:p w14:paraId="464FE21C" w14:textId="21B117D0" w:rsidR="00645D54" w:rsidRDefault="00FD3D82">
      <w:pPr>
        <w:pStyle w:val="TOC2"/>
        <w:rPr>
          <w:rFonts w:asciiTheme="minorHAnsi" w:eastAsiaTheme="minorEastAsia" w:hAnsiTheme="minorHAnsi" w:cstheme="minorBidi"/>
          <w:color w:val="auto"/>
          <w:szCs w:val="22"/>
        </w:rPr>
      </w:pPr>
      <w:hyperlink w:anchor="_Toc129270519" w:history="1">
        <w:r w:rsidR="00645D54" w:rsidRPr="002C155F">
          <w:rPr>
            <w:rStyle w:val="Hyperlink"/>
            <w:lang w:eastAsia="en-US"/>
          </w:rPr>
          <w:t>Charging Framework</w:t>
        </w:r>
        <w:r w:rsidR="00645D54">
          <w:rPr>
            <w:webHidden/>
          </w:rPr>
          <w:tab/>
        </w:r>
        <w:r w:rsidR="00645D54">
          <w:rPr>
            <w:webHidden/>
          </w:rPr>
          <w:fldChar w:fldCharType="begin"/>
        </w:r>
        <w:r w:rsidR="00645D54">
          <w:rPr>
            <w:webHidden/>
          </w:rPr>
          <w:instrText xml:space="preserve"> PAGEREF _Toc129270519 \h </w:instrText>
        </w:r>
        <w:r w:rsidR="00645D54">
          <w:rPr>
            <w:webHidden/>
          </w:rPr>
        </w:r>
        <w:r w:rsidR="00645D54">
          <w:rPr>
            <w:webHidden/>
          </w:rPr>
          <w:fldChar w:fldCharType="separate"/>
        </w:r>
        <w:r w:rsidR="002C09C9">
          <w:rPr>
            <w:webHidden/>
          </w:rPr>
          <w:t>71</w:t>
        </w:r>
        <w:r w:rsidR="00645D54">
          <w:rPr>
            <w:webHidden/>
          </w:rPr>
          <w:fldChar w:fldCharType="end"/>
        </w:r>
      </w:hyperlink>
    </w:p>
    <w:p w14:paraId="01A22F28" w14:textId="59BC50AE" w:rsidR="00645D54" w:rsidRDefault="00FD3D82">
      <w:pPr>
        <w:pStyle w:val="TOC3"/>
        <w:rPr>
          <w:rFonts w:asciiTheme="minorHAnsi" w:eastAsiaTheme="minorEastAsia" w:hAnsiTheme="minorHAnsi" w:cstheme="minorBidi"/>
          <w:szCs w:val="22"/>
        </w:rPr>
      </w:pPr>
      <w:hyperlink w:anchor="_Toc129270520" w:history="1">
        <w:r w:rsidR="00645D54" w:rsidRPr="002C155F">
          <w:rPr>
            <w:rStyle w:val="Hyperlink"/>
            <w:lang w:eastAsia="en-US"/>
          </w:rPr>
          <w:t>CRIS requirements</w:t>
        </w:r>
        <w:r w:rsidR="00645D54">
          <w:rPr>
            <w:webHidden/>
          </w:rPr>
          <w:tab/>
        </w:r>
        <w:r w:rsidR="00645D54">
          <w:rPr>
            <w:webHidden/>
          </w:rPr>
          <w:fldChar w:fldCharType="begin"/>
        </w:r>
        <w:r w:rsidR="00645D54">
          <w:rPr>
            <w:webHidden/>
          </w:rPr>
          <w:instrText xml:space="preserve"> PAGEREF _Toc129270520 \h </w:instrText>
        </w:r>
        <w:r w:rsidR="00645D54">
          <w:rPr>
            <w:webHidden/>
          </w:rPr>
        </w:r>
        <w:r w:rsidR="00645D54">
          <w:rPr>
            <w:webHidden/>
          </w:rPr>
          <w:fldChar w:fldCharType="separate"/>
        </w:r>
        <w:r w:rsidR="002C09C9">
          <w:rPr>
            <w:webHidden/>
          </w:rPr>
          <w:t>72</w:t>
        </w:r>
        <w:r w:rsidR="00645D54">
          <w:rPr>
            <w:webHidden/>
          </w:rPr>
          <w:fldChar w:fldCharType="end"/>
        </w:r>
      </w:hyperlink>
    </w:p>
    <w:p w14:paraId="45F7C2FC" w14:textId="6E484AFE" w:rsidR="00645D54" w:rsidRDefault="00FD3D82">
      <w:pPr>
        <w:pStyle w:val="TOC2"/>
        <w:rPr>
          <w:rFonts w:asciiTheme="minorHAnsi" w:eastAsiaTheme="minorEastAsia" w:hAnsiTheme="minorHAnsi" w:cstheme="minorBidi"/>
          <w:color w:val="auto"/>
          <w:szCs w:val="22"/>
        </w:rPr>
      </w:pPr>
      <w:hyperlink w:anchor="_Toc129270521" w:history="1">
        <w:r w:rsidR="00645D54" w:rsidRPr="002C155F">
          <w:rPr>
            <w:rStyle w:val="Hyperlink"/>
            <w:lang w:eastAsia="en-US"/>
          </w:rPr>
          <w:t>Objectives of the IFM</w:t>
        </w:r>
        <w:r w:rsidR="00645D54">
          <w:rPr>
            <w:webHidden/>
          </w:rPr>
          <w:tab/>
        </w:r>
        <w:r w:rsidR="00645D54">
          <w:rPr>
            <w:webHidden/>
          </w:rPr>
          <w:fldChar w:fldCharType="begin"/>
        </w:r>
        <w:r w:rsidR="00645D54">
          <w:rPr>
            <w:webHidden/>
          </w:rPr>
          <w:instrText xml:space="preserve"> PAGEREF _Toc129270521 \h </w:instrText>
        </w:r>
        <w:r w:rsidR="00645D54">
          <w:rPr>
            <w:webHidden/>
          </w:rPr>
        </w:r>
        <w:r w:rsidR="00645D54">
          <w:rPr>
            <w:webHidden/>
          </w:rPr>
          <w:fldChar w:fldCharType="separate"/>
        </w:r>
        <w:r w:rsidR="002C09C9">
          <w:rPr>
            <w:webHidden/>
          </w:rPr>
          <w:t>73</w:t>
        </w:r>
        <w:r w:rsidR="00645D54">
          <w:rPr>
            <w:webHidden/>
          </w:rPr>
          <w:fldChar w:fldCharType="end"/>
        </w:r>
      </w:hyperlink>
    </w:p>
    <w:p w14:paraId="4D0012E4" w14:textId="3911AADE" w:rsidR="00645D54" w:rsidRDefault="00FD3D82">
      <w:pPr>
        <w:pStyle w:val="TOC1"/>
        <w:rPr>
          <w:rFonts w:asciiTheme="minorHAnsi" w:eastAsiaTheme="minorEastAsia" w:hAnsiTheme="minorHAnsi" w:cstheme="minorBidi"/>
          <w:b w:val="0"/>
          <w:color w:val="auto"/>
        </w:rPr>
      </w:pPr>
      <w:hyperlink w:anchor="_Toc129270522" w:history="1">
        <w:r w:rsidR="00645D54" w:rsidRPr="002C155F">
          <w:rPr>
            <w:rStyle w:val="Hyperlink"/>
            <w:lang w:eastAsia="en-US"/>
          </w:rPr>
          <w:t>Appendix B: Cost recovery decision</w:t>
        </w:r>
        <w:r w:rsidR="00BD190B">
          <w:rPr>
            <w:rStyle w:val="Hyperlink"/>
            <w:lang w:eastAsia="en-US"/>
          </w:rPr>
          <w:noBreakHyphen/>
        </w:r>
        <w:r w:rsidR="00645D54" w:rsidRPr="002C155F">
          <w:rPr>
            <w:rStyle w:val="Hyperlink"/>
            <w:lang w:eastAsia="en-US"/>
          </w:rPr>
          <w:t>making process</w:t>
        </w:r>
        <w:r w:rsidR="00645D54">
          <w:rPr>
            <w:webHidden/>
          </w:rPr>
          <w:tab/>
        </w:r>
        <w:r w:rsidR="00645D54">
          <w:rPr>
            <w:webHidden/>
          </w:rPr>
          <w:fldChar w:fldCharType="begin"/>
        </w:r>
        <w:r w:rsidR="00645D54">
          <w:rPr>
            <w:webHidden/>
          </w:rPr>
          <w:instrText xml:space="preserve"> PAGEREF _Toc129270522 \h </w:instrText>
        </w:r>
        <w:r w:rsidR="00645D54">
          <w:rPr>
            <w:webHidden/>
          </w:rPr>
        </w:r>
        <w:r w:rsidR="00645D54">
          <w:rPr>
            <w:webHidden/>
          </w:rPr>
          <w:fldChar w:fldCharType="separate"/>
        </w:r>
        <w:r w:rsidR="002C09C9">
          <w:rPr>
            <w:webHidden/>
          </w:rPr>
          <w:t>74</w:t>
        </w:r>
        <w:r w:rsidR="00645D54">
          <w:rPr>
            <w:webHidden/>
          </w:rPr>
          <w:fldChar w:fldCharType="end"/>
        </w:r>
      </w:hyperlink>
    </w:p>
    <w:p w14:paraId="26E32AEC" w14:textId="77777777" w:rsidR="00F836F9" w:rsidRDefault="000E0B74" w:rsidP="0056582C">
      <w:pPr>
        <w:pStyle w:val="SingleParagraph"/>
        <w:ind w:right="-2"/>
      </w:pPr>
      <w:r>
        <w:fldChar w:fldCharType="end"/>
      </w:r>
      <w:bookmarkStart w:id="2" w:name="_Toc432067103"/>
      <w:bookmarkStart w:id="3" w:name="_Toc452635030"/>
    </w:p>
    <w:p w14:paraId="66BF610D" w14:textId="77777777" w:rsidR="00B775EE" w:rsidRDefault="00B775EE" w:rsidP="0056582C">
      <w:pPr>
        <w:pStyle w:val="SingleParagraph"/>
        <w:ind w:right="-2"/>
        <w:rPr>
          <w:b/>
          <w:bCs/>
        </w:rPr>
      </w:pPr>
    </w:p>
    <w:p w14:paraId="0DC9A230" w14:textId="77777777" w:rsidR="005255FD" w:rsidRPr="005255FD" w:rsidRDefault="005255FD" w:rsidP="005255FD"/>
    <w:p w14:paraId="732908CE" w14:textId="77777777" w:rsidR="005255FD" w:rsidRPr="005255FD" w:rsidRDefault="005255FD" w:rsidP="005255FD"/>
    <w:p w14:paraId="2BC475F8" w14:textId="77777777" w:rsidR="005255FD" w:rsidRPr="005255FD" w:rsidRDefault="005255FD" w:rsidP="005255FD"/>
    <w:p w14:paraId="59BDA888" w14:textId="51FC7962" w:rsidR="005255FD" w:rsidRDefault="005255FD" w:rsidP="005255FD">
      <w:pPr>
        <w:tabs>
          <w:tab w:val="left" w:pos="1386"/>
        </w:tabs>
        <w:rPr>
          <w:b/>
          <w:bCs/>
        </w:rPr>
      </w:pPr>
      <w:r>
        <w:rPr>
          <w:b/>
          <w:bCs/>
        </w:rPr>
        <w:tab/>
      </w:r>
    </w:p>
    <w:p w14:paraId="73F273CD" w14:textId="0C96AA32" w:rsidR="005255FD" w:rsidRPr="005255FD" w:rsidRDefault="005255FD" w:rsidP="005255FD">
      <w:pPr>
        <w:tabs>
          <w:tab w:val="left" w:pos="1386"/>
        </w:tabs>
        <w:sectPr w:rsidR="005255FD" w:rsidRPr="005255FD" w:rsidSect="00164599">
          <w:headerReference w:type="even" r:id="rId18"/>
          <w:headerReference w:type="default" r:id="rId19"/>
          <w:footerReference w:type="even" r:id="rId20"/>
          <w:footerReference w:type="default" r:id="rId21"/>
          <w:headerReference w:type="first" r:id="rId22"/>
          <w:footerReference w:type="first" r:id="rId23"/>
          <w:pgSz w:w="11906" w:h="16838" w:code="9"/>
          <w:pgMar w:top="1843" w:right="1418" w:bottom="1418" w:left="1418" w:header="709" w:footer="709" w:gutter="0"/>
          <w:pgNumType w:fmt="lowerRoman" w:start="3"/>
          <w:cols w:space="708"/>
          <w:titlePg/>
          <w:docGrid w:linePitch="360"/>
        </w:sectPr>
      </w:pPr>
      <w:r>
        <w:tab/>
      </w:r>
    </w:p>
    <w:p w14:paraId="37517808" w14:textId="77777777" w:rsidR="00533AC3" w:rsidRDefault="00533AC3" w:rsidP="00533AC3">
      <w:pPr>
        <w:pStyle w:val="Heading1"/>
      </w:pPr>
      <w:bookmarkStart w:id="4" w:name="_Toc125305148"/>
      <w:bookmarkStart w:id="5" w:name="_Toc129270416"/>
      <w:bookmarkEnd w:id="2"/>
      <w:bookmarkEnd w:id="3"/>
      <w:r>
        <w:lastRenderedPageBreak/>
        <w:t>Terms of Reference</w:t>
      </w:r>
      <w:bookmarkEnd w:id="4"/>
      <w:bookmarkEnd w:id="5"/>
    </w:p>
    <w:p w14:paraId="4B76AEC9" w14:textId="77777777" w:rsidR="00533AC3" w:rsidRPr="001E67E6" w:rsidRDefault="00533AC3" w:rsidP="00533AC3">
      <w:pPr>
        <w:pStyle w:val="Heading2"/>
      </w:pPr>
      <w:bookmarkStart w:id="6" w:name="_Toc125305149"/>
      <w:bookmarkStart w:id="7" w:name="_Toc129270417"/>
      <w:bookmarkStart w:id="8" w:name="_Hlk98230112"/>
      <w:r w:rsidRPr="001E67E6">
        <w:t>Purpose of the Review</w:t>
      </w:r>
      <w:bookmarkEnd w:id="6"/>
      <w:bookmarkEnd w:id="7"/>
    </w:p>
    <w:p w14:paraId="231C33BB" w14:textId="77777777" w:rsidR="00533AC3" w:rsidRPr="001E67E6" w:rsidRDefault="00533AC3" w:rsidP="00533AC3">
      <w:pPr>
        <w:rPr>
          <w:rFonts w:cs="Calibri Light"/>
          <w:szCs w:val="22"/>
        </w:rPr>
      </w:pPr>
      <w:bookmarkStart w:id="9" w:name="_Hlk98230199"/>
      <w:r w:rsidRPr="001E67E6">
        <w:rPr>
          <w:rFonts w:cs="Calibri Light"/>
          <w:szCs w:val="22"/>
        </w:rPr>
        <w:t>The Australian Securities and Investments Commission (ASIC) Industry Funding Model (IFM) commenced in July 2017, following a recommendation of the Financial System Inquiry that the Government introduce a cost recovery model for ASIC.</w:t>
      </w:r>
    </w:p>
    <w:p w14:paraId="7F95B895" w14:textId="1B97A31C" w:rsidR="00DE6099" w:rsidRPr="001E67E6" w:rsidRDefault="00DE6099" w:rsidP="00DE6099">
      <w:pPr>
        <w:shd w:val="clear" w:color="auto" w:fill="FFFFFF"/>
        <w:spacing w:before="100" w:beforeAutospacing="1" w:after="100" w:afterAutospacing="1"/>
        <w:rPr>
          <w:rFonts w:cs="Calibri Light"/>
          <w:szCs w:val="22"/>
        </w:rPr>
      </w:pPr>
      <w:r w:rsidRPr="001E67E6">
        <w:rPr>
          <w:rFonts w:cs="Calibri Light"/>
          <w:szCs w:val="22"/>
        </w:rPr>
        <w:t xml:space="preserve">The IFM is intended to meet the </w:t>
      </w:r>
      <w:r>
        <w:rPr>
          <w:rFonts w:cs="Calibri Light"/>
          <w:szCs w:val="22"/>
        </w:rPr>
        <w:t>Australian Government</w:t>
      </w:r>
      <w:r w:rsidR="00BD190B">
        <w:rPr>
          <w:rFonts w:cs="Calibri Light"/>
          <w:szCs w:val="22"/>
        </w:rPr>
        <w:t>’</w:t>
      </w:r>
      <w:r>
        <w:rPr>
          <w:rFonts w:cs="Calibri Light"/>
          <w:szCs w:val="22"/>
        </w:rPr>
        <w:t>s</w:t>
      </w:r>
      <w:r w:rsidRPr="001E67E6">
        <w:rPr>
          <w:rFonts w:cs="Calibri Light"/>
          <w:szCs w:val="22"/>
        </w:rPr>
        <w:t xml:space="preserve"> 2015 Charging Framework</w:t>
      </w:r>
      <w:r w:rsidRPr="00BD2BDF">
        <w:rPr>
          <w:rStyle w:val="FootnoteReference"/>
          <w:rFonts w:cs="Calibri Light"/>
          <w:szCs w:val="22"/>
          <w:vertAlign w:val="superscript"/>
        </w:rPr>
        <w:footnoteReference w:id="2"/>
      </w:r>
      <w:r w:rsidRPr="00BD2BDF">
        <w:rPr>
          <w:rFonts w:cs="Calibri Light"/>
          <w:szCs w:val="22"/>
          <w:vertAlign w:val="superscript"/>
        </w:rPr>
        <w:t xml:space="preserve"> </w:t>
      </w:r>
      <w:r w:rsidRPr="001E67E6">
        <w:rPr>
          <w:rFonts w:cs="Calibri Light"/>
          <w:szCs w:val="22"/>
        </w:rPr>
        <w:t>objectives, requirements</w:t>
      </w:r>
      <w:r w:rsidR="00A939B8">
        <w:rPr>
          <w:rFonts w:cs="Calibri Light"/>
          <w:szCs w:val="22"/>
        </w:rPr>
        <w:t xml:space="preserve"> and</w:t>
      </w:r>
      <w:r>
        <w:rPr>
          <w:rFonts w:cs="Calibri Light"/>
          <w:szCs w:val="22"/>
        </w:rPr>
        <w:t xml:space="preserve"> </w:t>
      </w:r>
      <w:r w:rsidRPr="001E67E6">
        <w:rPr>
          <w:rFonts w:cs="Calibri Light"/>
          <w:szCs w:val="22"/>
        </w:rPr>
        <w:t>Charging Policy Statement.</w:t>
      </w:r>
      <w:r w:rsidRPr="00BD2BDF">
        <w:rPr>
          <w:rStyle w:val="FootnoteReference"/>
          <w:rFonts w:cs="Calibri Light"/>
          <w:sz w:val="22"/>
          <w:szCs w:val="22"/>
          <w:vertAlign w:val="superscript"/>
        </w:rPr>
        <w:footnoteReference w:id="3"/>
      </w:r>
      <w:r w:rsidRPr="001E67E6">
        <w:rPr>
          <w:rFonts w:cs="Calibri Light"/>
          <w:szCs w:val="22"/>
        </w:rPr>
        <w:t xml:space="preserve"> </w:t>
      </w:r>
    </w:p>
    <w:p w14:paraId="7792A680" w14:textId="2F42003C" w:rsidR="00533AC3" w:rsidRPr="001E67E6" w:rsidRDefault="00533AC3" w:rsidP="00533AC3">
      <w:pPr>
        <w:shd w:val="clear" w:color="auto" w:fill="FFFFFF"/>
        <w:spacing w:before="100" w:beforeAutospacing="1" w:after="100" w:afterAutospacing="1"/>
        <w:rPr>
          <w:rFonts w:cs="Calibri Light"/>
          <w:szCs w:val="22"/>
        </w:rPr>
      </w:pPr>
      <w:r w:rsidRPr="001E67E6">
        <w:rPr>
          <w:rFonts w:cs="Calibri Light"/>
          <w:szCs w:val="22"/>
        </w:rPr>
        <w:t>In addition, Governments</w:t>
      </w:r>
      <w:r w:rsidR="00BD190B">
        <w:rPr>
          <w:rFonts w:cs="Calibri Light"/>
          <w:szCs w:val="22"/>
        </w:rPr>
        <w:t>’</w:t>
      </w:r>
      <w:r w:rsidRPr="001E67E6">
        <w:rPr>
          <w:rFonts w:cs="Calibri Light"/>
          <w:szCs w:val="22"/>
        </w:rPr>
        <w:t xml:space="preserve"> long</w:t>
      </w:r>
      <w:r w:rsidR="00BD190B">
        <w:rPr>
          <w:rFonts w:cs="Calibri Light"/>
          <w:szCs w:val="22"/>
        </w:rPr>
        <w:noBreakHyphen/>
      </w:r>
      <w:r w:rsidRPr="001E67E6">
        <w:rPr>
          <w:rFonts w:cs="Calibri Light"/>
          <w:szCs w:val="22"/>
        </w:rPr>
        <w:t>standing position is that cost recovery fees and levies attributable to regulated activity are considered as a funding mechanism prior to statutory charges (taxation) or budget funding.</w:t>
      </w:r>
    </w:p>
    <w:p w14:paraId="500A6314" w14:textId="6EC81A36" w:rsidR="00533AC3" w:rsidRPr="001E67E6" w:rsidRDefault="00533AC3" w:rsidP="00B8458C">
      <w:pPr>
        <w:shd w:val="clear" w:color="auto" w:fill="FFFFFF"/>
        <w:spacing w:before="100" w:beforeAutospacing="1" w:after="100" w:afterAutospacing="1"/>
        <w:rPr>
          <w:rFonts w:cs="Calibri Light"/>
          <w:szCs w:val="22"/>
        </w:rPr>
      </w:pPr>
      <w:r w:rsidRPr="001E67E6">
        <w:rPr>
          <w:rFonts w:cs="Calibri Light"/>
          <w:szCs w:val="22"/>
        </w:rPr>
        <w:t>The IFM determines which costs incurred by ASIC are recovered from which regulated sub</w:t>
      </w:r>
      <w:r w:rsidR="00BD190B">
        <w:rPr>
          <w:rFonts w:cs="Calibri Light"/>
          <w:szCs w:val="22"/>
        </w:rPr>
        <w:noBreakHyphen/>
      </w:r>
      <w:r w:rsidRPr="001E67E6">
        <w:rPr>
          <w:rFonts w:cs="Calibri Light"/>
          <w:szCs w:val="22"/>
        </w:rPr>
        <w:t>sectors, such that the cost is met by entities in the sub</w:t>
      </w:r>
      <w:r w:rsidR="00BD190B">
        <w:rPr>
          <w:rFonts w:cs="Calibri Light"/>
          <w:szCs w:val="22"/>
        </w:rPr>
        <w:noBreakHyphen/>
      </w:r>
      <w:r w:rsidRPr="001E67E6">
        <w:rPr>
          <w:rFonts w:cs="Calibri Light"/>
          <w:szCs w:val="22"/>
        </w:rPr>
        <w:t>sectors that create the need for regulation. Prior to the introduction of the IFM, ASIC was primarily funded by taxpayers through government appropriations. Costs are recovered in proportion to the costs incurred by ASIC in respect of each regulated sub</w:t>
      </w:r>
      <w:r w:rsidR="00BD190B">
        <w:rPr>
          <w:rFonts w:cs="Calibri Light"/>
          <w:szCs w:val="22"/>
        </w:rPr>
        <w:noBreakHyphen/>
      </w:r>
      <w:r w:rsidRPr="001E67E6">
        <w:rPr>
          <w:rFonts w:cs="Calibri Light"/>
          <w:szCs w:val="22"/>
        </w:rPr>
        <w:t>sector. Under the IFM, costs are recovered through a combination of cost recovery levies, cost recovery regulatory fees</w:t>
      </w:r>
      <w:r w:rsidR="00BD190B">
        <w:rPr>
          <w:rFonts w:cs="Calibri Light"/>
          <w:szCs w:val="22"/>
        </w:rPr>
        <w:noBreakHyphen/>
      </w:r>
      <w:r w:rsidRPr="001E67E6">
        <w:rPr>
          <w:rFonts w:cs="Calibri Light"/>
          <w:szCs w:val="22"/>
        </w:rPr>
        <w:t>for</w:t>
      </w:r>
      <w:r w:rsidR="00BD190B">
        <w:rPr>
          <w:rFonts w:cs="Calibri Light"/>
          <w:szCs w:val="22"/>
        </w:rPr>
        <w:noBreakHyphen/>
      </w:r>
      <w:r w:rsidRPr="001E67E6">
        <w:rPr>
          <w:rFonts w:cs="Calibri Light"/>
          <w:szCs w:val="22"/>
        </w:rPr>
        <w:t>service, and statutory levies/charges.</w:t>
      </w:r>
    </w:p>
    <w:p w14:paraId="3987C35E" w14:textId="77777777" w:rsidR="00533AC3" w:rsidRPr="001E67E6" w:rsidRDefault="00533AC3" w:rsidP="00B8458C">
      <w:pPr>
        <w:shd w:val="clear" w:color="auto" w:fill="FFFFFF"/>
        <w:spacing w:before="100" w:beforeAutospacing="1" w:after="100" w:afterAutospacing="1"/>
        <w:rPr>
          <w:rFonts w:cs="Calibri Light"/>
          <w:szCs w:val="22"/>
        </w:rPr>
      </w:pPr>
      <w:r w:rsidRPr="001E67E6">
        <w:rPr>
          <w:rFonts w:cs="Calibri Light"/>
          <w:szCs w:val="22"/>
        </w:rPr>
        <w:t xml:space="preserve">The Government is committed to maintaining appropriate industry funding arrangements for ASIC. Treasury will lead the review in consultation with ASIC, Department of Finance and the Department of the Prime Minister and Cabinet to ensure the settings of the IFM remain appropriate in the longer term. </w:t>
      </w:r>
    </w:p>
    <w:p w14:paraId="285EC378" w14:textId="2B60BF26" w:rsidR="00533AC3" w:rsidRPr="001E67E6" w:rsidRDefault="00533AC3" w:rsidP="00B8458C">
      <w:pPr>
        <w:shd w:val="clear" w:color="auto" w:fill="FFFFFF"/>
        <w:spacing w:before="100" w:beforeAutospacing="1" w:after="100" w:afterAutospacing="1"/>
        <w:rPr>
          <w:rFonts w:cs="Calibri Light"/>
          <w:szCs w:val="22"/>
        </w:rPr>
      </w:pPr>
      <w:r w:rsidRPr="001E67E6">
        <w:rPr>
          <w:rFonts w:cs="Calibri Light"/>
          <w:szCs w:val="22"/>
        </w:rPr>
        <w:t>It is appropriate to review the IFM at this point given it has now been in place for five years, and over this period there has been substantial regulatory and structural changes within industry sectors resulting in increased cost pressures within certain sub</w:t>
      </w:r>
      <w:r w:rsidR="00BD190B">
        <w:rPr>
          <w:rFonts w:cs="Calibri Light"/>
          <w:szCs w:val="22"/>
        </w:rPr>
        <w:noBreakHyphen/>
      </w:r>
      <w:r w:rsidRPr="001E67E6">
        <w:rPr>
          <w:rFonts w:cs="Calibri Light"/>
          <w:szCs w:val="22"/>
        </w:rPr>
        <w:t>sectors.</w:t>
      </w:r>
    </w:p>
    <w:p w14:paraId="567D8FA9" w14:textId="430E1227" w:rsidR="00533AC3" w:rsidRPr="00B8458C" w:rsidRDefault="00533AC3" w:rsidP="00B8458C">
      <w:pPr>
        <w:shd w:val="clear" w:color="auto" w:fill="FFFFFF"/>
        <w:spacing w:before="100" w:beforeAutospacing="1" w:after="100" w:afterAutospacing="1"/>
        <w:rPr>
          <w:rFonts w:cs="Calibri Light"/>
          <w:szCs w:val="22"/>
        </w:rPr>
      </w:pPr>
      <w:r w:rsidRPr="00B8458C">
        <w:rPr>
          <w:rFonts w:cs="Calibri Light"/>
          <w:szCs w:val="22"/>
        </w:rPr>
        <w:t xml:space="preserve">The Review </w:t>
      </w:r>
      <w:r w:rsidR="395E3659" w:rsidRPr="00B8458C">
        <w:rPr>
          <w:rFonts w:cs="Calibri Light"/>
          <w:szCs w:val="22"/>
        </w:rPr>
        <w:t xml:space="preserve">is </w:t>
      </w:r>
      <w:r w:rsidRPr="00B8458C">
        <w:rPr>
          <w:rFonts w:cs="Calibri Light"/>
          <w:szCs w:val="22"/>
        </w:rPr>
        <w:t>forward looking and focused on identifying any changes to the IFM that may be required to ensure the settings remain appropriate.</w:t>
      </w:r>
    </w:p>
    <w:p w14:paraId="0628E408" w14:textId="77777777" w:rsidR="0099243D" w:rsidRPr="00B8458C" w:rsidRDefault="0099243D" w:rsidP="00B8458C">
      <w:pPr>
        <w:rPr>
          <w:rFonts w:cs="Calibri Light"/>
          <w:szCs w:val="22"/>
        </w:rPr>
      </w:pPr>
      <w:bookmarkStart w:id="10" w:name="_Toc125305150"/>
      <w:bookmarkEnd w:id="8"/>
      <w:bookmarkEnd w:id="9"/>
      <w:r w:rsidRPr="00B8458C">
        <w:rPr>
          <w:rFonts w:cs="Calibri Light"/>
          <w:szCs w:val="22"/>
        </w:rPr>
        <w:br w:type="page"/>
      </w:r>
    </w:p>
    <w:p w14:paraId="29FD21A9" w14:textId="33DB7BCB" w:rsidR="00533AC3" w:rsidRPr="001E67E6" w:rsidRDefault="00533AC3" w:rsidP="00533AC3">
      <w:pPr>
        <w:pStyle w:val="Heading2"/>
      </w:pPr>
      <w:bookmarkStart w:id="11" w:name="_Toc129270418"/>
      <w:r w:rsidRPr="001E67E6">
        <w:lastRenderedPageBreak/>
        <w:t>Scope of the Review</w:t>
      </w:r>
      <w:bookmarkEnd w:id="10"/>
      <w:bookmarkEnd w:id="11"/>
    </w:p>
    <w:p w14:paraId="6F010D02" w14:textId="17921C43" w:rsidR="00533AC3" w:rsidRPr="001E67E6" w:rsidRDefault="00533AC3" w:rsidP="003E3ADD">
      <w:pPr>
        <w:pStyle w:val="ListParagraph"/>
        <w:numPr>
          <w:ilvl w:val="0"/>
          <w:numId w:val="12"/>
        </w:numPr>
        <w:spacing w:before="0" w:after="160"/>
        <w:ind w:left="340" w:hanging="340"/>
        <w:rPr>
          <w:rFonts w:cs="Calibri Light"/>
        </w:rPr>
      </w:pPr>
      <w:bookmarkStart w:id="12" w:name="_Hlk98230182"/>
      <w:r w:rsidRPr="617A4781">
        <w:rPr>
          <w:rFonts w:cs="Calibri Light"/>
        </w:rPr>
        <w:t>The Review will consider and, where appropriate, make recommendations regarding:</w:t>
      </w:r>
    </w:p>
    <w:p w14:paraId="165D03E9" w14:textId="4FB6FD64" w:rsidR="00533AC3" w:rsidRPr="001E67E6" w:rsidRDefault="00533AC3" w:rsidP="003F3914">
      <w:pPr>
        <w:pStyle w:val="ListParagraph"/>
        <w:numPr>
          <w:ilvl w:val="1"/>
          <w:numId w:val="12"/>
        </w:numPr>
        <w:spacing w:before="0"/>
        <w:ind w:left="680" w:hanging="340"/>
        <w:contextualSpacing w:val="0"/>
        <w:rPr>
          <w:rFonts w:cs="Calibri Light"/>
          <w:szCs w:val="22"/>
        </w:rPr>
      </w:pPr>
      <w:r w:rsidRPr="001E67E6">
        <w:rPr>
          <w:rFonts w:cs="Calibri Light"/>
          <w:szCs w:val="22"/>
        </w:rPr>
        <w:t>The types of costs and nature of ASIC</w:t>
      </w:r>
      <w:r w:rsidR="00BD190B">
        <w:rPr>
          <w:rFonts w:cs="Calibri Light"/>
          <w:szCs w:val="22"/>
        </w:rPr>
        <w:t>’</w:t>
      </w:r>
      <w:r w:rsidRPr="001E67E6">
        <w:rPr>
          <w:rFonts w:cs="Calibri Light"/>
          <w:szCs w:val="22"/>
        </w:rPr>
        <w:t>s activities that are recovered from industry, how those costs are recovered and who they are recovered from. This will include considering costs recovered through levies and regulatory fees</w:t>
      </w:r>
      <w:r w:rsidR="00BD190B">
        <w:rPr>
          <w:rFonts w:cs="Calibri Light"/>
          <w:szCs w:val="22"/>
        </w:rPr>
        <w:noBreakHyphen/>
      </w:r>
      <w:r w:rsidRPr="001E67E6">
        <w:rPr>
          <w:rFonts w:cs="Calibri Light"/>
          <w:szCs w:val="22"/>
        </w:rPr>
        <w:t>for</w:t>
      </w:r>
      <w:r w:rsidR="00BD190B">
        <w:rPr>
          <w:rFonts w:cs="Calibri Light"/>
          <w:szCs w:val="22"/>
        </w:rPr>
        <w:noBreakHyphen/>
      </w:r>
      <w:r w:rsidRPr="001E67E6">
        <w:rPr>
          <w:rFonts w:cs="Calibri Light"/>
          <w:szCs w:val="22"/>
        </w:rPr>
        <w:t>service, but will not include a detailed examination of individual fees</w:t>
      </w:r>
      <w:r w:rsidR="00BD190B">
        <w:rPr>
          <w:rFonts w:cs="Calibri Light"/>
          <w:szCs w:val="22"/>
        </w:rPr>
        <w:noBreakHyphen/>
      </w:r>
      <w:r w:rsidRPr="001E67E6">
        <w:rPr>
          <w:rFonts w:cs="Calibri Light"/>
          <w:szCs w:val="22"/>
        </w:rPr>
        <w:t>for</w:t>
      </w:r>
      <w:r w:rsidR="00BD190B">
        <w:rPr>
          <w:rFonts w:cs="Calibri Light"/>
          <w:szCs w:val="22"/>
        </w:rPr>
        <w:noBreakHyphen/>
      </w:r>
      <w:r w:rsidRPr="001E67E6">
        <w:rPr>
          <w:rFonts w:cs="Calibri Light"/>
          <w:szCs w:val="22"/>
        </w:rPr>
        <w:t xml:space="preserve">service. This will also include considering whether some or all costs for certain activities such as enforcement and capital expenditure remain appropriate to be recovered through the IFM. </w:t>
      </w:r>
    </w:p>
    <w:p w14:paraId="096BB0A1" w14:textId="17DBA628" w:rsidR="00533AC3" w:rsidRPr="001E67E6" w:rsidRDefault="00533AC3" w:rsidP="003F3914">
      <w:pPr>
        <w:pStyle w:val="ListParagraph"/>
        <w:numPr>
          <w:ilvl w:val="1"/>
          <w:numId w:val="12"/>
        </w:numPr>
        <w:spacing w:before="0"/>
        <w:ind w:left="680" w:hanging="340"/>
        <w:contextualSpacing w:val="0"/>
        <w:rPr>
          <w:rFonts w:cs="Calibri Light"/>
          <w:szCs w:val="22"/>
        </w:rPr>
      </w:pPr>
      <w:r w:rsidRPr="001E67E6">
        <w:rPr>
          <w:rFonts w:cs="Calibri Light"/>
          <w:szCs w:val="22"/>
        </w:rPr>
        <w:t>How ASIC allocates costs to sub</w:t>
      </w:r>
      <w:r w:rsidR="00BD190B">
        <w:rPr>
          <w:rFonts w:cs="Calibri Light"/>
          <w:szCs w:val="22"/>
        </w:rPr>
        <w:noBreakHyphen/>
      </w:r>
      <w:r w:rsidRPr="001E67E6">
        <w:rPr>
          <w:rFonts w:cs="Calibri Light"/>
          <w:szCs w:val="22"/>
        </w:rPr>
        <w:t>sectors, with a focus on regulatory activity that impacts multiple sub</w:t>
      </w:r>
      <w:r w:rsidR="00BD190B">
        <w:rPr>
          <w:rFonts w:cs="Calibri Light"/>
          <w:szCs w:val="22"/>
        </w:rPr>
        <w:noBreakHyphen/>
      </w:r>
      <w:r w:rsidRPr="001E67E6">
        <w:rPr>
          <w:rFonts w:cs="Calibri Light"/>
          <w:szCs w:val="22"/>
        </w:rPr>
        <w:t>sectors, the consequences of time lags between regulatory action and cost allocation, and the changes to sub</w:t>
      </w:r>
      <w:r w:rsidR="00BD190B">
        <w:rPr>
          <w:rFonts w:cs="Calibri Light"/>
          <w:szCs w:val="22"/>
        </w:rPr>
        <w:noBreakHyphen/>
      </w:r>
      <w:r w:rsidRPr="001E67E6">
        <w:rPr>
          <w:rFonts w:cs="Calibri Light"/>
          <w:szCs w:val="22"/>
        </w:rPr>
        <w:t>sector composition, including due to firm exits</w:t>
      </w:r>
      <w:r w:rsidR="00901E80">
        <w:rPr>
          <w:rFonts w:cs="Calibri Light"/>
          <w:szCs w:val="22"/>
        </w:rPr>
        <w:t xml:space="preserve">. </w:t>
      </w:r>
    </w:p>
    <w:p w14:paraId="0363BFB2" w14:textId="775DF1DA" w:rsidR="00533AC3" w:rsidRPr="001E67E6" w:rsidRDefault="00533AC3" w:rsidP="003F3914">
      <w:pPr>
        <w:pStyle w:val="ListParagraph"/>
        <w:numPr>
          <w:ilvl w:val="1"/>
          <w:numId w:val="12"/>
        </w:numPr>
        <w:spacing w:before="0"/>
        <w:ind w:left="680" w:hanging="340"/>
        <w:contextualSpacing w:val="0"/>
        <w:rPr>
          <w:rFonts w:cs="Calibri Light"/>
          <w:szCs w:val="22"/>
        </w:rPr>
      </w:pPr>
      <w:r w:rsidRPr="001E67E6">
        <w:rPr>
          <w:rFonts w:cs="Calibri Light"/>
          <w:szCs w:val="22"/>
        </w:rPr>
        <w:t>Changes in levy amounts since the commencement of the IFM; with a focus on those sub</w:t>
      </w:r>
      <w:r w:rsidR="00BD190B">
        <w:rPr>
          <w:rFonts w:cs="Calibri Light"/>
          <w:szCs w:val="22"/>
        </w:rPr>
        <w:noBreakHyphen/>
      </w:r>
      <w:r w:rsidRPr="001E67E6">
        <w:rPr>
          <w:rFonts w:cs="Calibri Light"/>
          <w:szCs w:val="22"/>
        </w:rPr>
        <w:t xml:space="preserve">sectors that have faced significant increases in levies, volatility in levies between years, and variance between estimated and actual levies. This will include considering the impact of the cost burden on different types and sizes of regulated entities. </w:t>
      </w:r>
    </w:p>
    <w:p w14:paraId="24BDD3C7" w14:textId="22492F76" w:rsidR="00533AC3" w:rsidRPr="001E67E6" w:rsidRDefault="00533AC3" w:rsidP="003F3914">
      <w:pPr>
        <w:pStyle w:val="ListParagraph"/>
        <w:numPr>
          <w:ilvl w:val="1"/>
          <w:numId w:val="12"/>
        </w:numPr>
        <w:spacing w:before="0"/>
        <w:ind w:left="680" w:hanging="340"/>
        <w:contextualSpacing w:val="0"/>
        <w:rPr>
          <w:rFonts w:cs="Calibri Light"/>
          <w:szCs w:val="22"/>
        </w:rPr>
      </w:pPr>
      <w:r w:rsidRPr="001E67E6">
        <w:rPr>
          <w:rFonts w:cs="Calibri Light"/>
          <w:szCs w:val="22"/>
        </w:rPr>
        <w:t>Whether key aspects of the design and legislative framework for the IFM remain appropriate, including in light of structural changes in parts of industry. This will include considering whether changes are required to any sub</w:t>
      </w:r>
      <w:r w:rsidR="00BD190B">
        <w:rPr>
          <w:rFonts w:cs="Calibri Light"/>
          <w:szCs w:val="22"/>
        </w:rPr>
        <w:noBreakHyphen/>
      </w:r>
      <w:r w:rsidRPr="001E67E6">
        <w:rPr>
          <w:rFonts w:cs="Calibri Light"/>
          <w:szCs w:val="22"/>
        </w:rPr>
        <w:t xml:space="preserve">sector definitions and/or levy metrics, and whether any opportunities exist for simplification. </w:t>
      </w:r>
    </w:p>
    <w:p w14:paraId="2172310B" w14:textId="77777777" w:rsidR="00533AC3" w:rsidRPr="001E67E6" w:rsidRDefault="00533AC3" w:rsidP="003F3914">
      <w:pPr>
        <w:pStyle w:val="ListParagraph"/>
        <w:numPr>
          <w:ilvl w:val="1"/>
          <w:numId w:val="12"/>
        </w:numPr>
        <w:spacing w:before="0"/>
        <w:ind w:left="680" w:hanging="340"/>
        <w:contextualSpacing w:val="0"/>
        <w:rPr>
          <w:rFonts w:cs="Calibri Light"/>
          <w:szCs w:val="22"/>
        </w:rPr>
      </w:pPr>
      <w:r w:rsidRPr="001E67E6">
        <w:rPr>
          <w:rFonts w:cs="Calibri Light"/>
          <w:szCs w:val="22"/>
        </w:rPr>
        <w:t>The flexibility of the IFM to respond to changes in industry, including emerging industry sectors.</w:t>
      </w:r>
    </w:p>
    <w:p w14:paraId="34D02BDE" w14:textId="7C5F9C8F" w:rsidR="00533AC3" w:rsidRPr="001E67E6" w:rsidRDefault="00533AC3" w:rsidP="003F3914">
      <w:pPr>
        <w:pStyle w:val="ListParagraph"/>
        <w:numPr>
          <w:ilvl w:val="1"/>
          <w:numId w:val="12"/>
        </w:numPr>
        <w:spacing w:before="0"/>
        <w:ind w:left="680" w:hanging="340"/>
        <w:contextualSpacing w:val="0"/>
        <w:rPr>
          <w:rFonts w:cs="Calibri Light"/>
          <w:szCs w:val="22"/>
        </w:rPr>
      </w:pPr>
      <w:r w:rsidRPr="001E67E6">
        <w:rPr>
          <w:rFonts w:cs="Calibri Light"/>
          <w:szCs w:val="22"/>
        </w:rPr>
        <w:t>The suitability of transparency and consultation mechanisms, including the Cost Recovery Implementation Statement (CRIS), and how ASIC could improve the accuracy of its estimates of costs to sub</w:t>
      </w:r>
      <w:r w:rsidR="00BD190B">
        <w:rPr>
          <w:rFonts w:cs="Calibri Light"/>
          <w:szCs w:val="22"/>
        </w:rPr>
        <w:noBreakHyphen/>
      </w:r>
      <w:r w:rsidRPr="001E67E6">
        <w:rPr>
          <w:rFonts w:cs="Calibri Light"/>
          <w:szCs w:val="22"/>
        </w:rPr>
        <w:t>sectors.</w:t>
      </w:r>
    </w:p>
    <w:p w14:paraId="312FB852" w14:textId="21D2663F" w:rsidR="00533AC3" w:rsidRPr="001E67E6" w:rsidRDefault="00533AC3" w:rsidP="003E3ADD">
      <w:pPr>
        <w:pStyle w:val="ListParagraph"/>
        <w:numPr>
          <w:ilvl w:val="0"/>
          <w:numId w:val="12"/>
        </w:numPr>
        <w:spacing w:before="0" w:after="160"/>
        <w:ind w:left="340" w:hanging="340"/>
        <w:rPr>
          <w:rFonts w:cs="Calibri Light"/>
        </w:rPr>
      </w:pPr>
      <w:r w:rsidRPr="54232AE5">
        <w:rPr>
          <w:rFonts w:cs="Calibri Light"/>
        </w:rPr>
        <w:t>As relevant, the Review will have regard to:</w:t>
      </w:r>
    </w:p>
    <w:p w14:paraId="0EBEDF02" w14:textId="77777777" w:rsidR="00533AC3" w:rsidRPr="001E67E6" w:rsidRDefault="00533AC3" w:rsidP="006B2EB3">
      <w:pPr>
        <w:pStyle w:val="ListParagraph"/>
        <w:numPr>
          <w:ilvl w:val="1"/>
          <w:numId w:val="27"/>
        </w:numPr>
        <w:spacing w:before="0"/>
        <w:contextualSpacing w:val="0"/>
        <w:rPr>
          <w:rFonts w:cs="Calibri Light"/>
          <w:szCs w:val="22"/>
        </w:rPr>
      </w:pPr>
      <w:r w:rsidRPr="001E67E6">
        <w:rPr>
          <w:rFonts w:cs="Calibri Light"/>
          <w:szCs w:val="22"/>
        </w:rPr>
        <w:t>The</w:t>
      </w:r>
      <w:r w:rsidRPr="001E67E6" w:rsidDel="00EF142C">
        <w:rPr>
          <w:rFonts w:cs="Calibri Light"/>
          <w:szCs w:val="22"/>
        </w:rPr>
        <w:t xml:space="preserve"> </w:t>
      </w:r>
      <w:r w:rsidRPr="001E67E6">
        <w:rPr>
          <w:rFonts w:cs="Calibri Light"/>
          <w:szCs w:val="22"/>
        </w:rPr>
        <w:t xml:space="preserve">level of funding recovered from industry since the commencement of the IFM. </w:t>
      </w:r>
    </w:p>
    <w:p w14:paraId="4B7E1290" w14:textId="18F54A47" w:rsidR="00533AC3" w:rsidRPr="001E67E6" w:rsidRDefault="00533AC3" w:rsidP="006B2EB3">
      <w:pPr>
        <w:pStyle w:val="ListParagraph"/>
        <w:numPr>
          <w:ilvl w:val="1"/>
          <w:numId w:val="27"/>
        </w:numPr>
        <w:spacing w:before="0"/>
        <w:contextualSpacing w:val="0"/>
        <w:rPr>
          <w:rFonts w:cs="Calibri Light"/>
          <w:szCs w:val="22"/>
        </w:rPr>
      </w:pPr>
      <w:r w:rsidRPr="001E67E6">
        <w:rPr>
          <w:rFonts w:cs="Calibri Light"/>
          <w:szCs w:val="22"/>
        </w:rPr>
        <w:t xml:space="preserve">The temporary levies relief provided to personal financial advice licensees in respect of </w:t>
      </w:r>
      <w:r w:rsidR="003F3914">
        <w:rPr>
          <w:rFonts w:cs="Calibri Light"/>
          <w:szCs w:val="22"/>
        </w:rPr>
        <w:br/>
      </w:r>
      <w:r w:rsidRPr="001E67E6">
        <w:rPr>
          <w:rFonts w:cs="Calibri Light"/>
          <w:szCs w:val="22"/>
        </w:rPr>
        <w:t>2020</w:t>
      </w:r>
      <w:r w:rsidR="005D5A09">
        <w:rPr>
          <w:rFonts w:cs="Calibri Light"/>
          <w:szCs w:val="22"/>
        </w:rPr>
        <w:t>–</w:t>
      </w:r>
      <w:r w:rsidRPr="001E67E6">
        <w:rPr>
          <w:rFonts w:cs="Calibri Light"/>
          <w:szCs w:val="22"/>
        </w:rPr>
        <w:t>21 and 2021</w:t>
      </w:r>
      <w:r w:rsidR="005D5A09">
        <w:rPr>
          <w:rFonts w:cs="Calibri Light"/>
          <w:szCs w:val="22"/>
        </w:rPr>
        <w:t>–</w:t>
      </w:r>
      <w:r w:rsidRPr="001E67E6">
        <w:rPr>
          <w:rFonts w:cs="Calibri Light"/>
          <w:szCs w:val="22"/>
        </w:rPr>
        <w:t>22.</w:t>
      </w:r>
      <w:r w:rsidRPr="003F3914">
        <w:rPr>
          <w:vertAlign w:val="superscript"/>
        </w:rPr>
        <w:footnoteReference w:id="4"/>
      </w:r>
    </w:p>
    <w:p w14:paraId="3E9AF90D" w14:textId="09583B90" w:rsidR="00533AC3" w:rsidRPr="001E67E6" w:rsidRDefault="00533AC3" w:rsidP="006B2EB3">
      <w:pPr>
        <w:pStyle w:val="ListParagraph"/>
        <w:numPr>
          <w:ilvl w:val="1"/>
          <w:numId w:val="27"/>
        </w:numPr>
        <w:spacing w:before="0"/>
        <w:contextualSpacing w:val="0"/>
        <w:rPr>
          <w:rFonts w:cs="Calibri Light"/>
          <w:szCs w:val="22"/>
        </w:rPr>
      </w:pPr>
      <w:r w:rsidRPr="001E67E6">
        <w:rPr>
          <w:rFonts w:cs="Calibri Light"/>
          <w:szCs w:val="22"/>
        </w:rPr>
        <w:t>The Australian Government Charging Framework, noting Governments</w:t>
      </w:r>
      <w:r w:rsidR="00BD190B">
        <w:rPr>
          <w:rFonts w:cs="Calibri Light"/>
          <w:szCs w:val="22"/>
        </w:rPr>
        <w:t>’</w:t>
      </w:r>
      <w:r w:rsidRPr="001E67E6">
        <w:rPr>
          <w:rFonts w:cs="Calibri Light"/>
          <w:szCs w:val="22"/>
        </w:rPr>
        <w:t xml:space="preserve"> long</w:t>
      </w:r>
      <w:r w:rsidR="00BD190B">
        <w:rPr>
          <w:rFonts w:cs="Calibri Light"/>
          <w:szCs w:val="22"/>
        </w:rPr>
        <w:noBreakHyphen/>
      </w:r>
      <w:r w:rsidRPr="001E67E6">
        <w:rPr>
          <w:rFonts w:cs="Calibri Light"/>
          <w:szCs w:val="22"/>
        </w:rPr>
        <w:t>standing position that fees and levies consistent with the Framework should be considered prior to considering other funding options.</w:t>
      </w:r>
    </w:p>
    <w:p w14:paraId="5A514049" w14:textId="77777777" w:rsidR="00533AC3" w:rsidRPr="001E67E6" w:rsidRDefault="00533AC3" w:rsidP="006B2EB3">
      <w:pPr>
        <w:pStyle w:val="ListParagraph"/>
        <w:numPr>
          <w:ilvl w:val="1"/>
          <w:numId w:val="27"/>
        </w:numPr>
        <w:spacing w:before="0"/>
        <w:contextualSpacing w:val="0"/>
        <w:rPr>
          <w:rFonts w:cs="Calibri Light"/>
          <w:szCs w:val="22"/>
        </w:rPr>
      </w:pPr>
      <w:bookmarkStart w:id="13" w:name="_Hlk94716486"/>
      <w:r w:rsidRPr="001E67E6">
        <w:rPr>
          <w:rFonts w:cs="Calibri Light"/>
          <w:szCs w:val="22"/>
        </w:rPr>
        <w:t>The regulator costing reviews being undertaken by the Department of Finance</w:t>
      </w:r>
      <w:bookmarkEnd w:id="13"/>
      <w:r w:rsidRPr="001E67E6">
        <w:rPr>
          <w:rFonts w:cs="Calibri Light"/>
          <w:szCs w:val="22"/>
        </w:rPr>
        <w:t xml:space="preserve">. </w:t>
      </w:r>
    </w:p>
    <w:p w14:paraId="7A1C252E" w14:textId="77777777" w:rsidR="00533AC3" w:rsidRPr="001E67E6" w:rsidRDefault="00533AC3" w:rsidP="006B2EB3">
      <w:pPr>
        <w:pStyle w:val="ListParagraph"/>
        <w:numPr>
          <w:ilvl w:val="1"/>
          <w:numId w:val="27"/>
        </w:numPr>
        <w:spacing w:before="0"/>
        <w:contextualSpacing w:val="0"/>
        <w:rPr>
          <w:rFonts w:cs="Calibri Light"/>
          <w:szCs w:val="22"/>
        </w:rPr>
      </w:pPr>
      <w:r w:rsidRPr="001E67E6">
        <w:rPr>
          <w:rFonts w:cs="Calibri Light"/>
          <w:szCs w:val="22"/>
        </w:rPr>
        <w:t>The impact of any potential changes to the IFM on the incentives faced by ASIC and regulated entities.</w:t>
      </w:r>
    </w:p>
    <w:p w14:paraId="24CB4ECC" w14:textId="1084A2AB" w:rsidR="00533AC3" w:rsidRPr="003F3914" w:rsidRDefault="00533AC3" w:rsidP="003F3914">
      <w:pPr>
        <w:pStyle w:val="ListParagraph"/>
        <w:numPr>
          <w:ilvl w:val="0"/>
          <w:numId w:val="12"/>
        </w:numPr>
        <w:spacing w:before="0" w:after="160"/>
        <w:ind w:left="340" w:hanging="340"/>
        <w:rPr>
          <w:rFonts w:cs="Calibri Light"/>
        </w:rPr>
      </w:pPr>
      <w:r w:rsidRPr="003F3914">
        <w:rPr>
          <w:rFonts w:cs="Calibri Light"/>
        </w:rPr>
        <w:t>The Review will not assess or make recommendations on:</w:t>
      </w:r>
    </w:p>
    <w:p w14:paraId="269AAFF8" w14:textId="0C689046" w:rsidR="00533AC3" w:rsidRPr="001E67E6" w:rsidRDefault="00533AC3" w:rsidP="006B2EB3">
      <w:pPr>
        <w:pStyle w:val="ListParagraph"/>
        <w:numPr>
          <w:ilvl w:val="1"/>
          <w:numId w:val="27"/>
        </w:numPr>
        <w:spacing w:before="0" w:after="80"/>
        <w:contextualSpacing w:val="0"/>
        <w:rPr>
          <w:rFonts w:cs="Calibri Light"/>
          <w:szCs w:val="22"/>
        </w:rPr>
      </w:pPr>
      <w:r w:rsidRPr="001E67E6">
        <w:rPr>
          <w:rFonts w:cs="Calibri Light"/>
          <w:szCs w:val="22"/>
        </w:rPr>
        <w:t>ASIC</w:t>
      </w:r>
      <w:r w:rsidR="00BD190B">
        <w:rPr>
          <w:rFonts w:cs="Calibri Light"/>
          <w:szCs w:val="22"/>
        </w:rPr>
        <w:t>’</w:t>
      </w:r>
      <w:r w:rsidRPr="001E67E6">
        <w:rPr>
          <w:rFonts w:cs="Calibri Light"/>
          <w:szCs w:val="22"/>
        </w:rPr>
        <w:t>s role and regulatory remit.</w:t>
      </w:r>
    </w:p>
    <w:p w14:paraId="175D77FD" w14:textId="4439350C" w:rsidR="00533AC3" w:rsidRPr="001E67E6" w:rsidRDefault="00533AC3" w:rsidP="006B2EB3">
      <w:pPr>
        <w:pStyle w:val="ListParagraph"/>
        <w:numPr>
          <w:ilvl w:val="1"/>
          <w:numId w:val="27"/>
        </w:numPr>
        <w:spacing w:before="0" w:after="80"/>
        <w:contextualSpacing w:val="0"/>
        <w:rPr>
          <w:rFonts w:cs="Calibri Light"/>
          <w:szCs w:val="22"/>
        </w:rPr>
      </w:pPr>
      <w:r w:rsidRPr="001E67E6">
        <w:rPr>
          <w:rFonts w:cs="Calibri Light"/>
          <w:szCs w:val="22"/>
        </w:rPr>
        <w:t>ASIC</w:t>
      </w:r>
      <w:r w:rsidR="00BD190B">
        <w:rPr>
          <w:rFonts w:cs="Calibri Light"/>
          <w:szCs w:val="22"/>
        </w:rPr>
        <w:t>’</w:t>
      </w:r>
      <w:r w:rsidRPr="001E67E6">
        <w:rPr>
          <w:rFonts w:cs="Calibri Light"/>
          <w:szCs w:val="22"/>
        </w:rPr>
        <w:t>s performance.</w:t>
      </w:r>
    </w:p>
    <w:p w14:paraId="77D0F5E8" w14:textId="77777777" w:rsidR="00533AC3" w:rsidRPr="001E67E6" w:rsidRDefault="00533AC3" w:rsidP="006B2EB3">
      <w:pPr>
        <w:pStyle w:val="ListParagraph"/>
        <w:numPr>
          <w:ilvl w:val="1"/>
          <w:numId w:val="27"/>
        </w:numPr>
        <w:spacing w:before="0" w:after="80"/>
        <w:contextualSpacing w:val="0"/>
        <w:rPr>
          <w:rFonts w:cs="Calibri Light"/>
          <w:szCs w:val="22"/>
        </w:rPr>
      </w:pPr>
      <w:r w:rsidRPr="001E67E6">
        <w:rPr>
          <w:rFonts w:cs="Calibri Light"/>
          <w:szCs w:val="22"/>
        </w:rPr>
        <w:t>The appropriate aggregate level of funding for ASIC.</w:t>
      </w:r>
    </w:p>
    <w:p w14:paraId="2676ACAF" w14:textId="77777777" w:rsidR="00533AC3" w:rsidRPr="001E67E6" w:rsidRDefault="00533AC3" w:rsidP="006B2EB3">
      <w:pPr>
        <w:pStyle w:val="ListParagraph"/>
        <w:numPr>
          <w:ilvl w:val="1"/>
          <w:numId w:val="27"/>
        </w:numPr>
        <w:spacing w:before="0" w:after="80"/>
        <w:contextualSpacing w:val="0"/>
        <w:rPr>
          <w:rFonts w:cs="Calibri Light"/>
          <w:szCs w:val="22"/>
        </w:rPr>
      </w:pPr>
      <w:r w:rsidRPr="001E67E6">
        <w:rPr>
          <w:rFonts w:cs="Calibri Light"/>
          <w:szCs w:val="22"/>
        </w:rPr>
        <w:t>How ASIC allocates its resources to deliver on its mandate.</w:t>
      </w:r>
    </w:p>
    <w:p w14:paraId="31CB8287" w14:textId="77777777" w:rsidR="00533AC3" w:rsidRPr="001E67E6" w:rsidRDefault="00533AC3" w:rsidP="006B2EB3">
      <w:pPr>
        <w:pStyle w:val="ListParagraph"/>
        <w:numPr>
          <w:ilvl w:val="1"/>
          <w:numId w:val="27"/>
        </w:numPr>
        <w:spacing w:before="0" w:after="80"/>
        <w:contextualSpacing w:val="0"/>
        <w:rPr>
          <w:rFonts w:cs="Calibri Light"/>
          <w:szCs w:val="22"/>
        </w:rPr>
      </w:pPr>
      <w:r w:rsidRPr="001E67E6">
        <w:rPr>
          <w:rFonts w:cs="Calibri Light"/>
          <w:szCs w:val="22"/>
        </w:rPr>
        <w:t xml:space="preserve">Registry fees currently collected by ASIC, which are not within the scope of the IFM. </w:t>
      </w:r>
    </w:p>
    <w:bookmarkEnd w:id="12"/>
    <w:p w14:paraId="675B3D6C" w14:textId="77777777" w:rsidR="00533AC3" w:rsidRDefault="00533AC3" w:rsidP="007623B1">
      <w:pPr>
        <w:pStyle w:val="Heading1Numbered"/>
        <w:sectPr w:rsidR="00533AC3" w:rsidSect="00E349A7">
          <w:headerReference w:type="default" r:id="rId24"/>
          <w:footerReference w:type="default" r:id="rId25"/>
          <w:type w:val="oddPage"/>
          <w:pgSz w:w="11906" w:h="16838" w:code="9"/>
          <w:pgMar w:top="1843" w:right="1418" w:bottom="1418" w:left="1418" w:header="709" w:footer="709" w:gutter="0"/>
          <w:pgNumType w:start="1"/>
          <w:cols w:space="708"/>
          <w:docGrid w:linePitch="360"/>
        </w:sectPr>
      </w:pPr>
    </w:p>
    <w:p w14:paraId="325043E8" w14:textId="77777777" w:rsidR="00533AC3" w:rsidRDefault="00533AC3" w:rsidP="0043623F">
      <w:pPr>
        <w:pStyle w:val="Heading1"/>
        <w:spacing w:before="120"/>
      </w:pPr>
      <w:bookmarkStart w:id="14" w:name="_Toc125305151"/>
      <w:bookmarkStart w:id="15" w:name="_Toc129270419"/>
      <w:r>
        <w:lastRenderedPageBreak/>
        <w:t>Glossary</w:t>
      </w:r>
      <w:bookmarkEnd w:id="14"/>
      <w:bookmarkEnd w:id="15"/>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5"/>
      </w:tblGrid>
      <w:tr w:rsidR="00533AC3" w:rsidRPr="00786C10" w14:paraId="33789E3B" w14:textId="77777777" w:rsidTr="00332CDB">
        <w:trPr>
          <w:tblHeader/>
        </w:trPr>
        <w:tc>
          <w:tcPr>
            <w:tcW w:w="1327" w:type="pct"/>
            <w:shd w:val="clear" w:color="auto" w:fill="E5E5E5"/>
          </w:tcPr>
          <w:p w14:paraId="4C49F5CB" w14:textId="77777777" w:rsidR="00533AC3" w:rsidRPr="00786C10" w:rsidRDefault="00533AC3" w:rsidP="000D1664">
            <w:pPr>
              <w:pStyle w:val="TableColumnHeadingLeft"/>
            </w:pPr>
            <w:r w:rsidRPr="00786C10">
              <w:br w:type="page"/>
              <w:t xml:space="preserve">Abbreviation </w:t>
            </w:r>
          </w:p>
        </w:tc>
        <w:tc>
          <w:tcPr>
            <w:tcW w:w="3673" w:type="pct"/>
            <w:shd w:val="clear" w:color="auto" w:fill="E5E5E5"/>
          </w:tcPr>
          <w:p w14:paraId="4C6756C5" w14:textId="77777777" w:rsidR="00533AC3" w:rsidRPr="00786C10" w:rsidRDefault="00533AC3" w:rsidP="000D1664">
            <w:pPr>
              <w:pStyle w:val="TableColumnHeadingLeft"/>
            </w:pPr>
            <w:r w:rsidRPr="00786C10">
              <w:t>Definition</w:t>
            </w:r>
          </w:p>
        </w:tc>
      </w:tr>
      <w:tr w:rsidR="00533AC3" w:rsidRPr="00786C10" w14:paraId="2522F551" w14:textId="77777777" w:rsidTr="00332CDB">
        <w:tc>
          <w:tcPr>
            <w:tcW w:w="1327" w:type="pct"/>
          </w:tcPr>
          <w:p w14:paraId="170AE9AB" w14:textId="77777777" w:rsidR="00533AC3" w:rsidRDefault="00533AC3" w:rsidP="009653BB">
            <w:pPr>
              <w:pStyle w:val="TableTextLeft"/>
              <w:rPr>
                <w:sz w:val="22"/>
                <w:szCs w:val="22"/>
              </w:rPr>
            </w:pPr>
            <w:r>
              <w:rPr>
                <w:sz w:val="22"/>
                <w:szCs w:val="22"/>
              </w:rPr>
              <w:t>APRA</w:t>
            </w:r>
          </w:p>
        </w:tc>
        <w:tc>
          <w:tcPr>
            <w:tcW w:w="3673" w:type="pct"/>
          </w:tcPr>
          <w:p w14:paraId="18B2F9B9" w14:textId="77777777" w:rsidR="00533AC3" w:rsidRPr="00786C10" w:rsidRDefault="00533AC3" w:rsidP="009653BB">
            <w:pPr>
              <w:pStyle w:val="TableTextLeft"/>
              <w:rPr>
                <w:sz w:val="22"/>
                <w:szCs w:val="22"/>
              </w:rPr>
            </w:pPr>
            <w:r>
              <w:rPr>
                <w:sz w:val="22"/>
                <w:szCs w:val="22"/>
              </w:rPr>
              <w:t>Australian Prudential Regulation Authority</w:t>
            </w:r>
          </w:p>
        </w:tc>
      </w:tr>
      <w:tr w:rsidR="00533AC3" w:rsidRPr="00786C10" w14:paraId="67837124" w14:textId="77777777" w:rsidTr="00332CDB">
        <w:tc>
          <w:tcPr>
            <w:tcW w:w="1327" w:type="pct"/>
          </w:tcPr>
          <w:p w14:paraId="4929E65D" w14:textId="77777777" w:rsidR="00533AC3" w:rsidRPr="00786C10" w:rsidRDefault="00533AC3" w:rsidP="009653BB">
            <w:pPr>
              <w:pStyle w:val="TableTextLeft"/>
              <w:rPr>
                <w:sz w:val="22"/>
                <w:szCs w:val="22"/>
              </w:rPr>
            </w:pPr>
            <w:r>
              <w:rPr>
                <w:sz w:val="22"/>
                <w:szCs w:val="22"/>
              </w:rPr>
              <w:t>ASIC</w:t>
            </w:r>
          </w:p>
        </w:tc>
        <w:tc>
          <w:tcPr>
            <w:tcW w:w="3673" w:type="pct"/>
          </w:tcPr>
          <w:p w14:paraId="677751A1" w14:textId="77777777" w:rsidR="00533AC3" w:rsidRPr="00786C10" w:rsidRDefault="00533AC3" w:rsidP="009653BB">
            <w:pPr>
              <w:pStyle w:val="TableTextLeft"/>
              <w:rPr>
                <w:sz w:val="22"/>
                <w:szCs w:val="22"/>
              </w:rPr>
            </w:pPr>
            <w:r>
              <w:rPr>
                <w:sz w:val="22"/>
                <w:szCs w:val="22"/>
              </w:rPr>
              <w:t>Australian Securities and Investments Commission</w:t>
            </w:r>
          </w:p>
        </w:tc>
      </w:tr>
      <w:tr w:rsidR="00533AC3" w:rsidRPr="00786C10" w14:paraId="4EC0EACD" w14:textId="77777777" w:rsidTr="00332CDB">
        <w:tc>
          <w:tcPr>
            <w:tcW w:w="1327" w:type="pct"/>
          </w:tcPr>
          <w:p w14:paraId="3898623F" w14:textId="77777777" w:rsidR="00533AC3" w:rsidRDefault="00533AC3" w:rsidP="009653BB">
            <w:pPr>
              <w:pStyle w:val="TableTextLeft"/>
              <w:rPr>
                <w:sz w:val="22"/>
                <w:szCs w:val="22"/>
              </w:rPr>
            </w:pPr>
            <w:r>
              <w:rPr>
                <w:sz w:val="22"/>
                <w:szCs w:val="22"/>
              </w:rPr>
              <w:t>ASIC Act</w:t>
            </w:r>
          </w:p>
        </w:tc>
        <w:tc>
          <w:tcPr>
            <w:tcW w:w="3673" w:type="pct"/>
          </w:tcPr>
          <w:p w14:paraId="48FDE181" w14:textId="77777777" w:rsidR="00533AC3" w:rsidRPr="00786C10" w:rsidRDefault="00533AC3" w:rsidP="009653BB">
            <w:pPr>
              <w:pStyle w:val="TableTextLeft"/>
              <w:rPr>
                <w:i/>
                <w:iCs/>
                <w:sz w:val="22"/>
                <w:szCs w:val="22"/>
              </w:rPr>
            </w:pPr>
            <w:r w:rsidRPr="00786C10">
              <w:rPr>
                <w:i/>
                <w:iCs/>
                <w:sz w:val="22"/>
                <w:szCs w:val="22"/>
              </w:rPr>
              <w:t>Australian Securities and Investments Commission Act 2001</w:t>
            </w:r>
          </w:p>
        </w:tc>
      </w:tr>
      <w:tr w:rsidR="00ED3035" w:rsidRPr="00786C10" w14:paraId="479FA3BE" w14:textId="77777777" w:rsidTr="00332CDB">
        <w:tc>
          <w:tcPr>
            <w:tcW w:w="1327" w:type="pct"/>
          </w:tcPr>
          <w:p w14:paraId="38E3F5BA" w14:textId="59CB19D9" w:rsidR="00ED3035" w:rsidRDefault="00ED3035" w:rsidP="009653BB">
            <w:pPr>
              <w:pStyle w:val="TableTextLeft"/>
              <w:rPr>
                <w:sz w:val="22"/>
                <w:szCs w:val="22"/>
              </w:rPr>
            </w:pPr>
            <w:r w:rsidRPr="00F72CDC">
              <w:rPr>
                <w:sz w:val="22"/>
                <w:szCs w:val="22"/>
              </w:rPr>
              <w:t>Budget funding</w:t>
            </w:r>
          </w:p>
        </w:tc>
        <w:tc>
          <w:tcPr>
            <w:tcW w:w="3673" w:type="pct"/>
          </w:tcPr>
          <w:p w14:paraId="1C56C3BB" w14:textId="412B521E" w:rsidR="00ED3035" w:rsidRPr="00257ABA" w:rsidRDefault="00257ABA" w:rsidP="009653BB">
            <w:pPr>
              <w:pStyle w:val="TableTextLeft"/>
              <w:rPr>
                <w:sz w:val="22"/>
                <w:szCs w:val="22"/>
              </w:rPr>
            </w:pPr>
            <w:r>
              <w:rPr>
                <w:sz w:val="22"/>
                <w:szCs w:val="22"/>
              </w:rPr>
              <w:t xml:space="preserve">Funding from the Commonwealth Budget – that is, from general taxpayers. </w:t>
            </w:r>
          </w:p>
        </w:tc>
      </w:tr>
      <w:tr w:rsidR="00533AC3" w:rsidRPr="00786C10" w14:paraId="25DEB3AF" w14:textId="77777777" w:rsidTr="00332CDB">
        <w:tc>
          <w:tcPr>
            <w:tcW w:w="1327" w:type="pct"/>
          </w:tcPr>
          <w:p w14:paraId="59FCAB9D" w14:textId="77777777" w:rsidR="00533AC3" w:rsidRDefault="00533AC3" w:rsidP="009653BB">
            <w:pPr>
              <w:pStyle w:val="TableTextLeft"/>
              <w:rPr>
                <w:sz w:val="22"/>
                <w:szCs w:val="22"/>
              </w:rPr>
            </w:pPr>
            <w:r>
              <w:rPr>
                <w:sz w:val="22"/>
                <w:szCs w:val="22"/>
              </w:rPr>
              <w:t>Charging Framework</w:t>
            </w:r>
          </w:p>
        </w:tc>
        <w:tc>
          <w:tcPr>
            <w:tcW w:w="3673" w:type="pct"/>
          </w:tcPr>
          <w:p w14:paraId="355B7BA3" w14:textId="77777777" w:rsidR="00D15A1C" w:rsidRDefault="00533AC3" w:rsidP="009653BB">
            <w:pPr>
              <w:pStyle w:val="TableTextLeft"/>
              <w:rPr>
                <w:sz w:val="22"/>
                <w:szCs w:val="22"/>
              </w:rPr>
            </w:pPr>
            <w:r w:rsidRPr="007E212D">
              <w:rPr>
                <w:sz w:val="22"/>
                <w:szCs w:val="22"/>
              </w:rPr>
              <w:t>Australian Government Charging Framework</w:t>
            </w:r>
            <w:r>
              <w:rPr>
                <w:sz w:val="22"/>
                <w:szCs w:val="22"/>
              </w:rPr>
              <w:t xml:space="preserve"> </w:t>
            </w:r>
            <w:r w:rsidR="00FF6E80">
              <w:rPr>
                <w:sz w:val="22"/>
                <w:szCs w:val="22"/>
              </w:rPr>
              <w:t>2015</w:t>
            </w:r>
          </w:p>
          <w:p w14:paraId="4D508A83" w14:textId="318ECE4F" w:rsidR="00533AC3" w:rsidRPr="00292B06" w:rsidRDefault="00D15A1C" w:rsidP="006B2EB3">
            <w:pPr>
              <w:pStyle w:val="TableTextLeft"/>
              <w:numPr>
                <w:ilvl w:val="0"/>
                <w:numId w:val="32"/>
              </w:numPr>
              <w:rPr>
                <w:sz w:val="22"/>
                <w:szCs w:val="22"/>
              </w:rPr>
            </w:pPr>
            <w:r>
              <w:rPr>
                <w:sz w:val="22"/>
                <w:szCs w:val="22"/>
              </w:rPr>
              <w:t>T</w:t>
            </w:r>
            <w:r w:rsidR="00022B33">
              <w:rPr>
                <w:sz w:val="22"/>
                <w:szCs w:val="22"/>
              </w:rPr>
              <w:t>he Charging Framework</w:t>
            </w:r>
            <w:r w:rsidR="007F52EA">
              <w:rPr>
                <w:sz w:val="22"/>
                <w:szCs w:val="22"/>
              </w:rPr>
              <w:t xml:space="preserve"> </w:t>
            </w:r>
            <w:r w:rsidR="007F52EA" w:rsidRPr="001754C0">
              <w:rPr>
                <w:sz w:val="22"/>
                <w:szCs w:val="22"/>
              </w:rPr>
              <w:t xml:space="preserve">and the Australian Government Cost Recovery Guidelines 2014 </w:t>
            </w:r>
            <w:r w:rsidR="005B0B21">
              <w:rPr>
                <w:sz w:val="22"/>
                <w:szCs w:val="22"/>
              </w:rPr>
              <w:t xml:space="preserve">(see </w:t>
            </w:r>
            <w:r w:rsidR="00BD190B">
              <w:rPr>
                <w:sz w:val="22"/>
                <w:szCs w:val="22"/>
              </w:rPr>
              <w:t>‘</w:t>
            </w:r>
            <w:r w:rsidR="005B0B21">
              <w:rPr>
                <w:sz w:val="22"/>
                <w:szCs w:val="22"/>
              </w:rPr>
              <w:t>CRGs</w:t>
            </w:r>
            <w:r w:rsidR="00BD190B">
              <w:rPr>
                <w:sz w:val="22"/>
                <w:szCs w:val="22"/>
              </w:rPr>
              <w:t>’</w:t>
            </w:r>
            <w:r w:rsidR="005B0B21">
              <w:rPr>
                <w:sz w:val="22"/>
                <w:szCs w:val="22"/>
              </w:rPr>
              <w:t xml:space="preserve">) </w:t>
            </w:r>
            <w:r w:rsidR="007F52EA" w:rsidRPr="001754C0">
              <w:rPr>
                <w:sz w:val="22"/>
                <w:szCs w:val="22"/>
              </w:rPr>
              <w:t xml:space="preserve">are policies of the Australian Government with CRGs applying specifically to regulatory charging by ASIC. References in this Report to the </w:t>
            </w:r>
            <w:r w:rsidR="00BD190B">
              <w:rPr>
                <w:sz w:val="22"/>
                <w:szCs w:val="22"/>
              </w:rPr>
              <w:t>‘</w:t>
            </w:r>
            <w:r w:rsidR="007F52EA" w:rsidRPr="001754C0">
              <w:rPr>
                <w:sz w:val="22"/>
                <w:szCs w:val="22"/>
              </w:rPr>
              <w:t>Charging Framework</w:t>
            </w:r>
            <w:r w:rsidR="00BD190B">
              <w:rPr>
                <w:sz w:val="22"/>
                <w:szCs w:val="22"/>
              </w:rPr>
              <w:t>’</w:t>
            </w:r>
            <w:r w:rsidR="007F52EA" w:rsidRPr="001754C0">
              <w:rPr>
                <w:sz w:val="22"/>
                <w:szCs w:val="22"/>
              </w:rPr>
              <w:t xml:space="preserve"> should be read to include the relevant elements of the CRG</w:t>
            </w:r>
            <w:r w:rsidR="005B0B21">
              <w:rPr>
                <w:sz w:val="22"/>
                <w:szCs w:val="22"/>
              </w:rPr>
              <w:t>s</w:t>
            </w:r>
            <w:r w:rsidR="007F52EA" w:rsidRPr="001754C0">
              <w:rPr>
                <w:sz w:val="22"/>
                <w:szCs w:val="22"/>
              </w:rPr>
              <w:t>.</w:t>
            </w:r>
          </w:p>
        </w:tc>
      </w:tr>
      <w:tr w:rsidR="00533AC3" w:rsidRPr="00786C10" w14:paraId="3BB74B1F" w14:textId="77777777" w:rsidTr="00332CDB">
        <w:tc>
          <w:tcPr>
            <w:tcW w:w="1327" w:type="pct"/>
          </w:tcPr>
          <w:p w14:paraId="6BA01038" w14:textId="77777777" w:rsidR="00533AC3" w:rsidRDefault="00533AC3" w:rsidP="009653BB">
            <w:pPr>
              <w:pStyle w:val="TableTextLeft"/>
              <w:rPr>
                <w:sz w:val="22"/>
                <w:szCs w:val="22"/>
              </w:rPr>
            </w:pPr>
            <w:r>
              <w:rPr>
                <w:sz w:val="22"/>
                <w:szCs w:val="22"/>
              </w:rPr>
              <w:t>Corporations Act</w:t>
            </w:r>
          </w:p>
        </w:tc>
        <w:tc>
          <w:tcPr>
            <w:tcW w:w="3673" w:type="pct"/>
          </w:tcPr>
          <w:p w14:paraId="769B37C4" w14:textId="77777777" w:rsidR="00533AC3" w:rsidRPr="00786C10" w:rsidRDefault="00533AC3" w:rsidP="009653BB">
            <w:pPr>
              <w:pStyle w:val="TableTextLeft"/>
              <w:rPr>
                <w:i/>
                <w:iCs/>
                <w:sz w:val="22"/>
                <w:szCs w:val="22"/>
              </w:rPr>
            </w:pPr>
            <w:r>
              <w:rPr>
                <w:i/>
                <w:iCs/>
                <w:sz w:val="22"/>
                <w:szCs w:val="22"/>
              </w:rPr>
              <w:t>Corporations Act 2001</w:t>
            </w:r>
          </w:p>
        </w:tc>
      </w:tr>
      <w:tr w:rsidR="00BC5EA9" w:rsidRPr="00786C10" w14:paraId="0CA11BBD" w14:textId="77777777" w:rsidTr="00332CDB">
        <w:tc>
          <w:tcPr>
            <w:tcW w:w="1327" w:type="pct"/>
          </w:tcPr>
          <w:p w14:paraId="43D6C1AE" w14:textId="4F27DE2B" w:rsidR="00BC5EA9" w:rsidRDefault="00BC5EA9" w:rsidP="009653BB">
            <w:pPr>
              <w:pStyle w:val="TableTextLeft"/>
              <w:rPr>
                <w:sz w:val="22"/>
                <w:szCs w:val="22"/>
              </w:rPr>
            </w:pPr>
            <w:r>
              <w:rPr>
                <w:sz w:val="22"/>
                <w:szCs w:val="22"/>
              </w:rPr>
              <w:t>Cost Recovery Levy Act</w:t>
            </w:r>
          </w:p>
        </w:tc>
        <w:tc>
          <w:tcPr>
            <w:tcW w:w="3673" w:type="pct"/>
          </w:tcPr>
          <w:p w14:paraId="20D0FDB0" w14:textId="4AED7E28" w:rsidR="00BC5EA9" w:rsidRDefault="00332CDB" w:rsidP="009653BB">
            <w:pPr>
              <w:pStyle w:val="TableTextLeft"/>
              <w:rPr>
                <w:i/>
                <w:iCs/>
                <w:sz w:val="22"/>
                <w:szCs w:val="22"/>
              </w:rPr>
            </w:pPr>
            <w:r w:rsidRPr="00332CDB">
              <w:rPr>
                <w:i/>
                <w:iCs/>
                <w:sz w:val="22"/>
                <w:szCs w:val="22"/>
              </w:rPr>
              <w:t>ASIC Supervisory Cost Recovery Levy Act 2017</w:t>
            </w:r>
          </w:p>
        </w:tc>
      </w:tr>
      <w:tr w:rsidR="00BC5EA9" w:rsidRPr="00786C10" w14:paraId="29448FE6" w14:textId="77777777" w:rsidTr="00332CDB">
        <w:tc>
          <w:tcPr>
            <w:tcW w:w="1327" w:type="pct"/>
          </w:tcPr>
          <w:p w14:paraId="60824275" w14:textId="56072974" w:rsidR="00BC5EA9" w:rsidRDefault="00BC5EA9" w:rsidP="009653BB">
            <w:pPr>
              <w:pStyle w:val="TableTextLeft"/>
              <w:rPr>
                <w:sz w:val="22"/>
                <w:szCs w:val="22"/>
              </w:rPr>
            </w:pPr>
            <w:r>
              <w:rPr>
                <w:sz w:val="22"/>
                <w:szCs w:val="22"/>
              </w:rPr>
              <w:t>Cost Recovery Levy Regulations</w:t>
            </w:r>
          </w:p>
        </w:tc>
        <w:tc>
          <w:tcPr>
            <w:tcW w:w="3673" w:type="pct"/>
          </w:tcPr>
          <w:p w14:paraId="003C6D95" w14:textId="22A6B2EE" w:rsidR="00BC5EA9" w:rsidRPr="00042EB1" w:rsidRDefault="001C7CAE" w:rsidP="009653BB">
            <w:pPr>
              <w:pStyle w:val="TableTextLeft"/>
              <w:rPr>
                <w:sz w:val="22"/>
                <w:szCs w:val="22"/>
              </w:rPr>
            </w:pPr>
            <w:r w:rsidRPr="00042EB1">
              <w:rPr>
                <w:sz w:val="22"/>
                <w:szCs w:val="22"/>
              </w:rPr>
              <w:t>ASIC Supervisory Cost Recovery Levy Regulations 2017</w:t>
            </w:r>
          </w:p>
        </w:tc>
      </w:tr>
      <w:tr w:rsidR="00533AC3" w:rsidRPr="00786C10" w14:paraId="7091C028" w14:textId="77777777" w:rsidTr="00332CDB">
        <w:tc>
          <w:tcPr>
            <w:tcW w:w="1327" w:type="pct"/>
          </w:tcPr>
          <w:p w14:paraId="01C9B3EA" w14:textId="77777777" w:rsidR="00533AC3" w:rsidRDefault="00533AC3" w:rsidP="009653BB">
            <w:pPr>
              <w:pStyle w:val="TableTextLeft"/>
              <w:rPr>
                <w:sz w:val="22"/>
                <w:szCs w:val="22"/>
              </w:rPr>
            </w:pPr>
            <w:r>
              <w:rPr>
                <w:sz w:val="22"/>
                <w:szCs w:val="22"/>
              </w:rPr>
              <w:t>Credit Act</w:t>
            </w:r>
          </w:p>
        </w:tc>
        <w:tc>
          <w:tcPr>
            <w:tcW w:w="3673" w:type="pct"/>
          </w:tcPr>
          <w:p w14:paraId="3207CEB5" w14:textId="77777777" w:rsidR="00533AC3" w:rsidRPr="00786C10" w:rsidRDefault="00533AC3" w:rsidP="009653BB">
            <w:pPr>
              <w:pStyle w:val="TableTextLeft"/>
              <w:rPr>
                <w:i/>
                <w:iCs/>
                <w:sz w:val="22"/>
                <w:szCs w:val="22"/>
              </w:rPr>
            </w:pPr>
            <w:r>
              <w:rPr>
                <w:i/>
                <w:iCs/>
                <w:sz w:val="22"/>
                <w:szCs w:val="22"/>
              </w:rPr>
              <w:t>National Consumer Credit Protection Act 2009</w:t>
            </w:r>
          </w:p>
        </w:tc>
      </w:tr>
      <w:tr w:rsidR="00533AC3" w:rsidRPr="00786C10" w14:paraId="44885C1A" w14:textId="77777777" w:rsidTr="00332CDB">
        <w:tc>
          <w:tcPr>
            <w:tcW w:w="1327" w:type="pct"/>
          </w:tcPr>
          <w:p w14:paraId="2285BD89" w14:textId="77777777" w:rsidR="00533AC3" w:rsidRDefault="00533AC3" w:rsidP="009653BB">
            <w:pPr>
              <w:pStyle w:val="TableTextLeft"/>
              <w:rPr>
                <w:sz w:val="22"/>
                <w:szCs w:val="22"/>
              </w:rPr>
            </w:pPr>
            <w:r>
              <w:rPr>
                <w:sz w:val="22"/>
                <w:szCs w:val="22"/>
              </w:rPr>
              <w:t>CRF</w:t>
            </w:r>
          </w:p>
        </w:tc>
        <w:tc>
          <w:tcPr>
            <w:tcW w:w="3673" w:type="pct"/>
          </w:tcPr>
          <w:p w14:paraId="7FC5061C" w14:textId="77777777" w:rsidR="00533AC3" w:rsidRPr="00293B59" w:rsidRDefault="00533AC3" w:rsidP="009653BB">
            <w:pPr>
              <w:pStyle w:val="TableTextLeft"/>
              <w:rPr>
                <w:sz w:val="22"/>
                <w:szCs w:val="22"/>
              </w:rPr>
            </w:pPr>
            <w:r>
              <w:rPr>
                <w:sz w:val="22"/>
                <w:szCs w:val="22"/>
              </w:rPr>
              <w:t>Consolidated Revenue Fund</w:t>
            </w:r>
          </w:p>
        </w:tc>
      </w:tr>
      <w:tr w:rsidR="00751F27" w:rsidRPr="00786C10" w14:paraId="482D620C" w14:textId="77777777" w:rsidTr="00332CDB">
        <w:tc>
          <w:tcPr>
            <w:tcW w:w="1327" w:type="pct"/>
          </w:tcPr>
          <w:p w14:paraId="214013C2" w14:textId="13E0CC60" w:rsidR="00751F27" w:rsidRDefault="00751F27" w:rsidP="00751F27">
            <w:pPr>
              <w:pStyle w:val="TableTextLeft"/>
              <w:rPr>
                <w:sz w:val="22"/>
                <w:szCs w:val="22"/>
              </w:rPr>
            </w:pPr>
            <w:r>
              <w:rPr>
                <w:sz w:val="22"/>
                <w:szCs w:val="22"/>
              </w:rPr>
              <w:t>CRG</w:t>
            </w:r>
            <w:r w:rsidR="00AD7BCC">
              <w:rPr>
                <w:sz w:val="22"/>
                <w:szCs w:val="22"/>
              </w:rPr>
              <w:t>s</w:t>
            </w:r>
          </w:p>
        </w:tc>
        <w:tc>
          <w:tcPr>
            <w:tcW w:w="3673" w:type="pct"/>
          </w:tcPr>
          <w:p w14:paraId="3242CFDF" w14:textId="13111209" w:rsidR="00751F27" w:rsidRDefault="00751F27" w:rsidP="00751F27">
            <w:pPr>
              <w:pStyle w:val="TableTextLeft"/>
              <w:rPr>
                <w:sz w:val="22"/>
                <w:szCs w:val="22"/>
              </w:rPr>
            </w:pPr>
            <w:r>
              <w:rPr>
                <w:sz w:val="22"/>
                <w:szCs w:val="22"/>
              </w:rPr>
              <w:t>Australian Government Cost Recovery Guidelines 20</w:t>
            </w:r>
            <w:r w:rsidR="00B14D1A">
              <w:rPr>
                <w:sz w:val="22"/>
                <w:szCs w:val="22"/>
              </w:rPr>
              <w:t>14</w:t>
            </w:r>
          </w:p>
        </w:tc>
      </w:tr>
      <w:tr w:rsidR="00751F27" w:rsidRPr="00786C10" w14:paraId="47D115B3" w14:textId="77777777" w:rsidTr="00332CDB">
        <w:tc>
          <w:tcPr>
            <w:tcW w:w="1327" w:type="pct"/>
          </w:tcPr>
          <w:p w14:paraId="3E423C12" w14:textId="77777777" w:rsidR="00751F27" w:rsidRDefault="00751F27" w:rsidP="00751F27">
            <w:pPr>
              <w:pStyle w:val="TableTextLeft"/>
              <w:rPr>
                <w:sz w:val="22"/>
                <w:szCs w:val="22"/>
              </w:rPr>
            </w:pPr>
            <w:r>
              <w:rPr>
                <w:sz w:val="22"/>
                <w:szCs w:val="22"/>
              </w:rPr>
              <w:t>CRIS</w:t>
            </w:r>
          </w:p>
        </w:tc>
        <w:tc>
          <w:tcPr>
            <w:tcW w:w="3673" w:type="pct"/>
          </w:tcPr>
          <w:p w14:paraId="0E07443A" w14:textId="6A13F5D2" w:rsidR="00751F27" w:rsidRDefault="00751F27" w:rsidP="00751F27">
            <w:pPr>
              <w:pStyle w:val="TableTextLeft"/>
              <w:rPr>
                <w:sz w:val="22"/>
                <w:szCs w:val="22"/>
              </w:rPr>
            </w:pPr>
            <w:r>
              <w:rPr>
                <w:sz w:val="22"/>
                <w:szCs w:val="22"/>
              </w:rPr>
              <w:t xml:space="preserve">Cost Recovery Implementation Statement </w:t>
            </w:r>
            <w:r w:rsidR="00FF6E80">
              <w:rPr>
                <w:sz w:val="22"/>
                <w:szCs w:val="22"/>
              </w:rPr>
              <w:t>required by the CRGs</w:t>
            </w:r>
          </w:p>
        </w:tc>
      </w:tr>
      <w:tr w:rsidR="00751F27" w:rsidRPr="00786C10" w14:paraId="66802EA1" w14:textId="77777777" w:rsidTr="00332CDB">
        <w:trPr>
          <w:trHeight w:val="70"/>
        </w:trPr>
        <w:tc>
          <w:tcPr>
            <w:tcW w:w="1327" w:type="pct"/>
          </w:tcPr>
          <w:p w14:paraId="3B3A4972" w14:textId="77777777" w:rsidR="00751F27" w:rsidRPr="000B05E6" w:rsidRDefault="00751F27" w:rsidP="00751F27">
            <w:pPr>
              <w:pStyle w:val="TableTextLeft"/>
              <w:rPr>
                <w:sz w:val="22"/>
                <w:szCs w:val="22"/>
              </w:rPr>
            </w:pPr>
            <w:r w:rsidRPr="000B05E6">
              <w:rPr>
                <w:sz w:val="22"/>
                <w:szCs w:val="22"/>
              </w:rPr>
              <w:t>ESA</w:t>
            </w:r>
          </w:p>
        </w:tc>
        <w:tc>
          <w:tcPr>
            <w:tcW w:w="3673" w:type="pct"/>
          </w:tcPr>
          <w:p w14:paraId="73D13B06" w14:textId="77777777" w:rsidR="00D15A1C" w:rsidRDefault="00751F27" w:rsidP="00751F27">
            <w:pPr>
              <w:pStyle w:val="TableTextLeft"/>
              <w:rPr>
                <w:sz w:val="22"/>
                <w:szCs w:val="22"/>
              </w:rPr>
            </w:pPr>
            <w:r w:rsidRPr="000B05E6">
              <w:rPr>
                <w:sz w:val="22"/>
                <w:szCs w:val="22"/>
              </w:rPr>
              <w:t>Enforcement Special Account</w:t>
            </w:r>
          </w:p>
          <w:p w14:paraId="462076F3" w14:textId="224A7D87" w:rsidR="00751F27" w:rsidRPr="000B05E6" w:rsidRDefault="000B05E6" w:rsidP="006B2EB3">
            <w:pPr>
              <w:pStyle w:val="TableTextLeft"/>
              <w:numPr>
                <w:ilvl w:val="0"/>
                <w:numId w:val="32"/>
              </w:numPr>
              <w:rPr>
                <w:sz w:val="22"/>
                <w:szCs w:val="22"/>
              </w:rPr>
            </w:pPr>
            <w:r w:rsidRPr="000B05E6">
              <w:rPr>
                <w:sz w:val="22"/>
                <w:szCs w:val="22"/>
              </w:rPr>
              <w:t>The ESA is used to fund legal or administrative proceedings in the exercise of ASIC</w:t>
            </w:r>
            <w:r w:rsidR="00BD190B">
              <w:rPr>
                <w:sz w:val="22"/>
                <w:szCs w:val="22"/>
              </w:rPr>
              <w:t>’</w:t>
            </w:r>
            <w:r w:rsidRPr="000B05E6">
              <w:rPr>
                <w:sz w:val="22"/>
                <w:szCs w:val="22"/>
              </w:rPr>
              <w:t>s functions and powers, in relation to suspected breaches of the law that are of significant public interest</w:t>
            </w:r>
            <w:r w:rsidR="00265F1B">
              <w:rPr>
                <w:sz w:val="22"/>
                <w:szCs w:val="22"/>
              </w:rPr>
              <w:t>.</w:t>
            </w:r>
          </w:p>
        </w:tc>
      </w:tr>
      <w:tr w:rsidR="00751F27" w:rsidRPr="00786C10" w14:paraId="1ED7A80D" w14:textId="77777777" w:rsidTr="00332CDB">
        <w:tc>
          <w:tcPr>
            <w:tcW w:w="1327" w:type="pct"/>
          </w:tcPr>
          <w:p w14:paraId="5E89B4F9" w14:textId="77777777" w:rsidR="00751F27" w:rsidRDefault="00751F27" w:rsidP="00751F27">
            <w:pPr>
              <w:pStyle w:val="TableTextLeft"/>
              <w:rPr>
                <w:sz w:val="22"/>
                <w:szCs w:val="22"/>
              </w:rPr>
            </w:pPr>
            <w:r>
              <w:rPr>
                <w:sz w:val="22"/>
                <w:szCs w:val="22"/>
              </w:rPr>
              <w:t>ESA Determination</w:t>
            </w:r>
          </w:p>
        </w:tc>
        <w:tc>
          <w:tcPr>
            <w:tcW w:w="3673" w:type="pct"/>
          </w:tcPr>
          <w:p w14:paraId="63F0902B" w14:textId="0AA0F649" w:rsidR="00751F27" w:rsidRPr="0035052B" w:rsidRDefault="00FD537A" w:rsidP="00751F27">
            <w:pPr>
              <w:pStyle w:val="TableTextLeft"/>
              <w:rPr>
                <w:sz w:val="22"/>
                <w:szCs w:val="22"/>
                <w:highlight w:val="yellow"/>
              </w:rPr>
            </w:pPr>
            <w:r w:rsidRPr="00FD537A">
              <w:rPr>
                <w:sz w:val="22"/>
                <w:szCs w:val="22"/>
              </w:rPr>
              <w:t>PGPA Act Determination (Enforcement Special Account 2016)</w:t>
            </w:r>
            <w:r w:rsidR="00901E80">
              <w:rPr>
                <w:sz w:val="22"/>
                <w:szCs w:val="22"/>
              </w:rPr>
              <w:t xml:space="preserve"> </w:t>
            </w:r>
            <w:r w:rsidR="00F5133D">
              <w:rPr>
                <w:sz w:val="22"/>
                <w:szCs w:val="22"/>
              </w:rPr>
              <w:t>–</w:t>
            </w:r>
            <w:r w:rsidR="00901E80">
              <w:rPr>
                <w:sz w:val="22"/>
                <w:szCs w:val="22"/>
              </w:rPr>
              <w:t xml:space="preserve"> </w:t>
            </w:r>
            <w:r w:rsidRPr="00FD537A">
              <w:rPr>
                <w:sz w:val="22"/>
                <w:szCs w:val="22"/>
              </w:rPr>
              <w:t>Establishment</w:t>
            </w:r>
          </w:p>
        </w:tc>
      </w:tr>
      <w:tr w:rsidR="00E65F8D" w:rsidRPr="00786C10" w14:paraId="2EF8E3E6" w14:textId="77777777" w:rsidTr="00332CDB">
        <w:tc>
          <w:tcPr>
            <w:tcW w:w="1327" w:type="pct"/>
          </w:tcPr>
          <w:p w14:paraId="08F51163" w14:textId="0C6D6B2E" w:rsidR="00E65F8D" w:rsidRDefault="00E65F8D" w:rsidP="00751F27">
            <w:pPr>
              <w:pStyle w:val="TableTextLeft"/>
              <w:rPr>
                <w:sz w:val="22"/>
                <w:szCs w:val="22"/>
              </w:rPr>
            </w:pPr>
            <w:r w:rsidRPr="00F72CDC">
              <w:rPr>
                <w:sz w:val="22"/>
                <w:szCs w:val="22"/>
              </w:rPr>
              <w:t>Ex</w:t>
            </w:r>
            <w:r w:rsidR="00BD190B">
              <w:rPr>
                <w:sz w:val="22"/>
                <w:szCs w:val="22"/>
              </w:rPr>
              <w:noBreakHyphen/>
            </w:r>
            <w:r w:rsidRPr="00F72CDC">
              <w:rPr>
                <w:sz w:val="22"/>
                <w:szCs w:val="22"/>
              </w:rPr>
              <w:t>ante charging</w:t>
            </w:r>
            <w:r>
              <w:rPr>
                <w:sz w:val="22"/>
                <w:szCs w:val="22"/>
              </w:rPr>
              <w:t xml:space="preserve"> </w:t>
            </w:r>
          </w:p>
        </w:tc>
        <w:tc>
          <w:tcPr>
            <w:tcW w:w="3673" w:type="pct"/>
          </w:tcPr>
          <w:p w14:paraId="3CA8B372" w14:textId="764A0563" w:rsidR="00E65F8D" w:rsidRPr="00FD537A" w:rsidRDefault="00D964D9" w:rsidP="00751F27">
            <w:pPr>
              <w:pStyle w:val="TableTextLeft"/>
              <w:rPr>
                <w:sz w:val="22"/>
                <w:szCs w:val="22"/>
              </w:rPr>
            </w:pPr>
            <w:r>
              <w:rPr>
                <w:sz w:val="22"/>
                <w:szCs w:val="22"/>
              </w:rPr>
              <w:t>C</w:t>
            </w:r>
            <w:r w:rsidRPr="00D964D9">
              <w:rPr>
                <w:sz w:val="22"/>
                <w:szCs w:val="22"/>
              </w:rPr>
              <w:t>osts are determined and recovered ahead of the financial year in which the costs are incurred</w:t>
            </w:r>
            <w:r>
              <w:rPr>
                <w:sz w:val="22"/>
                <w:szCs w:val="22"/>
              </w:rPr>
              <w:t>.</w:t>
            </w:r>
          </w:p>
        </w:tc>
      </w:tr>
      <w:tr w:rsidR="0089584C" w:rsidRPr="00786C10" w14:paraId="335EF806" w14:textId="77777777" w:rsidTr="00332CDB">
        <w:tc>
          <w:tcPr>
            <w:tcW w:w="1327" w:type="pct"/>
          </w:tcPr>
          <w:p w14:paraId="441D89D8" w14:textId="36C473F7" w:rsidR="0089584C" w:rsidRDefault="0089584C" w:rsidP="00751F27">
            <w:pPr>
              <w:pStyle w:val="TableTextLeft"/>
              <w:rPr>
                <w:sz w:val="22"/>
                <w:szCs w:val="22"/>
              </w:rPr>
            </w:pPr>
            <w:r>
              <w:rPr>
                <w:sz w:val="22"/>
                <w:szCs w:val="22"/>
              </w:rPr>
              <w:t>Ex</w:t>
            </w:r>
            <w:r w:rsidR="00BD190B">
              <w:rPr>
                <w:sz w:val="22"/>
                <w:szCs w:val="22"/>
              </w:rPr>
              <w:noBreakHyphen/>
            </w:r>
            <w:r>
              <w:rPr>
                <w:sz w:val="22"/>
                <w:szCs w:val="22"/>
              </w:rPr>
              <w:t>post charging</w:t>
            </w:r>
          </w:p>
        </w:tc>
        <w:tc>
          <w:tcPr>
            <w:tcW w:w="3673" w:type="pct"/>
          </w:tcPr>
          <w:p w14:paraId="3C3E0BFF" w14:textId="01144DA3" w:rsidR="0089584C" w:rsidRPr="00FD537A" w:rsidRDefault="0089584C" w:rsidP="00751F27">
            <w:pPr>
              <w:pStyle w:val="TableTextLeft"/>
              <w:rPr>
                <w:sz w:val="22"/>
                <w:szCs w:val="22"/>
              </w:rPr>
            </w:pPr>
            <w:r>
              <w:rPr>
                <w:sz w:val="22"/>
                <w:szCs w:val="22"/>
              </w:rPr>
              <w:t>C</w:t>
            </w:r>
            <w:r w:rsidRPr="0089584C">
              <w:rPr>
                <w:sz w:val="22"/>
                <w:szCs w:val="22"/>
              </w:rPr>
              <w:t xml:space="preserve">osts are </w:t>
            </w:r>
            <w:r>
              <w:rPr>
                <w:sz w:val="22"/>
                <w:szCs w:val="22"/>
              </w:rPr>
              <w:t xml:space="preserve">determined and </w:t>
            </w:r>
            <w:r w:rsidRPr="0089584C">
              <w:rPr>
                <w:sz w:val="22"/>
                <w:szCs w:val="22"/>
              </w:rPr>
              <w:t>recovered in the financial year after the regulatory costs are incurred</w:t>
            </w:r>
          </w:p>
        </w:tc>
      </w:tr>
      <w:tr w:rsidR="000F13F6" w:rsidRPr="00786C10" w14:paraId="4BEE7589" w14:textId="77777777" w:rsidTr="00332CDB">
        <w:tc>
          <w:tcPr>
            <w:tcW w:w="1327" w:type="pct"/>
          </w:tcPr>
          <w:p w14:paraId="1E55DC1C" w14:textId="220EED64" w:rsidR="000F13F6" w:rsidRDefault="000F13F6" w:rsidP="00751F27">
            <w:pPr>
              <w:pStyle w:val="TableTextLeft"/>
              <w:rPr>
                <w:sz w:val="22"/>
                <w:szCs w:val="22"/>
              </w:rPr>
            </w:pPr>
            <w:r>
              <w:rPr>
                <w:sz w:val="22"/>
                <w:szCs w:val="22"/>
              </w:rPr>
              <w:t>Fees</w:t>
            </w:r>
          </w:p>
        </w:tc>
        <w:tc>
          <w:tcPr>
            <w:tcW w:w="3673" w:type="pct"/>
          </w:tcPr>
          <w:p w14:paraId="4E546B81" w14:textId="5C006141" w:rsidR="00D15A1C" w:rsidRDefault="000F13F6" w:rsidP="000F13F6">
            <w:pPr>
              <w:pStyle w:val="TableTextLeft"/>
              <w:rPr>
                <w:sz w:val="22"/>
                <w:szCs w:val="22"/>
              </w:rPr>
            </w:pPr>
            <w:r>
              <w:rPr>
                <w:sz w:val="22"/>
                <w:szCs w:val="22"/>
              </w:rPr>
              <w:t>Fees</w:t>
            </w:r>
            <w:r w:rsidR="00BD190B">
              <w:rPr>
                <w:sz w:val="22"/>
                <w:szCs w:val="22"/>
              </w:rPr>
              <w:noBreakHyphen/>
            </w:r>
            <w:r>
              <w:rPr>
                <w:sz w:val="22"/>
                <w:szCs w:val="22"/>
              </w:rPr>
              <w:t>for</w:t>
            </w:r>
            <w:r w:rsidR="00BD190B">
              <w:rPr>
                <w:sz w:val="22"/>
                <w:szCs w:val="22"/>
              </w:rPr>
              <w:noBreakHyphen/>
            </w:r>
            <w:r>
              <w:rPr>
                <w:sz w:val="22"/>
                <w:szCs w:val="22"/>
              </w:rPr>
              <w:t xml:space="preserve">service </w:t>
            </w:r>
            <w:r w:rsidR="00D15A1C">
              <w:rPr>
                <w:sz w:val="22"/>
                <w:szCs w:val="22"/>
              </w:rPr>
              <w:t>/ cost recovery fees</w:t>
            </w:r>
          </w:p>
          <w:p w14:paraId="5EE9D71E" w14:textId="6E693CC2" w:rsidR="008F6F1A" w:rsidRPr="00FD537A" w:rsidRDefault="000F13F6" w:rsidP="006B2EB3">
            <w:pPr>
              <w:pStyle w:val="TableTextLeft"/>
              <w:numPr>
                <w:ilvl w:val="0"/>
                <w:numId w:val="32"/>
              </w:numPr>
              <w:rPr>
                <w:sz w:val="22"/>
                <w:szCs w:val="22"/>
              </w:rPr>
            </w:pPr>
            <w:r w:rsidRPr="000F13F6">
              <w:rPr>
                <w:sz w:val="22"/>
                <w:szCs w:val="22"/>
              </w:rPr>
              <w:t xml:space="preserve">Under the Charging Framework, a fee is charged when the activity and its costs can be linked to a specific individual or organisation that requests the regulatory service or creates the need for it. This ensures that fees can be allocated to those that create the need for the regulatory effort. </w:t>
            </w:r>
          </w:p>
        </w:tc>
      </w:tr>
      <w:tr w:rsidR="00751F27" w:rsidRPr="00786C10" w14:paraId="362E16F8" w14:textId="77777777" w:rsidTr="00332CDB">
        <w:tc>
          <w:tcPr>
            <w:tcW w:w="1327" w:type="pct"/>
          </w:tcPr>
          <w:p w14:paraId="5256B9D0" w14:textId="77777777" w:rsidR="00751F27" w:rsidRDefault="00751F27" w:rsidP="00751F27">
            <w:pPr>
              <w:pStyle w:val="TableTextLeft"/>
              <w:rPr>
                <w:sz w:val="22"/>
                <w:szCs w:val="22"/>
              </w:rPr>
            </w:pPr>
            <w:r>
              <w:rPr>
                <w:sz w:val="22"/>
                <w:szCs w:val="22"/>
              </w:rPr>
              <w:t>FRAA</w:t>
            </w:r>
          </w:p>
        </w:tc>
        <w:tc>
          <w:tcPr>
            <w:tcW w:w="3673" w:type="pct"/>
          </w:tcPr>
          <w:p w14:paraId="64233827" w14:textId="05127205" w:rsidR="00751F27" w:rsidRDefault="005869FF" w:rsidP="00751F27">
            <w:pPr>
              <w:pStyle w:val="TableTextLeft"/>
              <w:rPr>
                <w:sz w:val="22"/>
                <w:szCs w:val="22"/>
                <w:highlight w:val="yellow"/>
              </w:rPr>
            </w:pPr>
            <w:r w:rsidRPr="0008080E">
              <w:rPr>
                <w:sz w:val="22"/>
                <w:szCs w:val="22"/>
              </w:rPr>
              <w:t>Financial Regulator Assessment Authority</w:t>
            </w:r>
          </w:p>
        </w:tc>
      </w:tr>
      <w:tr w:rsidR="00751F27" w:rsidRPr="00786C10" w14:paraId="6F1D30B7" w14:textId="77777777" w:rsidTr="00332CDB">
        <w:tc>
          <w:tcPr>
            <w:tcW w:w="1327" w:type="pct"/>
          </w:tcPr>
          <w:p w14:paraId="21340A07" w14:textId="77777777" w:rsidR="00751F27" w:rsidRDefault="00751F27" w:rsidP="00751F27">
            <w:pPr>
              <w:pStyle w:val="TableTextLeft"/>
              <w:rPr>
                <w:sz w:val="22"/>
                <w:szCs w:val="22"/>
              </w:rPr>
            </w:pPr>
            <w:r>
              <w:rPr>
                <w:sz w:val="22"/>
                <w:szCs w:val="22"/>
              </w:rPr>
              <w:t>IFM</w:t>
            </w:r>
          </w:p>
        </w:tc>
        <w:tc>
          <w:tcPr>
            <w:tcW w:w="3673" w:type="pct"/>
          </w:tcPr>
          <w:p w14:paraId="64717187" w14:textId="77777777" w:rsidR="00751F27" w:rsidRPr="00786C10" w:rsidRDefault="00751F27" w:rsidP="00751F27">
            <w:pPr>
              <w:pStyle w:val="TableTextLeft"/>
              <w:rPr>
                <w:sz w:val="22"/>
                <w:szCs w:val="22"/>
              </w:rPr>
            </w:pPr>
            <w:r>
              <w:rPr>
                <w:sz w:val="22"/>
                <w:szCs w:val="22"/>
              </w:rPr>
              <w:t>Industry Funding Model</w:t>
            </w:r>
          </w:p>
        </w:tc>
      </w:tr>
      <w:tr w:rsidR="00751F27" w:rsidRPr="00786C10" w14:paraId="56837D29" w14:textId="77777777" w:rsidTr="00332CDB">
        <w:tc>
          <w:tcPr>
            <w:tcW w:w="1327" w:type="pct"/>
          </w:tcPr>
          <w:p w14:paraId="4DE2D32B" w14:textId="77777777" w:rsidR="00751F27" w:rsidRDefault="00751F27" w:rsidP="00751F27">
            <w:pPr>
              <w:pStyle w:val="TableTextLeft"/>
              <w:rPr>
                <w:sz w:val="22"/>
                <w:szCs w:val="22"/>
              </w:rPr>
            </w:pPr>
            <w:r>
              <w:rPr>
                <w:sz w:val="22"/>
                <w:szCs w:val="22"/>
              </w:rPr>
              <w:t>Levies</w:t>
            </w:r>
          </w:p>
        </w:tc>
        <w:tc>
          <w:tcPr>
            <w:tcW w:w="3673" w:type="pct"/>
          </w:tcPr>
          <w:p w14:paraId="35CC26A1" w14:textId="023545AD" w:rsidR="00D15A1C" w:rsidRDefault="00291DAB" w:rsidP="00751F27">
            <w:pPr>
              <w:pStyle w:val="TableTextLeft"/>
              <w:rPr>
                <w:sz w:val="22"/>
                <w:szCs w:val="22"/>
              </w:rPr>
            </w:pPr>
            <w:r>
              <w:rPr>
                <w:sz w:val="22"/>
                <w:szCs w:val="22"/>
              </w:rPr>
              <w:t xml:space="preserve">Industry funding levies </w:t>
            </w:r>
          </w:p>
          <w:p w14:paraId="6CDF80A0" w14:textId="0ACB117A" w:rsidR="001929BF" w:rsidRPr="001929BF" w:rsidRDefault="001929BF" w:rsidP="006B2EB3">
            <w:pPr>
              <w:pStyle w:val="TableTextLeft"/>
              <w:numPr>
                <w:ilvl w:val="0"/>
                <w:numId w:val="32"/>
              </w:numPr>
              <w:rPr>
                <w:sz w:val="22"/>
                <w:szCs w:val="22"/>
              </w:rPr>
            </w:pPr>
            <w:r w:rsidRPr="001929BF">
              <w:rPr>
                <w:sz w:val="22"/>
                <w:szCs w:val="22"/>
              </w:rPr>
              <w:t>There are two components to ASIC</w:t>
            </w:r>
            <w:r w:rsidR="00BD190B">
              <w:rPr>
                <w:sz w:val="22"/>
                <w:szCs w:val="22"/>
              </w:rPr>
              <w:t>’</w:t>
            </w:r>
            <w:r w:rsidRPr="001929BF">
              <w:rPr>
                <w:sz w:val="22"/>
                <w:szCs w:val="22"/>
              </w:rPr>
              <w:t>s industry funding levies:</w:t>
            </w:r>
          </w:p>
          <w:p w14:paraId="6922647D" w14:textId="2F447C36" w:rsidR="003E5442" w:rsidRDefault="001929BF" w:rsidP="006B2EB3">
            <w:pPr>
              <w:pStyle w:val="TableTextLeft"/>
              <w:numPr>
                <w:ilvl w:val="0"/>
                <w:numId w:val="33"/>
              </w:numPr>
              <w:rPr>
                <w:sz w:val="22"/>
                <w:szCs w:val="22"/>
              </w:rPr>
            </w:pPr>
            <w:r w:rsidRPr="001929BF">
              <w:rPr>
                <w:sz w:val="22"/>
                <w:szCs w:val="22"/>
              </w:rPr>
              <w:lastRenderedPageBreak/>
              <w:t>Cost recovery levies are non</w:t>
            </w:r>
            <w:r w:rsidR="00BD190B">
              <w:rPr>
                <w:sz w:val="22"/>
                <w:szCs w:val="22"/>
              </w:rPr>
              <w:noBreakHyphen/>
            </w:r>
            <w:r w:rsidRPr="001929BF">
              <w:rPr>
                <w:sz w:val="22"/>
                <w:szCs w:val="22"/>
              </w:rPr>
              <w:t>taxation levies</w:t>
            </w:r>
            <w:r w:rsidR="003E5442">
              <w:rPr>
                <w:sz w:val="22"/>
                <w:szCs w:val="22"/>
              </w:rPr>
              <w:t xml:space="preserve"> (governed by the Charging Framework)</w:t>
            </w:r>
            <w:r w:rsidRPr="001929BF">
              <w:rPr>
                <w:sz w:val="22"/>
                <w:szCs w:val="22"/>
              </w:rPr>
              <w:t xml:space="preserve"> charged when a good or service of regulation is provided to a group of individuals or organisations rather than to a specific individual or organisation. </w:t>
            </w:r>
          </w:p>
          <w:p w14:paraId="3D762767" w14:textId="7FA1B150" w:rsidR="00291DAB" w:rsidRPr="00AE52F0" w:rsidRDefault="001929BF" w:rsidP="006B2EB3">
            <w:pPr>
              <w:pStyle w:val="TableTextLeft"/>
              <w:numPr>
                <w:ilvl w:val="0"/>
                <w:numId w:val="33"/>
              </w:numPr>
              <w:rPr>
                <w:sz w:val="22"/>
                <w:szCs w:val="22"/>
              </w:rPr>
            </w:pPr>
            <w:r w:rsidRPr="003E5442">
              <w:rPr>
                <w:sz w:val="22"/>
                <w:szCs w:val="22"/>
              </w:rPr>
              <w:t>Statutory levies are general taxes</w:t>
            </w:r>
            <w:r w:rsidR="00006D28">
              <w:rPr>
                <w:sz w:val="22"/>
                <w:szCs w:val="22"/>
              </w:rPr>
              <w:t xml:space="preserve"> (not governed by the Charging Framework)</w:t>
            </w:r>
            <w:r w:rsidRPr="003E5442">
              <w:rPr>
                <w:sz w:val="22"/>
                <w:szCs w:val="22"/>
              </w:rPr>
              <w:t xml:space="preserve"> imposed for activities where the Government has decided there should be some level of cross</w:t>
            </w:r>
            <w:r w:rsidR="00BD190B">
              <w:rPr>
                <w:sz w:val="22"/>
                <w:szCs w:val="22"/>
              </w:rPr>
              <w:noBreakHyphen/>
            </w:r>
            <w:r w:rsidRPr="003E5442">
              <w:rPr>
                <w:sz w:val="22"/>
                <w:szCs w:val="22"/>
              </w:rPr>
              <w:t>subsidisation between or within industry sub</w:t>
            </w:r>
            <w:r w:rsidR="00BD190B">
              <w:rPr>
                <w:sz w:val="22"/>
                <w:szCs w:val="22"/>
              </w:rPr>
              <w:noBreakHyphen/>
            </w:r>
            <w:r w:rsidRPr="003E5442">
              <w:rPr>
                <w:sz w:val="22"/>
                <w:szCs w:val="22"/>
              </w:rPr>
              <w:t xml:space="preserve">sectors. </w:t>
            </w:r>
          </w:p>
          <w:p w14:paraId="11CBE7AC" w14:textId="25788C1A" w:rsidR="00751F27" w:rsidRDefault="001003EE" w:rsidP="006B2EB3">
            <w:pPr>
              <w:pStyle w:val="TableTextLeft"/>
              <w:numPr>
                <w:ilvl w:val="0"/>
                <w:numId w:val="32"/>
              </w:numPr>
              <w:rPr>
                <w:sz w:val="22"/>
                <w:szCs w:val="22"/>
              </w:rPr>
            </w:pPr>
            <w:r>
              <w:rPr>
                <w:sz w:val="22"/>
                <w:szCs w:val="22"/>
              </w:rPr>
              <w:t>References in this Report to</w:t>
            </w:r>
            <w:r w:rsidR="00751F27" w:rsidRPr="00711D9D">
              <w:rPr>
                <w:sz w:val="22"/>
                <w:szCs w:val="22"/>
              </w:rPr>
              <w:t xml:space="preserve"> </w:t>
            </w:r>
            <w:r w:rsidR="00BD190B">
              <w:rPr>
                <w:sz w:val="22"/>
                <w:szCs w:val="22"/>
              </w:rPr>
              <w:t>‘</w:t>
            </w:r>
            <w:r w:rsidR="00751F27" w:rsidRPr="00711D9D">
              <w:rPr>
                <w:sz w:val="22"/>
                <w:szCs w:val="22"/>
              </w:rPr>
              <w:t>levies</w:t>
            </w:r>
            <w:r w:rsidR="00BD190B">
              <w:rPr>
                <w:sz w:val="22"/>
                <w:szCs w:val="22"/>
              </w:rPr>
              <w:t>’</w:t>
            </w:r>
            <w:r w:rsidR="00751F27" w:rsidRPr="00711D9D">
              <w:rPr>
                <w:sz w:val="22"/>
                <w:szCs w:val="22"/>
              </w:rPr>
              <w:t xml:space="preserve"> refers to both cost recovery and statutory levies unless specified.</w:t>
            </w:r>
            <w:r w:rsidR="00751F27">
              <w:rPr>
                <w:sz w:val="22"/>
                <w:szCs w:val="22"/>
              </w:rPr>
              <w:t xml:space="preserve"> </w:t>
            </w:r>
            <w:r w:rsidR="00751F27" w:rsidRPr="008E7BD1">
              <w:rPr>
                <w:sz w:val="22"/>
                <w:szCs w:val="22"/>
              </w:rPr>
              <w:t>Cost recovery and statutory levies are combined into a single amount charged to regulated entities</w:t>
            </w:r>
            <w:r w:rsidR="00A9062F">
              <w:rPr>
                <w:sz w:val="22"/>
                <w:szCs w:val="22"/>
              </w:rPr>
              <w:t xml:space="preserve">. </w:t>
            </w:r>
          </w:p>
        </w:tc>
      </w:tr>
      <w:tr w:rsidR="003A2406" w:rsidRPr="00786C10" w14:paraId="7BFF3B15" w14:textId="77777777" w:rsidTr="00573051">
        <w:tc>
          <w:tcPr>
            <w:tcW w:w="1327" w:type="pct"/>
          </w:tcPr>
          <w:p w14:paraId="6AC1B8DF" w14:textId="77777777" w:rsidR="003A2406" w:rsidRDefault="003A2406" w:rsidP="00573051">
            <w:pPr>
              <w:pStyle w:val="TableTextLeft"/>
              <w:rPr>
                <w:sz w:val="22"/>
                <w:szCs w:val="22"/>
              </w:rPr>
            </w:pPr>
            <w:r>
              <w:rPr>
                <w:sz w:val="22"/>
                <w:szCs w:val="22"/>
              </w:rPr>
              <w:lastRenderedPageBreak/>
              <w:t>Regulated entities</w:t>
            </w:r>
          </w:p>
        </w:tc>
        <w:tc>
          <w:tcPr>
            <w:tcW w:w="3673" w:type="pct"/>
          </w:tcPr>
          <w:p w14:paraId="24DE3761" w14:textId="20CE7379" w:rsidR="003A2406" w:rsidRDefault="003A2406" w:rsidP="00573051">
            <w:pPr>
              <w:pStyle w:val="TableTextLeft"/>
              <w:rPr>
                <w:sz w:val="22"/>
                <w:szCs w:val="22"/>
              </w:rPr>
            </w:pPr>
            <w:r>
              <w:rPr>
                <w:sz w:val="22"/>
                <w:szCs w:val="22"/>
              </w:rPr>
              <w:t xml:space="preserve">Entities that are regulated by ASIC and are subject to </w:t>
            </w:r>
            <w:r w:rsidR="00442DD0">
              <w:rPr>
                <w:sz w:val="22"/>
                <w:szCs w:val="22"/>
              </w:rPr>
              <w:t>levies</w:t>
            </w:r>
            <w:r>
              <w:rPr>
                <w:sz w:val="22"/>
                <w:szCs w:val="22"/>
              </w:rPr>
              <w:t xml:space="preserve">. </w:t>
            </w:r>
          </w:p>
        </w:tc>
      </w:tr>
      <w:tr w:rsidR="00751F27" w:rsidRPr="00786C10" w14:paraId="15A995E7" w14:textId="77777777" w:rsidTr="00332CDB">
        <w:tc>
          <w:tcPr>
            <w:tcW w:w="1327" w:type="pct"/>
          </w:tcPr>
          <w:p w14:paraId="0D657945" w14:textId="77777777" w:rsidR="00751F27" w:rsidRDefault="00751F27" w:rsidP="00751F27">
            <w:pPr>
              <w:pStyle w:val="TableTextLeft"/>
              <w:rPr>
                <w:sz w:val="22"/>
                <w:szCs w:val="22"/>
              </w:rPr>
            </w:pPr>
            <w:r>
              <w:rPr>
                <w:sz w:val="22"/>
                <w:szCs w:val="22"/>
              </w:rPr>
              <w:t>Stakeholders</w:t>
            </w:r>
          </w:p>
        </w:tc>
        <w:tc>
          <w:tcPr>
            <w:tcW w:w="3673" w:type="pct"/>
          </w:tcPr>
          <w:p w14:paraId="08EA0AB6" w14:textId="721183DC" w:rsidR="00751F27" w:rsidRDefault="00751F27" w:rsidP="00751F27">
            <w:pPr>
              <w:pStyle w:val="TableTextLeft"/>
              <w:rPr>
                <w:sz w:val="22"/>
                <w:szCs w:val="22"/>
              </w:rPr>
            </w:pPr>
            <w:r>
              <w:rPr>
                <w:sz w:val="22"/>
                <w:szCs w:val="22"/>
              </w:rPr>
              <w:t xml:space="preserve">Industry stakeholders outside of Government that have an interest in the </w:t>
            </w:r>
            <w:r w:rsidR="004E3A87">
              <w:rPr>
                <w:sz w:val="22"/>
                <w:szCs w:val="22"/>
              </w:rPr>
              <w:t>ASIC IFM</w:t>
            </w:r>
            <w:r w:rsidR="002D3D93">
              <w:rPr>
                <w:sz w:val="22"/>
                <w:szCs w:val="22"/>
              </w:rPr>
              <w:t>.</w:t>
            </w:r>
          </w:p>
        </w:tc>
      </w:tr>
      <w:tr w:rsidR="00751F27" w:rsidRPr="00786C10" w14:paraId="039DAE5B" w14:textId="77777777" w:rsidTr="00332CDB">
        <w:tc>
          <w:tcPr>
            <w:tcW w:w="1327" w:type="pct"/>
          </w:tcPr>
          <w:p w14:paraId="14A68DC0" w14:textId="77777777" w:rsidR="00751F27" w:rsidRDefault="00751F27" w:rsidP="00751F27">
            <w:pPr>
              <w:pStyle w:val="TableTextLeft"/>
              <w:rPr>
                <w:sz w:val="22"/>
                <w:szCs w:val="22"/>
              </w:rPr>
            </w:pPr>
            <w:r>
              <w:rPr>
                <w:sz w:val="22"/>
                <w:szCs w:val="22"/>
              </w:rPr>
              <w:t>SIS Act</w:t>
            </w:r>
          </w:p>
        </w:tc>
        <w:tc>
          <w:tcPr>
            <w:tcW w:w="3673" w:type="pct"/>
          </w:tcPr>
          <w:p w14:paraId="5498C3D5" w14:textId="77777777" w:rsidR="00751F27" w:rsidRPr="00786C10" w:rsidRDefault="00751F27" w:rsidP="00751F27">
            <w:pPr>
              <w:pStyle w:val="TableTextLeft"/>
              <w:rPr>
                <w:i/>
                <w:iCs/>
                <w:sz w:val="22"/>
                <w:szCs w:val="22"/>
              </w:rPr>
            </w:pPr>
            <w:r w:rsidRPr="00786C10">
              <w:rPr>
                <w:i/>
                <w:iCs/>
                <w:sz w:val="22"/>
                <w:szCs w:val="22"/>
              </w:rPr>
              <w:t>Superannuation Industry (Supervision) Act 1993</w:t>
            </w:r>
          </w:p>
        </w:tc>
      </w:tr>
      <w:tr w:rsidR="00751F27" w:rsidRPr="00786C10" w14:paraId="0A98D9C4" w14:textId="77777777" w:rsidTr="00332CDB">
        <w:tc>
          <w:tcPr>
            <w:tcW w:w="1327" w:type="pct"/>
          </w:tcPr>
          <w:p w14:paraId="533682B8" w14:textId="77777777" w:rsidR="00751F27" w:rsidRDefault="00751F27" w:rsidP="00751F27">
            <w:pPr>
              <w:pStyle w:val="TableTextLeft"/>
              <w:rPr>
                <w:sz w:val="22"/>
                <w:szCs w:val="22"/>
              </w:rPr>
            </w:pPr>
            <w:r>
              <w:rPr>
                <w:sz w:val="22"/>
                <w:szCs w:val="22"/>
              </w:rPr>
              <w:t>The Review</w:t>
            </w:r>
          </w:p>
        </w:tc>
        <w:tc>
          <w:tcPr>
            <w:tcW w:w="3673" w:type="pct"/>
          </w:tcPr>
          <w:p w14:paraId="6D41A661" w14:textId="77777777" w:rsidR="00751F27" w:rsidRPr="00786C10" w:rsidRDefault="00751F27" w:rsidP="00751F27">
            <w:pPr>
              <w:pStyle w:val="TableTextLeft"/>
              <w:rPr>
                <w:sz w:val="22"/>
                <w:szCs w:val="22"/>
              </w:rPr>
            </w:pPr>
            <w:r>
              <w:rPr>
                <w:sz w:val="22"/>
                <w:szCs w:val="22"/>
              </w:rPr>
              <w:t>Review of the Australian Securities and Investments Commission Industry Funding Model (this review)</w:t>
            </w:r>
          </w:p>
        </w:tc>
      </w:tr>
    </w:tbl>
    <w:p w14:paraId="587D5DCC" w14:textId="77777777" w:rsidR="00ED5A20" w:rsidRDefault="00ED5A20" w:rsidP="007623B1">
      <w:pPr>
        <w:pStyle w:val="Heading1Numbered"/>
        <w:sectPr w:rsidR="00ED5A20" w:rsidSect="00BD190B">
          <w:headerReference w:type="default" r:id="rId26"/>
          <w:footerReference w:type="default" r:id="rId27"/>
          <w:type w:val="oddPage"/>
          <w:pgSz w:w="11906" w:h="16838" w:code="9"/>
          <w:pgMar w:top="1843" w:right="1418" w:bottom="1418" w:left="1418" w:header="709" w:footer="709" w:gutter="0"/>
          <w:cols w:space="708"/>
          <w:docGrid w:linePitch="360"/>
        </w:sectPr>
      </w:pPr>
    </w:p>
    <w:p w14:paraId="4B7F767E" w14:textId="384DE212" w:rsidR="0067309E" w:rsidRDefault="00533AC3" w:rsidP="00577FC5">
      <w:pPr>
        <w:pStyle w:val="Heading1"/>
      </w:pPr>
      <w:bookmarkStart w:id="16" w:name="_Toc125305152"/>
      <w:bookmarkStart w:id="17" w:name="_Toc129270420"/>
      <w:r>
        <w:lastRenderedPageBreak/>
        <w:t>Executive Summary</w:t>
      </w:r>
      <w:bookmarkEnd w:id="16"/>
      <w:bookmarkEnd w:id="17"/>
      <w:r>
        <w:t xml:space="preserve"> </w:t>
      </w:r>
    </w:p>
    <w:p w14:paraId="352A3F4F" w14:textId="0C5C6B2A" w:rsidR="003E5013" w:rsidRDefault="00904801" w:rsidP="00904801">
      <w:pPr>
        <w:rPr>
          <w:rFonts w:eastAsia="Calibri" w:cs="Calibri Light"/>
          <w:szCs w:val="22"/>
          <w:lang w:eastAsia="en-US"/>
        </w:rPr>
      </w:pPr>
      <w:r w:rsidRPr="00941F42">
        <w:t>Following recommendations of the 2014 Financial System Inquiry and the 2014 Senate Economics Committee Inquiry into the performance of ASIC, an industry funding model for ASIC was introduced to recover its regulatory costs from the entities it regulates.</w:t>
      </w:r>
      <w:r w:rsidR="001A3620">
        <w:t xml:space="preserve"> </w:t>
      </w:r>
    </w:p>
    <w:p w14:paraId="684D92BE" w14:textId="3A5918BF" w:rsidR="00AE7021" w:rsidRDefault="00AE7021" w:rsidP="00AE7021">
      <w:pPr>
        <w:rPr>
          <w:rFonts w:eastAsia="Calibri" w:cs="Calibri Light"/>
          <w:szCs w:val="22"/>
          <w:lang w:eastAsia="en-US"/>
        </w:rPr>
      </w:pPr>
      <w:r w:rsidRPr="00533AC3">
        <w:rPr>
          <w:rFonts w:eastAsia="Calibri" w:cs="Calibri Light"/>
          <w:szCs w:val="22"/>
          <w:lang w:eastAsia="en-US"/>
        </w:rPr>
        <w:t xml:space="preserve">The policy settings of the ASIC IFM are </w:t>
      </w:r>
      <w:r>
        <w:rPr>
          <w:rFonts w:eastAsia="Calibri" w:cs="Calibri Light"/>
          <w:szCs w:val="22"/>
          <w:lang w:eastAsia="en-US"/>
        </w:rPr>
        <w:t xml:space="preserve">determined by Government and </w:t>
      </w:r>
      <w:r w:rsidRPr="00533AC3">
        <w:rPr>
          <w:rFonts w:eastAsia="Calibri" w:cs="Calibri Light"/>
          <w:szCs w:val="22"/>
          <w:lang w:eastAsia="en-US"/>
        </w:rPr>
        <w:t>prescribed in a legislative framework comprising several Acts and</w:t>
      </w:r>
      <w:r>
        <w:rPr>
          <w:rFonts w:eastAsia="Calibri" w:cs="Calibri Light"/>
          <w:szCs w:val="22"/>
          <w:lang w:eastAsia="en-US"/>
        </w:rPr>
        <w:t xml:space="preserve"> Regulations. </w:t>
      </w:r>
      <w:r w:rsidR="001F45D5" w:rsidRPr="00712689">
        <w:rPr>
          <w:rFonts w:eastAsia="Calibri" w:cs="Calibri Light"/>
          <w:szCs w:val="22"/>
          <w:lang w:eastAsia="en-US"/>
        </w:rPr>
        <w:t>The IFM comprises of industry funding levies charged annually to entities across 52 industry sub</w:t>
      </w:r>
      <w:r w:rsidR="00BD190B">
        <w:rPr>
          <w:rFonts w:eastAsia="Calibri" w:cs="Calibri Light"/>
          <w:szCs w:val="22"/>
          <w:lang w:eastAsia="en-US"/>
        </w:rPr>
        <w:noBreakHyphen/>
      </w:r>
      <w:r w:rsidR="001F45D5" w:rsidRPr="00712689">
        <w:rPr>
          <w:rFonts w:eastAsia="Calibri" w:cs="Calibri Light"/>
          <w:szCs w:val="22"/>
          <w:lang w:eastAsia="en-US"/>
        </w:rPr>
        <w:t>sectors, and fees</w:t>
      </w:r>
      <w:r w:rsidR="00BD190B">
        <w:rPr>
          <w:rFonts w:eastAsia="Calibri" w:cs="Calibri Light"/>
          <w:szCs w:val="22"/>
          <w:lang w:eastAsia="en-US"/>
        </w:rPr>
        <w:noBreakHyphen/>
      </w:r>
      <w:r w:rsidR="001F45D5" w:rsidRPr="00712689">
        <w:rPr>
          <w:rFonts w:eastAsia="Calibri" w:cs="Calibri Light"/>
          <w:szCs w:val="22"/>
          <w:lang w:eastAsia="en-US"/>
        </w:rPr>
        <w:t>for</w:t>
      </w:r>
      <w:r w:rsidR="00BD190B">
        <w:rPr>
          <w:rFonts w:eastAsia="Calibri" w:cs="Calibri Light"/>
          <w:szCs w:val="22"/>
          <w:lang w:eastAsia="en-US"/>
        </w:rPr>
        <w:noBreakHyphen/>
      </w:r>
      <w:r w:rsidR="001F45D5" w:rsidRPr="00712689">
        <w:rPr>
          <w:rFonts w:eastAsia="Calibri" w:cs="Calibri Light"/>
          <w:szCs w:val="22"/>
          <w:lang w:eastAsia="en-US"/>
        </w:rPr>
        <w:t>service charged to individual entities at the point of initiating certain regulatory services provided by ASIC</w:t>
      </w:r>
      <w:r w:rsidR="001F45D5">
        <w:rPr>
          <w:rFonts w:eastAsia="Calibri" w:cs="Calibri Light"/>
          <w:szCs w:val="22"/>
          <w:lang w:eastAsia="en-US"/>
        </w:rPr>
        <w:t>.</w:t>
      </w:r>
    </w:p>
    <w:p w14:paraId="73F7756A" w14:textId="77777777" w:rsidR="008D69FF" w:rsidRDefault="008D69FF" w:rsidP="008D69FF">
      <w:pPr>
        <w:rPr>
          <w:rFonts w:eastAsia="Calibri" w:cs="Calibri Light"/>
          <w:szCs w:val="22"/>
          <w:lang w:eastAsia="en-US"/>
        </w:rPr>
      </w:pPr>
      <w:r>
        <w:rPr>
          <w:rFonts w:eastAsia="Calibri" w:cs="Calibri Light"/>
          <w:szCs w:val="22"/>
          <w:lang w:eastAsia="en-US"/>
        </w:rPr>
        <w:t>The ASIC IFM was designed to meet two key Government principles:</w:t>
      </w:r>
    </w:p>
    <w:p w14:paraId="776056E5" w14:textId="77777777" w:rsidR="008D69FF" w:rsidRDefault="008D69FF" w:rsidP="006B2EB3">
      <w:pPr>
        <w:pStyle w:val="ListParagraph"/>
        <w:numPr>
          <w:ilvl w:val="0"/>
          <w:numId w:val="31"/>
        </w:numPr>
        <w:spacing w:line="259" w:lineRule="auto"/>
        <w:rPr>
          <w:rFonts w:eastAsia="Calibri" w:cs="Calibri Light"/>
          <w:szCs w:val="22"/>
          <w:lang w:eastAsia="en-US"/>
        </w:rPr>
      </w:pPr>
      <w:r w:rsidRPr="00A141D2">
        <w:rPr>
          <w:rFonts w:eastAsia="Calibri" w:cs="Calibri Light"/>
          <w:szCs w:val="22"/>
          <w:lang w:eastAsia="en-US"/>
        </w:rPr>
        <w:t>cost recovery fees and levies attributable to regulated activity are considered as a funding mechanism prior to budget funding (that is, funding from general taxpayers)</w:t>
      </w:r>
    </w:p>
    <w:p w14:paraId="45F284E7" w14:textId="77777777" w:rsidR="008D69FF" w:rsidRPr="00A141D2" w:rsidRDefault="008D69FF" w:rsidP="006B2EB3">
      <w:pPr>
        <w:pStyle w:val="ListParagraph"/>
        <w:numPr>
          <w:ilvl w:val="0"/>
          <w:numId w:val="31"/>
        </w:numPr>
        <w:spacing w:line="259" w:lineRule="auto"/>
        <w:rPr>
          <w:rFonts w:eastAsia="Calibri" w:cs="Calibri Light"/>
          <w:szCs w:val="22"/>
          <w:lang w:eastAsia="en-US"/>
        </w:rPr>
      </w:pPr>
      <w:r w:rsidRPr="00A141D2">
        <w:rPr>
          <w:rFonts w:eastAsia="Calibri" w:cs="Calibri Light"/>
          <w:szCs w:val="22"/>
          <w:lang w:eastAsia="en-US"/>
        </w:rPr>
        <w:t>those who create the need for a government activity or regulation, should be charged for it, rather than general taxpayers</w:t>
      </w:r>
    </w:p>
    <w:p w14:paraId="1A117190" w14:textId="4AB73AA2" w:rsidR="00023650" w:rsidRDefault="00023650" w:rsidP="00AE7021">
      <w:r>
        <w:rPr>
          <w:rFonts w:eastAsia="Calibri" w:cs="Calibri Light"/>
          <w:szCs w:val="22"/>
          <w:lang w:eastAsia="en-US"/>
        </w:rPr>
        <w:t>The design of the ASIC IFM is unique to reflect</w:t>
      </w:r>
      <w:r w:rsidRPr="00533AC3">
        <w:rPr>
          <w:rFonts w:eastAsia="Calibri" w:cs="Calibri Light"/>
          <w:szCs w:val="22"/>
          <w:lang w:eastAsia="en-US"/>
        </w:rPr>
        <w:t xml:space="preserve"> </w:t>
      </w:r>
      <w:r>
        <w:rPr>
          <w:rFonts w:eastAsia="Calibri" w:cs="Calibri Light"/>
          <w:szCs w:val="22"/>
          <w:lang w:eastAsia="en-US"/>
        </w:rPr>
        <w:t>ASIC</w:t>
      </w:r>
      <w:r w:rsidR="00BD190B">
        <w:rPr>
          <w:rFonts w:eastAsia="Calibri" w:cs="Calibri Light"/>
          <w:szCs w:val="22"/>
          <w:lang w:eastAsia="en-US"/>
        </w:rPr>
        <w:t>’</w:t>
      </w:r>
      <w:r>
        <w:rPr>
          <w:rFonts w:eastAsia="Calibri" w:cs="Calibri Light"/>
          <w:szCs w:val="22"/>
          <w:lang w:eastAsia="en-US"/>
        </w:rPr>
        <w:t>s wide statutory mandate and therefore, the vast range of activities it undertakes (including a significant enforcement function) and the different type and sizes of entities it regulates</w:t>
      </w:r>
      <w:r w:rsidR="0047601F">
        <w:rPr>
          <w:rFonts w:eastAsia="Calibri" w:cs="Calibri Light"/>
          <w:szCs w:val="22"/>
          <w:lang w:eastAsia="en-US"/>
        </w:rPr>
        <w:t xml:space="preserve">. </w:t>
      </w:r>
    </w:p>
    <w:p w14:paraId="72007BCE" w14:textId="2A07BDB7" w:rsidR="00886E83" w:rsidRDefault="00385D89" w:rsidP="00AE7021">
      <w:r>
        <w:t xml:space="preserve">This Review has provided an opportunity to seek feedback on </w:t>
      </w:r>
      <w:r w:rsidR="00FD406C">
        <w:t xml:space="preserve">whether the ASIC IFM settings remain appropriate or whether changes are required to ensure it </w:t>
      </w:r>
      <w:r w:rsidR="00886E83">
        <w:t>remains fit</w:t>
      </w:r>
      <w:r w:rsidR="00BD190B">
        <w:noBreakHyphen/>
      </w:r>
      <w:r w:rsidR="00886E83">
        <w:t>for</w:t>
      </w:r>
      <w:r w:rsidR="00BD190B">
        <w:noBreakHyphen/>
      </w:r>
      <w:r w:rsidR="00886E83">
        <w:t xml:space="preserve">purpose in the longer term. </w:t>
      </w:r>
    </w:p>
    <w:p w14:paraId="7F7EC7BA" w14:textId="2C8730CA" w:rsidR="008C0BC1" w:rsidRDefault="00886E83" w:rsidP="00AE7021">
      <w:r>
        <w:t xml:space="preserve">The Review has considered submissions received from </w:t>
      </w:r>
      <w:r w:rsidR="00E9504E">
        <w:t>various stakeholders</w:t>
      </w:r>
      <w:r w:rsidR="00287842" w:rsidRPr="00D224B7">
        <w:t xml:space="preserve">, </w:t>
      </w:r>
      <w:r w:rsidR="00E9504E">
        <w:t xml:space="preserve">including </w:t>
      </w:r>
      <w:r w:rsidR="00287842" w:rsidRPr="00D224B7">
        <w:t>ASIC</w:t>
      </w:r>
      <w:r w:rsidR="00BD190B">
        <w:noBreakHyphen/>
      </w:r>
      <w:r w:rsidR="00287842" w:rsidRPr="00D224B7">
        <w:t>regulated entities and consumer advocacy organisations</w:t>
      </w:r>
      <w:r w:rsidR="00287842">
        <w:t xml:space="preserve"> as well as feedback received through other consultation mechanisms. </w:t>
      </w:r>
      <w:r w:rsidR="009263BC">
        <w:t>The key issues raised by stakeholders included the appropriateness of recovering certain costs through the IFM (in particular, enforcement costs)</w:t>
      </w:r>
      <w:r w:rsidR="007C7D1D">
        <w:t xml:space="preserve">; </w:t>
      </w:r>
      <w:r w:rsidR="008C0447">
        <w:t xml:space="preserve">increasing cost pressures as a result of increasing levies; </w:t>
      </w:r>
      <w:r w:rsidR="007C7D1D">
        <w:t>the volatility in levies across years; and the inability to properly budget for the levies due to</w:t>
      </w:r>
      <w:r w:rsidR="003977BA">
        <w:t xml:space="preserve"> the </w:t>
      </w:r>
      <w:r w:rsidR="007C7D1D">
        <w:t xml:space="preserve">variances between estimated and actual levies. </w:t>
      </w:r>
    </w:p>
    <w:p w14:paraId="4FE0CF8A" w14:textId="2F186D3A" w:rsidR="00CA5637" w:rsidRDefault="00CA5637" w:rsidP="00CA5637">
      <w:r>
        <w:t xml:space="preserve">Stakeholders generally supported the </w:t>
      </w:r>
      <w:r w:rsidR="004A0905">
        <w:t xml:space="preserve">current approach of the IFM framework that aims to achieve </w:t>
      </w:r>
      <w:r w:rsidR="00CA7194" w:rsidRPr="00CA7194">
        <w:t xml:space="preserve">equity </w:t>
      </w:r>
      <w:r w:rsidR="00CA7194">
        <w:t>by targeting costs to those entities in sub</w:t>
      </w:r>
      <w:r w:rsidR="00BD190B">
        <w:noBreakHyphen/>
      </w:r>
      <w:r w:rsidR="00CA7194">
        <w:t>sectors causing the need for ASIC</w:t>
      </w:r>
      <w:r w:rsidR="00BD190B">
        <w:t>’</w:t>
      </w:r>
      <w:r w:rsidR="00CA7194">
        <w:t xml:space="preserve">s regulatory effort. </w:t>
      </w:r>
      <w:r w:rsidR="00240632">
        <w:t xml:space="preserve">Stakeholders </w:t>
      </w:r>
      <w:r w:rsidR="00DA590E">
        <w:t xml:space="preserve">generally </w:t>
      </w:r>
      <w:r w:rsidR="00240632">
        <w:t>did not support changes to the IFM that would increase cross</w:t>
      </w:r>
      <w:r w:rsidR="00BD190B">
        <w:noBreakHyphen/>
      </w:r>
      <w:r w:rsidR="00240632">
        <w:t xml:space="preserve">subsidisation. </w:t>
      </w:r>
    </w:p>
    <w:p w14:paraId="44CBA7B9" w14:textId="219B724A" w:rsidR="00A24BD1" w:rsidRDefault="001C59AD" w:rsidP="00D50BEC">
      <w:r w:rsidRPr="00EA41EA">
        <w:t>The Review</w:t>
      </w:r>
      <w:r w:rsidR="00BD190B">
        <w:t>’</w:t>
      </w:r>
      <w:r w:rsidRPr="00EA41EA">
        <w:t>s overall finding is that broadly the settings of the ASIC IFM remain appropriate and substantial changes to the model should not be made.</w:t>
      </w:r>
      <w:r>
        <w:t xml:space="preserve"> </w:t>
      </w:r>
      <w:r w:rsidR="006E1502">
        <w:t xml:space="preserve">The principles that underpin the IFM should be expanded to </w:t>
      </w:r>
      <w:r w:rsidR="00797281">
        <w:t xml:space="preserve">also </w:t>
      </w:r>
      <w:r w:rsidR="006E1502">
        <w:t>acknowledge and account for the benefit</w:t>
      </w:r>
      <w:r w:rsidR="00352EE2">
        <w:t xml:space="preserve"> entities</w:t>
      </w:r>
      <w:r w:rsidR="006E1502">
        <w:t xml:space="preserve"> receive from ASIC</w:t>
      </w:r>
      <w:r w:rsidR="00BD190B">
        <w:t>’</w:t>
      </w:r>
      <w:r w:rsidR="006E1502">
        <w:t>s regulatory activities</w:t>
      </w:r>
      <w:r w:rsidR="009E4DF4">
        <w:t>. In line with this,</w:t>
      </w:r>
      <w:r w:rsidR="00ED5238">
        <w:t xml:space="preserve"> the Review finds that the costs recovered through the </w:t>
      </w:r>
      <w:r w:rsidR="00A214FA">
        <w:t>IFM (including enforcement costs) remains appropriate and should not be removed from the model to be budget</w:t>
      </w:r>
      <w:r w:rsidR="00BD190B">
        <w:noBreakHyphen/>
      </w:r>
      <w:r w:rsidR="00A214FA">
        <w:t xml:space="preserve">funded instead. </w:t>
      </w:r>
    </w:p>
    <w:p w14:paraId="17C259BD" w14:textId="73363408" w:rsidR="00DF2203" w:rsidRDefault="00DF2203" w:rsidP="00D50BEC">
      <w:r>
        <w:t xml:space="preserve">The Review makes 10 recommendations in total. </w:t>
      </w:r>
      <w:r w:rsidR="009865D2">
        <w:t xml:space="preserve">Six of the recommendations are directed to </w:t>
      </w:r>
      <w:r w:rsidR="00965834">
        <w:t xml:space="preserve">the </w:t>
      </w:r>
      <w:r w:rsidR="009865D2">
        <w:t>Government and focus on making refinements to improve the levies and fees framework and</w:t>
      </w:r>
      <w:r>
        <w:t xml:space="preserve"> </w:t>
      </w:r>
      <w:r w:rsidR="009865D2" w:rsidRPr="00EA41EA">
        <w:t xml:space="preserve">improve the way </w:t>
      </w:r>
      <w:r w:rsidR="009865D2">
        <w:t xml:space="preserve">certain </w:t>
      </w:r>
      <w:r w:rsidR="009865D2" w:rsidRPr="00EA41EA">
        <w:t>regulatory costs are recovered</w:t>
      </w:r>
      <w:r w:rsidR="009865D2">
        <w:t xml:space="preserve">. </w:t>
      </w:r>
      <w:r w:rsidR="005A17F8">
        <w:t>Four of the recommendations are directed to ASIC and focus on streamlining ASIC</w:t>
      </w:r>
      <w:r w:rsidR="00BD190B">
        <w:t>’</w:t>
      </w:r>
      <w:r w:rsidR="005A17F8">
        <w:t>s reporting, transparency and consultation requirements as well as improving how ASIC</w:t>
      </w:r>
      <w:r w:rsidR="00BD190B">
        <w:t>’</w:t>
      </w:r>
      <w:r w:rsidR="005A17F8">
        <w:t xml:space="preserve">s </w:t>
      </w:r>
      <w:r w:rsidR="00734D3B">
        <w:t xml:space="preserve">industry funding arrangements are communicated to </w:t>
      </w:r>
      <w:r w:rsidR="00D10348">
        <w:t>stakeholders</w:t>
      </w:r>
      <w:r w:rsidR="00734D3B">
        <w:t xml:space="preserve">. </w:t>
      </w:r>
    </w:p>
    <w:p w14:paraId="0B0C734C" w14:textId="1264913B" w:rsidR="00DD020A" w:rsidRPr="00734D3B" w:rsidRDefault="007A1CA7" w:rsidP="00D50BEC">
      <w:r>
        <w:t>It is important to note that m</w:t>
      </w:r>
      <w:r w:rsidR="00A24BD1">
        <w:t xml:space="preserve">aking changes to the ASIC IFM is a </w:t>
      </w:r>
      <w:r w:rsidR="00BD190B">
        <w:t>‘</w:t>
      </w:r>
      <w:r w:rsidR="00A24BD1">
        <w:t>zero</w:t>
      </w:r>
      <w:r w:rsidR="00BD190B">
        <w:noBreakHyphen/>
      </w:r>
      <w:r w:rsidR="00A24BD1">
        <w:t>sum game</w:t>
      </w:r>
      <w:r w:rsidR="00BD190B">
        <w:t>’</w:t>
      </w:r>
      <w:r w:rsidR="00A24BD1">
        <w:t xml:space="preserve"> </w:t>
      </w:r>
      <w:r w:rsidR="00A24BD1" w:rsidRPr="00DC4955">
        <w:t>and would result in a reallocation of costs among ASIC</w:t>
      </w:r>
      <w:r w:rsidR="00BD190B">
        <w:t>’</w:t>
      </w:r>
      <w:r w:rsidR="00A24BD1" w:rsidRPr="00DC4955">
        <w:t>s regulated population. That is, if costs increase or decrease for a sub</w:t>
      </w:r>
      <w:r w:rsidR="00BD190B">
        <w:noBreakHyphen/>
      </w:r>
      <w:r w:rsidR="00A24BD1" w:rsidRPr="00DC4955">
        <w:t>sector, there would need to be an equivalent offset elsewhere in ASIC</w:t>
      </w:r>
      <w:r w:rsidR="00BD190B">
        <w:t>’</w:t>
      </w:r>
      <w:r w:rsidR="00A24BD1" w:rsidRPr="00DC4955">
        <w:t>s regulated population</w:t>
      </w:r>
      <w:r w:rsidR="00A24BD1">
        <w:t>.</w:t>
      </w:r>
    </w:p>
    <w:p w14:paraId="28FC1006" w14:textId="77777777" w:rsidR="00533AC3" w:rsidRDefault="00533AC3">
      <w:pPr>
        <w:spacing w:before="0" w:after="160" w:line="259" w:lineRule="auto"/>
      </w:pPr>
      <w:r>
        <w:br w:type="page"/>
      </w:r>
    </w:p>
    <w:p w14:paraId="68FF8394" w14:textId="77777777" w:rsidR="00533AC3" w:rsidRDefault="00533AC3" w:rsidP="00232046">
      <w:pPr>
        <w:pStyle w:val="Heading2"/>
      </w:pPr>
      <w:bookmarkStart w:id="18" w:name="_Toc125305153"/>
      <w:bookmarkStart w:id="19" w:name="_Toc129270421"/>
      <w:r>
        <w:lastRenderedPageBreak/>
        <w:t>List of recommendations</w:t>
      </w:r>
      <w:bookmarkEnd w:id="18"/>
      <w:bookmarkEnd w:id="19"/>
      <w:r>
        <w:t xml:space="preserve"> </w:t>
      </w:r>
    </w:p>
    <w:p w14:paraId="2D67B6F5" w14:textId="77777777" w:rsidR="00533AC3" w:rsidRPr="00961D31" w:rsidRDefault="00533AC3" w:rsidP="00232046">
      <w:pPr>
        <w:pStyle w:val="Heading3"/>
      </w:pPr>
      <w:bookmarkStart w:id="20" w:name="_Toc125305154"/>
      <w:bookmarkStart w:id="21" w:name="_Toc129270422"/>
      <w:r>
        <w:t>Industry funding levies</w:t>
      </w:r>
      <w:bookmarkEnd w:id="20"/>
      <w:bookmarkEnd w:id="21"/>
    </w:p>
    <w:p w14:paraId="7EE2A7F2" w14:textId="77777777" w:rsidR="00533AC3" w:rsidRDefault="00533AC3" w:rsidP="000D1664">
      <w:pPr>
        <w:pStyle w:val="Heading4"/>
      </w:pPr>
      <w:r>
        <w:t>Recommendation 1</w:t>
      </w:r>
    </w:p>
    <w:p w14:paraId="5851F20A" w14:textId="062DD88A" w:rsidR="00533AC3" w:rsidRDefault="0038142E" w:rsidP="00232046">
      <w:pPr>
        <w:ind w:left="720"/>
      </w:pPr>
      <w:r w:rsidRPr="0038142E">
        <w:t xml:space="preserve">Spread the recovery of regulatory costs relating to </w:t>
      </w:r>
      <w:r w:rsidR="00700F17">
        <w:t>unlicensed</w:t>
      </w:r>
      <w:r w:rsidRPr="0038142E">
        <w:t xml:space="preserve"> activity across the relevant sector/s</w:t>
      </w:r>
      <w:r w:rsidR="00334EE9">
        <w:t xml:space="preserve"> based on ASIC</w:t>
      </w:r>
      <w:r w:rsidR="00BD190B">
        <w:t>’</w:t>
      </w:r>
      <w:r w:rsidR="00334EE9">
        <w:t>s total regulatory effort for each sub</w:t>
      </w:r>
      <w:r w:rsidR="00BD190B">
        <w:noBreakHyphen/>
      </w:r>
      <w:r w:rsidR="00334EE9">
        <w:t>sector</w:t>
      </w:r>
      <w:r w:rsidR="0033404B">
        <w:t xml:space="preserve"> </w:t>
      </w:r>
      <w:r w:rsidR="006A6E93">
        <w:t>(within the relevant sector)</w:t>
      </w:r>
      <w:r w:rsidR="00334EE9">
        <w:t>.</w:t>
      </w:r>
      <w:r w:rsidRPr="0038142E">
        <w:t xml:space="preserve"> </w:t>
      </w:r>
    </w:p>
    <w:p w14:paraId="75D452E7" w14:textId="77777777" w:rsidR="00533AC3" w:rsidRDefault="00533AC3" w:rsidP="000D1664">
      <w:pPr>
        <w:pStyle w:val="Heading4"/>
      </w:pPr>
      <w:r>
        <w:t xml:space="preserve">Recommendation 2 </w:t>
      </w:r>
    </w:p>
    <w:p w14:paraId="6D7D62DF" w14:textId="7B630771" w:rsidR="00533AC3" w:rsidRDefault="0038142E" w:rsidP="00232046">
      <w:pPr>
        <w:ind w:left="720"/>
      </w:pPr>
      <w:r w:rsidRPr="0038142E">
        <w:t xml:space="preserve">Spread the recovery of </w:t>
      </w:r>
      <w:r w:rsidR="002414A5">
        <w:t xml:space="preserve">regulatory </w:t>
      </w:r>
      <w:r w:rsidRPr="0038142E">
        <w:t>costs relating to emerging sectors outside the existing regulatory framework across ASIC</w:t>
      </w:r>
      <w:r w:rsidR="00BD190B">
        <w:t>’</w:t>
      </w:r>
      <w:r w:rsidRPr="0038142E">
        <w:t>s entire regulated population</w:t>
      </w:r>
      <w:r w:rsidR="00334EE9">
        <w:t xml:space="preserve"> based on ASIC</w:t>
      </w:r>
      <w:r w:rsidR="00BD190B">
        <w:t>’</w:t>
      </w:r>
      <w:r w:rsidR="00334EE9">
        <w:t>s total regulatory effort for each sub</w:t>
      </w:r>
      <w:r w:rsidR="00BD190B">
        <w:noBreakHyphen/>
      </w:r>
      <w:r w:rsidR="00334EE9">
        <w:t>sector.</w:t>
      </w:r>
      <w:r w:rsidRPr="0038142E">
        <w:t xml:space="preserve"> </w:t>
      </w:r>
    </w:p>
    <w:p w14:paraId="334E61C1" w14:textId="56A602F8" w:rsidR="0038142E" w:rsidRDefault="0038142E" w:rsidP="000D1664">
      <w:pPr>
        <w:pStyle w:val="Heading4"/>
      </w:pPr>
      <w:r>
        <w:t>Recommendation 3</w:t>
      </w:r>
    </w:p>
    <w:p w14:paraId="39CCCB1F" w14:textId="27A64878" w:rsidR="0038142E" w:rsidRDefault="00D27219" w:rsidP="00232046">
      <w:pPr>
        <w:ind w:left="720"/>
        <w:rPr>
          <w:lang w:eastAsia="en-US"/>
        </w:rPr>
      </w:pPr>
      <w:r>
        <w:rPr>
          <w:lang w:eastAsia="en-US"/>
        </w:rPr>
        <w:t xml:space="preserve">The </w:t>
      </w:r>
      <w:r w:rsidR="0010166F" w:rsidRPr="0010166F">
        <w:rPr>
          <w:lang w:eastAsia="en-US"/>
        </w:rPr>
        <w:t xml:space="preserve">Government </w:t>
      </w:r>
      <w:r>
        <w:rPr>
          <w:lang w:eastAsia="en-US"/>
        </w:rPr>
        <w:t>should</w:t>
      </w:r>
      <w:r w:rsidR="0010166F" w:rsidRPr="0010166F">
        <w:rPr>
          <w:lang w:eastAsia="en-US"/>
        </w:rPr>
        <w:t xml:space="preserve"> consider (at the time of approving a new policy proposal) whether to prescribe capital expen</w:t>
      </w:r>
      <w:r w:rsidR="009E5AD7">
        <w:rPr>
          <w:lang w:eastAsia="en-US"/>
        </w:rPr>
        <w:t>d</w:t>
      </w:r>
      <w:r w:rsidR="0010166F" w:rsidRPr="0010166F">
        <w:rPr>
          <w:lang w:eastAsia="en-US"/>
        </w:rPr>
        <w:t>iture costs to be recovered over time either based on the useful life of the asset or another time</w:t>
      </w:r>
      <w:r w:rsidR="00E81EA6">
        <w:rPr>
          <w:lang w:eastAsia="en-US"/>
        </w:rPr>
        <w:t xml:space="preserve"> period</w:t>
      </w:r>
      <w:r w:rsidR="0010166F" w:rsidRPr="0010166F">
        <w:rPr>
          <w:lang w:eastAsia="en-US"/>
        </w:rPr>
        <w:t>.</w:t>
      </w:r>
    </w:p>
    <w:p w14:paraId="14CB279E" w14:textId="2CD51EC6" w:rsidR="0010166F" w:rsidRDefault="0010166F" w:rsidP="000D1664">
      <w:pPr>
        <w:pStyle w:val="Heading4"/>
        <w:rPr>
          <w:lang w:eastAsia="en-US"/>
        </w:rPr>
      </w:pPr>
      <w:r>
        <w:rPr>
          <w:lang w:eastAsia="en-US"/>
        </w:rPr>
        <w:t>Recommendation 4</w:t>
      </w:r>
    </w:p>
    <w:p w14:paraId="626E9218" w14:textId="32B3FAC6" w:rsidR="00E262D9" w:rsidRDefault="00E262D9" w:rsidP="00232046">
      <w:pPr>
        <w:ind w:left="720"/>
        <w:rPr>
          <w:lang w:eastAsia="en-US"/>
        </w:rPr>
      </w:pPr>
      <w:r>
        <w:rPr>
          <w:lang w:eastAsia="en-US"/>
        </w:rPr>
        <w:t>Following public consultation, changes should be made to certain sub</w:t>
      </w:r>
      <w:r w:rsidR="00BD190B">
        <w:rPr>
          <w:lang w:eastAsia="en-US"/>
        </w:rPr>
        <w:noBreakHyphen/>
      </w:r>
      <w:r>
        <w:rPr>
          <w:lang w:eastAsia="en-US"/>
        </w:rPr>
        <w:t>sector definitions, entity metrics and levy formulas</w:t>
      </w:r>
      <w:r w:rsidR="00663D0D">
        <w:rPr>
          <w:lang w:eastAsia="en-US"/>
        </w:rPr>
        <w:t xml:space="preserve"> </w:t>
      </w:r>
      <w:r w:rsidR="0072605C">
        <w:rPr>
          <w:lang w:eastAsia="en-US"/>
        </w:rPr>
        <w:t>set out in Regulations</w:t>
      </w:r>
      <w:r>
        <w:rPr>
          <w:lang w:eastAsia="en-US"/>
        </w:rPr>
        <w:t xml:space="preserve"> to </w:t>
      </w:r>
      <w:r w:rsidR="006E61B1">
        <w:rPr>
          <w:lang w:eastAsia="en-US"/>
        </w:rPr>
        <w:t>ensure they remain fit</w:t>
      </w:r>
      <w:r w:rsidR="00BD190B">
        <w:rPr>
          <w:lang w:eastAsia="en-US"/>
        </w:rPr>
        <w:noBreakHyphen/>
      </w:r>
      <w:r w:rsidR="006E61B1">
        <w:rPr>
          <w:lang w:eastAsia="en-US"/>
        </w:rPr>
        <w:t>for</w:t>
      </w:r>
      <w:r w:rsidR="00BD190B">
        <w:rPr>
          <w:lang w:eastAsia="en-US"/>
        </w:rPr>
        <w:noBreakHyphen/>
      </w:r>
      <w:r w:rsidR="006E61B1">
        <w:rPr>
          <w:lang w:eastAsia="en-US"/>
        </w:rPr>
        <w:t>purpose</w:t>
      </w:r>
      <w:r>
        <w:rPr>
          <w:lang w:eastAsia="en-US"/>
        </w:rPr>
        <w:t xml:space="preserve">. </w:t>
      </w:r>
    </w:p>
    <w:p w14:paraId="7E47080F" w14:textId="40E21CEB" w:rsidR="00533AC3" w:rsidRPr="00961D31" w:rsidRDefault="00533AC3" w:rsidP="00232046">
      <w:pPr>
        <w:pStyle w:val="Heading3"/>
      </w:pPr>
      <w:bookmarkStart w:id="22" w:name="_Toc125305155"/>
      <w:bookmarkStart w:id="23" w:name="_Toc129270423"/>
      <w:r>
        <w:t>Fees</w:t>
      </w:r>
      <w:r w:rsidR="00BD190B">
        <w:noBreakHyphen/>
      </w:r>
      <w:r>
        <w:t>for</w:t>
      </w:r>
      <w:r w:rsidR="00BD190B">
        <w:noBreakHyphen/>
      </w:r>
      <w:r>
        <w:t>service</w:t>
      </w:r>
      <w:bookmarkEnd w:id="22"/>
      <w:bookmarkEnd w:id="23"/>
    </w:p>
    <w:p w14:paraId="060D1BD1" w14:textId="1B0DDFDC" w:rsidR="00533AC3" w:rsidRDefault="00533AC3" w:rsidP="000D1664">
      <w:pPr>
        <w:pStyle w:val="Heading4"/>
      </w:pPr>
      <w:r>
        <w:t xml:space="preserve">Recommendation </w:t>
      </w:r>
      <w:r w:rsidR="00665A86">
        <w:t>5</w:t>
      </w:r>
    </w:p>
    <w:p w14:paraId="3FF0D7D9" w14:textId="1B3C6E4C" w:rsidR="00533AC3" w:rsidRDefault="00665A86" w:rsidP="00232046">
      <w:pPr>
        <w:ind w:left="720"/>
      </w:pPr>
      <w:r w:rsidRPr="00665A86">
        <w:t xml:space="preserve">The Government </w:t>
      </w:r>
      <w:r w:rsidR="00D27219">
        <w:t>should</w:t>
      </w:r>
      <w:r w:rsidRPr="00665A86">
        <w:t xml:space="preserve"> reaffirm its commitment that regulatory fees should be charged at a level which enables full cost recovery. In line with this, the Government should adjust regulatory fee amounts to a level which facilitates full cost recovery of ASIC</w:t>
      </w:r>
      <w:r w:rsidR="00BD190B">
        <w:t>’</w:t>
      </w:r>
      <w:r w:rsidRPr="00665A86">
        <w:t>s cost in providing these services, unless the Government has made a decision that no fee or a partial fee should be charged.</w:t>
      </w:r>
    </w:p>
    <w:p w14:paraId="233B63B8" w14:textId="1E45D200" w:rsidR="00533AC3" w:rsidRDefault="00533AC3" w:rsidP="000D1664">
      <w:pPr>
        <w:pStyle w:val="Heading4"/>
      </w:pPr>
      <w:r>
        <w:t xml:space="preserve">Recommendation </w:t>
      </w:r>
      <w:r w:rsidR="00665A86">
        <w:t>6</w:t>
      </w:r>
      <w:r>
        <w:t xml:space="preserve"> </w:t>
      </w:r>
    </w:p>
    <w:p w14:paraId="386D42F1" w14:textId="2446F0AE" w:rsidR="000D1664" w:rsidRDefault="00665A86" w:rsidP="00232046">
      <w:pPr>
        <w:ind w:left="720"/>
      </w:pPr>
      <w:r w:rsidRPr="00665A86">
        <w:t xml:space="preserve">The Government </w:t>
      </w:r>
      <w:r w:rsidR="00D27219">
        <w:t>should</w:t>
      </w:r>
      <w:r w:rsidRPr="00665A86">
        <w:t xml:space="preserve"> delegate to ASIC the power to set and adjust fee amounts in subordinate legislation, with fee amounts to be reviewed every three years to reflect full cost recovery.</w:t>
      </w:r>
      <w:r w:rsidR="000D1664">
        <w:br w:type="page"/>
      </w:r>
    </w:p>
    <w:p w14:paraId="52ADDAC3" w14:textId="6F56E6A7" w:rsidR="00533AC3" w:rsidRDefault="00533AC3" w:rsidP="00232046">
      <w:pPr>
        <w:pStyle w:val="Heading3"/>
        <w:keepLines/>
      </w:pPr>
      <w:bookmarkStart w:id="24" w:name="_Toc125305156"/>
      <w:bookmarkStart w:id="25" w:name="_Toc129270424"/>
      <w:r>
        <w:lastRenderedPageBreak/>
        <w:t>Reporting, transparency and consultation</w:t>
      </w:r>
      <w:bookmarkEnd w:id="24"/>
      <w:bookmarkEnd w:id="25"/>
    </w:p>
    <w:p w14:paraId="72AE420E" w14:textId="38A0D6A1" w:rsidR="00533AC3" w:rsidRDefault="00533AC3" w:rsidP="000D1664">
      <w:pPr>
        <w:pStyle w:val="Heading4"/>
      </w:pPr>
      <w:r>
        <w:t xml:space="preserve">Recommendation </w:t>
      </w:r>
      <w:r w:rsidR="00665A86">
        <w:t>7</w:t>
      </w:r>
    </w:p>
    <w:p w14:paraId="033F3AA2" w14:textId="2EE5814E" w:rsidR="001B0DD3" w:rsidRDefault="001B0DD3" w:rsidP="001B0DD3">
      <w:pPr>
        <w:ind w:left="720"/>
      </w:pPr>
      <w:r w:rsidRPr="001B0DD3">
        <w:t>ASIC should remove the consultation component from the CRIS process so that the CRIS is a transparency and budgeting tool for ASIC stakeholders. ASIC and Treasury to establish an alternative consultation process with industry stakeholders on a five yearly basis to examine the policy settings of the ASIC IFM</w:t>
      </w:r>
      <w:r w:rsidR="00BD190B">
        <w:t xml:space="preserve">. </w:t>
      </w:r>
    </w:p>
    <w:p w14:paraId="093A6BC7" w14:textId="10DEEE0E" w:rsidR="00533AC3" w:rsidRDefault="00533AC3" w:rsidP="000D1664">
      <w:pPr>
        <w:pStyle w:val="Heading4"/>
      </w:pPr>
      <w:r>
        <w:t xml:space="preserve">Recommendation </w:t>
      </w:r>
      <w:r w:rsidR="00665A86">
        <w:t>8</w:t>
      </w:r>
      <w:r>
        <w:t xml:space="preserve"> </w:t>
      </w:r>
    </w:p>
    <w:p w14:paraId="21455ABB" w14:textId="577B36F4" w:rsidR="00533AC3" w:rsidRDefault="00665A86" w:rsidP="00232046">
      <w:pPr>
        <w:ind w:left="720"/>
      </w:pPr>
      <w:r w:rsidRPr="00665A86">
        <w:t xml:space="preserve">ASIC </w:t>
      </w:r>
      <w:r w:rsidR="00333691">
        <w:t>should</w:t>
      </w:r>
      <w:r w:rsidRPr="00665A86">
        <w:t xml:space="preserve"> cease the release of a draft CRIS for consultation and only release a final CRIS.</w:t>
      </w:r>
    </w:p>
    <w:p w14:paraId="29EA3BCD" w14:textId="77777777" w:rsidR="00665A86" w:rsidRDefault="00665A86" w:rsidP="000D1664">
      <w:pPr>
        <w:pStyle w:val="Heading4"/>
      </w:pPr>
      <w:r>
        <w:t>Recommendation 9</w:t>
      </w:r>
    </w:p>
    <w:p w14:paraId="788E08C6" w14:textId="0B384984" w:rsidR="00C4767F" w:rsidRDefault="00665A86" w:rsidP="00232046">
      <w:pPr>
        <w:keepNext/>
        <w:ind w:left="720"/>
      </w:pPr>
      <w:r w:rsidRPr="00665A86">
        <w:t xml:space="preserve">ASIC </w:t>
      </w:r>
      <w:r w:rsidR="00333691">
        <w:t>should</w:t>
      </w:r>
      <w:r w:rsidR="00C4767F">
        <w:t xml:space="preserve"> pilot and consider ways to:</w:t>
      </w:r>
      <w:r w:rsidRPr="00665A86">
        <w:t xml:space="preserve"> </w:t>
      </w:r>
    </w:p>
    <w:p w14:paraId="3EAA798F" w14:textId="17617C7D" w:rsidR="00C4767F" w:rsidRDefault="00C4767F" w:rsidP="003F3914">
      <w:pPr>
        <w:pStyle w:val="Bullet"/>
        <w:ind w:left="1004"/>
        <w:rPr>
          <w:lang w:eastAsia="en-US"/>
        </w:rPr>
      </w:pPr>
      <w:r>
        <w:rPr>
          <w:lang w:eastAsia="en-US"/>
        </w:rPr>
        <w:t>consolidate information regarding ASIC</w:t>
      </w:r>
      <w:r w:rsidR="00BD190B">
        <w:rPr>
          <w:lang w:eastAsia="en-US"/>
        </w:rPr>
        <w:t>’</w:t>
      </w:r>
      <w:r>
        <w:rPr>
          <w:lang w:eastAsia="en-US"/>
        </w:rPr>
        <w:t>s industry funding arrangements</w:t>
      </w:r>
    </w:p>
    <w:p w14:paraId="6A3C0086" w14:textId="770173C6" w:rsidR="00C4767F" w:rsidRDefault="00C4767F" w:rsidP="003F3914">
      <w:pPr>
        <w:pStyle w:val="Bullet"/>
        <w:ind w:left="1004"/>
        <w:rPr>
          <w:lang w:eastAsia="en-US"/>
        </w:rPr>
      </w:pPr>
      <w:r>
        <w:rPr>
          <w:lang w:eastAsia="en-US"/>
        </w:rPr>
        <w:t>provide more simple explanations regarding ASIC</w:t>
      </w:r>
      <w:r w:rsidR="00BD190B">
        <w:rPr>
          <w:lang w:eastAsia="en-US"/>
        </w:rPr>
        <w:t>’</w:t>
      </w:r>
      <w:r>
        <w:rPr>
          <w:lang w:eastAsia="en-US"/>
        </w:rPr>
        <w:t>s cost recovery methodology and the operation of the IFM, including addressing any key gaps in information</w:t>
      </w:r>
    </w:p>
    <w:p w14:paraId="6EC8CF4C" w14:textId="750D7564" w:rsidR="00C4767F" w:rsidRDefault="00C4767F" w:rsidP="003F3914">
      <w:pPr>
        <w:pStyle w:val="Bullet"/>
        <w:ind w:left="1004"/>
        <w:rPr>
          <w:lang w:eastAsia="en-US"/>
        </w:rPr>
      </w:pPr>
      <w:r>
        <w:rPr>
          <w:lang w:eastAsia="en-US"/>
        </w:rPr>
        <w:t>enhance and streamline the structure of the CRIS to reduce complexity for stakeholders</w:t>
      </w:r>
    </w:p>
    <w:p w14:paraId="201AF56F" w14:textId="304EA32C" w:rsidR="00665A86" w:rsidRDefault="00665A86" w:rsidP="000D1664">
      <w:pPr>
        <w:pStyle w:val="Heading4"/>
      </w:pPr>
      <w:r>
        <w:t>Recommendation 1</w:t>
      </w:r>
      <w:r w:rsidR="00CD5DE3">
        <w:t>0</w:t>
      </w:r>
    </w:p>
    <w:p w14:paraId="37CDDA7D" w14:textId="1E425C59" w:rsidR="00665A86" w:rsidRPr="00665A86" w:rsidRDefault="00665A86" w:rsidP="00232046">
      <w:pPr>
        <w:ind w:left="720"/>
      </w:pPr>
      <w:r w:rsidRPr="00665A86">
        <w:t xml:space="preserve">ASIC </w:t>
      </w:r>
      <w:r w:rsidR="00333691">
        <w:t>should</w:t>
      </w:r>
      <w:r w:rsidRPr="00665A86">
        <w:t xml:space="preserve"> release the CRIS </w:t>
      </w:r>
      <w:r w:rsidR="00C93281">
        <w:t>in</w:t>
      </w:r>
      <w:r w:rsidRPr="00665A86">
        <w:t xml:space="preserve"> June each year to enable more accurate estimated levies and a more consistent CRIS timeframe each year</w:t>
      </w:r>
      <w:r w:rsidR="00901E80">
        <w:t xml:space="preserve">. </w:t>
      </w:r>
    </w:p>
    <w:p w14:paraId="7CB67C91" w14:textId="77777777" w:rsidR="00533AC3" w:rsidRDefault="00533AC3" w:rsidP="00533AC3">
      <w:pPr>
        <w:pStyle w:val="Bullet"/>
        <w:numPr>
          <w:ilvl w:val="0"/>
          <w:numId w:val="0"/>
        </w:numPr>
        <w:ind w:left="284" w:hanging="284"/>
      </w:pPr>
    </w:p>
    <w:p w14:paraId="7FD5AF32" w14:textId="77777777" w:rsidR="00533AC3" w:rsidRDefault="00533AC3">
      <w:pPr>
        <w:spacing w:before="0" w:after="160" w:line="259" w:lineRule="auto"/>
      </w:pPr>
      <w:r>
        <w:br w:type="page"/>
      </w:r>
    </w:p>
    <w:p w14:paraId="43AF205A" w14:textId="77777777" w:rsidR="00533AC3" w:rsidRDefault="00533AC3" w:rsidP="00533AC3">
      <w:pPr>
        <w:pStyle w:val="Heading1"/>
      </w:pPr>
      <w:bookmarkStart w:id="26" w:name="_Toc125305157"/>
      <w:bookmarkStart w:id="27" w:name="_Toc129270425"/>
      <w:r>
        <w:lastRenderedPageBreak/>
        <w:t>Chapter 1: Context and background</w:t>
      </w:r>
      <w:bookmarkEnd w:id="26"/>
      <w:bookmarkEnd w:id="27"/>
    </w:p>
    <w:p w14:paraId="3078FB08" w14:textId="77777777" w:rsidR="00533AC3" w:rsidRDefault="00533AC3" w:rsidP="00533AC3">
      <w:pPr>
        <w:pStyle w:val="Heading2"/>
      </w:pPr>
      <w:bookmarkStart w:id="28" w:name="_Toc125305158"/>
      <w:bookmarkStart w:id="29" w:name="_Toc129270426"/>
      <w:r>
        <w:t>Introduction</w:t>
      </w:r>
      <w:bookmarkEnd w:id="28"/>
      <w:bookmarkEnd w:id="29"/>
    </w:p>
    <w:p w14:paraId="2C432FAF" w14:textId="1C2AC7DD"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bookmarkStart w:id="30" w:name="_Hlk122435033"/>
      <w:r w:rsidRPr="00533AC3">
        <w:rPr>
          <w:rFonts w:eastAsia="Calibri" w:cs="Calibri Light"/>
          <w:szCs w:val="22"/>
          <w:lang w:eastAsia="en-US"/>
        </w:rPr>
        <w:t>This chapter provides context and background to the Review. It outlines the role the ASIC IFM has in recovering ASIC</w:t>
      </w:r>
      <w:r w:rsidR="00BD190B">
        <w:rPr>
          <w:rFonts w:eastAsia="Calibri" w:cs="Calibri Light"/>
          <w:szCs w:val="22"/>
          <w:lang w:eastAsia="en-US"/>
        </w:rPr>
        <w:t>’</w:t>
      </w:r>
      <w:r w:rsidRPr="00533AC3">
        <w:rPr>
          <w:rFonts w:eastAsia="Calibri" w:cs="Calibri Light"/>
          <w:szCs w:val="22"/>
          <w:lang w:eastAsia="en-US"/>
        </w:rPr>
        <w:t>s regulatory costs from entities in the industry sub</w:t>
      </w:r>
      <w:r w:rsidR="00BD190B">
        <w:rPr>
          <w:rFonts w:eastAsia="Calibri" w:cs="Calibri Light"/>
          <w:szCs w:val="22"/>
          <w:lang w:eastAsia="en-US"/>
        </w:rPr>
        <w:noBreakHyphen/>
      </w:r>
      <w:r w:rsidRPr="00533AC3">
        <w:rPr>
          <w:rFonts w:eastAsia="Calibri" w:cs="Calibri Light"/>
          <w:szCs w:val="22"/>
          <w:lang w:eastAsia="en-US"/>
        </w:rPr>
        <w:t xml:space="preserve">sectors that ASIC regulates. </w:t>
      </w:r>
      <w:bookmarkEnd w:id="30"/>
      <w:r w:rsidRPr="00533AC3">
        <w:rPr>
          <w:rFonts w:eastAsia="Calibri" w:cs="Calibri Light"/>
          <w:szCs w:val="22"/>
          <w:lang w:eastAsia="en-US"/>
        </w:rPr>
        <w:t>The chapter also discusses the establishment of the IFM, legislative framework that underpins the IFM, the role of Government and ASIC, purpose and scope of the Review and the approach taken by the Review</w:t>
      </w:r>
      <w:r w:rsidR="00901E80">
        <w:rPr>
          <w:rFonts w:eastAsia="Calibri" w:cs="Calibri Light"/>
          <w:szCs w:val="22"/>
          <w:lang w:eastAsia="en-US"/>
        </w:rPr>
        <w:t xml:space="preserve">. </w:t>
      </w:r>
    </w:p>
    <w:p w14:paraId="288914E2" w14:textId="77777777" w:rsidR="00533AC3" w:rsidRDefault="00533AC3" w:rsidP="00232046">
      <w:pPr>
        <w:pStyle w:val="Heading2"/>
      </w:pPr>
      <w:bookmarkStart w:id="31" w:name="_Toc125305159"/>
      <w:bookmarkStart w:id="32" w:name="_Toc129270427"/>
      <w:r>
        <w:t>Establishment of the ASIC IFM</w:t>
      </w:r>
      <w:bookmarkEnd w:id="31"/>
      <w:bookmarkEnd w:id="32"/>
    </w:p>
    <w:p w14:paraId="2DF2E071" w14:textId="77285255"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Prior to the establishment of the IFM, ASIC was primarily funded by taxpayers through government appropriations from the Commonwealth budget. Only a small proportion of ASIC</w:t>
      </w:r>
      <w:r w:rsidR="00BD190B">
        <w:rPr>
          <w:rFonts w:eastAsia="Calibri" w:cs="Calibri Light"/>
          <w:szCs w:val="22"/>
          <w:lang w:eastAsia="en-US"/>
        </w:rPr>
        <w:t>’</w:t>
      </w:r>
      <w:r w:rsidRPr="00533AC3">
        <w:rPr>
          <w:rFonts w:eastAsia="Calibri" w:cs="Calibri Light"/>
          <w:szCs w:val="22"/>
          <w:lang w:eastAsia="en-US"/>
        </w:rPr>
        <w:t xml:space="preserve">s total funding (around 15 per cent of its total operating budget) was recovered directly from industry participants through the Financial Institutions Supervisory Levies administered by APRA, fees for market supervision, and fees for certain services provided by ASIC. </w:t>
      </w:r>
    </w:p>
    <w:p w14:paraId="59992DAF" w14:textId="2C36C2BE" w:rsidR="00533AC3" w:rsidRPr="00533AC3" w:rsidRDefault="00533AC3" w:rsidP="0037599B">
      <w:pPr>
        <w:numPr>
          <w:ilvl w:val="1"/>
          <w:numId w:val="13"/>
        </w:numPr>
        <w:tabs>
          <w:tab w:val="clear" w:pos="567"/>
        </w:tabs>
        <w:spacing w:line="259" w:lineRule="auto"/>
        <w:ind w:left="720" w:hanging="720"/>
        <w:rPr>
          <w:rFonts w:eastAsia="Calibri" w:cs="Calibri Light"/>
          <w:lang w:eastAsia="en-US"/>
        </w:rPr>
      </w:pPr>
      <w:r w:rsidRPr="4EBEFD2B">
        <w:rPr>
          <w:rFonts w:eastAsia="Calibri" w:cs="Calibri Light"/>
          <w:lang w:eastAsia="en-US"/>
        </w:rPr>
        <w:t>Therefore, there was a limited relationship between the costs of ASIC</w:t>
      </w:r>
      <w:r w:rsidR="00BD190B">
        <w:rPr>
          <w:rFonts w:eastAsia="Calibri" w:cs="Calibri Light"/>
          <w:lang w:eastAsia="en-US"/>
        </w:rPr>
        <w:t>’</w:t>
      </w:r>
      <w:r w:rsidRPr="4EBEFD2B">
        <w:rPr>
          <w:rFonts w:eastAsia="Calibri" w:cs="Calibri Light"/>
          <w:lang w:eastAsia="en-US"/>
        </w:rPr>
        <w:t>s regulatory activities and the fees paid by industry participants who were creating the need for these activities. It</w:t>
      </w:r>
      <w:r w:rsidR="00B1415A">
        <w:rPr>
          <w:rFonts w:eastAsia="Calibri" w:cs="Calibri Light"/>
          <w:lang w:eastAsia="en-US"/>
        </w:rPr>
        <w:t> </w:t>
      </w:r>
      <w:r w:rsidRPr="4EBEFD2B">
        <w:rPr>
          <w:rFonts w:eastAsia="Calibri" w:cs="Calibri Light"/>
          <w:lang w:eastAsia="en-US"/>
        </w:rPr>
        <w:t>was also inconsistent with the</w:t>
      </w:r>
      <w:r w:rsidR="006D1D9B">
        <w:rPr>
          <w:rFonts w:eastAsia="Calibri" w:cs="Calibri Light"/>
          <w:lang w:eastAsia="en-US"/>
        </w:rPr>
        <w:t xml:space="preserve"> CRGs and the</w:t>
      </w:r>
      <w:r w:rsidRPr="4EBEFD2B">
        <w:rPr>
          <w:rFonts w:eastAsia="Calibri" w:cs="Calibri Light"/>
          <w:lang w:eastAsia="en-US"/>
        </w:rPr>
        <w:t xml:space="preserve"> Charging Framework which states that </w:t>
      </w:r>
      <w:r w:rsidR="00BD190B">
        <w:rPr>
          <w:rFonts w:eastAsia="Calibri" w:cs="Calibri Light"/>
          <w:lang w:eastAsia="en-US"/>
        </w:rPr>
        <w:t>“</w:t>
      </w:r>
      <w:r w:rsidRPr="4EBEFD2B">
        <w:rPr>
          <w:rFonts w:eastAsia="Calibri" w:cs="Calibri Light"/>
          <w:lang w:eastAsia="en-US"/>
        </w:rPr>
        <w:t>where appropriate, non</w:t>
      </w:r>
      <w:r w:rsidR="00BD190B">
        <w:rPr>
          <w:rFonts w:eastAsia="Calibri" w:cs="Calibri Light"/>
          <w:lang w:eastAsia="en-US"/>
        </w:rPr>
        <w:noBreakHyphen/>
      </w:r>
      <w:r w:rsidR="01A34CB0" w:rsidRPr="4EBEFD2B">
        <w:rPr>
          <w:rFonts w:eastAsia="Calibri" w:cs="Calibri Light"/>
          <w:lang w:eastAsia="en-US"/>
        </w:rPr>
        <w:t>government</w:t>
      </w:r>
      <w:r w:rsidRPr="4EBEFD2B">
        <w:rPr>
          <w:rFonts w:eastAsia="Calibri" w:cs="Calibri Light"/>
          <w:lang w:eastAsia="en-US"/>
        </w:rPr>
        <w:t xml:space="preserve"> recipients of specific government activities should be charged some or all of the costs of these activities</w:t>
      </w:r>
      <w:r w:rsidR="00BD190B">
        <w:rPr>
          <w:rFonts w:eastAsia="Calibri" w:cs="Calibri Light"/>
          <w:lang w:eastAsia="en-US"/>
        </w:rPr>
        <w:t>”</w:t>
      </w:r>
      <w:r w:rsidRPr="4EBEFD2B">
        <w:rPr>
          <w:rFonts w:eastAsia="Calibri" w:cs="Calibri Light"/>
          <w:lang w:eastAsia="en-US"/>
        </w:rPr>
        <w:t xml:space="preserve">. </w:t>
      </w:r>
    </w:p>
    <w:p w14:paraId="647A7C39" w14:textId="5AF401E3"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In response to this and following recommendations of the 2014 Financial System Inquiry and the 2014 Senate Economics Committee Inquiry into the performance of ASIC, an industry funding model for ASIC was introduced to recover the costs of its regulatory activities from the entities it regulates, through</w:t>
      </w:r>
      <w:r w:rsidR="00371841">
        <w:rPr>
          <w:rFonts w:eastAsia="Calibri" w:cs="Calibri Light"/>
          <w:szCs w:val="22"/>
          <w:lang w:eastAsia="en-US"/>
        </w:rPr>
        <w:t xml:space="preserve"> statutory charges such as</w:t>
      </w:r>
      <w:r w:rsidRPr="00533AC3">
        <w:rPr>
          <w:rFonts w:eastAsia="Calibri" w:cs="Calibri Light"/>
          <w:szCs w:val="22"/>
          <w:lang w:eastAsia="en-US"/>
        </w:rPr>
        <w:t xml:space="preserve"> industry funding levies and fees</w:t>
      </w:r>
      <w:r w:rsidR="00BD190B">
        <w:rPr>
          <w:rFonts w:eastAsia="Calibri" w:cs="Calibri Light"/>
          <w:szCs w:val="22"/>
          <w:lang w:eastAsia="en-US"/>
        </w:rPr>
        <w:noBreakHyphen/>
      </w:r>
      <w:r w:rsidRPr="00533AC3">
        <w:rPr>
          <w:rFonts w:eastAsia="Calibri" w:cs="Calibri Light"/>
          <w:szCs w:val="22"/>
          <w:lang w:eastAsia="en-US"/>
        </w:rPr>
        <w:t>for</w:t>
      </w:r>
      <w:r w:rsidR="00BD190B">
        <w:rPr>
          <w:rFonts w:eastAsia="Calibri" w:cs="Calibri Light"/>
          <w:szCs w:val="22"/>
          <w:lang w:eastAsia="en-US"/>
        </w:rPr>
        <w:noBreakHyphen/>
      </w:r>
      <w:r w:rsidRPr="00533AC3">
        <w:rPr>
          <w:rFonts w:eastAsia="Calibri" w:cs="Calibri Light"/>
          <w:szCs w:val="22"/>
          <w:lang w:eastAsia="en-US"/>
        </w:rPr>
        <w:t xml:space="preserve">service. </w:t>
      </w:r>
    </w:p>
    <w:p w14:paraId="49FC74E4" w14:textId="36BA1838"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Following the passage of legislation, the industry funding levies component commenced on 1 July 2017 and the fees</w:t>
      </w:r>
      <w:r w:rsidR="00BD190B">
        <w:rPr>
          <w:rFonts w:eastAsia="Calibri" w:cs="Calibri Light"/>
          <w:szCs w:val="22"/>
          <w:lang w:eastAsia="en-US"/>
        </w:rPr>
        <w:noBreakHyphen/>
      </w:r>
      <w:r w:rsidRPr="00533AC3">
        <w:rPr>
          <w:rFonts w:eastAsia="Calibri" w:cs="Calibri Light"/>
          <w:szCs w:val="22"/>
          <w:lang w:eastAsia="en-US"/>
        </w:rPr>
        <w:t>for</w:t>
      </w:r>
      <w:r w:rsidR="00BD190B">
        <w:rPr>
          <w:rFonts w:eastAsia="Calibri" w:cs="Calibri Light"/>
          <w:szCs w:val="22"/>
          <w:lang w:eastAsia="en-US"/>
        </w:rPr>
        <w:noBreakHyphen/>
      </w:r>
      <w:r w:rsidRPr="00533AC3">
        <w:rPr>
          <w:rFonts w:eastAsia="Calibri" w:cs="Calibri Light"/>
          <w:szCs w:val="22"/>
          <w:lang w:eastAsia="en-US"/>
        </w:rPr>
        <w:t xml:space="preserve">service component commenced on 4 July 2018. </w:t>
      </w:r>
    </w:p>
    <w:p w14:paraId="751D3507" w14:textId="77777777" w:rsidR="00533AC3" w:rsidRDefault="00533AC3" w:rsidP="00232046">
      <w:pPr>
        <w:pStyle w:val="Heading2"/>
      </w:pPr>
      <w:bookmarkStart w:id="33" w:name="_Toc125305160"/>
      <w:bookmarkStart w:id="34" w:name="_Toc129270428"/>
      <w:r>
        <w:t>Design of the ASIC IFM</w:t>
      </w:r>
      <w:bookmarkEnd w:id="33"/>
      <w:bookmarkEnd w:id="34"/>
    </w:p>
    <w:p w14:paraId="7C884473" w14:textId="5FB4C662"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The policy settings of the ASIC IFM are prescribed in a legislative framework comprising several Acts and Regulations </w:t>
      </w:r>
      <w:r w:rsidR="00F61C8B" w:rsidRPr="00B207BF">
        <w:rPr>
          <w:rFonts w:eastAsia="Calibri" w:cs="Calibri Light"/>
          <w:szCs w:val="22"/>
          <w:lang w:eastAsia="en-US"/>
        </w:rPr>
        <w:t>–</w:t>
      </w:r>
      <w:r w:rsidRPr="00533AC3">
        <w:rPr>
          <w:rFonts w:eastAsia="Calibri" w:cs="Calibri Light"/>
          <w:szCs w:val="22"/>
          <w:lang w:eastAsia="en-US"/>
        </w:rPr>
        <w:t xml:space="preserve"> see Appendix A. The IFM comprises of industry funding levies (both cost recovery levies and statutory levies) charged annually to entities across 52</w:t>
      </w:r>
      <w:r w:rsidR="00232046">
        <w:rPr>
          <w:rFonts w:eastAsia="Calibri" w:cs="Calibri Light"/>
          <w:szCs w:val="22"/>
          <w:lang w:eastAsia="en-US"/>
        </w:rPr>
        <w:t> </w:t>
      </w:r>
      <w:r w:rsidRPr="00533AC3">
        <w:rPr>
          <w:rFonts w:eastAsia="Calibri" w:cs="Calibri Light"/>
          <w:szCs w:val="22"/>
          <w:lang w:eastAsia="en-US"/>
        </w:rPr>
        <w:t>industry sub</w:t>
      </w:r>
      <w:r w:rsidR="00BD190B">
        <w:rPr>
          <w:rFonts w:eastAsia="Calibri" w:cs="Calibri Light"/>
          <w:szCs w:val="22"/>
          <w:lang w:eastAsia="en-US"/>
        </w:rPr>
        <w:noBreakHyphen/>
      </w:r>
      <w:r w:rsidRPr="00533AC3">
        <w:rPr>
          <w:rFonts w:eastAsia="Calibri" w:cs="Calibri Light"/>
          <w:szCs w:val="22"/>
          <w:lang w:eastAsia="en-US"/>
        </w:rPr>
        <w:t>sectors, and fees</w:t>
      </w:r>
      <w:r w:rsidR="00BD190B">
        <w:rPr>
          <w:rFonts w:eastAsia="Calibri" w:cs="Calibri Light"/>
          <w:szCs w:val="22"/>
          <w:lang w:eastAsia="en-US"/>
        </w:rPr>
        <w:noBreakHyphen/>
      </w:r>
      <w:r w:rsidRPr="00533AC3">
        <w:rPr>
          <w:rFonts w:eastAsia="Calibri" w:cs="Calibri Light"/>
          <w:szCs w:val="22"/>
          <w:lang w:eastAsia="en-US"/>
        </w:rPr>
        <w:t>for</w:t>
      </w:r>
      <w:r w:rsidR="00BD190B">
        <w:rPr>
          <w:rFonts w:eastAsia="Calibri" w:cs="Calibri Light"/>
          <w:szCs w:val="22"/>
          <w:lang w:eastAsia="en-US"/>
        </w:rPr>
        <w:noBreakHyphen/>
      </w:r>
      <w:r w:rsidRPr="00533AC3">
        <w:rPr>
          <w:rFonts w:eastAsia="Calibri" w:cs="Calibri Light"/>
          <w:szCs w:val="22"/>
          <w:lang w:eastAsia="en-US"/>
        </w:rPr>
        <w:t xml:space="preserve">service charged to individual entities at the point of initiating certain regulatory services provided by ASIC. </w:t>
      </w:r>
    </w:p>
    <w:p w14:paraId="10A83058" w14:textId="0A1A5C70"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Domestically and internationally, ASIC</w:t>
      </w:r>
      <w:r w:rsidR="00BD190B">
        <w:rPr>
          <w:rFonts w:eastAsia="Calibri" w:cs="Calibri Light"/>
          <w:szCs w:val="22"/>
          <w:lang w:eastAsia="en-US"/>
        </w:rPr>
        <w:t>’</w:t>
      </w:r>
      <w:r w:rsidRPr="00533AC3">
        <w:rPr>
          <w:rFonts w:eastAsia="Calibri" w:cs="Calibri Light"/>
          <w:szCs w:val="22"/>
          <w:lang w:eastAsia="en-US"/>
        </w:rPr>
        <w:t xml:space="preserve">s statutory mandate is one of the broadest for a regulator. ASIC has a wider regulatory remit than other comparable financial services and </w:t>
      </w:r>
      <w:r w:rsidRPr="00533AC3">
        <w:rPr>
          <w:rFonts w:eastAsia="Calibri" w:cs="Calibri Light"/>
          <w:szCs w:val="22"/>
          <w:lang w:eastAsia="en-US"/>
        </w:rPr>
        <w:lastRenderedPageBreak/>
        <w:t>market conduct regulators in overseas jurisdictions, including the United States, United Kingdom (UK), Germany, Netherlands, Hong Kong and New Zealand.</w:t>
      </w:r>
      <w:r w:rsidRPr="00533AC3">
        <w:rPr>
          <w:rFonts w:eastAsia="Calibri"/>
          <w:szCs w:val="22"/>
          <w:vertAlign w:val="superscript"/>
          <w:lang w:eastAsia="en-US"/>
        </w:rPr>
        <w:footnoteReference w:id="5"/>
      </w:r>
      <w:r w:rsidRPr="00533AC3">
        <w:rPr>
          <w:rFonts w:eastAsia="Calibri" w:cs="Calibri Light"/>
          <w:szCs w:val="22"/>
          <w:lang w:eastAsia="en-US"/>
        </w:rPr>
        <w:t xml:space="preserve"> This means that: </w:t>
      </w:r>
    </w:p>
    <w:p w14:paraId="1F5368F4" w14:textId="5BE6BAEA" w:rsidR="00533AC3" w:rsidRPr="00533AC3" w:rsidRDefault="00533AC3" w:rsidP="008F2119">
      <w:pPr>
        <w:pStyle w:val="Bullet"/>
        <w:ind w:left="1004"/>
        <w:rPr>
          <w:rFonts w:eastAsia="Calibri"/>
          <w:lang w:eastAsia="en-US"/>
        </w:rPr>
      </w:pPr>
      <w:r w:rsidRPr="00533AC3">
        <w:rPr>
          <w:rFonts w:eastAsia="Calibri"/>
          <w:lang w:eastAsia="en-US"/>
        </w:rPr>
        <w:t>ASIC</w:t>
      </w:r>
      <w:r w:rsidR="00BD190B">
        <w:rPr>
          <w:rFonts w:eastAsia="Calibri"/>
          <w:lang w:eastAsia="en-US"/>
        </w:rPr>
        <w:t>’</w:t>
      </w:r>
      <w:r w:rsidRPr="00533AC3">
        <w:rPr>
          <w:rFonts w:eastAsia="Calibri"/>
          <w:lang w:eastAsia="en-US"/>
        </w:rPr>
        <w:t>s total operating budget and therefore the amount it recovers from industry via the</w:t>
      </w:r>
      <w:r>
        <w:rPr>
          <w:rFonts w:eastAsia="Calibri"/>
          <w:lang w:eastAsia="en-US"/>
        </w:rPr>
        <w:t xml:space="preserve"> </w:t>
      </w:r>
      <w:r w:rsidRPr="00533AC3">
        <w:rPr>
          <w:rFonts w:eastAsia="Calibri"/>
          <w:lang w:eastAsia="en-US"/>
        </w:rPr>
        <w:t>IFM is one of the largest compared to other Australian regulators</w:t>
      </w:r>
    </w:p>
    <w:p w14:paraId="5DEE08F8" w14:textId="3AABA481" w:rsidR="00533AC3" w:rsidRPr="00533AC3" w:rsidRDefault="00533AC3" w:rsidP="008F2119">
      <w:pPr>
        <w:pStyle w:val="Bullet"/>
        <w:ind w:left="1004"/>
        <w:rPr>
          <w:rFonts w:eastAsia="Calibri"/>
          <w:lang w:eastAsia="en-US"/>
        </w:rPr>
      </w:pPr>
      <w:r w:rsidRPr="00533AC3">
        <w:rPr>
          <w:rFonts w:eastAsia="Calibri"/>
          <w:lang w:eastAsia="en-US"/>
        </w:rPr>
        <w:t>the range of regulatory activities ASIC undertakes is vast, which includes a significant enforcement function</w:t>
      </w:r>
    </w:p>
    <w:p w14:paraId="0FDAF201" w14:textId="06B012D2" w:rsidR="00533AC3" w:rsidRPr="00533AC3" w:rsidRDefault="00533AC3" w:rsidP="008F2119">
      <w:pPr>
        <w:pStyle w:val="Bullet"/>
        <w:ind w:left="1004"/>
        <w:rPr>
          <w:rFonts w:eastAsia="Calibri"/>
          <w:lang w:eastAsia="en-US"/>
        </w:rPr>
      </w:pPr>
      <w:r w:rsidRPr="00533AC3">
        <w:rPr>
          <w:rFonts w:eastAsia="Calibri"/>
          <w:lang w:eastAsia="en-US"/>
        </w:rPr>
        <w:t xml:space="preserve">ASIC has one of the largest regulated populations and the type and size of entities ASIC regulates can be vastly different </w:t>
      </w:r>
    </w:p>
    <w:p w14:paraId="5D82D705" w14:textId="4CCD4DCB"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While extensive consultation was undertaken to design the IFM, which included drawing on other comparable financial services and markets regulators such as the United Kingdom</w:t>
      </w:r>
      <w:r w:rsidR="00BD190B">
        <w:rPr>
          <w:rFonts w:eastAsia="Calibri" w:cs="Calibri Light"/>
          <w:szCs w:val="22"/>
          <w:lang w:eastAsia="en-US"/>
        </w:rPr>
        <w:t>’</w:t>
      </w:r>
      <w:r w:rsidRPr="00533AC3">
        <w:rPr>
          <w:rFonts w:eastAsia="Calibri" w:cs="Calibri Light"/>
          <w:szCs w:val="22"/>
          <w:lang w:eastAsia="en-US"/>
        </w:rPr>
        <w:t xml:space="preserve">s Financial Conduct Authority, the design of the ASIC IFM is unique given </w:t>
      </w:r>
      <w:r w:rsidR="00B34624">
        <w:rPr>
          <w:rFonts w:eastAsia="Calibri" w:cs="Calibri Light"/>
          <w:szCs w:val="22"/>
          <w:lang w:eastAsia="en-US"/>
        </w:rPr>
        <w:t>ASIC</w:t>
      </w:r>
      <w:r w:rsidR="00BD190B">
        <w:rPr>
          <w:rFonts w:eastAsia="Calibri" w:cs="Calibri Light"/>
          <w:szCs w:val="22"/>
          <w:lang w:eastAsia="en-US"/>
        </w:rPr>
        <w:t>’</w:t>
      </w:r>
      <w:r w:rsidR="00B34624">
        <w:rPr>
          <w:rFonts w:eastAsia="Calibri" w:cs="Calibri Light"/>
          <w:szCs w:val="22"/>
          <w:lang w:eastAsia="en-US"/>
        </w:rPr>
        <w:t>s</w:t>
      </w:r>
      <w:r w:rsidR="00B34624" w:rsidRPr="00533AC3">
        <w:rPr>
          <w:rFonts w:eastAsia="Calibri" w:cs="Calibri Light"/>
          <w:szCs w:val="22"/>
          <w:lang w:eastAsia="en-US"/>
        </w:rPr>
        <w:t xml:space="preserve"> </w:t>
      </w:r>
      <w:r w:rsidRPr="00533AC3">
        <w:rPr>
          <w:rFonts w:eastAsia="Calibri" w:cs="Calibri Light"/>
          <w:szCs w:val="22"/>
          <w:lang w:eastAsia="en-US"/>
        </w:rPr>
        <w:t>wide regulatory remit and large regulated population.</w:t>
      </w:r>
    </w:p>
    <w:p w14:paraId="7F7FBFAB" w14:textId="627D5A19" w:rsidR="00533AC3" w:rsidRPr="003F3914" w:rsidRDefault="00533AC3" w:rsidP="008F2119">
      <w:pPr>
        <w:pStyle w:val="Bullet"/>
        <w:ind w:left="1004"/>
        <w:rPr>
          <w:rFonts w:eastAsia="Calibri"/>
          <w:lang w:eastAsia="en-US"/>
        </w:rPr>
      </w:pPr>
      <w:r w:rsidRPr="003F3914">
        <w:rPr>
          <w:rFonts w:eastAsia="Calibri"/>
          <w:lang w:eastAsia="en-US"/>
        </w:rPr>
        <w:t>ASIC is one of the few Australian regulators with a significant enforcement function that is industry</w:t>
      </w:r>
      <w:r w:rsidR="00BD190B">
        <w:rPr>
          <w:rFonts w:eastAsia="Calibri"/>
          <w:lang w:eastAsia="en-US"/>
        </w:rPr>
        <w:noBreakHyphen/>
      </w:r>
      <w:r w:rsidRPr="003F3914">
        <w:rPr>
          <w:rFonts w:eastAsia="Calibri"/>
          <w:lang w:eastAsia="en-US"/>
        </w:rPr>
        <w:t>funded.</w:t>
      </w:r>
    </w:p>
    <w:p w14:paraId="62E8EFB1" w14:textId="6CFB4D86" w:rsidR="00533AC3" w:rsidRPr="003F3914" w:rsidRDefault="00533AC3" w:rsidP="008F2119">
      <w:pPr>
        <w:pStyle w:val="Bullet"/>
        <w:ind w:left="1004"/>
        <w:rPr>
          <w:rFonts w:eastAsia="Calibri"/>
          <w:lang w:eastAsia="en-US"/>
        </w:rPr>
      </w:pPr>
      <w:r w:rsidRPr="003F3914">
        <w:rPr>
          <w:rFonts w:eastAsia="Calibri"/>
          <w:lang w:eastAsia="en-US"/>
        </w:rPr>
        <w:t>ASIC is one of the few Government agencies that recovers it regulatory costs via levies on an ex</w:t>
      </w:r>
      <w:r w:rsidR="00BD190B">
        <w:rPr>
          <w:rFonts w:eastAsia="Calibri"/>
          <w:lang w:eastAsia="en-US"/>
        </w:rPr>
        <w:noBreakHyphen/>
      </w:r>
      <w:r w:rsidRPr="003F3914">
        <w:rPr>
          <w:rFonts w:eastAsia="Calibri"/>
          <w:lang w:eastAsia="en-US"/>
        </w:rPr>
        <w:t xml:space="preserve">post basis. </w:t>
      </w:r>
    </w:p>
    <w:p w14:paraId="1D403AC9" w14:textId="1C11C272" w:rsidR="00533AC3" w:rsidRPr="003F3914" w:rsidRDefault="00533AC3" w:rsidP="008F2119">
      <w:pPr>
        <w:pStyle w:val="Bullet"/>
        <w:ind w:left="1004"/>
        <w:rPr>
          <w:rFonts w:eastAsia="Calibri"/>
          <w:lang w:eastAsia="en-US"/>
        </w:rPr>
      </w:pPr>
      <w:r w:rsidRPr="003F3914">
        <w:rPr>
          <w:rFonts w:eastAsia="Calibri"/>
          <w:lang w:eastAsia="en-US"/>
        </w:rPr>
        <w:t>While most other Government agencies divide their regulated population into certain groups</w:t>
      </w:r>
      <w:r w:rsidR="004A5C17" w:rsidRPr="003F3914">
        <w:rPr>
          <w:rFonts w:eastAsia="Calibri"/>
          <w:lang w:eastAsia="en-US"/>
        </w:rPr>
        <w:t xml:space="preserve"> or sectors</w:t>
      </w:r>
      <w:r w:rsidR="00261AAC" w:rsidRPr="003F3914">
        <w:rPr>
          <w:rFonts w:eastAsia="Calibri"/>
          <w:lang w:eastAsia="en-US"/>
        </w:rPr>
        <w:t xml:space="preserve"> only</w:t>
      </w:r>
      <w:r w:rsidRPr="003F3914">
        <w:rPr>
          <w:rFonts w:eastAsia="Calibri"/>
          <w:lang w:eastAsia="en-US"/>
        </w:rPr>
        <w:t>, ASIC has one of the most detailed methods of dividing its regulated population into sectors and sub</w:t>
      </w:r>
      <w:r w:rsidR="00BD190B">
        <w:rPr>
          <w:rFonts w:eastAsia="Calibri"/>
          <w:lang w:eastAsia="en-US"/>
        </w:rPr>
        <w:noBreakHyphen/>
      </w:r>
      <w:r w:rsidRPr="003F3914">
        <w:rPr>
          <w:rFonts w:eastAsia="Calibri"/>
          <w:lang w:eastAsia="en-US"/>
        </w:rPr>
        <w:t xml:space="preserve">sectors, leading to ASIC having the largest number of </w:t>
      </w:r>
      <w:r w:rsidR="00F8746F" w:rsidRPr="003F3914">
        <w:rPr>
          <w:rFonts w:eastAsia="Calibri"/>
          <w:lang w:eastAsia="en-US"/>
        </w:rPr>
        <w:t>sub</w:t>
      </w:r>
      <w:r w:rsidR="00BD190B">
        <w:rPr>
          <w:rFonts w:eastAsia="Calibri"/>
          <w:lang w:eastAsia="en-US"/>
        </w:rPr>
        <w:noBreakHyphen/>
      </w:r>
      <w:r w:rsidR="00F8746F" w:rsidRPr="003F3914">
        <w:rPr>
          <w:rFonts w:eastAsia="Calibri"/>
          <w:lang w:eastAsia="en-US"/>
        </w:rPr>
        <w:t>sectors</w:t>
      </w:r>
      <w:r w:rsidRPr="003F3914">
        <w:rPr>
          <w:rFonts w:eastAsia="Calibri"/>
          <w:lang w:eastAsia="en-US"/>
        </w:rPr>
        <w:t xml:space="preserve">. </w:t>
      </w:r>
    </w:p>
    <w:p w14:paraId="441BF08F" w14:textId="77777777" w:rsidR="00533AC3" w:rsidRDefault="00533AC3" w:rsidP="00232046">
      <w:pPr>
        <w:pStyle w:val="Heading3"/>
      </w:pPr>
      <w:bookmarkStart w:id="35" w:name="_Toc125305161"/>
      <w:bookmarkStart w:id="36" w:name="_Toc129270429"/>
      <w:r>
        <w:t>Design principles, objectives, and benefits</w:t>
      </w:r>
      <w:bookmarkEnd w:id="35"/>
      <w:bookmarkEnd w:id="36"/>
      <w:r>
        <w:t xml:space="preserve"> </w:t>
      </w:r>
    </w:p>
    <w:p w14:paraId="0D545546" w14:textId="11EF9BB7" w:rsidR="000E1E38" w:rsidRDefault="000E1E38" w:rsidP="0037599B">
      <w:pPr>
        <w:numPr>
          <w:ilvl w:val="1"/>
          <w:numId w:val="13"/>
        </w:numPr>
        <w:tabs>
          <w:tab w:val="clear" w:pos="567"/>
        </w:tabs>
        <w:spacing w:line="259" w:lineRule="auto"/>
        <w:ind w:left="720" w:hanging="720"/>
        <w:rPr>
          <w:rFonts w:eastAsia="Calibri" w:cs="Calibri Light"/>
          <w:szCs w:val="22"/>
          <w:lang w:eastAsia="en-US"/>
        </w:rPr>
      </w:pPr>
      <w:r>
        <w:rPr>
          <w:rFonts w:eastAsia="Calibri" w:cs="Calibri Light"/>
          <w:szCs w:val="22"/>
          <w:lang w:eastAsia="en-US"/>
        </w:rPr>
        <w:t xml:space="preserve">There are two key principles </w:t>
      </w:r>
      <w:r w:rsidR="00A141D2">
        <w:rPr>
          <w:rFonts w:eastAsia="Calibri" w:cs="Calibri Light"/>
          <w:szCs w:val="22"/>
          <w:lang w:eastAsia="en-US"/>
        </w:rPr>
        <w:t xml:space="preserve">that </w:t>
      </w:r>
      <w:r w:rsidR="00C5386B">
        <w:rPr>
          <w:rFonts w:eastAsia="Calibri" w:cs="Calibri Light"/>
          <w:szCs w:val="22"/>
          <w:lang w:eastAsia="en-US"/>
        </w:rPr>
        <w:t>the ASIC IFM aims to meet</w:t>
      </w:r>
      <w:r w:rsidR="006450BE">
        <w:rPr>
          <w:rFonts w:eastAsia="Calibri" w:cs="Calibri Light"/>
          <w:szCs w:val="22"/>
          <w:lang w:eastAsia="en-US"/>
        </w:rPr>
        <w:t>.</w:t>
      </w:r>
    </w:p>
    <w:p w14:paraId="281891B7" w14:textId="377770ED" w:rsidR="00A141D2" w:rsidRDefault="00533AC3" w:rsidP="006B2EB3">
      <w:pPr>
        <w:pStyle w:val="ListParagraph"/>
        <w:numPr>
          <w:ilvl w:val="0"/>
          <w:numId w:val="36"/>
        </w:numPr>
        <w:spacing w:line="259" w:lineRule="auto"/>
        <w:rPr>
          <w:rFonts w:eastAsia="Calibri" w:cs="Calibri Light"/>
          <w:szCs w:val="22"/>
          <w:lang w:eastAsia="en-US"/>
        </w:rPr>
      </w:pPr>
      <w:r w:rsidRPr="003472F3">
        <w:rPr>
          <w:rFonts w:eastAsia="Calibri" w:cs="Calibri Light"/>
          <w:b/>
          <w:bCs/>
          <w:szCs w:val="22"/>
          <w:lang w:eastAsia="en-US"/>
        </w:rPr>
        <w:t>Governments</w:t>
      </w:r>
      <w:r w:rsidR="00BD190B">
        <w:rPr>
          <w:rFonts w:eastAsia="Calibri" w:cs="Calibri Light"/>
          <w:b/>
          <w:bCs/>
          <w:szCs w:val="22"/>
          <w:lang w:eastAsia="en-US"/>
        </w:rPr>
        <w:t>’</w:t>
      </w:r>
      <w:r w:rsidRPr="003472F3">
        <w:rPr>
          <w:rFonts w:eastAsia="Calibri" w:cs="Calibri Light"/>
          <w:b/>
          <w:bCs/>
          <w:szCs w:val="22"/>
          <w:lang w:eastAsia="en-US"/>
        </w:rPr>
        <w:t xml:space="preserve"> long</w:t>
      </w:r>
      <w:r w:rsidRPr="003472F3">
        <w:rPr>
          <w:rFonts w:ascii="Cambria Math" w:eastAsia="Calibri" w:hAnsi="Cambria Math" w:cs="Cambria Math"/>
          <w:b/>
          <w:bCs/>
          <w:szCs w:val="22"/>
          <w:lang w:eastAsia="en-US"/>
        </w:rPr>
        <w:t>‑</w:t>
      </w:r>
      <w:r w:rsidRPr="003472F3">
        <w:rPr>
          <w:rFonts w:eastAsia="Calibri" w:cs="Calibri Light"/>
          <w:b/>
          <w:bCs/>
          <w:szCs w:val="22"/>
          <w:lang w:eastAsia="en-US"/>
        </w:rPr>
        <w:t>standing position</w:t>
      </w:r>
      <w:r w:rsidRPr="00A141D2">
        <w:rPr>
          <w:rFonts w:eastAsia="Calibri" w:cs="Calibri Light"/>
          <w:szCs w:val="22"/>
          <w:lang w:eastAsia="en-US"/>
        </w:rPr>
        <w:t xml:space="preserve"> is that cost recovery fees and levies attributable to regulated activity are considered as a funding mechanism prior to budget funding. </w:t>
      </w:r>
    </w:p>
    <w:p w14:paraId="37764FFC" w14:textId="7C36B6DA" w:rsidR="00533AC3" w:rsidRPr="00A141D2" w:rsidRDefault="00533AC3" w:rsidP="006B2EB3">
      <w:pPr>
        <w:pStyle w:val="ListParagraph"/>
        <w:numPr>
          <w:ilvl w:val="0"/>
          <w:numId w:val="36"/>
        </w:numPr>
        <w:spacing w:line="259" w:lineRule="auto"/>
        <w:rPr>
          <w:rFonts w:eastAsia="Calibri" w:cs="Calibri Light"/>
          <w:szCs w:val="22"/>
          <w:lang w:eastAsia="en-US"/>
        </w:rPr>
      </w:pPr>
      <w:r w:rsidRPr="003472F3">
        <w:rPr>
          <w:rFonts w:eastAsia="Calibri" w:cs="Calibri Light"/>
          <w:b/>
          <w:bCs/>
          <w:szCs w:val="22"/>
          <w:lang w:eastAsia="en-US"/>
        </w:rPr>
        <w:t>The overarching principle of the Charging Framework</w:t>
      </w:r>
      <w:r w:rsidRPr="00A141D2">
        <w:rPr>
          <w:rFonts w:eastAsia="Calibri" w:cs="Calibri Light"/>
          <w:szCs w:val="22"/>
          <w:lang w:eastAsia="en-US"/>
        </w:rPr>
        <w:t xml:space="preserve"> is that those who create the need for a government activity or regulation, should be charged for it, rather than general taxpayers</w:t>
      </w:r>
      <w:r w:rsidR="00FB14C3">
        <w:rPr>
          <w:rFonts w:eastAsia="Calibri" w:cs="Calibri Light"/>
          <w:szCs w:val="22"/>
          <w:lang w:eastAsia="en-US"/>
        </w:rPr>
        <w:t>.</w:t>
      </w:r>
      <w:r w:rsidR="00113394">
        <w:rPr>
          <w:rFonts w:eastAsia="Calibri" w:cs="Calibri Light"/>
          <w:szCs w:val="22"/>
          <w:lang w:eastAsia="en-US"/>
        </w:rPr>
        <w:t xml:space="preserve"> </w:t>
      </w:r>
    </w:p>
    <w:p w14:paraId="50E75AE0" w14:textId="4E8C4F6E"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While the IFM was designed to align with </w:t>
      </w:r>
      <w:r w:rsidR="00804FC3">
        <w:rPr>
          <w:rFonts w:eastAsia="Calibri" w:cs="Calibri Light"/>
          <w:szCs w:val="22"/>
          <w:lang w:eastAsia="en-US"/>
        </w:rPr>
        <w:t>these principles</w:t>
      </w:r>
      <w:r w:rsidRPr="00533AC3">
        <w:rPr>
          <w:rFonts w:eastAsia="Calibri" w:cs="Calibri Light"/>
          <w:szCs w:val="22"/>
          <w:lang w:eastAsia="en-US"/>
        </w:rPr>
        <w:t xml:space="preserve">, it was also designed to support other objectives of the Government, which include objectives in relation to competition and innovation, not disproportionately affecting small businesses, and ensuring that regulated entities receive value for money on cost recovered Government services. </w:t>
      </w:r>
    </w:p>
    <w:p w14:paraId="56962588" w14:textId="752CB4AA" w:rsidR="00533AC3" w:rsidRPr="00533AC3" w:rsidRDefault="00533AC3" w:rsidP="006B2EB3">
      <w:pPr>
        <w:keepNext/>
        <w:numPr>
          <w:ilvl w:val="1"/>
          <w:numId w:val="28"/>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ASIC</w:t>
      </w:r>
      <w:r w:rsidR="00BD190B">
        <w:rPr>
          <w:rFonts w:eastAsia="Calibri" w:cs="Calibri Light"/>
          <w:szCs w:val="22"/>
          <w:lang w:eastAsia="en-US"/>
        </w:rPr>
        <w:t>’</w:t>
      </w:r>
      <w:r w:rsidRPr="00533AC3">
        <w:rPr>
          <w:rFonts w:eastAsia="Calibri" w:cs="Calibri Light"/>
          <w:szCs w:val="22"/>
          <w:lang w:eastAsia="en-US"/>
        </w:rPr>
        <w:t xml:space="preserve">s IFM is intended to deliver a range of benefits, </w:t>
      </w:r>
      <w:r w:rsidR="4B509E1F" w:rsidRPr="4405A8A9">
        <w:rPr>
          <w:rFonts w:eastAsia="Calibri" w:cs="Calibri Light"/>
          <w:lang w:eastAsia="en-US"/>
        </w:rPr>
        <w:t>including</w:t>
      </w:r>
      <w:r w:rsidRPr="00533AC3">
        <w:rPr>
          <w:rFonts w:eastAsia="Calibri" w:cs="Calibri Light"/>
          <w:szCs w:val="22"/>
          <w:lang w:eastAsia="en-US"/>
        </w:rPr>
        <w:t>:</w:t>
      </w:r>
    </w:p>
    <w:p w14:paraId="592AAA4C" w14:textId="3958E126" w:rsidR="00533AC3" w:rsidRPr="00533AC3" w:rsidRDefault="00533AC3" w:rsidP="008F2119">
      <w:pPr>
        <w:pStyle w:val="Bullet"/>
        <w:ind w:left="1004"/>
        <w:rPr>
          <w:rFonts w:eastAsia="Calibri"/>
          <w:lang w:eastAsia="en-US"/>
        </w:rPr>
      </w:pPr>
      <w:r w:rsidRPr="00533AC3">
        <w:rPr>
          <w:rFonts w:eastAsia="Calibri"/>
          <w:lang w:eastAsia="en-US"/>
        </w:rPr>
        <w:t>improving equity, as only those entities that are regulated by ASIC and create need for regulation bear its costs, rather than general taxpayers</w:t>
      </w:r>
    </w:p>
    <w:p w14:paraId="54D401EC" w14:textId="070CB86B" w:rsidR="00533AC3" w:rsidRPr="00533AC3" w:rsidRDefault="00533AC3" w:rsidP="008F2119">
      <w:pPr>
        <w:pStyle w:val="Bullet"/>
        <w:ind w:left="1004"/>
        <w:rPr>
          <w:rFonts w:eastAsia="Calibri"/>
          <w:lang w:eastAsia="en-US"/>
        </w:rPr>
      </w:pPr>
      <w:r w:rsidRPr="00533AC3">
        <w:rPr>
          <w:rFonts w:eastAsia="Calibri"/>
          <w:lang w:eastAsia="en-US"/>
        </w:rPr>
        <w:t>encouraging regulatory compliance, as good conduct will drive down supervisory levies</w:t>
      </w:r>
    </w:p>
    <w:p w14:paraId="5809D3C0" w14:textId="7B4CF60B" w:rsidR="00757378" w:rsidRPr="00533AC3" w:rsidRDefault="00757378" w:rsidP="008F2119">
      <w:pPr>
        <w:pStyle w:val="Bullet"/>
        <w:ind w:left="1004"/>
        <w:rPr>
          <w:rFonts w:eastAsia="Calibri"/>
          <w:lang w:eastAsia="en-US"/>
        </w:rPr>
      </w:pPr>
      <w:r w:rsidRPr="00533AC3">
        <w:rPr>
          <w:rFonts w:eastAsia="Calibri"/>
          <w:lang w:eastAsia="en-US"/>
        </w:rPr>
        <w:lastRenderedPageBreak/>
        <w:t>improving ASIC</w:t>
      </w:r>
      <w:r w:rsidR="00BD190B">
        <w:rPr>
          <w:rFonts w:eastAsia="Calibri"/>
          <w:lang w:eastAsia="en-US"/>
        </w:rPr>
        <w:t>’</w:t>
      </w:r>
      <w:r w:rsidRPr="00533AC3">
        <w:rPr>
          <w:rFonts w:eastAsia="Calibri"/>
          <w:lang w:eastAsia="en-US"/>
        </w:rPr>
        <w:t>s resource allocation, by providing it with richer data to better identify emerging risks</w:t>
      </w:r>
    </w:p>
    <w:p w14:paraId="00C0AB90" w14:textId="43EE2EB1" w:rsidR="00533AC3" w:rsidRPr="00533AC3" w:rsidRDefault="00533AC3" w:rsidP="008F2119">
      <w:pPr>
        <w:pStyle w:val="Bullet"/>
        <w:ind w:left="1004"/>
        <w:rPr>
          <w:rFonts w:eastAsia="Calibri"/>
          <w:lang w:eastAsia="en-US"/>
        </w:rPr>
      </w:pPr>
      <w:r w:rsidRPr="00533AC3">
        <w:rPr>
          <w:rFonts w:eastAsia="Calibri"/>
          <w:lang w:eastAsia="en-US"/>
        </w:rPr>
        <w:t>enhancing ASIC</w:t>
      </w:r>
      <w:r w:rsidR="00BD190B">
        <w:rPr>
          <w:rFonts w:eastAsia="Calibri"/>
          <w:lang w:eastAsia="en-US"/>
        </w:rPr>
        <w:t>’</w:t>
      </w:r>
      <w:r w:rsidRPr="00533AC3">
        <w:rPr>
          <w:rFonts w:eastAsia="Calibri"/>
          <w:lang w:eastAsia="en-US"/>
        </w:rPr>
        <w:t>s transparency and accountability through publishing its expenditure, explaining its regulatory priorities, and accounting for its performance</w:t>
      </w:r>
    </w:p>
    <w:p w14:paraId="7A826789" w14:textId="1D046FEE" w:rsidR="00533AC3" w:rsidRPr="00D3469A" w:rsidRDefault="00533AC3" w:rsidP="0037599B">
      <w:pPr>
        <w:numPr>
          <w:ilvl w:val="1"/>
          <w:numId w:val="13"/>
        </w:numPr>
        <w:tabs>
          <w:tab w:val="clear" w:pos="567"/>
        </w:tabs>
        <w:spacing w:line="259" w:lineRule="auto"/>
        <w:ind w:left="720" w:hanging="720"/>
        <w:rPr>
          <w:rFonts w:eastAsia="Calibri" w:cs="Calibri Light"/>
          <w:szCs w:val="22"/>
          <w:lang w:eastAsia="en-US"/>
        </w:rPr>
      </w:pPr>
      <w:r w:rsidRPr="00D3469A">
        <w:rPr>
          <w:rFonts w:eastAsia="Calibri" w:cs="Calibri Light"/>
          <w:szCs w:val="22"/>
          <w:lang w:eastAsia="en-US"/>
        </w:rPr>
        <w:t xml:space="preserve">Appendix A provides further information about the Charging Framework and how it applies to the </w:t>
      </w:r>
      <w:r w:rsidR="008C6A45" w:rsidRPr="00D3469A">
        <w:rPr>
          <w:rFonts w:eastAsia="Calibri" w:cs="Calibri Light"/>
          <w:szCs w:val="22"/>
          <w:lang w:eastAsia="en-US"/>
        </w:rPr>
        <w:t xml:space="preserve">ASIC </w:t>
      </w:r>
      <w:r w:rsidRPr="00D3469A">
        <w:rPr>
          <w:rFonts w:eastAsia="Calibri" w:cs="Calibri Light"/>
          <w:szCs w:val="22"/>
          <w:lang w:eastAsia="en-US"/>
        </w:rPr>
        <w:t>IFM</w:t>
      </w:r>
      <w:r w:rsidR="00D3469A" w:rsidRPr="00D3469A">
        <w:rPr>
          <w:rFonts w:eastAsia="Calibri" w:cs="Calibri Light"/>
          <w:szCs w:val="22"/>
          <w:lang w:eastAsia="en-US"/>
        </w:rPr>
        <w:t xml:space="preserve"> as well as the broader design objectives of the IFM</w:t>
      </w:r>
      <w:r w:rsidRPr="00D3469A">
        <w:rPr>
          <w:rFonts w:eastAsia="Calibri" w:cs="Calibri Light"/>
          <w:szCs w:val="22"/>
          <w:lang w:eastAsia="en-US"/>
        </w:rPr>
        <w:t xml:space="preserve">. </w:t>
      </w:r>
    </w:p>
    <w:p w14:paraId="77CAE3C2" w14:textId="551061FA" w:rsidR="00533AC3" w:rsidRDefault="00533AC3" w:rsidP="00232046">
      <w:pPr>
        <w:pStyle w:val="Heading3"/>
      </w:pPr>
      <w:bookmarkStart w:id="37" w:name="_Toc125305162"/>
      <w:bookmarkStart w:id="38" w:name="_Toc129270430"/>
      <w:r>
        <w:t>Role of Government</w:t>
      </w:r>
      <w:bookmarkEnd w:id="37"/>
      <w:bookmarkEnd w:id="38"/>
    </w:p>
    <w:p w14:paraId="3D9091EC" w14:textId="4DEEF366" w:rsidR="00533AC3" w:rsidRPr="00E4322C" w:rsidRDefault="00533AC3" w:rsidP="00533AC3">
      <w:pPr>
        <w:pStyle w:val="Heading4"/>
      </w:pPr>
      <w:r>
        <w:t>Setting ASIC</w:t>
      </w:r>
      <w:r w:rsidR="00BD190B">
        <w:t>’</w:t>
      </w:r>
      <w:r>
        <w:t>s budget</w:t>
      </w:r>
    </w:p>
    <w:p w14:paraId="710ABC31" w14:textId="6B72EA5C" w:rsidR="00533AC3" w:rsidRPr="00B207BF" w:rsidRDefault="00B207BF" w:rsidP="00B207BF">
      <w:pPr>
        <w:numPr>
          <w:ilvl w:val="1"/>
          <w:numId w:val="13"/>
        </w:numPr>
        <w:tabs>
          <w:tab w:val="clear" w:pos="567"/>
        </w:tabs>
        <w:spacing w:line="259" w:lineRule="auto"/>
        <w:ind w:left="720" w:hanging="720"/>
        <w:rPr>
          <w:rFonts w:eastAsia="Calibri" w:cs="Calibri Light"/>
          <w:szCs w:val="22"/>
          <w:lang w:eastAsia="en-US"/>
        </w:rPr>
      </w:pPr>
      <w:r>
        <w:rPr>
          <w:rFonts w:eastAsia="Calibri" w:cs="Calibri Light"/>
          <w:szCs w:val="22"/>
          <w:lang w:eastAsia="en-US"/>
        </w:rPr>
        <w:t>Each year, t</w:t>
      </w:r>
      <w:r w:rsidR="00533AC3" w:rsidRPr="00533AC3">
        <w:rPr>
          <w:rFonts w:eastAsia="Calibri" w:cs="Calibri Light"/>
          <w:szCs w:val="22"/>
          <w:lang w:eastAsia="en-US"/>
        </w:rPr>
        <w:t>he Government is responsible for determining ASIC</w:t>
      </w:r>
      <w:r w:rsidR="00BD190B">
        <w:rPr>
          <w:rFonts w:eastAsia="Calibri" w:cs="Calibri Light"/>
          <w:szCs w:val="22"/>
          <w:lang w:eastAsia="en-US"/>
        </w:rPr>
        <w:t>’</w:t>
      </w:r>
      <w:r w:rsidR="00533AC3" w:rsidRPr="00533AC3">
        <w:rPr>
          <w:rFonts w:eastAsia="Calibri" w:cs="Calibri Light"/>
          <w:szCs w:val="22"/>
          <w:lang w:eastAsia="en-US"/>
        </w:rPr>
        <w:t xml:space="preserve">s total operational budget to fund its regulatory activities and what aspects of that funding should be recovered from industry via the IFM. </w:t>
      </w:r>
      <w:r w:rsidR="00533AC3" w:rsidRPr="00B207BF">
        <w:rPr>
          <w:rFonts w:eastAsia="Calibri" w:cs="Calibri Light"/>
          <w:szCs w:val="22"/>
          <w:lang w:eastAsia="en-US"/>
        </w:rPr>
        <w:t>At the time of considering ASIC</w:t>
      </w:r>
      <w:r w:rsidR="00BD190B">
        <w:rPr>
          <w:rFonts w:eastAsia="Calibri" w:cs="Calibri Light"/>
          <w:szCs w:val="22"/>
          <w:lang w:eastAsia="en-US"/>
        </w:rPr>
        <w:t>’</w:t>
      </w:r>
      <w:r w:rsidR="00533AC3" w:rsidRPr="00B207BF">
        <w:rPr>
          <w:rFonts w:eastAsia="Calibri" w:cs="Calibri Light"/>
          <w:szCs w:val="22"/>
          <w:lang w:eastAsia="en-US"/>
        </w:rPr>
        <w:t>s operational budget, the Government also determines the appropriation amount for ASIC</w:t>
      </w:r>
      <w:r w:rsidR="00BD190B">
        <w:rPr>
          <w:rFonts w:eastAsia="Calibri" w:cs="Calibri Light"/>
          <w:szCs w:val="22"/>
          <w:lang w:eastAsia="en-US"/>
        </w:rPr>
        <w:t>’</w:t>
      </w:r>
      <w:r w:rsidR="00533AC3" w:rsidRPr="00B207BF">
        <w:rPr>
          <w:rFonts w:eastAsia="Calibri" w:cs="Calibri Light"/>
          <w:szCs w:val="22"/>
          <w:lang w:eastAsia="en-US"/>
        </w:rPr>
        <w:t>s ESA and ASIC</w:t>
      </w:r>
      <w:r w:rsidR="00BD190B">
        <w:rPr>
          <w:rFonts w:eastAsia="Calibri" w:cs="Calibri Light"/>
          <w:szCs w:val="22"/>
          <w:lang w:eastAsia="en-US"/>
        </w:rPr>
        <w:t>’</w:t>
      </w:r>
      <w:r w:rsidR="00533AC3" w:rsidRPr="00B207BF">
        <w:rPr>
          <w:rFonts w:eastAsia="Calibri" w:cs="Calibri Light"/>
          <w:szCs w:val="22"/>
          <w:lang w:eastAsia="en-US"/>
        </w:rPr>
        <w:t>s capital expenditure budget for the financial year – there is limited flexibility to reallocate ASIC</w:t>
      </w:r>
      <w:r w:rsidR="00BD190B">
        <w:rPr>
          <w:rFonts w:eastAsia="Calibri" w:cs="Calibri Light"/>
          <w:szCs w:val="22"/>
          <w:lang w:eastAsia="en-US"/>
        </w:rPr>
        <w:t>’</w:t>
      </w:r>
      <w:r w:rsidR="00533AC3" w:rsidRPr="00B207BF">
        <w:rPr>
          <w:rFonts w:eastAsia="Calibri" w:cs="Calibri Light"/>
          <w:szCs w:val="22"/>
          <w:lang w:eastAsia="en-US"/>
        </w:rPr>
        <w:t>s operational expenditure budget to capital expenditure or the ESA (</w:t>
      </w:r>
      <w:r w:rsidR="001C3A6B" w:rsidRPr="00B207BF">
        <w:rPr>
          <w:rFonts w:eastAsia="Calibri" w:cs="Calibri Light"/>
          <w:szCs w:val="22"/>
          <w:lang w:eastAsia="en-US"/>
        </w:rPr>
        <w:t>or</w:t>
      </w:r>
      <w:r w:rsidR="00533AC3" w:rsidRPr="00B207BF">
        <w:rPr>
          <w:rFonts w:eastAsia="Calibri" w:cs="Calibri Light"/>
          <w:szCs w:val="22"/>
          <w:lang w:eastAsia="en-US"/>
        </w:rPr>
        <w:t xml:space="preserve"> vice versa). </w:t>
      </w:r>
    </w:p>
    <w:p w14:paraId="5724E88D" w14:textId="34A3AE0D" w:rsidR="00A4500D" w:rsidRPr="00533AC3" w:rsidRDefault="00A4500D"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ASIC</w:t>
      </w:r>
      <w:r w:rsidR="00BD190B">
        <w:rPr>
          <w:rFonts w:eastAsia="Calibri" w:cs="Calibri Light"/>
          <w:szCs w:val="22"/>
          <w:lang w:eastAsia="en-US"/>
        </w:rPr>
        <w:t>’</w:t>
      </w:r>
      <w:r w:rsidRPr="00533AC3">
        <w:rPr>
          <w:rFonts w:eastAsia="Calibri" w:cs="Calibri Light"/>
          <w:szCs w:val="22"/>
          <w:lang w:eastAsia="en-US"/>
        </w:rPr>
        <w:t xml:space="preserve">s operational budget </w:t>
      </w:r>
      <w:r w:rsidR="00B207BF">
        <w:rPr>
          <w:rFonts w:eastAsia="Calibri" w:cs="Calibri Light"/>
          <w:szCs w:val="22"/>
          <w:lang w:eastAsia="en-US"/>
        </w:rPr>
        <w:t xml:space="preserve">(including for the ESA and capital expenditure) </w:t>
      </w:r>
      <w:r w:rsidRPr="00533AC3">
        <w:rPr>
          <w:rFonts w:eastAsia="Calibri" w:cs="Calibri Light"/>
          <w:szCs w:val="22"/>
          <w:lang w:eastAsia="en-US"/>
        </w:rPr>
        <w:t xml:space="preserve">is funded through </w:t>
      </w:r>
      <w:r w:rsidRPr="55465F64">
        <w:rPr>
          <w:rFonts w:eastAsia="Calibri" w:cs="Calibri Light"/>
          <w:lang w:eastAsia="en-US"/>
        </w:rPr>
        <w:t>appropriations</w:t>
      </w:r>
      <w:r w:rsidRPr="00533AC3">
        <w:rPr>
          <w:rFonts w:eastAsia="Calibri" w:cs="Calibri Light"/>
          <w:szCs w:val="22"/>
          <w:lang w:eastAsia="en-US"/>
        </w:rPr>
        <w:t xml:space="preserve"> from the Commonwealth budget, which is then recovered from industry via the IFM</w:t>
      </w:r>
      <w:r w:rsidR="0047601F">
        <w:rPr>
          <w:rFonts w:eastAsia="Calibri" w:cs="Calibri Light"/>
          <w:szCs w:val="22"/>
          <w:lang w:eastAsia="en-US"/>
        </w:rPr>
        <w:t xml:space="preserve">. </w:t>
      </w:r>
    </w:p>
    <w:p w14:paraId="661CCA51" w14:textId="77777777" w:rsidR="00533AC3" w:rsidRPr="00AB1D31" w:rsidRDefault="00533AC3" w:rsidP="00533AC3">
      <w:pPr>
        <w:pStyle w:val="Heading4"/>
      </w:pPr>
      <w:r>
        <w:t>Determining policy settings of the IFM</w:t>
      </w:r>
    </w:p>
    <w:p w14:paraId="798A6DDF" w14:textId="36B1F3CC"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The Government (subject to Parliamentary process and oversight) is responsible for the policy settings of the IFM, which are prescribed in several Acts and Regulations (</w:t>
      </w:r>
      <w:r w:rsidR="007C5C96">
        <w:rPr>
          <w:rFonts w:eastAsia="Calibri" w:cs="Calibri Light"/>
          <w:szCs w:val="22"/>
          <w:lang w:eastAsia="en-US"/>
        </w:rPr>
        <w:t>at</w:t>
      </w:r>
      <w:r w:rsidRPr="00533AC3">
        <w:rPr>
          <w:rFonts w:eastAsia="Calibri" w:cs="Calibri Light"/>
          <w:szCs w:val="22"/>
          <w:lang w:eastAsia="en-US"/>
        </w:rPr>
        <w:t xml:space="preserve"> Appendix A). Changes to the policy settings of the IFM are the responsibility of the Government and will generally require legislative change. Where the Government </w:t>
      </w:r>
      <w:r w:rsidR="00016F23">
        <w:rPr>
          <w:rFonts w:eastAsia="Calibri" w:cs="Calibri Light"/>
          <w:szCs w:val="22"/>
          <w:lang w:eastAsia="en-US"/>
        </w:rPr>
        <w:t>intends</w:t>
      </w:r>
      <w:r w:rsidRPr="00533AC3">
        <w:rPr>
          <w:rFonts w:eastAsia="Calibri" w:cs="Calibri Light"/>
          <w:szCs w:val="22"/>
          <w:lang w:eastAsia="en-US"/>
        </w:rPr>
        <w:t xml:space="preserve"> to make changes to the </w:t>
      </w:r>
      <w:r w:rsidR="00423C7A">
        <w:rPr>
          <w:rFonts w:eastAsia="Calibri" w:cs="Calibri Light"/>
          <w:szCs w:val="22"/>
          <w:lang w:eastAsia="en-US"/>
        </w:rPr>
        <w:t>legislative framework</w:t>
      </w:r>
      <w:r w:rsidRPr="00533AC3">
        <w:rPr>
          <w:rFonts w:eastAsia="Calibri" w:cs="Calibri Light"/>
          <w:szCs w:val="22"/>
          <w:lang w:eastAsia="en-US"/>
        </w:rPr>
        <w:t xml:space="preserve">, it would consult with stakeholders as part of its legislative processes. </w:t>
      </w:r>
    </w:p>
    <w:p w14:paraId="4EA60C28" w14:textId="544CB8F2"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The Government decides which of ASIC</w:t>
      </w:r>
      <w:r w:rsidR="00BD190B">
        <w:rPr>
          <w:rFonts w:eastAsia="Calibri" w:cs="Calibri Light"/>
          <w:szCs w:val="22"/>
          <w:lang w:eastAsia="en-US"/>
        </w:rPr>
        <w:t>’</w:t>
      </w:r>
      <w:r w:rsidRPr="00533AC3">
        <w:rPr>
          <w:rFonts w:eastAsia="Calibri" w:cs="Calibri Light"/>
          <w:szCs w:val="22"/>
          <w:lang w:eastAsia="en-US"/>
        </w:rPr>
        <w:t>s regulatory costs are to be recovered through levies and fees and are identified in the legislative framework. The Government also decides whether some aspects of ASIC</w:t>
      </w:r>
      <w:r w:rsidR="00BD190B">
        <w:rPr>
          <w:rFonts w:eastAsia="Calibri" w:cs="Calibri Light"/>
          <w:szCs w:val="22"/>
          <w:lang w:eastAsia="en-US"/>
        </w:rPr>
        <w:t>’</w:t>
      </w:r>
      <w:r w:rsidRPr="00533AC3">
        <w:rPr>
          <w:rFonts w:eastAsia="Calibri" w:cs="Calibri Light"/>
          <w:szCs w:val="22"/>
          <w:lang w:eastAsia="en-US"/>
        </w:rPr>
        <w:t>s regulatory costs are not suitable for recovery even though they may otherwise be recoverable under the policy settings of the IFM. Some of these costs are prescribed in the legislative framework while other costs are determined on a case</w:t>
      </w:r>
      <w:r w:rsidR="00BD190B">
        <w:rPr>
          <w:rFonts w:eastAsia="Calibri" w:cs="Calibri Light"/>
          <w:szCs w:val="22"/>
          <w:lang w:eastAsia="en-US"/>
        </w:rPr>
        <w:noBreakHyphen/>
      </w:r>
      <w:r w:rsidRPr="00533AC3">
        <w:rPr>
          <w:rFonts w:eastAsia="Calibri" w:cs="Calibri Light"/>
          <w:szCs w:val="22"/>
          <w:lang w:eastAsia="en-US"/>
        </w:rPr>
        <w:t>by</w:t>
      </w:r>
      <w:r w:rsidR="00BD190B">
        <w:rPr>
          <w:rFonts w:eastAsia="Calibri" w:cs="Calibri Light"/>
          <w:szCs w:val="22"/>
          <w:lang w:eastAsia="en-US"/>
        </w:rPr>
        <w:noBreakHyphen/>
      </w:r>
      <w:r w:rsidRPr="00533AC3">
        <w:rPr>
          <w:rFonts w:eastAsia="Calibri" w:cs="Calibri Light"/>
          <w:szCs w:val="22"/>
          <w:lang w:eastAsia="en-US"/>
        </w:rPr>
        <w:t xml:space="preserve">case basis – usually determined by Government at the time of </w:t>
      </w:r>
      <w:r w:rsidR="00BA7B7D">
        <w:rPr>
          <w:rFonts w:eastAsia="Calibri" w:cs="Calibri Light"/>
          <w:szCs w:val="22"/>
          <w:lang w:eastAsia="en-US"/>
        </w:rPr>
        <w:t xml:space="preserve">legislating </w:t>
      </w:r>
      <w:r w:rsidRPr="00533AC3">
        <w:rPr>
          <w:rFonts w:eastAsia="Calibri" w:cs="Calibri Light"/>
          <w:szCs w:val="22"/>
          <w:lang w:eastAsia="en-US"/>
        </w:rPr>
        <w:t>new or expanded responsibilities</w:t>
      </w:r>
      <w:r w:rsidR="00E728B2">
        <w:rPr>
          <w:rFonts w:eastAsia="Calibri" w:cs="Calibri Light"/>
          <w:szCs w:val="22"/>
          <w:lang w:eastAsia="en-US"/>
        </w:rPr>
        <w:t xml:space="preserve"> for ASIC</w:t>
      </w:r>
      <w:r w:rsidRPr="00533AC3">
        <w:rPr>
          <w:rFonts w:eastAsia="Calibri" w:cs="Calibri Light"/>
          <w:szCs w:val="22"/>
          <w:lang w:eastAsia="en-US"/>
        </w:rPr>
        <w:t xml:space="preserve"> and/or </w:t>
      </w:r>
      <w:r w:rsidR="00767F70">
        <w:rPr>
          <w:rFonts w:eastAsia="Calibri" w:cs="Calibri Light"/>
          <w:szCs w:val="22"/>
          <w:lang w:eastAsia="en-US"/>
        </w:rPr>
        <w:t xml:space="preserve">providing </w:t>
      </w:r>
      <w:r w:rsidRPr="00533AC3">
        <w:rPr>
          <w:rFonts w:eastAsia="Calibri" w:cs="Calibri Light"/>
          <w:szCs w:val="22"/>
          <w:lang w:eastAsia="en-US"/>
        </w:rPr>
        <w:t xml:space="preserve">additional funding for </w:t>
      </w:r>
      <w:r w:rsidR="00161271">
        <w:rPr>
          <w:rFonts w:eastAsia="Calibri" w:cs="Calibri Light"/>
          <w:szCs w:val="22"/>
          <w:lang w:eastAsia="en-US"/>
        </w:rPr>
        <w:t>ASIC</w:t>
      </w:r>
      <w:r w:rsidRPr="00533AC3">
        <w:rPr>
          <w:rFonts w:eastAsia="Calibri" w:cs="Calibri Light"/>
          <w:szCs w:val="22"/>
          <w:lang w:eastAsia="en-US"/>
        </w:rPr>
        <w:t>.</w:t>
      </w:r>
    </w:p>
    <w:p w14:paraId="532D3605" w14:textId="64802678" w:rsidR="00533AC3" w:rsidRPr="00293B59" w:rsidRDefault="00533AC3" w:rsidP="00533AC3">
      <w:pPr>
        <w:pStyle w:val="Heading4"/>
      </w:pPr>
      <w:r w:rsidRPr="00293B59">
        <w:t>General oversight of ASIC</w:t>
      </w:r>
      <w:r w:rsidR="00BD190B">
        <w:t>’</w:t>
      </w:r>
      <w:r w:rsidRPr="00293B59">
        <w:t xml:space="preserve">s industry funding arrangements </w:t>
      </w:r>
    </w:p>
    <w:p w14:paraId="087E2F58" w14:textId="6C29B67D"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The Government also has responsibility for the ongoing oversight of ASIC</w:t>
      </w:r>
      <w:r w:rsidR="00BD190B">
        <w:rPr>
          <w:rFonts w:eastAsia="Calibri" w:cs="Calibri Light"/>
          <w:szCs w:val="22"/>
          <w:lang w:eastAsia="en-US"/>
        </w:rPr>
        <w:t>’</w:t>
      </w:r>
      <w:r w:rsidRPr="00533AC3">
        <w:rPr>
          <w:rFonts w:eastAsia="Calibri" w:cs="Calibri Light"/>
          <w:szCs w:val="22"/>
          <w:lang w:eastAsia="en-US"/>
        </w:rPr>
        <w:t xml:space="preserve">s industry funding arrangements. Treasury supports Government in this role by regularly engaging with ASIC </w:t>
      </w:r>
      <w:r w:rsidR="009C2B58">
        <w:rPr>
          <w:rFonts w:eastAsia="Calibri" w:cs="Calibri Light"/>
          <w:szCs w:val="22"/>
          <w:lang w:eastAsia="en-US"/>
        </w:rPr>
        <w:t xml:space="preserve">in </w:t>
      </w:r>
      <w:r w:rsidRPr="00533AC3">
        <w:rPr>
          <w:rFonts w:eastAsia="Calibri" w:cs="Calibri Light"/>
          <w:szCs w:val="22"/>
          <w:lang w:eastAsia="en-US"/>
        </w:rPr>
        <w:t xml:space="preserve">its administration of the IFM, providing advice to Government on any emerging issues and supporting both the Government and ASIC on general IFM processes. </w:t>
      </w:r>
    </w:p>
    <w:p w14:paraId="6BEAE80E" w14:textId="29F3572B"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Under the Charging Framework, Treasury is also responsible for conducting five</w:t>
      </w:r>
      <w:r w:rsidR="00BD190B">
        <w:rPr>
          <w:rFonts w:eastAsia="Calibri" w:cs="Calibri Light"/>
          <w:szCs w:val="22"/>
          <w:lang w:eastAsia="en-US"/>
        </w:rPr>
        <w:noBreakHyphen/>
      </w:r>
      <w:r w:rsidRPr="00533AC3">
        <w:rPr>
          <w:rFonts w:eastAsia="Calibri" w:cs="Calibri Light"/>
          <w:szCs w:val="22"/>
          <w:lang w:eastAsia="en-US"/>
        </w:rPr>
        <w:t xml:space="preserve">yearly reviews of all its existing and potential charging activities within the Treasury portfolio </w:t>
      </w:r>
      <w:r w:rsidR="003F3693" w:rsidRPr="00533AC3">
        <w:rPr>
          <w:rFonts w:eastAsia="Calibri" w:cs="Calibri Light"/>
          <w:szCs w:val="22"/>
          <w:lang w:eastAsia="en-US"/>
        </w:rPr>
        <w:t>(Portfolio Charging Review),</w:t>
      </w:r>
      <w:r w:rsidRPr="00533AC3">
        <w:rPr>
          <w:rFonts w:eastAsia="Calibri" w:cs="Calibri Light"/>
          <w:szCs w:val="22"/>
          <w:lang w:eastAsia="en-US"/>
        </w:rPr>
        <w:t xml:space="preserve"> which includes ASIC</w:t>
      </w:r>
      <w:r w:rsidR="00BD190B">
        <w:rPr>
          <w:rFonts w:eastAsia="Calibri" w:cs="Calibri Light"/>
          <w:szCs w:val="22"/>
          <w:lang w:eastAsia="en-US"/>
        </w:rPr>
        <w:t>’</w:t>
      </w:r>
      <w:r w:rsidRPr="00533AC3">
        <w:rPr>
          <w:rFonts w:eastAsia="Calibri" w:cs="Calibri Light"/>
          <w:szCs w:val="22"/>
          <w:lang w:eastAsia="en-US"/>
        </w:rPr>
        <w:t xml:space="preserve">s charging activities. The Portfolio Charging Review is </w:t>
      </w:r>
      <w:r w:rsidRPr="00533AC3">
        <w:rPr>
          <w:rFonts w:eastAsia="Calibri" w:cs="Calibri Light"/>
          <w:szCs w:val="22"/>
          <w:lang w:eastAsia="en-US"/>
        </w:rPr>
        <w:lastRenderedPageBreak/>
        <w:t xml:space="preserve">an opportunity for Treasury (among other things) to evaluate the performance of cost recovered activities, identify charging for potential new and existing activities, or identify opportunities to amend or discontinue cost recovered and other charging activities, and make recommendations to </w:t>
      </w:r>
      <w:r w:rsidR="005B4650">
        <w:rPr>
          <w:rFonts w:eastAsia="Calibri" w:cs="Calibri Light"/>
          <w:szCs w:val="22"/>
          <w:lang w:eastAsia="en-US"/>
        </w:rPr>
        <w:t xml:space="preserve">the </w:t>
      </w:r>
      <w:r w:rsidRPr="00533AC3">
        <w:rPr>
          <w:rFonts w:eastAsia="Calibri" w:cs="Calibri Light"/>
          <w:szCs w:val="22"/>
          <w:lang w:eastAsia="en-US"/>
        </w:rPr>
        <w:t>Government</w:t>
      </w:r>
      <w:r w:rsidR="00901E80">
        <w:rPr>
          <w:rFonts w:eastAsia="Calibri" w:cs="Calibri Light"/>
          <w:szCs w:val="22"/>
          <w:lang w:eastAsia="en-US"/>
        </w:rPr>
        <w:t xml:space="preserve">. </w:t>
      </w:r>
    </w:p>
    <w:p w14:paraId="2DD55DEB" w14:textId="18F65DC4" w:rsidR="00533AC3" w:rsidRPr="00E64F7D" w:rsidRDefault="00533AC3" w:rsidP="00232046">
      <w:pPr>
        <w:pStyle w:val="Heading3"/>
      </w:pPr>
      <w:bookmarkStart w:id="39" w:name="_Toc125305163"/>
      <w:bookmarkStart w:id="40" w:name="_Toc129270431"/>
      <w:r>
        <w:t>Role of ASIC</w:t>
      </w:r>
      <w:bookmarkEnd w:id="39"/>
      <w:bookmarkEnd w:id="40"/>
      <w:r>
        <w:t xml:space="preserve"> </w:t>
      </w:r>
    </w:p>
    <w:p w14:paraId="6D80CB86" w14:textId="77777777" w:rsidR="00533AC3" w:rsidRPr="008133B4" w:rsidRDefault="00533AC3" w:rsidP="00533AC3">
      <w:pPr>
        <w:pStyle w:val="Heading4"/>
      </w:pPr>
      <w:r>
        <w:t xml:space="preserve">Determining allocation of resources  </w:t>
      </w:r>
    </w:p>
    <w:p w14:paraId="010CB4A4" w14:textId="77777777"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Within the total operating budget set by the Government each year, ASIC has discretion to determine how it allocates its resources to regulate different industry sectors and achieve its statutory objectives. </w:t>
      </w:r>
    </w:p>
    <w:p w14:paraId="5F7AACDA" w14:textId="77777777" w:rsidR="00533AC3" w:rsidRPr="008133B4" w:rsidRDefault="00533AC3" w:rsidP="00533AC3">
      <w:pPr>
        <w:pStyle w:val="Heading4"/>
      </w:pPr>
      <w:r>
        <w:t>Administering the IFM</w:t>
      </w:r>
    </w:p>
    <w:p w14:paraId="004606A9" w14:textId="4BEF4CAC"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ASIC is responsible for administering the IFM in accordance with the Government</w:t>
      </w:r>
      <w:r w:rsidR="00BD190B">
        <w:rPr>
          <w:rFonts w:eastAsia="Calibri" w:cs="Calibri Light"/>
          <w:szCs w:val="22"/>
          <w:lang w:eastAsia="en-US"/>
        </w:rPr>
        <w:t>’</w:t>
      </w:r>
      <w:r w:rsidRPr="00533AC3">
        <w:rPr>
          <w:rFonts w:eastAsia="Calibri" w:cs="Calibri Light"/>
          <w:szCs w:val="22"/>
          <w:lang w:eastAsia="en-US"/>
        </w:rPr>
        <w:t>s policy settings (including the requirements of the Charging Framework) and the legislative framework. This includes determining how it apportions its cost to sub</w:t>
      </w:r>
      <w:r w:rsidR="00BD190B">
        <w:rPr>
          <w:rFonts w:eastAsia="Calibri" w:cs="Calibri Light"/>
          <w:szCs w:val="22"/>
          <w:lang w:eastAsia="en-US"/>
        </w:rPr>
        <w:noBreakHyphen/>
      </w:r>
      <w:r w:rsidRPr="00533AC3">
        <w:rPr>
          <w:rFonts w:eastAsia="Calibri" w:cs="Calibri Light"/>
          <w:szCs w:val="22"/>
          <w:lang w:eastAsia="en-US"/>
        </w:rPr>
        <w:t xml:space="preserve">sectors to meet the overarching design objectives of the ASIC IFM (determined by </w:t>
      </w:r>
      <w:r w:rsidR="005B4650">
        <w:rPr>
          <w:rFonts w:eastAsia="Calibri" w:cs="Calibri Light"/>
          <w:szCs w:val="22"/>
          <w:lang w:eastAsia="en-US"/>
        </w:rPr>
        <w:t xml:space="preserve">the </w:t>
      </w:r>
      <w:r w:rsidRPr="00533AC3">
        <w:rPr>
          <w:rFonts w:eastAsia="Calibri" w:cs="Calibri Light"/>
          <w:szCs w:val="22"/>
          <w:lang w:eastAsia="en-US"/>
        </w:rPr>
        <w:t xml:space="preserve">Government). </w:t>
      </w:r>
    </w:p>
    <w:p w14:paraId="197A29B5" w14:textId="478912D3"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ASIC is then responsible for collecting revenue via levies and fees, which is then returned to </w:t>
      </w:r>
      <w:r w:rsidR="005B4650">
        <w:rPr>
          <w:rFonts w:eastAsia="Calibri" w:cs="Calibri Light"/>
          <w:szCs w:val="22"/>
          <w:lang w:eastAsia="en-US"/>
        </w:rPr>
        <w:t xml:space="preserve">the </w:t>
      </w:r>
      <w:r w:rsidRPr="00533AC3">
        <w:rPr>
          <w:rFonts w:eastAsia="Calibri" w:cs="Calibri Light"/>
          <w:szCs w:val="22"/>
          <w:lang w:eastAsia="en-US"/>
        </w:rPr>
        <w:t>Government via the CRF. The total amount ASIC can recover via the IFM is capped by the total operational budget set by the Government.</w:t>
      </w:r>
    </w:p>
    <w:p w14:paraId="7E9ED3F3" w14:textId="738EAF1B"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ASIC</w:t>
      </w:r>
      <w:r w:rsidR="003C7E63">
        <w:rPr>
          <w:rFonts w:eastAsia="Calibri" w:cs="Calibri Light"/>
          <w:szCs w:val="22"/>
          <w:lang w:eastAsia="en-US"/>
        </w:rPr>
        <w:t xml:space="preserve"> uses a</w:t>
      </w:r>
      <w:r w:rsidRPr="00533AC3">
        <w:rPr>
          <w:rFonts w:eastAsia="Calibri" w:cs="Calibri Light"/>
          <w:szCs w:val="22"/>
          <w:lang w:eastAsia="en-US"/>
        </w:rPr>
        <w:t xml:space="preserve"> time measurement system</w:t>
      </w:r>
      <w:r w:rsidR="00735F55">
        <w:rPr>
          <w:rFonts w:eastAsia="Calibri" w:cs="Calibri Light"/>
          <w:szCs w:val="22"/>
          <w:lang w:eastAsia="en-US"/>
        </w:rPr>
        <w:t xml:space="preserve"> </w:t>
      </w:r>
      <w:r w:rsidR="003C7E63">
        <w:rPr>
          <w:rFonts w:eastAsia="Calibri" w:cs="Calibri Light"/>
          <w:szCs w:val="22"/>
          <w:lang w:eastAsia="en-US"/>
        </w:rPr>
        <w:t>to record time</w:t>
      </w:r>
      <w:r w:rsidRPr="00533AC3">
        <w:rPr>
          <w:rFonts w:eastAsia="Calibri" w:cs="Calibri Light"/>
          <w:szCs w:val="22"/>
          <w:lang w:eastAsia="en-US"/>
        </w:rPr>
        <w:t xml:space="preserve"> spen</w:t>
      </w:r>
      <w:r w:rsidR="00735F55">
        <w:rPr>
          <w:rFonts w:eastAsia="Calibri" w:cs="Calibri Light"/>
          <w:szCs w:val="22"/>
          <w:lang w:eastAsia="en-US"/>
        </w:rPr>
        <w:t>t</w:t>
      </w:r>
      <w:r w:rsidRPr="00533AC3">
        <w:rPr>
          <w:rFonts w:eastAsia="Calibri" w:cs="Calibri Light"/>
          <w:szCs w:val="22"/>
          <w:lang w:eastAsia="en-US"/>
        </w:rPr>
        <w:t xml:space="preserve"> on </w:t>
      </w:r>
      <w:r w:rsidR="003C7E63">
        <w:rPr>
          <w:rFonts w:eastAsia="Calibri" w:cs="Calibri Light"/>
          <w:szCs w:val="22"/>
          <w:lang w:eastAsia="en-US"/>
        </w:rPr>
        <w:t>each</w:t>
      </w:r>
      <w:r w:rsidRPr="00533AC3">
        <w:rPr>
          <w:rFonts w:eastAsia="Calibri" w:cs="Calibri Light"/>
          <w:szCs w:val="22"/>
          <w:lang w:eastAsia="en-US"/>
        </w:rPr>
        <w:t xml:space="preserve"> specific regulatory activity which is used to determine regulatory costs for each sub</w:t>
      </w:r>
      <w:r w:rsidR="00BD190B">
        <w:rPr>
          <w:rFonts w:eastAsia="Calibri" w:cs="Calibri Light"/>
          <w:szCs w:val="22"/>
          <w:lang w:eastAsia="en-US"/>
        </w:rPr>
        <w:noBreakHyphen/>
      </w:r>
      <w:r w:rsidRPr="00533AC3">
        <w:rPr>
          <w:rFonts w:eastAsia="Calibri" w:cs="Calibri Light"/>
          <w:szCs w:val="22"/>
          <w:lang w:eastAsia="en-US"/>
        </w:rPr>
        <w:t xml:space="preserve">sector. Therefore, it is important that ASIC staff are trained appropriately to ensure </w:t>
      </w:r>
      <w:r w:rsidR="0010471B" w:rsidRPr="0010471B">
        <w:rPr>
          <w:rFonts w:eastAsia="Calibri" w:cs="Calibri Light"/>
          <w:szCs w:val="22"/>
          <w:lang w:eastAsia="en-US"/>
        </w:rPr>
        <w:t xml:space="preserve">time </w:t>
      </w:r>
      <w:r w:rsidR="0010471B">
        <w:rPr>
          <w:rFonts w:eastAsia="Calibri" w:cs="Calibri Light"/>
          <w:szCs w:val="22"/>
          <w:lang w:eastAsia="en-US"/>
        </w:rPr>
        <w:t>allocated</w:t>
      </w:r>
      <w:r w:rsidR="0010471B" w:rsidRPr="0010471B">
        <w:rPr>
          <w:rFonts w:eastAsia="Calibri" w:cs="Calibri Light"/>
          <w:szCs w:val="22"/>
          <w:lang w:eastAsia="en-US"/>
        </w:rPr>
        <w:t xml:space="preserve"> to the affected sub</w:t>
      </w:r>
      <w:r w:rsidR="00BD190B">
        <w:rPr>
          <w:rFonts w:eastAsia="Calibri" w:cs="Calibri Light"/>
          <w:szCs w:val="22"/>
          <w:lang w:eastAsia="en-US"/>
        </w:rPr>
        <w:noBreakHyphen/>
      </w:r>
      <w:r w:rsidR="0010471B" w:rsidRPr="0010471B">
        <w:rPr>
          <w:rFonts w:eastAsia="Calibri" w:cs="Calibri Light"/>
          <w:szCs w:val="22"/>
          <w:lang w:eastAsia="en-US"/>
        </w:rPr>
        <w:t xml:space="preserve">sectors </w:t>
      </w:r>
      <w:r w:rsidR="0010471B">
        <w:rPr>
          <w:rFonts w:eastAsia="Calibri" w:cs="Calibri Light"/>
          <w:szCs w:val="22"/>
          <w:lang w:eastAsia="en-US"/>
        </w:rPr>
        <w:t>is</w:t>
      </w:r>
      <w:r w:rsidR="0010471B" w:rsidRPr="0010471B">
        <w:rPr>
          <w:rFonts w:eastAsia="Calibri" w:cs="Calibri Light"/>
          <w:szCs w:val="22"/>
          <w:lang w:eastAsia="en-US"/>
        </w:rPr>
        <w:t xml:space="preserve"> correct.</w:t>
      </w:r>
      <w:r w:rsidRPr="00533AC3">
        <w:rPr>
          <w:rFonts w:eastAsia="Calibri" w:cs="Calibri Light"/>
          <w:szCs w:val="22"/>
          <w:lang w:eastAsia="en-US"/>
        </w:rPr>
        <w:t xml:space="preserve"> </w:t>
      </w:r>
    </w:p>
    <w:p w14:paraId="2E361FA0" w14:textId="77777777" w:rsidR="00533AC3" w:rsidRDefault="00533AC3" w:rsidP="00533AC3">
      <w:pPr>
        <w:pStyle w:val="Heading4"/>
      </w:pPr>
      <w:r>
        <w:t>Reporting, transparency and accountability</w:t>
      </w:r>
    </w:p>
    <w:p w14:paraId="6D67FD09" w14:textId="689F8F78"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Legislation (such as the PGPA Act, the ASIC Act and the Cost Recovery Levy Act), as well as the Charging Framework requires ASIC to make available key information about its regulatory activities, regulatory costs and charges. The key document through w</w:t>
      </w:r>
      <w:r w:rsidR="001C59D0">
        <w:rPr>
          <w:rFonts w:eastAsia="Calibri" w:cs="Calibri Light"/>
          <w:szCs w:val="22"/>
          <w:lang w:eastAsia="en-US"/>
        </w:rPr>
        <w:t>hich</w:t>
      </w:r>
      <w:r w:rsidRPr="00533AC3">
        <w:rPr>
          <w:rFonts w:eastAsia="Calibri" w:cs="Calibri Light"/>
          <w:szCs w:val="22"/>
          <w:lang w:eastAsia="en-US"/>
        </w:rPr>
        <w:t xml:space="preserve"> ASIC provides this information and engages with stakeholders is through its annual CRIS. </w:t>
      </w:r>
    </w:p>
    <w:p w14:paraId="49634026" w14:textId="77777777"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More broadly, ASIC is also subject to a range of external accountability and oversight mechanisms. The Parliamentary Joint Committee on Corporations and Financial Services has oversight of ASIC. ASIC also appears before other parliamentary committees and inquiries as required, including the Senate Standing Committee on Economics and the House of Representatives Standing Committee on Economics. </w:t>
      </w:r>
    </w:p>
    <w:p w14:paraId="7FA0D1A2" w14:textId="20BDD2EC"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In addition, ASIC is also responsible for communicating its industry funding arrangements to </w:t>
      </w:r>
      <w:r w:rsidR="00DF5450">
        <w:rPr>
          <w:rFonts w:eastAsia="Calibri" w:cs="Calibri Light"/>
          <w:szCs w:val="22"/>
          <w:lang w:eastAsia="en-US"/>
        </w:rPr>
        <w:t>stakeholders</w:t>
      </w:r>
      <w:r w:rsidRPr="00533AC3">
        <w:rPr>
          <w:rFonts w:eastAsia="Calibri" w:cs="Calibri Light"/>
          <w:szCs w:val="22"/>
          <w:lang w:eastAsia="en-US"/>
        </w:rPr>
        <w:t xml:space="preserve"> and ensuring its communication remains appropriate. </w:t>
      </w:r>
    </w:p>
    <w:p w14:paraId="26A5A707" w14:textId="77777777" w:rsidR="0012038E" w:rsidRDefault="0012038E">
      <w:pPr>
        <w:spacing w:before="0" w:after="160" w:line="259" w:lineRule="auto"/>
        <w:rPr>
          <w:rFonts w:ascii="Calibri" w:hAnsi="Calibri" w:cs="Arial"/>
          <w:iCs/>
          <w:color w:val="2C384A" w:themeColor="accent1"/>
          <w:kern w:val="32"/>
          <w:sz w:val="36"/>
          <w:szCs w:val="28"/>
        </w:rPr>
      </w:pPr>
      <w:bookmarkStart w:id="41" w:name="_Toc125305164"/>
      <w:bookmarkStart w:id="42" w:name="_Toc129270432"/>
      <w:r>
        <w:br w:type="page"/>
      </w:r>
    </w:p>
    <w:p w14:paraId="57974044" w14:textId="233AED13" w:rsidR="00533AC3" w:rsidRDefault="00533AC3" w:rsidP="00533AC3">
      <w:pPr>
        <w:pStyle w:val="Heading2"/>
      </w:pPr>
      <w:r>
        <w:lastRenderedPageBreak/>
        <w:t>Scope of the Review</w:t>
      </w:r>
      <w:bookmarkEnd w:id="41"/>
      <w:bookmarkEnd w:id="42"/>
    </w:p>
    <w:p w14:paraId="608959D3" w14:textId="77777777"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On 8 August 2022, the Assistant Treasurer announced a review of the ASIC IFM and issued a Terms of Reference to guide the Review. </w:t>
      </w:r>
    </w:p>
    <w:p w14:paraId="1047EDCA" w14:textId="77777777"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 xml:space="preserve">Under the Terms of Reference, the Review is required to consider: </w:t>
      </w:r>
    </w:p>
    <w:p w14:paraId="327A14B5" w14:textId="25103095" w:rsidR="00533AC3" w:rsidRPr="00232046" w:rsidRDefault="00533AC3" w:rsidP="008F2119">
      <w:pPr>
        <w:pStyle w:val="Bullet"/>
        <w:ind w:left="1004"/>
        <w:rPr>
          <w:rFonts w:eastAsia="Calibri"/>
          <w:lang w:eastAsia="en-US"/>
        </w:rPr>
      </w:pPr>
      <w:r w:rsidRPr="00232046">
        <w:rPr>
          <w:rFonts w:eastAsia="Calibri"/>
          <w:lang w:eastAsia="en-US"/>
        </w:rPr>
        <w:t xml:space="preserve">the design, legislative framework and flexibility of the IFM </w:t>
      </w:r>
    </w:p>
    <w:p w14:paraId="107931AF" w14:textId="4D245B1F" w:rsidR="00533AC3" w:rsidRPr="00232046" w:rsidRDefault="00533AC3" w:rsidP="008F2119">
      <w:pPr>
        <w:pStyle w:val="Bullet"/>
        <w:ind w:left="1004"/>
        <w:rPr>
          <w:rFonts w:eastAsia="Calibri"/>
          <w:lang w:eastAsia="en-US"/>
        </w:rPr>
      </w:pPr>
      <w:r w:rsidRPr="00232046">
        <w:rPr>
          <w:rFonts w:eastAsia="Calibri"/>
          <w:lang w:eastAsia="en-US"/>
        </w:rPr>
        <w:t>the types of costs and activities that are recovered from industry and how these costs are allocated and recovered</w:t>
      </w:r>
    </w:p>
    <w:p w14:paraId="1473B675" w14:textId="79E1A1B1" w:rsidR="00533AC3" w:rsidRPr="00232046" w:rsidRDefault="00533AC3" w:rsidP="008F2119">
      <w:pPr>
        <w:pStyle w:val="Bullet"/>
        <w:ind w:left="1004"/>
        <w:rPr>
          <w:rFonts w:eastAsia="Calibri"/>
          <w:lang w:eastAsia="en-US"/>
        </w:rPr>
      </w:pPr>
      <w:r w:rsidRPr="00232046">
        <w:rPr>
          <w:rFonts w:eastAsia="Calibri"/>
          <w:lang w:eastAsia="en-US"/>
        </w:rPr>
        <w:t xml:space="preserve">changes in levy amounts since the commencement of the IFM </w:t>
      </w:r>
    </w:p>
    <w:p w14:paraId="362B5C9A" w14:textId="25950189" w:rsidR="00533AC3" w:rsidRPr="00232046" w:rsidRDefault="00533AC3" w:rsidP="008F2119">
      <w:pPr>
        <w:pStyle w:val="Bullet"/>
        <w:ind w:left="1004"/>
        <w:rPr>
          <w:rFonts w:eastAsia="Calibri"/>
          <w:lang w:eastAsia="en-US"/>
        </w:rPr>
      </w:pPr>
      <w:r w:rsidRPr="00232046">
        <w:rPr>
          <w:rFonts w:eastAsia="Calibri"/>
          <w:lang w:eastAsia="en-US"/>
        </w:rPr>
        <w:t xml:space="preserve">the suitability of transparency and consultation mechanisms </w:t>
      </w:r>
    </w:p>
    <w:p w14:paraId="388C5F54" w14:textId="77777777"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The Review has not considered the following, which were determined to be out of scope for the Review:</w:t>
      </w:r>
    </w:p>
    <w:p w14:paraId="7C31FC1E" w14:textId="31FCCC88" w:rsidR="00533AC3" w:rsidRPr="00232046" w:rsidRDefault="00533AC3" w:rsidP="008F2119">
      <w:pPr>
        <w:pStyle w:val="Bullet"/>
        <w:ind w:left="1004"/>
        <w:rPr>
          <w:rFonts w:eastAsia="Calibri"/>
          <w:lang w:eastAsia="en-US"/>
        </w:rPr>
      </w:pPr>
      <w:r w:rsidRPr="00232046">
        <w:rPr>
          <w:rFonts w:eastAsia="Calibri"/>
          <w:lang w:eastAsia="en-US"/>
        </w:rPr>
        <w:t>ASIC</w:t>
      </w:r>
      <w:r w:rsidR="00BD190B">
        <w:rPr>
          <w:rFonts w:eastAsia="Calibri"/>
          <w:lang w:eastAsia="en-US"/>
        </w:rPr>
        <w:t>’</w:t>
      </w:r>
      <w:r w:rsidRPr="00232046">
        <w:rPr>
          <w:rFonts w:eastAsia="Calibri"/>
          <w:lang w:eastAsia="en-US"/>
        </w:rPr>
        <w:t xml:space="preserve">s role and regulatory remit </w:t>
      </w:r>
    </w:p>
    <w:p w14:paraId="24A20C9A" w14:textId="7A84633F" w:rsidR="00533AC3" w:rsidRPr="00232046" w:rsidRDefault="00533AC3" w:rsidP="008F2119">
      <w:pPr>
        <w:pStyle w:val="Bullet"/>
        <w:ind w:left="1004"/>
        <w:rPr>
          <w:rFonts w:eastAsia="Calibri"/>
          <w:lang w:eastAsia="en-US"/>
        </w:rPr>
      </w:pPr>
      <w:r w:rsidRPr="00232046">
        <w:rPr>
          <w:rFonts w:eastAsia="Calibri"/>
          <w:lang w:eastAsia="en-US"/>
        </w:rPr>
        <w:t>ASIC</w:t>
      </w:r>
      <w:r w:rsidR="00BD190B">
        <w:rPr>
          <w:rFonts w:eastAsia="Calibri"/>
          <w:lang w:eastAsia="en-US"/>
        </w:rPr>
        <w:t>’</w:t>
      </w:r>
      <w:r w:rsidRPr="00232046">
        <w:rPr>
          <w:rFonts w:eastAsia="Calibri"/>
          <w:lang w:eastAsia="en-US"/>
        </w:rPr>
        <w:t>s performance, including how efficiently ASIC administers and delivers its regulatory activities</w:t>
      </w:r>
    </w:p>
    <w:p w14:paraId="77CA339A" w14:textId="11625EFD" w:rsidR="00533AC3" w:rsidRPr="00232046" w:rsidRDefault="00533AC3" w:rsidP="008F2119">
      <w:pPr>
        <w:pStyle w:val="Bullet"/>
        <w:ind w:left="1004"/>
        <w:rPr>
          <w:rFonts w:eastAsia="Calibri"/>
          <w:lang w:eastAsia="en-US"/>
        </w:rPr>
      </w:pPr>
      <w:r w:rsidRPr="00232046">
        <w:rPr>
          <w:rFonts w:eastAsia="Calibri"/>
          <w:lang w:eastAsia="en-US"/>
        </w:rPr>
        <w:t>ASIC</w:t>
      </w:r>
      <w:r w:rsidR="00BD190B">
        <w:rPr>
          <w:rFonts w:eastAsia="Calibri"/>
          <w:lang w:eastAsia="en-US"/>
        </w:rPr>
        <w:t>’</w:t>
      </w:r>
      <w:r w:rsidRPr="00232046">
        <w:rPr>
          <w:rFonts w:eastAsia="Calibri"/>
          <w:lang w:eastAsia="en-US"/>
        </w:rPr>
        <w:t>s independence to allocate resources to deliver on its mandate</w:t>
      </w:r>
    </w:p>
    <w:p w14:paraId="232A9BF9" w14:textId="10DB78DA" w:rsidR="00533AC3" w:rsidRPr="00232046" w:rsidRDefault="00533AC3" w:rsidP="008F2119">
      <w:pPr>
        <w:pStyle w:val="Bullet"/>
        <w:ind w:left="1004"/>
        <w:rPr>
          <w:rFonts w:eastAsia="Calibri"/>
          <w:lang w:eastAsia="en-US"/>
        </w:rPr>
      </w:pPr>
      <w:r w:rsidRPr="00232046">
        <w:rPr>
          <w:rFonts w:eastAsia="Calibri"/>
          <w:lang w:eastAsia="en-US"/>
        </w:rPr>
        <w:t>the appropriate aggregate level of funding provided to ASIC</w:t>
      </w:r>
    </w:p>
    <w:p w14:paraId="34AE7134" w14:textId="537DE553" w:rsidR="00533AC3" w:rsidRP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533AC3">
        <w:rPr>
          <w:rFonts w:eastAsia="Calibri" w:cs="Calibri Light"/>
          <w:szCs w:val="22"/>
          <w:lang w:eastAsia="en-US"/>
        </w:rPr>
        <w:t>While these out</w:t>
      </w:r>
      <w:r w:rsidR="00BD190B">
        <w:rPr>
          <w:rFonts w:eastAsia="Calibri" w:cs="Calibri Light"/>
          <w:szCs w:val="22"/>
          <w:lang w:eastAsia="en-US"/>
        </w:rPr>
        <w:noBreakHyphen/>
      </w:r>
      <w:r w:rsidRPr="00533AC3">
        <w:rPr>
          <w:rFonts w:eastAsia="Calibri" w:cs="Calibri Light"/>
          <w:szCs w:val="22"/>
          <w:lang w:eastAsia="en-US"/>
        </w:rPr>
        <w:t>of</w:t>
      </w:r>
      <w:r w:rsidR="00BD190B">
        <w:rPr>
          <w:rFonts w:eastAsia="Calibri" w:cs="Calibri Light"/>
          <w:szCs w:val="22"/>
          <w:lang w:eastAsia="en-US"/>
        </w:rPr>
        <w:noBreakHyphen/>
      </w:r>
      <w:r w:rsidRPr="00533AC3">
        <w:rPr>
          <w:rFonts w:eastAsia="Calibri" w:cs="Calibri Light"/>
          <w:szCs w:val="22"/>
          <w:lang w:eastAsia="en-US"/>
        </w:rPr>
        <w:t>scope activities have an impact on the amount that is recovered through the ASIC IFM, there are other mechanisms in place to assess these activities. For example, on 25 August 2022, the FRAA released its first report on ASIC</w:t>
      </w:r>
      <w:r w:rsidR="00BD190B">
        <w:rPr>
          <w:rFonts w:eastAsia="Calibri" w:cs="Calibri Light"/>
          <w:szCs w:val="22"/>
          <w:lang w:eastAsia="en-US"/>
        </w:rPr>
        <w:t>’</w:t>
      </w:r>
      <w:r w:rsidRPr="00533AC3">
        <w:rPr>
          <w:rFonts w:eastAsia="Calibri" w:cs="Calibri Light"/>
          <w:szCs w:val="22"/>
          <w:lang w:eastAsia="en-US"/>
        </w:rPr>
        <w:t>s effectiveness and capability in relation to certain aspects of ASIC</w:t>
      </w:r>
      <w:r w:rsidR="00BD190B">
        <w:rPr>
          <w:rFonts w:eastAsia="Calibri" w:cs="Calibri Light"/>
          <w:szCs w:val="22"/>
          <w:lang w:eastAsia="en-US"/>
        </w:rPr>
        <w:t>’</w:t>
      </w:r>
      <w:r w:rsidRPr="00533AC3">
        <w:rPr>
          <w:rFonts w:eastAsia="Calibri" w:cs="Calibri Light"/>
          <w:szCs w:val="22"/>
          <w:lang w:eastAsia="en-US"/>
        </w:rPr>
        <w:t xml:space="preserve">s operations. </w:t>
      </w:r>
    </w:p>
    <w:p w14:paraId="2339B840" w14:textId="188AE5FE" w:rsidR="00533AC3" w:rsidRDefault="00533AC3" w:rsidP="00533AC3">
      <w:pPr>
        <w:pStyle w:val="Heading2"/>
      </w:pPr>
      <w:bookmarkStart w:id="43" w:name="_Toc125305165"/>
      <w:bookmarkStart w:id="44" w:name="_Toc129270433"/>
      <w:r>
        <w:t>The approach undertaken by the Review</w:t>
      </w:r>
      <w:bookmarkEnd w:id="43"/>
      <w:bookmarkEnd w:id="44"/>
    </w:p>
    <w:p w14:paraId="785E395A" w14:textId="77777777" w:rsid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A75AC5">
        <w:rPr>
          <w:rFonts w:eastAsia="Calibri" w:cs="Calibri Light"/>
          <w:szCs w:val="22"/>
          <w:lang w:eastAsia="en-US"/>
        </w:rPr>
        <w:t xml:space="preserve">The Review </w:t>
      </w:r>
      <w:r>
        <w:rPr>
          <w:rFonts w:eastAsia="Calibri" w:cs="Calibri Light"/>
          <w:szCs w:val="22"/>
          <w:lang w:eastAsia="en-US"/>
        </w:rPr>
        <w:t>has been</w:t>
      </w:r>
      <w:r w:rsidRPr="00A75AC5">
        <w:rPr>
          <w:rFonts w:eastAsia="Calibri" w:cs="Calibri Light"/>
          <w:szCs w:val="22"/>
          <w:lang w:eastAsia="en-US"/>
        </w:rPr>
        <w:t xml:space="preserve"> led by Treasury, in consultation with ASIC, the Department of Finance and the Department of the Prime Minister and Cabine</w:t>
      </w:r>
      <w:r>
        <w:rPr>
          <w:rFonts w:eastAsia="Calibri" w:cs="Calibri Light"/>
          <w:szCs w:val="22"/>
          <w:lang w:eastAsia="en-US"/>
        </w:rPr>
        <w:t>t</w:t>
      </w:r>
      <w:r w:rsidRPr="00A75AC5">
        <w:rPr>
          <w:rFonts w:eastAsia="Calibri" w:cs="Calibri Light"/>
          <w:szCs w:val="22"/>
          <w:lang w:eastAsia="en-US"/>
        </w:rPr>
        <w:t>.</w:t>
      </w:r>
    </w:p>
    <w:p w14:paraId="51CB242F" w14:textId="785089D4" w:rsidR="00533AC3" w:rsidRPr="00A75AC5" w:rsidRDefault="00533AC3" w:rsidP="0037599B">
      <w:pPr>
        <w:numPr>
          <w:ilvl w:val="1"/>
          <w:numId w:val="13"/>
        </w:numPr>
        <w:tabs>
          <w:tab w:val="clear" w:pos="567"/>
        </w:tabs>
        <w:spacing w:line="259" w:lineRule="auto"/>
        <w:ind w:left="720" w:hanging="720"/>
        <w:rPr>
          <w:rFonts w:eastAsia="Calibri" w:cs="Calibri Light"/>
          <w:szCs w:val="22"/>
          <w:lang w:eastAsia="en-US"/>
        </w:rPr>
      </w:pPr>
      <w:r>
        <w:rPr>
          <w:rFonts w:eastAsia="Calibri" w:cs="Calibri Light"/>
          <w:szCs w:val="22"/>
          <w:lang w:eastAsia="en-US"/>
        </w:rPr>
        <w:t xml:space="preserve">The Review has considered a range of feedback, including from regulated entities, industry associations, consumer advocacy organisations and </w:t>
      </w:r>
      <w:r w:rsidR="00372153">
        <w:rPr>
          <w:rFonts w:eastAsia="Calibri" w:cs="Calibri Light"/>
          <w:szCs w:val="22"/>
          <w:lang w:eastAsia="en-US"/>
        </w:rPr>
        <w:t>g</w:t>
      </w:r>
      <w:r>
        <w:rPr>
          <w:rFonts w:eastAsia="Calibri" w:cs="Calibri Light"/>
          <w:szCs w:val="22"/>
          <w:lang w:eastAsia="en-US"/>
        </w:rPr>
        <w:t xml:space="preserve">overnment agencies. </w:t>
      </w:r>
    </w:p>
    <w:p w14:paraId="79380DE4" w14:textId="7774727D" w:rsidR="00533AC3" w:rsidRDefault="00533AC3" w:rsidP="0037599B">
      <w:pPr>
        <w:numPr>
          <w:ilvl w:val="1"/>
          <w:numId w:val="13"/>
        </w:numPr>
        <w:tabs>
          <w:tab w:val="clear" w:pos="567"/>
        </w:tabs>
        <w:spacing w:line="259" w:lineRule="auto"/>
        <w:ind w:left="720" w:hanging="720"/>
        <w:rPr>
          <w:rFonts w:eastAsia="Calibri" w:cs="Calibri Light"/>
          <w:szCs w:val="22"/>
          <w:lang w:eastAsia="en-US"/>
        </w:rPr>
      </w:pPr>
      <w:r w:rsidRPr="00A75AC5">
        <w:rPr>
          <w:rFonts w:eastAsia="Calibri" w:cs="Calibri Light"/>
          <w:szCs w:val="22"/>
          <w:lang w:eastAsia="en-US"/>
        </w:rPr>
        <w:t xml:space="preserve">On 28 September 2022, a Discussion Paper on the Review was released for consultation </w:t>
      </w:r>
      <w:r>
        <w:rPr>
          <w:rFonts w:eastAsia="Calibri" w:cs="Calibri Light"/>
          <w:szCs w:val="22"/>
          <w:lang w:eastAsia="en-US"/>
        </w:rPr>
        <w:t>which</w:t>
      </w:r>
      <w:r w:rsidRPr="00A75AC5">
        <w:rPr>
          <w:rFonts w:eastAsia="Calibri" w:cs="Calibri Light"/>
          <w:szCs w:val="22"/>
          <w:lang w:eastAsia="en-US"/>
        </w:rPr>
        <w:t xml:space="preserve"> ended on 28 October 2022. </w:t>
      </w:r>
      <w:r w:rsidR="000224D6">
        <w:rPr>
          <w:rFonts w:eastAsia="Calibri" w:cs="Calibri Light"/>
          <w:szCs w:val="22"/>
          <w:lang w:eastAsia="en-US"/>
        </w:rPr>
        <w:t>Eight</w:t>
      </w:r>
      <w:r w:rsidRPr="00A75AC5">
        <w:rPr>
          <w:rFonts w:eastAsia="Calibri" w:cs="Calibri Light"/>
          <w:szCs w:val="22"/>
          <w:lang w:eastAsia="en-US"/>
        </w:rPr>
        <w:t xml:space="preserve"> roundtable sessions were held with key stakeholders from each </w:t>
      </w:r>
      <w:r>
        <w:rPr>
          <w:rFonts w:eastAsia="Calibri" w:cs="Calibri Light"/>
          <w:szCs w:val="22"/>
          <w:lang w:eastAsia="en-US"/>
        </w:rPr>
        <w:t xml:space="preserve">industry </w:t>
      </w:r>
      <w:r w:rsidRPr="00A75AC5">
        <w:rPr>
          <w:rFonts w:eastAsia="Calibri" w:cs="Calibri Light"/>
          <w:szCs w:val="22"/>
          <w:lang w:eastAsia="en-US"/>
        </w:rPr>
        <w:t>sector and a total of 3</w:t>
      </w:r>
      <w:r>
        <w:rPr>
          <w:rFonts w:eastAsia="Calibri" w:cs="Calibri Light"/>
          <w:szCs w:val="22"/>
          <w:lang w:eastAsia="en-US"/>
        </w:rPr>
        <w:t>9</w:t>
      </w:r>
      <w:r w:rsidRPr="00A75AC5">
        <w:rPr>
          <w:rFonts w:eastAsia="Calibri" w:cs="Calibri Light"/>
          <w:szCs w:val="22"/>
          <w:lang w:eastAsia="en-US"/>
        </w:rPr>
        <w:t xml:space="preserve"> written submissions were received. </w:t>
      </w:r>
    </w:p>
    <w:p w14:paraId="7679D677" w14:textId="121BF1AD" w:rsidR="00533AC3" w:rsidRPr="00A75AC5" w:rsidRDefault="00533AC3" w:rsidP="0037599B">
      <w:pPr>
        <w:numPr>
          <w:ilvl w:val="1"/>
          <w:numId w:val="13"/>
        </w:numPr>
        <w:tabs>
          <w:tab w:val="clear" w:pos="567"/>
        </w:tabs>
        <w:ind w:left="720" w:hanging="720"/>
        <w:rPr>
          <w:rFonts w:eastAsia="Calibri" w:cs="Calibri Light"/>
          <w:szCs w:val="22"/>
          <w:lang w:eastAsia="en-US"/>
        </w:rPr>
      </w:pPr>
      <w:r>
        <w:rPr>
          <w:rFonts w:eastAsia="Calibri" w:cs="Calibri Light"/>
          <w:szCs w:val="22"/>
          <w:lang w:eastAsia="en-US"/>
        </w:rPr>
        <w:t>As part of the Discussion Paper and roundtable sessions, stakeholders were invited to consider options, examples of potential changes and questions that were designed to examine and address issues set out in the Review</w:t>
      </w:r>
      <w:r w:rsidR="00BD190B">
        <w:rPr>
          <w:rFonts w:eastAsia="Calibri" w:cs="Calibri Light"/>
          <w:szCs w:val="22"/>
          <w:lang w:eastAsia="en-US"/>
        </w:rPr>
        <w:t>’</w:t>
      </w:r>
      <w:r>
        <w:rPr>
          <w:rFonts w:eastAsia="Calibri" w:cs="Calibri Light"/>
          <w:szCs w:val="22"/>
          <w:lang w:eastAsia="en-US"/>
        </w:rPr>
        <w:t xml:space="preserve">s Terms of Reference. To inform responses, Treasury consolidated and released historical cost and levy data (both from public sources and internal ASIC data) to assist with stakeholder feedback. </w:t>
      </w:r>
    </w:p>
    <w:p w14:paraId="3B259023" w14:textId="5EBE184B" w:rsidR="00533AC3" w:rsidRDefault="00533AC3" w:rsidP="0037599B">
      <w:pPr>
        <w:numPr>
          <w:ilvl w:val="1"/>
          <w:numId w:val="13"/>
        </w:numPr>
        <w:tabs>
          <w:tab w:val="clear" w:pos="567"/>
        </w:tabs>
        <w:ind w:left="720" w:hanging="720"/>
        <w:rPr>
          <w:rFonts w:eastAsia="Calibri" w:cs="Calibri Light"/>
          <w:szCs w:val="22"/>
          <w:lang w:eastAsia="en-US"/>
        </w:rPr>
      </w:pPr>
      <w:r w:rsidRPr="00A75AC5">
        <w:rPr>
          <w:rFonts w:eastAsia="Calibri" w:cs="Calibri Light"/>
          <w:szCs w:val="22"/>
          <w:lang w:eastAsia="en-US"/>
        </w:rPr>
        <w:t>T</w:t>
      </w:r>
      <w:r>
        <w:rPr>
          <w:rFonts w:eastAsia="Calibri" w:cs="Calibri Light"/>
          <w:szCs w:val="22"/>
          <w:lang w:eastAsia="en-US"/>
        </w:rPr>
        <w:t>he Review has also considered material and feedback provided through other avenues, for example, through ASIC</w:t>
      </w:r>
      <w:r w:rsidR="00BD190B">
        <w:rPr>
          <w:rFonts w:eastAsia="Calibri" w:cs="Calibri Light"/>
          <w:szCs w:val="22"/>
          <w:lang w:eastAsia="en-US"/>
        </w:rPr>
        <w:t>’</w:t>
      </w:r>
      <w:r>
        <w:rPr>
          <w:rFonts w:eastAsia="Calibri" w:cs="Calibri Light"/>
          <w:szCs w:val="22"/>
          <w:lang w:eastAsia="en-US"/>
        </w:rPr>
        <w:t xml:space="preserve">s </w:t>
      </w:r>
      <w:r w:rsidR="00011606">
        <w:rPr>
          <w:rFonts w:eastAsia="Calibri" w:cs="Calibri Light"/>
          <w:szCs w:val="22"/>
          <w:lang w:eastAsia="en-US"/>
        </w:rPr>
        <w:t xml:space="preserve">annual </w:t>
      </w:r>
      <w:r>
        <w:rPr>
          <w:rFonts w:eastAsia="Calibri" w:cs="Calibri Light"/>
          <w:szCs w:val="22"/>
          <w:lang w:eastAsia="en-US"/>
        </w:rPr>
        <w:t>CRIS process</w:t>
      </w:r>
      <w:r w:rsidRPr="00A75AC5">
        <w:rPr>
          <w:rFonts w:eastAsia="Calibri" w:cs="Calibri Light"/>
          <w:szCs w:val="22"/>
          <w:lang w:eastAsia="en-US"/>
        </w:rPr>
        <w:t xml:space="preserve">. </w:t>
      </w:r>
    </w:p>
    <w:p w14:paraId="2B1760C3" w14:textId="2AF69C5D" w:rsidR="00533AC3" w:rsidRPr="002D764E" w:rsidRDefault="00533AC3" w:rsidP="0037599B">
      <w:pPr>
        <w:numPr>
          <w:ilvl w:val="1"/>
          <w:numId w:val="13"/>
        </w:numPr>
        <w:tabs>
          <w:tab w:val="clear" w:pos="567"/>
        </w:tabs>
        <w:ind w:left="720" w:hanging="720"/>
        <w:rPr>
          <w:rFonts w:eastAsia="Calibri" w:cs="Calibri Light"/>
          <w:szCs w:val="22"/>
          <w:lang w:eastAsia="en-US"/>
        </w:rPr>
      </w:pPr>
      <w:r w:rsidRPr="00D9263B">
        <w:rPr>
          <w:rFonts w:eastAsia="Calibri" w:cs="Calibri Light"/>
          <w:szCs w:val="22"/>
          <w:lang w:eastAsia="en-US"/>
        </w:rPr>
        <w:lastRenderedPageBreak/>
        <w:t>Stakeholder feedback received through these processes ha</w:t>
      </w:r>
      <w:r w:rsidR="00F249D2">
        <w:rPr>
          <w:rFonts w:eastAsia="Calibri" w:cs="Calibri Light"/>
          <w:szCs w:val="22"/>
          <w:lang w:eastAsia="en-US"/>
        </w:rPr>
        <w:t>s</w:t>
      </w:r>
      <w:r w:rsidRPr="00D9263B">
        <w:rPr>
          <w:rFonts w:eastAsia="Calibri" w:cs="Calibri Light"/>
          <w:szCs w:val="22"/>
          <w:lang w:eastAsia="en-US"/>
        </w:rPr>
        <w:t xml:space="preserve"> informed the Review</w:t>
      </w:r>
      <w:r w:rsidR="00BD190B">
        <w:rPr>
          <w:rFonts w:eastAsia="Calibri" w:cs="Calibri Light"/>
          <w:szCs w:val="22"/>
          <w:lang w:eastAsia="en-US"/>
        </w:rPr>
        <w:t>’</w:t>
      </w:r>
      <w:r w:rsidRPr="00D9263B">
        <w:rPr>
          <w:rFonts w:eastAsia="Calibri" w:cs="Calibri Light"/>
          <w:szCs w:val="22"/>
          <w:lang w:eastAsia="en-US"/>
        </w:rPr>
        <w:t xml:space="preserve">s consideration, including whether any refinements are required to the IFM to ensure its </w:t>
      </w:r>
      <w:r w:rsidRPr="002D764E">
        <w:rPr>
          <w:rFonts w:eastAsia="Calibri" w:cs="Calibri Light"/>
          <w:szCs w:val="22"/>
          <w:lang w:eastAsia="en-US"/>
        </w:rPr>
        <w:t>settings remain appropriate.</w:t>
      </w:r>
    </w:p>
    <w:p w14:paraId="53B4A2E9" w14:textId="048C9CC4" w:rsidR="00564038" w:rsidRPr="002D764E" w:rsidRDefault="00564038" w:rsidP="0037599B">
      <w:pPr>
        <w:numPr>
          <w:ilvl w:val="1"/>
          <w:numId w:val="13"/>
        </w:numPr>
        <w:tabs>
          <w:tab w:val="clear" w:pos="567"/>
        </w:tabs>
        <w:ind w:left="720" w:hanging="720"/>
        <w:rPr>
          <w:rFonts w:eastAsia="Calibri" w:cs="Calibri Light"/>
          <w:szCs w:val="22"/>
          <w:lang w:eastAsia="en-US"/>
        </w:rPr>
      </w:pPr>
      <w:r w:rsidRPr="002D764E">
        <w:rPr>
          <w:rFonts w:eastAsia="Calibri" w:cs="Calibri Light"/>
          <w:szCs w:val="22"/>
          <w:lang w:eastAsia="en-US"/>
        </w:rPr>
        <w:t xml:space="preserve">The Review </w:t>
      </w:r>
      <w:r w:rsidR="0023277F" w:rsidRPr="002D764E">
        <w:rPr>
          <w:rFonts w:eastAsia="Calibri" w:cs="Calibri Light"/>
          <w:szCs w:val="22"/>
          <w:lang w:eastAsia="en-US"/>
        </w:rPr>
        <w:t>recognises</w:t>
      </w:r>
      <w:r w:rsidR="00F249D2" w:rsidRPr="002D764E">
        <w:rPr>
          <w:rFonts w:eastAsia="Calibri" w:cs="Calibri Light"/>
          <w:szCs w:val="22"/>
          <w:lang w:eastAsia="en-US"/>
        </w:rPr>
        <w:t xml:space="preserve"> that there are other reviews, </w:t>
      </w:r>
      <w:r w:rsidR="00D01BA7" w:rsidRPr="002D764E">
        <w:rPr>
          <w:rFonts w:eastAsia="Calibri" w:cs="Calibri Light"/>
          <w:szCs w:val="22"/>
          <w:lang w:eastAsia="en-US"/>
        </w:rPr>
        <w:t xml:space="preserve">Government policies and </w:t>
      </w:r>
      <w:r w:rsidR="001140BF" w:rsidRPr="002D764E">
        <w:rPr>
          <w:rFonts w:eastAsia="Calibri" w:cs="Calibri Light"/>
          <w:szCs w:val="22"/>
          <w:lang w:eastAsia="en-US"/>
        </w:rPr>
        <w:t>legislation</w:t>
      </w:r>
      <w:r w:rsidR="00D01BA7" w:rsidRPr="002D764E">
        <w:rPr>
          <w:rFonts w:eastAsia="Calibri" w:cs="Calibri Light"/>
          <w:szCs w:val="22"/>
          <w:lang w:eastAsia="en-US"/>
        </w:rPr>
        <w:t xml:space="preserve"> which may be impacted by changes to the ASIC IFM – for example, the proposed Compensation Scheme of Last Resort</w:t>
      </w:r>
      <w:r w:rsidR="001E1DE9" w:rsidRPr="002D764E">
        <w:rPr>
          <w:rFonts w:eastAsia="Calibri" w:cs="Calibri Light"/>
          <w:szCs w:val="22"/>
          <w:lang w:eastAsia="en-US"/>
        </w:rPr>
        <w:t xml:space="preserve"> (CSLR)</w:t>
      </w:r>
      <w:r w:rsidR="001140BF" w:rsidRPr="002D764E">
        <w:rPr>
          <w:rFonts w:eastAsia="Calibri" w:cs="Calibri Light"/>
          <w:szCs w:val="22"/>
          <w:lang w:eastAsia="en-US"/>
        </w:rPr>
        <w:t xml:space="preserve"> </w:t>
      </w:r>
      <w:r w:rsidR="00915EE2" w:rsidRPr="002D764E">
        <w:rPr>
          <w:rFonts w:eastAsia="Calibri" w:cs="Calibri Light"/>
          <w:szCs w:val="22"/>
          <w:lang w:eastAsia="en-US"/>
        </w:rPr>
        <w:t>aligns CSLR levies to certain ASIC IFM sub</w:t>
      </w:r>
      <w:r w:rsidR="00BD190B">
        <w:rPr>
          <w:rFonts w:eastAsia="Calibri" w:cs="Calibri Light"/>
          <w:szCs w:val="22"/>
          <w:lang w:eastAsia="en-US"/>
        </w:rPr>
        <w:noBreakHyphen/>
      </w:r>
      <w:r w:rsidR="00915EE2" w:rsidRPr="002D764E">
        <w:rPr>
          <w:rFonts w:eastAsia="Calibri" w:cs="Calibri Light"/>
          <w:szCs w:val="22"/>
          <w:lang w:eastAsia="en-US"/>
        </w:rPr>
        <w:t>sectors</w:t>
      </w:r>
      <w:r w:rsidR="00B96672" w:rsidRPr="002D764E">
        <w:rPr>
          <w:rFonts w:eastAsia="Calibri" w:cs="Calibri Light"/>
          <w:szCs w:val="22"/>
          <w:lang w:eastAsia="en-US"/>
        </w:rPr>
        <w:t xml:space="preserve">. </w:t>
      </w:r>
      <w:r w:rsidR="000B79CF" w:rsidRPr="002D764E">
        <w:rPr>
          <w:rFonts w:eastAsia="Calibri" w:cs="Calibri Light"/>
          <w:szCs w:val="22"/>
          <w:lang w:eastAsia="en-US"/>
        </w:rPr>
        <w:t xml:space="preserve">The </w:t>
      </w:r>
      <w:r w:rsidR="00297EE3" w:rsidRPr="002D764E">
        <w:rPr>
          <w:rFonts w:eastAsia="Calibri" w:cs="Calibri Light"/>
          <w:szCs w:val="22"/>
          <w:lang w:eastAsia="en-US"/>
        </w:rPr>
        <w:t>Government will need to consider the impact</w:t>
      </w:r>
      <w:r w:rsidR="00B96672" w:rsidRPr="002D764E">
        <w:rPr>
          <w:rFonts w:eastAsia="Calibri" w:cs="Calibri Light"/>
          <w:szCs w:val="22"/>
          <w:lang w:eastAsia="en-US"/>
        </w:rPr>
        <w:t xml:space="preserve"> any changes </w:t>
      </w:r>
      <w:r w:rsidR="00460EA2" w:rsidRPr="002D764E">
        <w:rPr>
          <w:rFonts w:eastAsia="Calibri" w:cs="Calibri Light"/>
          <w:szCs w:val="22"/>
          <w:lang w:eastAsia="en-US"/>
        </w:rPr>
        <w:t>that are made to</w:t>
      </w:r>
      <w:r w:rsidR="00B96672" w:rsidRPr="002D764E">
        <w:rPr>
          <w:rFonts w:eastAsia="Calibri" w:cs="Calibri Light"/>
          <w:szCs w:val="22"/>
          <w:lang w:eastAsia="en-US"/>
        </w:rPr>
        <w:t xml:space="preserve"> the ASIC IFM may have on </w:t>
      </w:r>
      <w:r w:rsidR="003C4B57" w:rsidRPr="002D764E">
        <w:rPr>
          <w:rFonts w:eastAsia="Calibri" w:cs="Calibri Light"/>
          <w:szCs w:val="22"/>
          <w:lang w:eastAsia="en-US"/>
        </w:rPr>
        <w:t>related matters</w:t>
      </w:r>
      <w:r w:rsidR="00901E80" w:rsidRPr="002D764E">
        <w:rPr>
          <w:rFonts w:eastAsia="Calibri" w:cs="Calibri Light"/>
          <w:szCs w:val="22"/>
          <w:lang w:eastAsia="en-US"/>
        </w:rPr>
        <w:t xml:space="preserve">. </w:t>
      </w:r>
    </w:p>
    <w:p w14:paraId="1BED76EE" w14:textId="75E5BDB9" w:rsidR="00D1517B" w:rsidRDefault="00D1517B">
      <w:pPr>
        <w:spacing w:before="0" w:after="160" w:line="259" w:lineRule="auto"/>
        <w:rPr>
          <w:rFonts w:eastAsia="Calibri" w:cs="Calibri Light"/>
          <w:szCs w:val="22"/>
          <w:lang w:eastAsia="en-US"/>
        </w:rPr>
      </w:pPr>
      <w:r>
        <w:rPr>
          <w:rFonts w:eastAsia="Calibri" w:cs="Calibri Light"/>
          <w:szCs w:val="22"/>
          <w:lang w:eastAsia="en-US"/>
        </w:rPr>
        <w:br w:type="page"/>
      </w:r>
    </w:p>
    <w:p w14:paraId="09AC6BC7" w14:textId="29851E21" w:rsidR="00D1517B" w:rsidRDefault="00D1517B" w:rsidP="00D1517B">
      <w:pPr>
        <w:pStyle w:val="Heading1"/>
        <w:rPr>
          <w:rFonts w:eastAsia="Calibri"/>
          <w:lang w:eastAsia="en-US"/>
        </w:rPr>
      </w:pPr>
      <w:bookmarkStart w:id="45" w:name="_Toc129270434"/>
      <w:r>
        <w:rPr>
          <w:rFonts w:eastAsia="Calibri"/>
          <w:lang w:eastAsia="en-US"/>
        </w:rPr>
        <w:lastRenderedPageBreak/>
        <w:t>Chapter 2: Industry funding levies</w:t>
      </w:r>
      <w:bookmarkEnd w:id="45"/>
    </w:p>
    <w:p w14:paraId="4E4883DE" w14:textId="6796941E" w:rsidR="00D1517B" w:rsidRDefault="00D1517B" w:rsidP="00D1517B">
      <w:pPr>
        <w:pStyle w:val="Heading2"/>
      </w:pPr>
      <w:bookmarkStart w:id="46" w:name="_Toc125305167"/>
      <w:bookmarkStart w:id="47" w:name="_Toc129270435"/>
      <w:r w:rsidRPr="00293B59">
        <w:t>Introduction</w:t>
      </w:r>
      <w:bookmarkEnd w:id="46"/>
      <w:bookmarkEnd w:id="47"/>
    </w:p>
    <w:p w14:paraId="179A7A2A" w14:textId="7D58DCAE" w:rsidR="00B63AF4" w:rsidRDefault="00B63AF4" w:rsidP="0037599B">
      <w:pPr>
        <w:pStyle w:val="numberedtext"/>
        <w:numPr>
          <w:ilvl w:val="0"/>
          <w:numId w:val="14"/>
        </w:numPr>
        <w:ind w:hanging="720"/>
        <w:rPr>
          <w:rFonts w:ascii="Calibri Light" w:eastAsia="Times New Roman" w:hAnsi="Calibri Light" w:cs="Calibri Light"/>
          <w:szCs w:val="20"/>
          <w:lang w:eastAsia="en-AU"/>
        </w:rPr>
      </w:pPr>
      <w:r w:rsidRPr="00293B59">
        <w:rPr>
          <w:rFonts w:ascii="Calibri Light" w:eastAsia="Times New Roman" w:hAnsi="Calibri Light" w:cs="Calibri Light"/>
          <w:szCs w:val="20"/>
          <w:lang w:eastAsia="en-AU"/>
        </w:rPr>
        <w:t>The Review</w:t>
      </w:r>
      <w:r w:rsidR="00BD190B">
        <w:rPr>
          <w:rFonts w:ascii="Calibri Light" w:eastAsia="Times New Roman" w:hAnsi="Calibri Light" w:cs="Calibri Light"/>
          <w:szCs w:val="20"/>
          <w:lang w:eastAsia="en-AU"/>
        </w:rPr>
        <w:t>’</w:t>
      </w:r>
      <w:r w:rsidRPr="00293B59">
        <w:rPr>
          <w:rFonts w:ascii="Calibri Light" w:eastAsia="Times New Roman" w:hAnsi="Calibri Light" w:cs="Calibri Light"/>
          <w:szCs w:val="20"/>
          <w:lang w:eastAsia="en-AU"/>
        </w:rPr>
        <w:t>s Terms of Reference requires the Review to consider</w:t>
      </w:r>
      <w:r>
        <w:rPr>
          <w:rFonts w:ascii="Calibri Light" w:eastAsia="Times New Roman" w:hAnsi="Calibri Light" w:cs="Calibri Light"/>
          <w:szCs w:val="20"/>
          <w:lang w:eastAsia="en-AU"/>
        </w:rPr>
        <w:t xml:space="preserve"> whether the design and legislative framework for levies remains appropriate, and</w:t>
      </w:r>
      <w:r w:rsidRPr="00293B59">
        <w:rPr>
          <w:rFonts w:ascii="Calibri Light" w:eastAsia="Times New Roman" w:hAnsi="Calibri Light" w:cs="Calibri Light"/>
          <w:szCs w:val="20"/>
          <w:lang w:eastAsia="en-AU"/>
        </w:rPr>
        <w:t xml:space="preserve"> the types of costs and nature of ASIC</w:t>
      </w:r>
      <w:r w:rsidR="00BD190B">
        <w:rPr>
          <w:rFonts w:ascii="Calibri Light" w:eastAsia="Times New Roman" w:hAnsi="Calibri Light" w:cs="Calibri Light"/>
          <w:szCs w:val="20"/>
          <w:lang w:eastAsia="en-AU"/>
        </w:rPr>
        <w:t>’</w:t>
      </w:r>
      <w:r w:rsidRPr="00293B59">
        <w:rPr>
          <w:rFonts w:ascii="Calibri Light" w:eastAsia="Times New Roman" w:hAnsi="Calibri Light" w:cs="Calibri Light"/>
          <w:szCs w:val="20"/>
          <w:lang w:eastAsia="en-AU"/>
        </w:rPr>
        <w:t xml:space="preserve">s activities that are recovered from industry through levies and whether some or all costs for certain activities </w:t>
      </w:r>
      <w:r>
        <w:rPr>
          <w:rFonts w:ascii="Calibri Light" w:eastAsia="Times New Roman" w:hAnsi="Calibri Light" w:cs="Calibri Light"/>
          <w:szCs w:val="20"/>
          <w:lang w:eastAsia="en-AU"/>
        </w:rPr>
        <w:t>(</w:t>
      </w:r>
      <w:r w:rsidRPr="00293B59">
        <w:rPr>
          <w:rFonts w:ascii="Calibri Light" w:eastAsia="Times New Roman" w:hAnsi="Calibri Light" w:cs="Calibri Light"/>
          <w:szCs w:val="20"/>
          <w:lang w:eastAsia="en-AU"/>
        </w:rPr>
        <w:t>such as enforcement and capital expenditure</w:t>
      </w:r>
      <w:r>
        <w:rPr>
          <w:rFonts w:ascii="Calibri Light" w:eastAsia="Times New Roman" w:hAnsi="Calibri Light" w:cs="Calibri Light"/>
          <w:szCs w:val="20"/>
          <w:lang w:eastAsia="en-AU"/>
        </w:rPr>
        <w:t>)</w:t>
      </w:r>
      <w:r w:rsidRPr="00293B59">
        <w:rPr>
          <w:rFonts w:ascii="Calibri Light" w:eastAsia="Times New Roman" w:hAnsi="Calibri Light" w:cs="Calibri Light"/>
          <w:szCs w:val="20"/>
          <w:lang w:eastAsia="en-AU"/>
        </w:rPr>
        <w:t xml:space="preserve"> remain appropriate to be recovered through the IFM. </w:t>
      </w:r>
    </w:p>
    <w:p w14:paraId="16BD3AF0" w14:textId="17A7B973" w:rsidR="00B63AF4" w:rsidRPr="00B63AF4" w:rsidRDefault="00B63AF4" w:rsidP="006B2EB3">
      <w:pPr>
        <w:pStyle w:val="numberedtext"/>
        <w:numPr>
          <w:ilvl w:val="0"/>
          <w:numId w:val="29"/>
        </w:numPr>
        <w:rPr>
          <w:rFonts w:ascii="Calibri Light" w:eastAsia="Times New Roman" w:hAnsi="Calibri Light" w:cs="Calibri Light"/>
          <w:szCs w:val="20"/>
          <w:lang w:eastAsia="en-AU"/>
        </w:rPr>
      </w:pPr>
      <w:r w:rsidRPr="00B63AF4">
        <w:rPr>
          <w:rFonts w:ascii="Calibri Light" w:hAnsi="Calibri Light" w:cs="Calibri Light"/>
        </w:rPr>
        <w:t>This chapter examines the design and flexibility of the levies framework, the principles that underpin the levies framework, and whether the costs recovered through levies remain appropriate</w:t>
      </w:r>
      <w:r w:rsidR="00901E80">
        <w:rPr>
          <w:rFonts w:ascii="Calibri Light" w:hAnsi="Calibri Light" w:cs="Calibri Light"/>
        </w:rPr>
        <w:t xml:space="preserve">. </w:t>
      </w:r>
    </w:p>
    <w:p w14:paraId="198C0A4A" w14:textId="77777777" w:rsidR="00B63AF4" w:rsidRDefault="00B63AF4" w:rsidP="00232046">
      <w:pPr>
        <w:pStyle w:val="Heading2"/>
        <w:rPr>
          <w:color w:val="2C384A"/>
        </w:rPr>
      </w:pPr>
      <w:bookmarkStart w:id="48" w:name="_Toc115094947"/>
      <w:bookmarkStart w:id="49" w:name="_Toc125305168"/>
      <w:bookmarkStart w:id="50" w:name="_Toc129270436"/>
      <w:r w:rsidRPr="00293B59">
        <w:t>Industry funding levies framework</w:t>
      </w:r>
      <w:bookmarkEnd w:id="48"/>
      <w:bookmarkEnd w:id="49"/>
      <w:bookmarkEnd w:id="50"/>
    </w:p>
    <w:p w14:paraId="2C737234" w14:textId="6D740149" w:rsidR="00B63AF4" w:rsidRPr="008F2119" w:rsidRDefault="00B63AF4" w:rsidP="006B2EB3">
      <w:pPr>
        <w:pStyle w:val="numberedtext"/>
        <w:numPr>
          <w:ilvl w:val="0"/>
          <w:numId w:val="29"/>
        </w:numPr>
        <w:rPr>
          <w:rFonts w:ascii="Calibri Light" w:hAnsi="Calibri Light" w:cs="Calibri Light"/>
        </w:rPr>
      </w:pPr>
      <w:r w:rsidRPr="008F2119">
        <w:rPr>
          <w:rFonts w:ascii="Calibri Light" w:hAnsi="Calibri Light" w:cs="Calibri Light"/>
        </w:rPr>
        <w:t>As part of the IFM, most of ASIC</w:t>
      </w:r>
      <w:r w:rsidR="00BD190B">
        <w:rPr>
          <w:rFonts w:ascii="Calibri Light" w:hAnsi="Calibri Light" w:cs="Calibri Light"/>
        </w:rPr>
        <w:t>’</w:t>
      </w:r>
      <w:r w:rsidRPr="008F2119">
        <w:rPr>
          <w:rFonts w:ascii="Calibri Light" w:hAnsi="Calibri Light" w:cs="Calibri Light"/>
        </w:rPr>
        <w:t>s regulatory costs are recovered through levies imposed on the sub</w:t>
      </w:r>
      <w:r w:rsidR="00BD190B">
        <w:rPr>
          <w:rFonts w:ascii="Calibri Light" w:hAnsi="Calibri Light" w:cs="Calibri Light"/>
        </w:rPr>
        <w:noBreakHyphen/>
      </w:r>
      <w:r w:rsidRPr="008F2119">
        <w:rPr>
          <w:rFonts w:ascii="Calibri Light" w:hAnsi="Calibri Light" w:cs="Calibri Light"/>
        </w:rPr>
        <w:t xml:space="preserve">sectors ASIC regulates. As of </w:t>
      </w:r>
      <w:r w:rsidR="009C7ED2">
        <w:rPr>
          <w:rFonts w:ascii="Calibri Light" w:hAnsi="Calibri Light" w:cs="Calibri Light"/>
        </w:rPr>
        <w:t>2021–22</w:t>
      </w:r>
      <w:r w:rsidRPr="008F2119">
        <w:rPr>
          <w:rFonts w:ascii="Calibri Light" w:hAnsi="Calibri Light" w:cs="Calibri Light"/>
        </w:rPr>
        <w:t>, there are 52</w:t>
      </w:r>
      <w:r w:rsidR="002F5C56">
        <w:rPr>
          <w:rFonts w:ascii="Calibri Light" w:hAnsi="Calibri Light" w:cs="Calibri Light"/>
        </w:rPr>
        <w:t> </w:t>
      </w:r>
      <w:r w:rsidRPr="008F2119">
        <w:rPr>
          <w:rFonts w:ascii="Calibri Light" w:hAnsi="Calibri Light" w:cs="Calibri Light"/>
        </w:rPr>
        <w:t>sub</w:t>
      </w:r>
      <w:r w:rsidR="00BD190B">
        <w:rPr>
          <w:rFonts w:ascii="Calibri Light" w:hAnsi="Calibri Light" w:cs="Calibri Light"/>
        </w:rPr>
        <w:noBreakHyphen/>
      </w:r>
      <w:r w:rsidRPr="008F2119">
        <w:rPr>
          <w:rFonts w:ascii="Calibri Light" w:hAnsi="Calibri Light" w:cs="Calibri Light"/>
        </w:rPr>
        <w:t>sectors from which ASIC recovers its regulatory costs through levies. Each sub</w:t>
      </w:r>
      <w:r w:rsidR="00BD190B">
        <w:rPr>
          <w:rFonts w:ascii="Calibri Light" w:hAnsi="Calibri Light" w:cs="Calibri Light"/>
        </w:rPr>
        <w:noBreakHyphen/>
      </w:r>
      <w:r w:rsidRPr="008F2119">
        <w:rPr>
          <w:rFonts w:ascii="Calibri Light" w:hAnsi="Calibri Light" w:cs="Calibri Light"/>
        </w:rPr>
        <w:t>sector is grouped into one of the following sectors:</w:t>
      </w:r>
    </w:p>
    <w:p w14:paraId="63F10D01" w14:textId="554E5EBD" w:rsidR="00B63AF4" w:rsidRPr="00232046" w:rsidRDefault="00B63AF4" w:rsidP="008F2119">
      <w:pPr>
        <w:pStyle w:val="Bullet"/>
        <w:ind w:left="1004"/>
        <w:rPr>
          <w:rFonts w:eastAsia="Calibri"/>
          <w:lang w:eastAsia="en-US"/>
        </w:rPr>
      </w:pPr>
      <w:r w:rsidRPr="00232046">
        <w:rPr>
          <w:rFonts w:eastAsia="Calibri"/>
          <w:lang w:eastAsia="en-US"/>
        </w:rPr>
        <w:t>Corporate – 6 sub</w:t>
      </w:r>
      <w:r w:rsidR="00BD190B">
        <w:rPr>
          <w:rFonts w:eastAsia="Calibri"/>
          <w:lang w:eastAsia="en-US"/>
        </w:rPr>
        <w:noBreakHyphen/>
      </w:r>
      <w:r w:rsidRPr="00232046">
        <w:rPr>
          <w:rFonts w:eastAsia="Calibri"/>
          <w:lang w:eastAsia="en-US"/>
        </w:rPr>
        <w:t>sectors</w:t>
      </w:r>
    </w:p>
    <w:p w14:paraId="318CD095" w14:textId="0E06649D" w:rsidR="00B63AF4" w:rsidRPr="00232046" w:rsidRDefault="00B63AF4" w:rsidP="008F2119">
      <w:pPr>
        <w:pStyle w:val="Bullet"/>
        <w:ind w:left="1004"/>
        <w:rPr>
          <w:rFonts w:eastAsia="Calibri"/>
          <w:lang w:eastAsia="en-US"/>
        </w:rPr>
      </w:pPr>
      <w:r w:rsidRPr="00232046">
        <w:rPr>
          <w:rFonts w:eastAsia="Calibri"/>
          <w:lang w:eastAsia="en-US"/>
        </w:rPr>
        <w:t>Deposit taking and credit – 6 sub</w:t>
      </w:r>
      <w:r w:rsidR="00BD190B">
        <w:rPr>
          <w:rFonts w:eastAsia="Calibri"/>
          <w:lang w:eastAsia="en-US"/>
        </w:rPr>
        <w:noBreakHyphen/>
      </w:r>
      <w:r w:rsidRPr="00232046">
        <w:rPr>
          <w:rFonts w:eastAsia="Calibri"/>
          <w:lang w:eastAsia="en-US"/>
        </w:rPr>
        <w:t>sectors</w:t>
      </w:r>
    </w:p>
    <w:p w14:paraId="022AA938" w14:textId="30DD50D2" w:rsidR="00B63AF4" w:rsidRPr="00232046" w:rsidRDefault="00B63AF4" w:rsidP="008F2119">
      <w:pPr>
        <w:pStyle w:val="Bullet"/>
        <w:ind w:left="1004"/>
        <w:rPr>
          <w:rFonts w:eastAsia="Calibri"/>
          <w:lang w:eastAsia="en-US"/>
        </w:rPr>
      </w:pPr>
      <w:r w:rsidRPr="00232046">
        <w:rPr>
          <w:rFonts w:eastAsia="Calibri"/>
          <w:lang w:eastAsia="en-US"/>
        </w:rPr>
        <w:t>Investment management, superannuation and related services – 8 sub</w:t>
      </w:r>
      <w:r w:rsidR="00BD190B">
        <w:rPr>
          <w:rFonts w:eastAsia="Calibri"/>
          <w:lang w:eastAsia="en-US"/>
        </w:rPr>
        <w:noBreakHyphen/>
      </w:r>
      <w:r w:rsidRPr="00232046">
        <w:rPr>
          <w:rFonts w:eastAsia="Calibri"/>
          <w:lang w:eastAsia="en-US"/>
        </w:rPr>
        <w:t>sectors</w:t>
      </w:r>
    </w:p>
    <w:p w14:paraId="39AA6897" w14:textId="7E5C927A" w:rsidR="00B63AF4" w:rsidRPr="00232046" w:rsidRDefault="00B63AF4" w:rsidP="008F2119">
      <w:pPr>
        <w:pStyle w:val="Bullet"/>
        <w:ind w:left="1004"/>
        <w:rPr>
          <w:rFonts w:eastAsia="Calibri"/>
          <w:lang w:eastAsia="en-US"/>
        </w:rPr>
      </w:pPr>
      <w:r w:rsidRPr="00232046">
        <w:rPr>
          <w:rFonts w:eastAsia="Calibri"/>
          <w:lang w:eastAsia="en-US"/>
        </w:rPr>
        <w:t>Market infrastructure and intermediaries – 24 sub</w:t>
      </w:r>
      <w:r w:rsidR="00BD190B">
        <w:rPr>
          <w:rFonts w:eastAsia="Calibri"/>
          <w:lang w:eastAsia="en-US"/>
        </w:rPr>
        <w:noBreakHyphen/>
      </w:r>
      <w:r w:rsidRPr="00232046">
        <w:rPr>
          <w:rFonts w:eastAsia="Calibri"/>
          <w:lang w:eastAsia="en-US"/>
        </w:rPr>
        <w:t>sectors</w:t>
      </w:r>
    </w:p>
    <w:p w14:paraId="597B38E1" w14:textId="18477D9A" w:rsidR="00B63AF4" w:rsidRPr="00232046" w:rsidRDefault="00B63AF4" w:rsidP="008F2119">
      <w:pPr>
        <w:pStyle w:val="Bullet"/>
        <w:ind w:left="1004"/>
        <w:rPr>
          <w:rFonts w:eastAsia="Calibri"/>
          <w:lang w:eastAsia="en-US"/>
        </w:rPr>
      </w:pPr>
      <w:r w:rsidRPr="00232046">
        <w:rPr>
          <w:rFonts w:eastAsia="Calibri"/>
          <w:lang w:eastAsia="en-US"/>
        </w:rPr>
        <w:t>Financial advice – 4 sub</w:t>
      </w:r>
      <w:r w:rsidR="00BD190B">
        <w:rPr>
          <w:rFonts w:eastAsia="Calibri"/>
          <w:lang w:eastAsia="en-US"/>
        </w:rPr>
        <w:noBreakHyphen/>
      </w:r>
      <w:r w:rsidRPr="00232046">
        <w:rPr>
          <w:rFonts w:eastAsia="Calibri"/>
          <w:lang w:eastAsia="en-US"/>
        </w:rPr>
        <w:t>sectors</w:t>
      </w:r>
    </w:p>
    <w:p w14:paraId="67420047" w14:textId="636EF59E" w:rsidR="00B63AF4" w:rsidRPr="00232046" w:rsidRDefault="00B63AF4" w:rsidP="008F2119">
      <w:pPr>
        <w:pStyle w:val="Bullet"/>
        <w:ind w:left="1004"/>
        <w:rPr>
          <w:rFonts w:eastAsia="Calibri"/>
          <w:lang w:eastAsia="en-US"/>
        </w:rPr>
      </w:pPr>
      <w:r w:rsidRPr="00232046">
        <w:rPr>
          <w:rFonts w:eastAsia="Calibri"/>
          <w:lang w:eastAsia="en-US"/>
        </w:rPr>
        <w:t>Insurance – 4 sub</w:t>
      </w:r>
      <w:r w:rsidR="00BD190B">
        <w:rPr>
          <w:rFonts w:eastAsia="Calibri"/>
          <w:lang w:eastAsia="en-US"/>
        </w:rPr>
        <w:noBreakHyphen/>
      </w:r>
      <w:r w:rsidRPr="00232046">
        <w:rPr>
          <w:rFonts w:eastAsia="Calibri"/>
          <w:lang w:eastAsia="en-US"/>
        </w:rPr>
        <w:t>sectors</w:t>
      </w:r>
    </w:p>
    <w:p w14:paraId="467E8680" w14:textId="2E50A4DD" w:rsidR="00B63AF4" w:rsidRDefault="00B63AF4" w:rsidP="0037599B">
      <w:pPr>
        <w:pStyle w:val="numberedtext"/>
        <w:numPr>
          <w:ilvl w:val="0"/>
          <w:numId w:val="14"/>
        </w:numPr>
        <w:ind w:hanging="720"/>
        <w:rPr>
          <w:rFonts w:ascii="Calibri Light" w:eastAsia="Times New Roman" w:hAnsi="Calibri Light" w:cs="Calibri Light"/>
          <w:szCs w:val="20"/>
          <w:lang w:eastAsia="en-AU"/>
        </w:rPr>
      </w:pPr>
      <w:r w:rsidRPr="00293B59">
        <w:rPr>
          <w:rFonts w:ascii="Calibri Light" w:hAnsi="Calibri Light" w:cs="Calibri Light"/>
        </w:rPr>
        <w:t>Prior to the commencement of the levies framework, the majority of ASIC</w:t>
      </w:r>
      <w:r w:rsidR="00BD190B">
        <w:rPr>
          <w:rFonts w:ascii="Calibri Light" w:hAnsi="Calibri Light" w:cs="Calibri Light"/>
        </w:rPr>
        <w:t>’</w:t>
      </w:r>
      <w:r w:rsidRPr="00293B59">
        <w:rPr>
          <w:rFonts w:ascii="Calibri Light" w:hAnsi="Calibri Light" w:cs="Calibri Light"/>
        </w:rPr>
        <w:t>s regulatory costs was budget</w:t>
      </w:r>
      <w:r w:rsidR="00BD190B">
        <w:rPr>
          <w:rFonts w:ascii="Calibri Light" w:hAnsi="Calibri Light" w:cs="Calibri Light"/>
        </w:rPr>
        <w:noBreakHyphen/>
      </w:r>
      <w:r w:rsidRPr="00293B59">
        <w:rPr>
          <w:rFonts w:ascii="Calibri Light" w:hAnsi="Calibri Light" w:cs="Calibri Light"/>
        </w:rPr>
        <w:t xml:space="preserve">funded. </w:t>
      </w:r>
      <w:r w:rsidRPr="00293B59">
        <w:rPr>
          <w:rFonts w:ascii="Calibri Light" w:eastAsia="Times New Roman" w:hAnsi="Calibri Light" w:cs="Calibri Light"/>
          <w:szCs w:val="20"/>
          <w:lang w:eastAsia="en-AU"/>
        </w:rPr>
        <w:t xml:space="preserve">The levies component of the IFM commenced on 1 July 2017 and accounts for the majority of the total amount recovered from </w:t>
      </w:r>
      <w:r w:rsidR="004C19A9">
        <w:rPr>
          <w:rFonts w:ascii="Calibri Light" w:eastAsia="Times New Roman" w:hAnsi="Calibri Light" w:cs="Calibri Light"/>
          <w:szCs w:val="20"/>
          <w:lang w:eastAsia="en-AU"/>
        </w:rPr>
        <w:t>regulated entities</w:t>
      </w:r>
      <w:r w:rsidRPr="00293B59">
        <w:rPr>
          <w:rFonts w:ascii="Calibri Light" w:eastAsia="Times New Roman" w:hAnsi="Calibri Light" w:cs="Calibri Light"/>
          <w:szCs w:val="20"/>
          <w:lang w:eastAsia="en-AU"/>
        </w:rPr>
        <w:t xml:space="preserve"> under the IFM</w:t>
      </w:r>
      <w:r>
        <w:rPr>
          <w:rFonts w:ascii="Calibri Light" w:eastAsia="Times New Roman" w:hAnsi="Calibri Light" w:cs="Calibri Light"/>
          <w:szCs w:val="20"/>
          <w:lang w:eastAsia="en-AU"/>
        </w:rPr>
        <w:t>. The amount</w:t>
      </w:r>
      <w:r w:rsidR="00CF2A94">
        <w:rPr>
          <w:rFonts w:ascii="Calibri Light" w:eastAsia="Times New Roman" w:hAnsi="Calibri Light" w:cs="Calibri Light"/>
          <w:szCs w:val="20"/>
          <w:lang w:eastAsia="en-AU"/>
        </w:rPr>
        <w:t xml:space="preserve"> and </w:t>
      </w:r>
      <w:r w:rsidR="00DD7613">
        <w:rPr>
          <w:rFonts w:ascii="Calibri Light" w:eastAsia="Times New Roman" w:hAnsi="Calibri Light" w:cs="Calibri Light"/>
          <w:szCs w:val="20"/>
          <w:lang w:eastAsia="en-AU"/>
        </w:rPr>
        <w:t>proportion</w:t>
      </w:r>
      <w:r>
        <w:rPr>
          <w:rFonts w:ascii="Calibri Light" w:eastAsia="Times New Roman" w:hAnsi="Calibri Light" w:cs="Calibri Light"/>
          <w:szCs w:val="20"/>
          <w:lang w:eastAsia="en-AU"/>
        </w:rPr>
        <w:t xml:space="preserve"> being recovered via levies has </w:t>
      </w:r>
      <w:r w:rsidR="00CF2A94">
        <w:rPr>
          <w:rFonts w:ascii="Calibri Light" w:eastAsia="Times New Roman" w:hAnsi="Calibri Light" w:cs="Calibri Light"/>
          <w:szCs w:val="20"/>
          <w:lang w:eastAsia="en-AU"/>
        </w:rPr>
        <w:t xml:space="preserve">generally </w:t>
      </w:r>
      <w:r>
        <w:rPr>
          <w:rFonts w:ascii="Calibri Light" w:eastAsia="Times New Roman" w:hAnsi="Calibri Light" w:cs="Calibri Light"/>
          <w:szCs w:val="20"/>
          <w:lang w:eastAsia="en-AU"/>
        </w:rPr>
        <w:t xml:space="preserve">been increasing each year – </w:t>
      </w:r>
      <w:r w:rsidR="00297FC4">
        <w:rPr>
          <w:rFonts w:ascii="Calibri Light" w:eastAsia="Times New Roman" w:hAnsi="Calibri Light" w:cs="Calibri Light"/>
          <w:szCs w:val="20"/>
          <w:lang w:eastAsia="en-AU"/>
        </w:rPr>
        <w:t xml:space="preserve">see </w:t>
      </w:r>
      <w:r>
        <w:rPr>
          <w:rFonts w:ascii="Calibri Light" w:eastAsia="Times New Roman" w:hAnsi="Calibri Light" w:cs="Calibri Light"/>
          <w:szCs w:val="20"/>
          <w:lang w:eastAsia="en-AU"/>
        </w:rPr>
        <w:t>Chapter 3</w:t>
      </w:r>
      <w:r w:rsidR="00297FC4">
        <w:rPr>
          <w:rFonts w:ascii="Calibri Light" w:eastAsia="Times New Roman" w:hAnsi="Calibri Light" w:cs="Calibri Light"/>
          <w:szCs w:val="20"/>
          <w:lang w:eastAsia="en-AU"/>
        </w:rPr>
        <w:t xml:space="preserve"> for further information on ASIC</w:t>
      </w:r>
      <w:r w:rsidR="00BD190B">
        <w:rPr>
          <w:rFonts w:ascii="Calibri Light" w:eastAsia="Times New Roman" w:hAnsi="Calibri Light" w:cs="Calibri Light"/>
          <w:szCs w:val="20"/>
          <w:lang w:eastAsia="en-AU"/>
        </w:rPr>
        <w:t>’</w:t>
      </w:r>
      <w:r w:rsidR="00297FC4">
        <w:rPr>
          <w:rFonts w:ascii="Calibri Light" w:eastAsia="Times New Roman" w:hAnsi="Calibri Light" w:cs="Calibri Light"/>
          <w:szCs w:val="20"/>
          <w:lang w:eastAsia="en-AU"/>
        </w:rPr>
        <w:t xml:space="preserve">s funding profile </w:t>
      </w:r>
      <w:r w:rsidR="00B50BF4">
        <w:rPr>
          <w:rFonts w:ascii="Calibri Light" w:eastAsia="Times New Roman" w:hAnsi="Calibri Light" w:cs="Calibri Light"/>
          <w:szCs w:val="20"/>
          <w:lang w:eastAsia="en-AU"/>
        </w:rPr>
        <w:t>and levy amounts</w:t>
      </w:r>
      <w:r>
        <w:rPr>
          <w:rFonts w:ascii="Calibri Light" w:eastAsia="Times New Roman" w:hAnsi="Calibri Light" w:cs="Calibri Light"/>
          <w:szCs w:val="20"/>
          <w:lang w:eastAsia="en-AU"/>
        </w:rPr>
        <w:t xml:space="preserve">. </w:t>
      </w:r>
    </w:p>
    <w:p w14:paraId="71FB873E" w14:textId="0C3B339F" w:rsidR="00B63AF4" w:rsidRDefault="00B63AF4" w:rsidP="00232046">
      <w:pPr>
        <w:pStyle w:val="TableMainHeading"/>
      </w:pPr>
      <w:bookmarkStart w:id="51" w:name="_Toc129270437"/>
      <w:r w:rsidRPr="00293B59">
        <w:t>Table 2.1: Levies compared to</w:t>
      </w:r>
      <w:r>
        <w:t xml:space="preserve"> total ASIC funding</w:t>
      </w:r>
      <w:r w:rsidRPr="00293B59">
        <w:t xml:space="preserve"> </w:t>
      </w:r>
      <w:r>
        <w:t>since the commencement of the IFM</w:t>
      </w:r>
      <w:bookmarkEnd w:id="51"/>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6"/>
        <w:gridCol w:w="1416"/>
        <w:gridCol w:w="1418"/>
        <w:gridCol w:w="1415"/>
        <w:gridCol w:w="1417"/>
      </w:tblGrid>
      <w:tr w:rsidR="00B63AF4" w:rsidRPr="00232046" w14:paraId="382EAA44" w14:textId="77777777" w:rsidTr="00B63AF4">
        <w:trPr>
          <w:cnfStyle w:val="100000000000" w:firstRow="1" w:lastRow="0" w:firstColumn="0" w:lastColumn="0" w:oddVBand="0" w:evenVBand="0" w:oddHBand="0" w:evenHBand="0" w:firstRowFirstColumn="0" w:firstRowLastColumn="0" w:lastRowFirstColumn="0" w:lastRowLastColumn="0"/>
        </w:trPr>
        <w:tc>
          <w:tcPr>
            <w:tcW w:w="1092" w:type="pct"/>
          </w:tcPr>
          <w:p w14:paraId="59804624" w14:textId="77777777" w:rsidR="00B63AF4" w:rsidRPr="00232046" w:rsidRDefault="00B63AF4" w:rsidP="00232046">
            <w:pPr>
              <w:pStyle w:val="TableColumnHeadingRight"/>
              <w:rPr>
                <w:b/>
              </w:rPr>
            </w:pPr>
          </w:p>
        </w:tc>
        <w:tc>
          <w:tcPr>
            <w:tcW w:w="781" w:type="pct"/>
          </w:tcPr>
          <w:p w14:paraId="290FAD38" w14:textId="4977794D" w:rsidR="00B63AF4" w:rsidRPr="00232046" w:rsidRDefault="009C7ED2" w:rsidP="00232046">
            <w:pPr>
              <w:pStyle w:val="TableColumnHeadingRight"/>
              <w:rPr>
                <w:b/>
              </w:rPr>
            </w:pPr>
            <w:r>
              <w:rPr>
                <w:b/>
              </w:rPr>
              <w:t>2017–18</w:t>
            </w:r>
          </w:p>
        </w:tc>
        <w:tc>
          <w:tcPr>
            <w:tcW w:w="781" w:type="pct"/>
          </w:tcPr>
          <w:p w14:paraId="59750486" w14:textId="4143671E" w:rsidR="00B63AF4" w:rsidRPr="00232046" w:rsidRDefault="009C7ED2" w:rsidP="00232046">
            <w:pPr>
              <w:pStyle w:val="TableColumnHeadingRight"/>
              <w:rPr>
                <w:b/>
              </w:rPr>
            </w:pPr>
            <w:r>
              <w:rPr>
                <w:b/>
              </w:rPr>
              <w:t>2018–19</w:t>
            </w:r>
          </w:p>
        </w:tc>
        <w:tc>
          <w:tcPr>
            <w:tcW w:w="782" w:type="pct"/>
          </w:tcPr>
          <w:p w14:paraId="793B77F2" w14:textId="30201A6F" w:rsidR="00B63AF4" w:rsidRPr="00232046" w:rsidRDefault="009C7ED2" w:rsidP="00232046">
            <w:pPr>
              <w:pStyle w:val="TableColumnHeadingRight"/>
              <w:rPr>
                <w:b/>
              </w:rPr>
            </w:pPr>
            <w:r>
              <w:rPr>
                <w:b/>
              </w:rPr>
              <w:t>2019–20</w:t>
            </w:r>
          </w:p>
        </w:tc>
        <w:tc>
          <w:tcPr>
            <w:tcW w:w="781" w:type="pct"/>
          </w:tcPr>
          <w:p w14:paraId="797574FF" w14:textId="3A99F979" w:rsidR="00B63AF4" w:rsidRPr="00232046" w:rsidRDefault="009C7ED2" w:rsidP="00232046">
            <w:pPr>
              <w:pStyle w:val="TableColumnHeadingRight"/>
              <w:rPr>
                <w:b/>
              </w:rPr>
            </w:pPr>
            <w:r>
              <w:rPr>
                <w:b/>
              </w:rPr>
              <w:t>2020–21</w:t>
            </w:r>
          </w:p>
        </w:tc>
        <w:tc>
          <w:tcPr>
            <w:tcW w:w="782" w:type="pct"/>
          </w:tcPr>
          <w:p w14:paraId="2A166508" w14:textId="35E88101" w:rsidR="00B63AF4" w:rsidRPr="00232046" w:rsidRDefault="009C7ED2" w:rsidP="00232046">
            <w:pPr>
              <w:pStyle w:val="TableColumnHeadingRight"/>
              <w:rPr>
                <w:b/>
              </w:rPr>
            </w:pPr>
            <w:r>
              <w:rPr>
                <w:b/>
              </w:rPr>
              <w:t>2021–22</w:t>
            </w:r>
          </w:p>
        </w:tc>
      </w:tr>
      <w:tr w:rsidR="00B63AF4" w:rsidRPr="00245042" w14:paraId="2388E670" w14:textId="77777777" w:rsidTr="00B63AF4">
        <w:tc>
          <w:tcPr>
            <w:tcW w:w="1092" w:type="pct"/>
          </w:tcPr>
          <w:p w14:paraId="7146BBAE" w14:textId="77777777" w:rsidR="00B63AF4" w:rsidRPr="00293B59" w:rsidRDefault="00B63AF4" w:rsidP="00232046">
            <w:pPr>
              <w:pStyle w:val="TableTextLeft"/>
            </w:pPr>
            <w:r w:rsidRPr="00293B59">
              <w:t xml:space="preserve">Total </w:t>
            </w:r>
            <w:r w:rsidRPr="000A1CC7">
              <w:t>ASIC funding ($ million)</w:t>
            </w:r>
          </w:p>
        </w:tc>
        <w:tc>
          <w:tcPr>
            <w:tcW w:w="781" w:type="pct"/>
          </w:tcPr>
          <w:p w14:paraId="419AFF44" w14:textId="77777777" w:rsidR="00B63AF4" w:rsidRPr="00293B59" w:rsidRDefault="00B63AF4" w:rsidP="00232046">
            <w:pPr>
              <w:pStyle w:val="TableTextRight"/>
            </w:pPr>
            <w:r w:rsidRPr="000A1CC7">
              <w:t>387.5</w:t>
            </w:r>
          </w:p>
        </w:tc>
        <w:tc>
          <w:tcPr>
            <w:tcW w:w="781" w:type="pct"/>
          </w:tcPr>
          <w:p w14:paraId="723FB3AF" w14:textId="77777777" w:rsidR="00B63AF4" w:rsidRPr="00293B59" w:rsidRDefault="00B63AF4" w:rsidP="00232046">
            <w:pPr>
              <w:pStyle w:val="TableTextRight"/>
            </w:pPr>
            <w:r w:rsidRPr="000A1CC7">
              <w:t>406.0</w:t>
            </w:r>
          </w:p>
        </w:tc>
        <w:tc>
          <w:tcPr>
            <w:tcW w:w="782" w:type="pct"/>
          </w:tcPr>
          <w:p w14:paraId="10DD3491" w14:textId="77777777" w:rsidR="00B63AF4" w:rsidRPr="00293B59" w:rsidRDefault="00B63AF4" w:rsidP="00232046">
            <w:pPr>
              <w:pStyle w:val="TableTextRight"/>
            </w:pPr>
            <w:r w:rsidRPr="000A1CC7">
              <w:t>441.8</w:t>
            </w:r>
          </w:p>
        </w:tc>
        <w:tc>
          <w:tcPr>
            <w:tcW w:w="781" w:type="pct"/>
          </w:tcPr>
          <w:p w14:paraId="1136590C" w14:textId="77777777" w:rsidR="00B63AF4" w:rsidRPr="00293B59" w:rsidRDefault="00B63AF4" w:rsidP="00232046">
            <w:pPr>
              <w:pStyle w:val="TableTextRight"/>
            </w:pPr>
            <w:r w:rsidRPr="000A1CC7">
              <w:t>463.2</w:t>
            </w:r>
          </w:p>
        </w:tc>
        <w:tc>
          <w:tcPr>
            <w:tcW w:w="782" w:type="pct"/>
          </w:tcPr>
          <w:p w14:paraId="6D02E7F0" w14:textId="77777777" w:rsidR="00B63AF4" w:rsidRPr="00293B59" w:rsidRDefault="00B63AF4" w:rsidP="00232046">
            <w:pPr>
              <w:pStyle w:val="TableTextRight"/>
            </w:pPr>
            <w:r w:rsidRPr="000A1CC7">
              <w:t>451.1</w:t>
            </w:r>
          </w:p>
        </w:tc>
      </w:tr>
      <w:tr w:rsidR="00B63AF4" w:rsidRPr="00245042" w14:paraId="0BBCE58F" w14:textId="77777777" w:rsidTr="00B63AF4">
        <w:tc>
          <w:tcPr>
            <w:tcW w:w="1092" w:type="pct"/>
          </w:tcPr>
          <w:p w14:paraId="55FD2117" w14:textId="77777777" w:rsidR="00B63AF4" w:rsidRPr="00293B59" w:rsidRDefault="00B63AF4" w:rsidP="00232046">
            <w:pPr>
              <w:pStyle w:val="TableTextLeft"/>
            </w:pPr>
            <w:r w:rsidRPr="00293B59">
              <w:t xml:space="preserve">Total amount recovered via levies ($ million) </w:t>
            </w:r>
          </w:p>
        </w:tc>
        <w:tc>
          <w:tcPr>
            <w:tcW w:w="781" w:type="pct"/>
          </w:tcPr>
          <w:p w14:paraId="6AEB575B" w14:textId="77777777" w:rsidR="00B63AF4" w:rsidRPr="00293B59" w:rsidRDefault="00B63AF4" w:rsidP="00232046">
            <w:pPr>
              <w:pStyle w:val="TableTextRight"/>
            </w:pPr>
            <w:r w:rsidRPr="00293B59">
              <w:t>236.6</w:t>
            </w:r>
          </w:p>
        </w:tc>
        <w:tc>
          <w:tcPr>
            <w:tcW w:w="781" w:type="pct"/>
          </w:tcPr>
          <w:p w14:paraId="61831C64" w14:textId="77777777" w:rsidR="00B63AF4" w:rsidRPr="00293B59" w:rsidRDefault="00B63AF4" w:rsidP="00232046">
            <w:pPr>
              <w:pStyle w:val="TableTextRight"/>
            </w:pPr>
            <w:r w:rsidRPr="00293B59">
              <w:t>276.7</w:t>
            </w:r>
          </w:p>
        </w:tc>
        <w:tc>
          <w:tcPr>
            <w:tcW w:w="782" w:type="pct"/>
          </w:tcPr>
          <w:p w14:paraId="7DE51C8A" w14:textId="77777777" w:rsidR="00B63AF4" w:rsidRPr="00293B59" w:rsidRDefault="00B63AF4" w:rsidP="00232046">
            <w:pPr>
              <w:pStyle w:val="TableTextRight"/>
            </w:pPr>
            <w:r w:rsidRPr="00293B59">
              <w:t>320.3</w:t>
            </w:r>
          </w:p>
        </w:tc>
        <w:tc>
          <w:tcPr>
            <w:tcW w:w="781" w:type="pct"/>
          </w:tcPr>
          <w:p w14:paraId="5984CFC5" w14:textId="77777777" w:rsidR="00B63AF4" w:rsidRPr="00293B59" w:rsidRDefault="00B63AF4" w:rsidP="00232046">
            <w:pPr>
              <w:pStyle w:val="TableTextRight"/>
            </w:pPr>
            <w:r w:rsidRPr="00293B59">
              <w:t>3</w:t>
            </w:r>
            <w:r w:rsidRPr="000A1CC7">
              <w:t>48.3</w:t>
            </w:r>
            <w:r w:rsidRPr="00293B59">
              <w:t>*</w:t>
            </w:r>
          </w:p>
        </w:tc>
        <w:tc>
          <w:tcPr>
            <w:tcW w:w="782" w:type="pct"/>
          </w:tcPr>
          <w:p w14:paraId="5723994C" w14:textId="77777777" w:rsidR="00B63AF4" w:rsidRPr="00293B59" w:rsidRDefault="00B63AF4" w:rsidP="00232046">
            <w:pPr>
              <w:pStyle w:val="TableTextRight"/>
            </w:pPr>
            <w:r w:rsidRPr="00293B59">
              <w:t>3</w:t>
            </w:r>
            <w:r w:rsidRPr="000A1CC7">
              <w:t>47.2</w:t>
            </w:r>
            <w:r w:rsidRPr="00293B59">
              <w:t>*</w:t>
            </w:r>
          </w:p>
        </w:tc>
      </w:tr>
      <w:tr w:rsidR="00B63AF4" w:rsidRPr="00245042" w14:paraId="7E7C2D3A" w14:textId="77777777" w:rsidTr="00B63AF4">
        <w:tc>
          <w:tcPr>
            <w:tcW w:w="1092" w:type="pct"/>
          </w:tcPr>
          <w:p w14:paraId="68BF5678" w14:textId="77777777" w:rsidR="00B63AF4" w:rsidRPr="00293B59" w:rsidRDefault="00B63AF4" w:rsidP="00232046">
            <w:pPr>
              <w:pStyle w:val="TableTextLeft"/>
            </w:pPr>
            <w:r w:rsidRPr="00293B59">
              <w:t xml:space="preserve">Levies as a proportion of total </w:t>
            </w:r>
            <w:r w:rsidRPr="000A1CC7">
              <w:t>ASIC funding</w:t>
            </w:r>
            <w:r w:rsidRPr="00293B59">
              <w:t xml:space="preserve"> (%)</w:t>
            </w:r>
          </w:p>
        </w:tc>
        <w:tc>
          <w:tcPr>
            <w:tcW w:w="781" w:type="pct"/>
          </w:tcPr>
          <w:p w14:paraId="0F652A4A" w14:textId="77777777" w:rsidR="00B63AF4" w:rsidRPr="00293B59" w:rsidRDefault="00B63AF4" w:rsidP="00232046">
            <w:pPr>
              <w:pStyle w:val="TableTextRight"/>
            </w:pPr>
            <w:r w:rsidRPr="000A1CC7">
              <w:t>61</w:t>
            </w:r>
          </w:p>
        </w:tc>
        <w:tc>
          <w:tcPr>
            <w:tcW w:w="781" w:type="pct"/>
          </w:tcPr>
          <w:p w14:paraId="3714138D" w14:textId="77777777" w:rsidR="00B63AF4" w:rsidRPr="00293B59" w:rsidRDefault="00B63AF4" w:rsidP="00232046">
            <w:pPr>
              <w:pStyle w:val="TableTextRight"/>
            </w:pPr>
            <w:r w:rsidRPr="000A1CC7">
              <w:t>68</w:t>
            </w:r>
          </w:p>
        </w:tc>
        <w:tc>
          <w:tcPr>
            <w:tcW w:w="782" w:type="pct"/>
          </w:tcPr>
          <w:p w14:paraId="183EEAAE" w14:textId="77777777" w:rsidR="00B63AF4" w:rsidRPr="00293B59" w:rsidRDefault="00B63AF4" w:rsidP="00232046">
            <w:pPr>
              <w:pStyle w:val="TableTextRight"/>
            </w:pPr>
            <w:r w:rsidRPr="000A1CC7">
              <w:t>72</w:t>
            </w:r>
          </w:p>
        </w:tc>
        <w:tc>
          <w:tcPr>
            <w:tcW w:w="781" w:type="pct"/>
          </w:tcPr>
          <w:p w14:paraId="40BDE29D" w14:textId="77777777" w:rsidR="00B63AF4" w:rsidRPr="00293B59" w:rsidRDefault="00B63AF4" w:rsidP="00232046">
            <w:pPr>
              <w:pStyle w:val="TableTextRight"/>
            </w:pPr>
            <w:r w:rsidRPr="000A1CC7">
              <w:t>75</w:t>
            </w:r>
          </w:p>
        </w:tc>
        <w:tc>
          <w:tcPr>
            <w:tcW w:w="782" w:type="pct"/>
          </w:tcPr>
          <w:p w14:paraId="4FAB6CDD" w14:textId="77777777" w:rsidR="00B63AF4" w:rsidRPr="00293B59" w:rsidRDefault="00B63AF4" w:rsidP="00232046">
            <w:pPr>
              <w:pStyle w:val="TableTextRight"/>
            </w:pPr>
            <w:r w:rsidRPr="000A1CC7">
              <w:t>77</w:t>
            </w:r>
          </w:p>
        </w:tc>
      </w:tr>
      <w:tr w:rsidR="0046469D" w:rsidRPr="00245042" w14:paraId="6043E01B" w14:textId="77777777" w:rsidTr="009653BB">
        <w:tc>
          <w:tcPr>
            <w:tcW w:w="1092" w:type="pct"/>
          </w:tcPr>
          <w:p w14:paraId="0432F36C" w14:textId="395E1561" w:rsidR="0046469D" w:rsidRPr="00293B59" w:rsidRDefault="0046469D" w:rsidP="00232046">
            <w:pPr>
              <w:pStyle w:val="TableTextLeft"/>
            </w:pPr>
            <w:r w:rsidRPr="0046469D">
              <w:t>Total number of leviable entities</w:t>
            </w:r>
          </w:p>
        </w:tc>
        <w:tc>
          <w:tcPr>
            <w:tcW w:w="781" w:type="pct"/>
            <w:vAlign w:val="center"/>
          </w:tcPr>
          <w:p w14:paraId="31B12FA1" w14:textId="6966F3D1" w:rsidR="0046469D" w:rsidRPr="0046469D" w:rsidRDefault="0046469D" w:rsidP="00232046">
            <w:pPr>
              <w:pStyle w:val="TableTextRight"/>
            </w:pPr>
            <w:r w:rsidRPr="0046469D">
              <w:t>45,490</w:t>
            </w:r>
          </w:p>
        </w:tc>
        <w:tc>
          <w:tcPr>
            <w:tcW w:w="781" w:type="pct"/>
            <w:vAlign w:val="center"/>
          </w:tcPr>
          <w:p w14:paraId="757D1292" w14:textId="2DA48101" w:rsidR="0046469D" w:rsidRPr="0046469D" w:rsidRDefault="0046469D" w:rsidP="00232046">
            <w:pPr>
              <w:pStyle w:val="TableTextRight"/>
            </w:pPr>
            <w:r w:rsidRPr="0046469D">
              <w:t>46,148</w:t>
            </w:r>
          </w:p>
        </w:tc>
        <w:tc>
          <w:tcPr>
            <w:tcW w:w="782" w:type="pct"/>
            <w:vAlign w:val="center"/>
          </w:tcPr>
          <w:p w14:paraId="5A3E5822" w14:textId="1AF5C24E" w:rsidR="0046469D" w:rsidRPr="0046469D" w:rsidRDefault="0046469D" w:rsidP="00232046">
            <w:pPr>
              <w:pStyle w:val="TableTextRight"/>
            </w:pPr>
            <w:r w:rsidRPr="0046469D">
              <w:t>43,804</w:t>
            </w:r>
          </w:p>
        </w:tc>
        <w:tc>
          <w:tcPr>
            <w:tcW w:w="781" w:type="pct"/>
            <w:vAlign w:val="center"/>
          </w:tcPr>
          <w:p w14:paraId="24C7FC2D" w14:textId="612BF3FD" w:rsidR="0046469D" w:rsidRPr="0046469D" w:rsidRDefault="0046469D" w:rsidP="00232046">
            <w:pPr>
              <w:pStyle w:val="TableTextRight"/>
            </w:pPr>
            <w:r w:rsidRPr="0046469D">
              <w:t>43,508</w:t>
            </w:r>
          </w:p>
        </w:tc>
        <w:tc>
          <w:tcPr>
            <w:tcW w:w="782" w:type="pct"/>
            <w:vAlign w:val="center"/>
          </w:tcPr>
          <w:p w14:paraId="27220C70" w14:textId="6E3C1FF4" w:rsidR="0046469D" w:rsidRPr="0046469D" w:rsidRDefault="0046469D" w:rsidP="00232046">
            <w:pPr>
              <w:pStyle w:val="TableTextRight"/>
            </w:pPr>
            <w:r w:rsidRPr="0046469D">
              <w:t>43,077</w:t>
            </w:r>
          </w:p>
        </w:tc>
      </w:tr>
    </w:tbl>
    <w:p w14:paraId="7CE00D31" w14:textId="4D2B3E3F" w:rsidR="00B63AF4" w:rsidRPr="00293B59" w:rsidRDefault="00B63AF4" w:rsidP="0042197D">
      <w:pPr>
        <w:pStyle w:val="ChartorTableNote"/>
      </w:pPr>
      <w:r w:rsidRPr="00FF0861">
        <w:t>*</w:t>
      </w:r>
      <w:r w:rsidRPr="00293B59">
        <w:t xml:space="preserve"> The total levy amounts for </w:t>
      </w:r>
      <w:r w:rsidR="009C7ED2">
        <w:t>2020–21</w:t>
      </w:r>
      <w:r w:rsidRPr="00293B59">
        <w:t xml:space="preserve"> and </w:t>
      </w:r>
      <w:r w:rsidR="009C7ED2">
        <w:t>2021–22</w:t>
      </w:r>
      <w:r>
        <w:t xml:space="preserve"> does not</w:t>
      </w:r>
      <w:r w:rsidRPr="00293B59">
        <w:t xml:space="preserve"> include the levy relief for personal financial advice licensees</w:t>
      </w:r>
      <w:r>
        <w:t xml:space="preserve"> (which resulted in </w:t>
      </w:r>
      <w:r w:rsidRPr="00374EC3">
        <w:t xml:space="preserve">$34.2 million and $33.9 million </w:t>
      </w:r>
      <w:r>
        <w:t>not being</w:t>
      </w:r>
      <w:r w:rsidRPr="00374EC3">
        <w:t xml:space="preserve"> recovered from the personal financial advice licensee sub</w:t>
      </w:r>
      <w:r w:rsidR="00BD190B">
        <w:noBreakHyphen/>
      </w:r>
      <w:r w:rsidRPr="00374EC3">
        <w:t xml:space="preserve">sector for </w:t>
      </w:r>
      <w:r w:rsidR="009C7ED2">
        <w:t>2020–21</w:t>
      </w:r>
      <w:r w:rsidRPr="00374EC3">
        <w:t xml:space="preserve"> and </w:t>
      </w:r>
      <w:r w:rsidR="009C7ED2">
        <w:t>2021–22</w:t>
      </w:r>
      <w:r w:rsidRPr="00374EC3">
        <w:t xml:space="preserve"> respectively</w:t>
      </w:r>
      <w:r>
        <w:t>).</w:t>
      </w:r>
    </w:p>
    <w:p w14:paraId="30B62442" w14:textId="77777777" w:rsidR="00B63AF4" w:rsidRPr="00293B59" w:rsidRDefault="00B63AF4" w:rsidP="00424595">
      <w:pPr>
        <w:pStyle w:val="Heading3"/>
      </w:pPr>
      <w:bookmarkStart w:id="52" w:name="_Toc125305171"/>
      <w:bookmarkStart w:id="53" w:name="_Toc129270438"/>
      <w:r w:rsidRPr="00293B59">
        <w:lastRenderedPageBreak/>
        <w:t>Costs recovered through levies</w:t>
      </w:r>
      <w:bookmarkEnd w:id="52"/>
      <w:bookmarkEnd w:id="53"/>
    </w:p>
    <w:p w14:paraId="5699B6C4" w14:textId="0C5BE2F1" w:rsidR="00B63AF4" w:rsidRPr="00293B59" w:rsidRDefault="00A01F7F" w:rsidP="0037599B">
      <w:pPr>
        <w:pStyle w:val="numberedtext"/>
        <w:numPr>
          <w:ilvl w:val="0"/>
          <w:numId w:val="14"/>
        </w:numPr>
        <w:ind w:hanging="720"/>
        <w:rPr>
          <w:rFonts w:ascii="Calibri Light" w:eastAsia="Times New Roman" w:hAnsi="Calibri Light" w:cs="Calibri Light"/>
          <w:lang w:eastAsia="en-AU"/>
        </w:rPr>
      </w:pPr>
      <w:bookmarkStart w:id="54" w:name="_Hlk124949010"/>
      <w:r>
        <w:rPr>
          <w:rFonts w:ascii="Calibri Light" w:eastAsia="Times New Roman" w:hAnsi="Calibri Light" w:cs="Calibri Light"/>
          <w:lang w:eastAsia="en-AU"/>
        </w:rPr>
        <w:t xml:space="preserve">Both </w:t>
      </w:r>
      <w:r w:rsidR="00B63AF4" w:rsidRPr="00293B59">
        <w:rPr>
          <w:rFonts w:ascii="Calibri Light" w:eastAsia="Times New Roman" w:hAnsi="Calibri Light" w:cs="Calibri Light"/>
          <w:lang w:eastAsia="en-AU"/>
        </w:rPr>
        <w:t>ASIC</w:t>
      </w:r>
      <w:r w:rsidR="00BD190B">
        <w:rPr>
          <w:rFonts w:ascii="Calibri Light" w:eastAsia="Times New Roman" w:hAnsi="Calibri Light" w:cs="Calibri Light"/>
          <w:lang w:eastAsia="en-AU"/>
        </w:rPr>
        <w:t>’</w:t>
      </w:r>
      <w:r w:rsidR="00B63AF4" w:rsidRPr="00293B59">
        <w:rPr>
          <w:rFonts w:ascii="Calibri Light" w:eastAsia="Times New Roman" w:hAnsi="Calibri Light" w:cs="Calibri Light"/>
          <w:lang w:eastAsia="en-AU"/>
        </w:rPr>
        <w:t>s direct and indirect regulatory costs are recovered through levies. Direct costs are those that can be directly traced to a sub</w:t>
      </w:r>
      <w:r w:rsidR="00BD190B">
        <w:rPr>
          <w:rFonts w:ascii="Calibri Light" w:eastAsia="Times New Roman" w:hAnsi="Calibri Light" w:cs="Calibri Light"/>
          <w:lang w:eastAsia="en-AU"/>
        </w:rPr>
        <w:noBreakHyphen/>
      </w:r>
      <w:r w:rsidR="00B63AF4" w:rsidRPr="00293B59">
        <w:rPr>
          <w:rFonts w:ascii="Calibri Light" w:eastAsia="Times New Roman" w:hAnsi="Calibri Light" w:cs="Calibri Light"/>
          <w:lang w:eastAsia="en-AU"/>
        </w:rPr>
        <w:t xml:space="preserve">sector and regulatory activity. Indirect costs relate to internal support activities that are essential to enable ASIC to perform its regulatory activities. </w:t>
      </w:r>
    </w:p>
    <w:bookmarkEnd w:id="54"/>
    <w:p w14:paraId="62055F48" w14:textId="77777777" w:rsidR="00B63AF4" w:rsidRPr="0042197D" w:rsidRDefault="00B63AF4" w:rsidP="008F2119">
      <w:pPr>
        <w:pStyle w:val="Bullet"/>
        <w:ind w:left="1004"/>
        <w:rPr>
          <w:rFonts w:eastAsia="Calibri"/>
          <w:lang w:eastAsia="en-US"/>
        </w:rPr>
      </w:pPr>
      <w:r w:rsidRPr="0042197D">
        <w:rPr>
          <w:rFonts w:eastAsia="Calibri"/>
          <w:b/>
          <w:bCs/>
          <w:lang w:eastAsia="en-US"/>
        </w:rPr>
        <w:t>Supervision and surveillance:</w:t>
      </w:r>
      <w:r w:rsidRPr="0042197D">
        <w:rPr>
          <w:rFonts w:eastAsia="Calibri"/>
          <w:lang w:eastAsia="en-US"/>
        </w:rPr>
        <w:t xml:space="preserve"> ASIC conducts supervision and surveillance to test compliance with the laws it administers and to promote positive consumer and investor outcomes.</w:t>
      </w:r>
    </w:p>
    <w:p w14:paraId="03254472" w14:textId="77777777" w:rsidR="00B63AF4" w:rsidRPr="0042197D" w:rsidRDefault="00B63AF4" w:rsidP="008F2119">
      <w:pPr>
        <w:pStyle w:val="Bullet"/>
        <w:ind w:left="1004"/>
        <w:rPr>
          <w:rFonts w:eastAsia="Calibri"/>
          <w:lang w:eastAsia="en-US"/>
        </w:rPr>
      </w:pPr>
      <w:r w:rsidRPr="0042197D">
        <w:rPr>
          <w:rFonts w:eastAsia="Calibri"/>
          <w:b/>
          <w:bCs/>
          <w:lang w:eastAsia="en-US"/>
        </w:rPr>
        <w:t>Enforcement:</w:t>
      </w:r>
      <w:r w:rsidRPr="0042197D">
        <w:rPr>
          <w:rFonts w:eastAsia="Calibri"/>
          <w:lang w:eastAsia="en-US"/>
        </w:rPr>
        <w:t xml:space="preserve"> An activity is classified as enforcement when ASIC considers there has been a breach of the law. Investigations may lead to enforcement action, including punitive, protective, corrective or compensatory action. This includes taking action in relation to unlicensed conduct in a sector to maintain integrity and trust in the licensed sector.</w:t>
      </w:r>
    </w:p>
    <w:p w14:paraId="47BF837C" w14:textId="29BC3B34" w:rsidR="00B63AF4" w:rsidRPr="0042197D" w:rsidRDefault="00B63AF4" w:rsidP="008F2119">
      <w:pPr>
        <w:pStyle w:val="Bullet"/>
        <w:ind w:left="1004"/>
        <w:rPr>
          <w:rFonts w:eastAsia="Calibri"/>
          <w:lang w:eastAsia="en-US"/>
        </w:rPr>
      </w:pPr>
      <w:r w:rsidRPr="0042197D">
        <w:rPr>
          <w:rFonts w:eastAsia="Calibri"/>
          <w:b/>
          <w:bCs/>
          <w:lang w:eastAsia="en-US"/>
        </w:rPr>
        <w:t>Industry engagement:</w:t>
      </w:r>
      <w:r w:rsidRPr="0042197D">
        <w:rPr>
          <w:rFonts w:eastAsia="Calibri"/>
          <w:lang w:eastAsia="en-US"/>
        </w:rPr>
        <w:t xml:space="preserve"> ASIC</w:t>
      </w:r>
      <w:r w:rsidR="00BD190B">
        <w:rPr>
          <w:rFonts w:eastAsia="Calibri"/>
          <w:lang w:eastAsia="en-US"/>
        </w:rPr>
        <w:t>’</w:t>
      </w:r>
      <w:r w:rsidRPr="0042197D">
        <w:rPr>
          <w:rFonts w:eastAsia="Calibri"/>
          <w:lang w:eastAsia="en-US"/>
        </w:rPr>
        <w:t>s industry engagement activities seek to set and maintain regulatory standards, better inform industry practices, and identify harms and potential harms in the market.</w:t>
      </w:r>
    </w:p>
    <w:p w14:paraId="1923FD20" w14:textId="3F043087" w:rsidR="00B63AF4" w:rsidRPr="0042197D" w:rsidRDefault="00B63AF4" w:rsidP="008F2119">
      <w:pPr>
        <w:pStyle w:val="Bullet"/>
        <w:ind w:left="1004"/>
        <w:rPr>
          <w:rFonts w:eastAsia="Calibri"/>
          <w:lang w:eastAsia="en-US"/>
        </w:rPr>
      </w:pPr>
      <w:r w:rsidRPr="0042197D">
        <w:rPr>
          <w:rFonts w:eastAsia="Calibri"/>
          <w:b/>
          <w:bCs/>
          <w:lang w:eastAsia="en-US"/>
        </w:rPr>
        <w:t>Education:</w:t>
      </w:r>
      <w:r w:rsidRPr="0042197D">
        <w:rPr>
          <w:rFonts w:eastAsia="Calibri"/>
          <w:lang w:eastAsia="en-US"/>
        </w:rPr>
        <w:t xml:space="preserve"> ASIC</w:t>
      </w:r>
      <w:r w:rsidR="00BD190B">
        <w:rPr>
          <w:rFonts w:eastAsia="Calibri"/>
          <w:lang w:eastAsia="en-US"/>
        </w:rPr>
        <w:t>’</w:t>
      </w:r>
      <w:r w:rsidRPr="0042197D">
        <w:rPr>
          <w:rFonts w:eastAsia="Calibri"/>
          <w:lang w:eastAsia="en-US"/>
        </w:rPr>
        <w:t>s educational activities aim to empower Australian investors and consumers to be in control of their financial lives and to promote the protection of consumer interests.</w:t>
      </w:r>
    </w:p>
    <w:p w14:paraId="14B26D46" w14:textId="77777777" w:rsidR="00B63AF4" w:rsidRPr="0042197D" w:rsidRDefault="00B63AF4" w:rsidP="008F2119">
      <w:pPr>
        <w:pStyle w:val="Bullet"/>
        <w:ind w:left="1004"/>
        <w:rPr>
          <w:rFonts w:eastAsia="Calibri"/>
          <w:lang w:eastAsia="en-US"/>
        </w:rPr>
      </w:pPr>
      <w:r w:rsidRPr="0042197D">
        <w:rPr>
          <w:rFonts w:eastAsia="Calibri"/>
          <w:b/>
          <w:bCs/>
          <w:lang w:eastAsia="en-US"/>
        </w:rPr>
        <w:t>Guidance:</w:t>
      </w:r>
      <w:r w:rsidRPr="0042197D">
        <w:rPr>
          <w:rFonts w:eastAsia="Calibri"/>
          <w:lang w:eastAsia="en-US"/>
        </w:rPr>
        <w:t xml:space="preserve"> ASIC provides guidance to industry on how it will administer the law through regulatory guides, consultation papers and information sheets.</w:t>
      </w:r>
    </w:p>
    <w:p w14:paraId="1C16D632" w14:textId="3E60DFCB" w:rsidR="00B63AF4" w:rsidRPr="0042197D" w:rsidRDefault="00B63AF4" w:rsidP="008F2119">
      <w:pPr>
        <w:pStyle w:val="Bullet"/>
        <w:ind w:left="1004"/>
        <w:rPr>
          <w:rFonts w:eastAsia="Calibri"/>
          <w:lang w:eastAsia="en-US"/>
        </w:rPr>
      </w:pPr>
      <w:r w:rsidRPr="0042197D">
        <w:rPr>
          <w:rFonts w:eastAsia="Calibri"/>
          <w:b/>
          <w:bCs/>
          <w:lang w:eastAsia="en-US"/>
        </w:rPr>
        <w:t>Policy advice:</w:t>
      </w:r>
      <w:r w:rsidRPr="0042197D">
        <w:rPr>
          <w:rFonts w:eastAsia="Calibri"/>
          <w:lang w:eastAsia="en-US"/>
        </w:rPr>
        <w:t xml:space="preserve"> ASIC provides advice to the Government on the operational implications of </w:t>
      </w:r>
      <w:r w:rsidR="00372153">
        <w:rPr>
          <w:rFonts w:eastAsia="Calibri"/>
          <w:lang w:eastAsia="en-US"/>
        </w:rPr>
        <w:t>g</w:t>
      </w:r>
      <w:r w:rsidRPr="0042197D">
        <w:rPr>
          <w:rFonts w:eastAsia="Calibri"/>
          <w:lang w:eastAsia="en-US"/>
        </w:rPr>
        <w:t>overnment policy initiatives and legislative change, and provides proposals for law reform in response to identified opportunities and risks.</w:t>
      </w:r>
    </w:p>
    <w:p w14:paraId="332405BF" w14:textId="3DBFC7FC" w:rsidR="00B63AF4" w:rsidRPr="0042197D" w:rsidRDefault="00B63AF4" w:rsidP="008F2119">
      <w:pPr>
        <w:pStyle w:val="Bullet"/>
        <w:ind w:left="1004"/>
        <w:rPr>
          <w:rFonts w:eastAsia="Calibri"/>
          <w:lang w:eastAsia="en-US"/>
        </w:rPr>
      </w:pPr>
      <w:r w:rsidRPr="0042197D">
        <w:rPr>
          <w:rFonts w:eastAsia="Calibri"/>
          <w:b/>
          <w:bCs/>
          <w:lang w:eastAsia="en-US"/>
        </w:rPr>
        <w:t>Indirect costs:</w:t>
      </w:r>
      <w:r w:rsidRPr="0042197D">
        <w:rPr>
          <w:rFonts w:eastAsia="Calibri"/>
          <w:lang w:eastAsia="en-US"/>
        </w:rPr>
        <w:t xml:space="preserve"> Indirect costs represent all costs that are not directly attributable to a specific sub</w:t>
      </w:r>
      <w:r w:rsidR="00BD190B">
        <w:rPr>
          <w:rFonts w:eastAsia="Calibri"/>
          <w:lang w:eastAsia="en-US"/>
        </w:rPr>
        <w:noBreakHyphen/>
      </w:r>
      <w:r w:rsidRPr="0042197D">
        <w:rPr>
          <w:rFonts w:eastAsia="Calibri"/>
          <w:lang w:eastAsia="en-US"/>
        </w:rPr>
        <w:t>sector or activity, but nevertheless go toward providing internal support that is essential to ASIC in the course of its work as a regulator. These costs relate to ASIC</w:t>
      </w:r>
      <w:r w:rsidR="00BD190B">
        <w:rPr>
          <w:rFonts w:eastAsia="Calibri"/>
          <w:lang w:eastAsia="en-US"/>
        </w:rPr>
        <w:t>’</w:t>
      </w:r>
      <w:r w:rsidRPr="0042197D">
        <w:rPr>
          <w:rFonts w:eastAsia="Calibri"/>
          <w:lang w:eastAsia="en-US"/>
        </w:rPr>
        <w:t>s operations support; IT support; governance, central strategy and legal and property and corporate services.</w:t>
      </w:r>
    </w:p>
    <w:p w14:paraId="14BC9A84" w14:textId="77777777" w:rsidR="00A103A5" w:rsidRDefault="00A103A5">
      <w:pPr>
        <w:spacing w:before="0" w:after="160" w:line="259" w:lineRule="auto"/>
        <w:rPr>
          <w:rFonts w:ascii="Calibri" w:eastAsiaTheme="minorHAnsi" w:hAnsi="Calibri" w:cs="Arial"/>
          <w:color w:val="4D7861" w:themeColor="accent2"/>
          <w:kern w:val="32"/>
          <w:sz w:val="26"/>
          <w:szCs w:val="26"/>
          <w:lang w:eastAsia="en-US"/>
        </w:rPr>
      </w:pPr>
      <w:bookmarkStart w:id="55" w:name="_Toc129270439"/>
      <w:r>
        <w:rPr>
          <w:rFonts w:eastAsiaTheme="minorHAnsi"/>
          <w:lang w:eastAsia="en-US"/>
        </w:rPr>
        <w:br w:type="page"/>
      </w:r>
    </w:p>
    <w:p w14:paraId="07FD321A" w14:textId="2A9AEE81" w:rsidR="00B63AF4" w:rsidRPr="00293B59" w:rsidRDefault="00B63AF4" w:rsidP="0042197D">
      <w:pPr>
        <w:pStyle w:val="TableMainHeading"/>
        <w:rPr>
          <w:rFonts w:eastAsiaTheme="minorHAnsi"/>
          <w:lang w:eastAsia="en-US"/>
        </w:rPr>
      </w:pPr>
      <w:r w:rsidRPr="00293B59">
        <w:rPr>
          <w:rFonts w:eastAsiaTheme="minorHAnsi"/>
          <w:lang w:eastAsia="en-US"/>
        </w:rPr>
        <w:lastRenderedPageBreak/>
        <w:t>Table 2.2: ASIC activity costs</w:t>
      </w:r>
      <w:r>
        <w:rPr>
          <w:rFonts w:eastAsiaTheme="minorHAnsi"/>
          <w:lang w:eastAsia="en-US"/>
        </w:rPr>
        <w:t>*</w:t>
      </w:r>
      <w:r w:rsidRPr="00293B59">
        <w:rPr>
          <w:rFonts w:eastAsiaTheme="minorHAnsi"/>
          <w:lang w:eastAsia="en-US"/>
        </w:rPr>
        <w:t xml:space="preserve"> as a proportion of total operating costs since the commencement of the IFM</w:t>
      </w:r>
      <w:bookmarkEnd w:id="55"/>
      <w:r w:rsidRPr="00293B59">
        <w:rPr>
          <w:rFonts w:eastAsiaTheme="minorHAnsi"/>
          <w:lang w:eastAsia="en-US"/>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16"/>
        <w:gridCol w:w="823"/>
        <w:gridCol w:w="716"/>
        <w:gridCol w:w="819"/>
        <w:gridCol w:w="716"/>
        <w:gridCol w:w="810"/>
        <w:gridCol w:w="716"/>
        <w:gridCol w:w="810"/>
        <w:gridCol w:w="716"/>
        <w:gridCol w:w="712"/>
      </w:tblGrid>
      <w:tr w:rsidR="00B63AF4" w:rsidRPr="0042197D" w14:paraId="28E7A8ED" w14:textId="77777777" w:rsidTr="00B63AF4">
        <w:trPr>
          <w:cnfStyle w:val="100000000000" w:firstRow="1" w:lastRow="0" w:firstColumn="0" w:lastColumn="0" w:oddVBand="0" w:evenVBand="0" w:oddHBand="0" w:evenHBand="0" w:firstRowFirstColumn="0" w:firstRowLastColumn="0" w:lastRowFirstColumn="0" w:lastRowLastColumn="0"/>
          <w:jc w:val="center"/>
        </w:trPr>
        <w:tc>
          <w:tcPr>
            <w:tcW w:w="832" w:type="pct"/>
            <w:vMerge w:val="restart"/>
            <w:shd w:val="clear" w:color="auto" w:fill="FFFFFF" w:themeFill="background1"/>
          </w:tcPr>
          <w:p w14:paraId="1777CE63" w14:textId="77777777" w:rsidR="00B63AF4" w:rsidRPr="0042197D" w:rsidRDefault="00B63AF4" w:rsidP="0042197D">
            <w:pPr>
              <w:pStyle w:val="TableColumnHeadingLeft"/>
              <w:rPr>
                <w:b/>
                <w:bCs/>
              </w:rPr>
            </w:pPr>
            <w:r w:rsidRPr="0042197D">
              <w:rPr>
                <w:b/>
                <w:bCs/>
              </w:rPr>
              <w:t xml:space="preserve">Activity </w:t>
            </w:r>
          </w:p>
        </w:tc>
        <w:tc>
          <w:tcPr>
            <w:tcW w:w="849" w:type="pct"/>
            <w:gridSpan w:val="2"/>
          </w:tcPr>
          <w:p w14:paraId="6A35759E" w14:textId="49B36B1C" w:rsidR="00B63AF4" w:rsidRPr="0042197D" w:rsidRDefault="009C7ED2" w:rsidP="0042197D">
            <w:pPr>
              <w:pStyle w:val="TableColumnHeadingCentred"/>
              <w:rPr>
                <w:b/>
                <w:bCs/>
              </w:rPr>
            </w:pPr>
            <w:r>
              <w:rPr>
                <w:b/>
                <w:bCs/>
              </w:rPr>
              <w:t>2017–18</w:t>
            </w:r>
          </w:p>
        </w:tc>
        <w:tc>
          <w:tcPr>
            <w:tcW w:w="847" w:type="pct"/>
            <w:gridSpan w:val="2"/>
            <w:shd w:val="clear" w:color="auto" w:fill="FFFFFF" w:themeFill="background1"/>
          </w:tcPr>
          <w:p w14:paraId="1FEE1D72" w14:textId="5ADC5998" w:rsidR="00B63AF4" w:rsidRPr="0042197D" w:rsidRDefault="009C7ED2" w:rsidP="0042197D">
            <w:pPr>
              <w:pStyle w:val="TableColumnHeadingCentred"/>
              <w:rPr>
                <w:b/>
                <w:bCs/>
              </w:rPr>
            </w:pPr>
            <w:r>
              <w:rPr>
                <w:b/>
                <w:bCs/>
              </w:rPr>
              <w:t>2018–19</w:t>
            </w:r>
          </w:p>
        </w:tc>
        <w:tc>
          <w:tcPr>
            <w:tcW w:w="842" w:type="pct"/>
            <w:gridSpan w:val="2"/>
          </w:tcPr>
          <w:p w14:paraId="0CEC593C" w14:textId="34C33385" w:rsidR="00B63AF4" w:rsidRPr="0042197D" w:rsidRDefault="009C7ED2" w:rsidP="0042197D">
            <w:pPr>
              <w:pStyle w:val="TableColumnHeadingCentred"/>
              <w:rPr>
                <w:b/>
                <w:bCs/>
              </w:rPr>
            </w:pPr>
            <w:r>
              <w:rPr>
                <w:b/>
                <w:bCs/>
              </w:rPr>
              <w:t>2019–20</w:t>
            </w:r>
          </w:p>
        </w:tc>
        <w:tc>
          <w:tcPr>
            <w:tcW w:w="842" w:type="pct"/>
            <w:gridSpan w:val="2"/>
            <w:shd w:val="clear" w:color="auto" w:fill="FFFFFF" w:themeFill="background1"/>
          </w:tcPr>
          <w:p w14:paraId="62281CD3" w14:textId="7D4B2012" w:rsidR="00B63AF4" w:rsidRPr="0042197D" w:rsidRDefault="009C7ED2" w:rsidP="0042197D">
            <w:pPr>
              <w:pStyle w:val="TableColumnHeadingCentred"/>
              <w:rPr>
                <w:b/>
                <w:bCs/>
              </w:rPr>
            </w:pPr>
            <w:r>
              <w:rPr>
                <w:b/>
                <w:bCs/>
              </w:rPr>
              <w:t>2020–21</w:t>
            </w:r>
          </w:p>
        </w:tc>
        <w:tc>
          <w:tcPr>
            <w:tcW w:w="788" w:type="pct"/>
            <w:gridSpan w:val="2"/>
          </w:tcPr>
          <w:p w14:paraId="37E6B62D" w14:textId="00F7F6B2" w:rsidR="00B63AF4" w:rsidRPr="0042197D" w:rsidRDefault="009C7ED2" w:rsidP="0042197D">
            <w:pPr>
              <w:pStyle w:val="TableColumnHeadingCentred"/>
              <w:rPr>
                <w:b/>
                <w:bCs/>
              </w:rPr>
            </w:pPr>
            <w:r>
              <w:rPr>
                <w:b/>
                <w:bCs/>
              </w:rPr>
              <w:t>2021–22</w:t>
            </w:r>
          </w:p>
        </w:tc>
      </w:tr>
      <w:tr w:rsidR="00B63AF4" w:rsidRPr="00C70537" w14:paraId="5B4E33EA" w14:textId="77777777" w:rsidTr="00B63AF4">
        <w:trPr>
          <w:jc w:val="center"/>
        </w:trPr>
        <w:tc>
          <w:tcPr>
            <w:tcW w:w="832" w:type="pct"/>
            <w:vMerge/>
            <w:shd w:val="clear" w:color="auto" w:fill="FFFFFF" w:themeFill="background1"/>
          </w:tcPr>
          <w:p w14:paraId="5A485800" w14:textId="77777777" w:rsidR="00B63AF4" w:rsidRPr="000E3CAD" w:rsidRDefault="00B63AF4" w:rsidP="0042197D">
            <w:pPr>
              <w:pStyle w:val="TableColumnHeadingCentred"/>
            </w:pPr>
          </w:p>
        </w:tc>
        <w:tc>
          <w:tcPr>
            <w:tcW w:w="395" w:type="pct"/>
            <w:shd w:val="clear" w:color="auto" w:fill="EEEEEE" w:themeFill="background2"/>
          </w:tcPr>
          <w:p w14:paraId="2464D1EA" w14:textId="77777777" w:rsidR="00B63AF4" w:rsidRPr="000E3CAD" w:rsidRDefault="00B63AF4" w:rsidP="0042197D">
            <w:pPr>
              <w:pStyle w:val="TableColumnHeadingCentred"/>
            </w:pPr>
            <w:r w:rsidRPr="000E3CAD">
              <w:t>$m</w:t>
            </w:r>
          </w:p>
        </w:tc>
        <w:tc>
          <w:tcPr>
            <w:tcW w:w="454" w:type="pct"/>
            <w:shd w:val="clear" w:color="auto" w:fill="EEEEEE" w:themeFill="background2"/>
          </w:tcPr>
          <w:p w14:paraId="4AD5D6A6" w14:textId="77777777" w:rsidR="00B63AF4" w:rsidRPr="000E3CAD" w:rsidRDefault="00B63AF4" w:rsidP="0042197D">
            <w:pPr>
              <w:pStyle w:val="TableColumnHeadingCentred"/>
            </w:pPr>
            <w:r w:rsidRPr="000E3CAD">
              <w:t>%</w:t>
            </w:r>
          </w:p>
        </w:tc>
        <w:tc>
          <w:tcPr>
            <w:tcW w:w="395" w:type="pct"/>
            <w:shd w:val="clear" w:color="auto" w:fill="FFFFFF" w:themeFill="background1"/>
          </w:tcPr>
          <w:p w14:paraId="08987394" w14:textId="77777777" w:rsidR="00B63AF4" w:rsidRPr="000E3CAD" w:rsidRDefault="00B63AF4" w:rsidP="0042197D">
            <w:pPr>
              <w:pStyle w:val="TableColumnHeadingCentred"/>
            </w:pPr>
            <w:r w:rsidRPr="000E3CAD">
              <w:t>$m</w:t>
            </w:r>
          </w:p>
        </w:tc>
        <w:tc>
          <w:tcPr>
            <w:tcW w:w="452" w:type="pct"/>
            <w:shd w:val="clear" w:color="auto" w:fill="FFFFFF" w:themeFill="background1"/>
          </w:tcPr>
          <w:p w14:paraId="5B969D00" w14:textId="77777777" w:rsidR="00B63AF4" w:rsidRPr="000E3CAD" w:rsidRDefault="00B63AF4" w:rsidP="0042197D">
            <w:pPr>
              <w:pStyle w:val="TableColumnHeadingCentred"/>
            </w:pPr>
            <w:r w:rsidRPr="000E3CAD">
              <w:t>%</w:t>
            </w:r>
          </w:p>
        </w:tc>
        <w:tc>
          <w:tcPr>
            <w:tcW w:w="395" w:type="pct"/>
            <w:shd w:val="clear" w:color="auto" w:fill="EEEEEE" w:themeFill="background2"/>
          </w:tcPr>
          <w:p w14:paraId="3C11F798" w14:textId="77777777" w:rsidR="00B63AF4" w:rsidRPr="000E3CAD" w:rsidRDefault="00B63AF4" w:rsidP="0042197D">
            <w:pPr>
              <w:pStyle w:val="TableColumnHeadingCentred"/>
            </w:pPr>
            <w:r w:rsidRPr="000E3CAD">
              <w:t>$m</w:t>
            </w:r>
          </w:p>
        </w:tc>
        <w:tc>
          <w:tcPr>
            <w:tcW w:w="447" w:type="pct"/>
            <w:shd w:val="clear" w:color="auto" w:fill="EEEEEE" w:themeFill="background2"/>
          </w:tcPr>
          <w:p w14:paraId="18545FF5" w14:textId="77777777" w:rsidR="00B63AF4" w:rsidRPr="000E3CAD" w:rsidRDefault="00B63AF4" w:rsidP="0042197D">
            <w:pPr>
              <w:pStyle w:val="TableColumnHeadingCentred"/>
            </w:pPr>
            <w:r w:rsidRPr="000E3CAD">
              <w:t>%</w:t>
            </w:r>
          </w:p>
        </w:tc>
        <w:tc>
          <w:tcPr>
            <w:tcW w:w="395" w:type="pct"/>
            <w:shd w:val="clear" w:color="auto" w:fill="FFFFFF" w:themeFill="background1"/>
          </w:tcPr>
          <w:p w14:paraId="77F1F665" w14:textId="77777777" w:rsidR="00B63AF4" w:rsidRPr="000E3CAD" w:rsidRDefault="00B63AF4" w:rsidP="0042197D">
            <w:pPr>
              <w:pStyle w:val="TableColumnHeadingCentred"/>
            </w:pPr>
            <w:r w:rsidRPr="000E3CAD">
              <w:t>$m</w:t>
            </w:r>
          </w:p>
        </w:tc>
        <w:tc>
          <w:tcPr>
            <w:tcW w:w="447" w:type="pct"/>
            <w:shd w:val="clear" w:color="auto" w:fill="FFFFFF" w:themeFill="background1"/>
          </w:tcPr>
          <w:p w14:paraId="188669F8" w14:textId="77777777" w:rsidR="00B63AF4" w:rsidRPr="000E3CAD" w:rsidRDefault="00B63AF4" w:rsidP="0042197D">
            <w:pPr>
              <w:pStyle w:val="TableColumnHeadingCentred"/>
            </w:pPr>
            <w:r w:rsidRPr="000E3CAD">
              <w:t>%</w:t>
            </w:r>
          </w:p>
        </w:tc>
        <w:tc>
          <w:tcPr>
            <w:tcW w:w="395" w:type="pct"/>
            <w:shd w:val="clear" w:color="auto" w:fill="EEEEEE" w:themeFill="background2"/>
          </w:tcPr>
          <w:p w14:paraId="779C0A82" w14:textId="77777777" w:rsidR="00B63AF4" w:rsidRPr="000E3CAD" w:rsidRDefault="00B63AF4" w:rsidP="0042197D">
            <w:pPr>
              <w:pStyle w:val="TableColumnHeadingCentred"/>
            </w:pPr>
            <w:r w:rsidRPr="000E3CAD">
              <w:t>$m</w:t>
            </w:r>
          </w:p>
        </w:tc>
        <w:tc>
          <w:tcPr>
            <w:tcW w:w="393" w:type="pct"/>
            <w:shd w:val="clear" w:color="auto" w:fill="EEEEEE" w:themeFill="background2"/>
          </w:tcPr>
          <w:p w14:paraId="384C1F01" w14:textId="77777777" w:rsidR="00B63AF4" w:rsidRPr="000E3CAD" w:rsidRDefault="00B63AF4" w:rsidP="0042197D">
            <w:pPr>
              <w:pStyle w:val="TableColumnHeadingCentred"/>
            </w:pPr>
            <w:r w:rsidRPr="000E3CAD">
              <w:t>%</w:t>
            </w:r>
          </w:p>
        </w:tc>
      </w:tr>
      <w:tr w:rsidR="00EA7562" w:rsidRPr="00C70537" w14:paraId="281534FC" w14:textId="77777777" w:rsidTr="00467D53">
        <w:trPr>
          <w:jc w:val="center"/>
        </w:trPr>
        <w:tc>
          <w:tcPr>
            <w:tcW w:w="832" w:type="pct"/>
          </w:tcPr>
          <w:p w14:paraId="622A8DF1" w14:textId="77777777" w:rsidR="00EA7562" w:rsidRPr="000E3CAD" w:rsidRDefault="00EA7562" w:rsidP="00EA7562">
            <w:pPr>
              <w:pStyle w:val="TableTextLeft"/>
            </w:pPr>
            <w:r w:rsidRPr="000E3CAD">
              <w:t>Supervision/ surveillance</w:t>
            </w:r>
          </w:p>
        </w:tc>
        <w:tc>
          <w:tcPr>
            <w:tcW w:w="395" w:type="pct"/>
            <w:shd w:val="clear" w:color="auto" w:fill="EEEEEE" w:themeFill="background2"/>
          </w:tcPr>
          <w:p w14:paraId="15945302" w14:textId="77777777" w:rsidR="00EA7562" w:rsidRPr="000E3CAD" w:rsidRDefault="00EA7562" w:rsidP="00EA7562">
            <w:pPr>
              <w:pStyle w:val="TableTextRight"/>
            </w:pPr>
            <w:r w:rsidRPr="000E3CAD">
              <w:t xml:space="preserve">50.8 </w:t>
            </w:r>
          </w:p>
        </w:tc>
        <w:tc>
          <w:tcPr>
            <w:tcW w:w="454" w:type="pct"/>
            <w:shd w:val="clear" w:color="auto" w:fill="EEEEEE" w:themeFill="background2"/>
          </w:tcPr>
          <w:p w14:paraId="76414240" w14:textId="77777777" w:rsidR="00EA7562" w:rsidRPr="000E3CAD" w:rsidRDefault="00EA7562" w:rsidP="00EA7562">
            <w:pPr>
              <w:pStyle w:val="TableTextRight"/>
            </w:pPr>
            <w:r w:rsidRPr="000E3CAD">
              <w:t xml:space="preserve">21.8 </w:t>
            </w:r>
          </w:p>
        </w:tc>
        <w:tc>
          <w:tcPr>
            <w:tcW w:w="395" w:type="pct"/>
          </w:tcPr>
          <w:p w14:paraId="409778E0" w14:textId="77777777" w:rsidR="00EA7562" w:rsidRPr="000E3CAD" w:rsidRDefault="00EA7562" w:rsidP="00EA7562">
            <w:pPr>
              <w:pStyle w:val="TableTextRight"/>
            </w:pPr>
            <w:r w:rsidRPr="000E3CAD">
              <w:t xml:space="preserve">40.0 </w:t>
            </w:r>
          </w:p>
        </w:tc>
        <w:tc>
          <w:tcPr>
            <w:tcW w:w="452" w:type="pct"/>
          </w:tcPr>
          <w:p w14:paraId="0E050B4F" w14:textId="77777777" w:rsidR="00EA7562" w:rsidRPr="000E3CAD" w:rsidRDefault="00EA7562" w:rsidP="00EA7562">
            <w:pPr>
              <w:pStyle w:val="TableTextRight"/>
            </w:pPr>
            <w:r w:rsidRPr="000E3CAD">
              <w:t xml:space="preserve">15.9 </w:t>
            </w:r>
          </w:p>
        </w:tc>
        <w:tc>
          <w:tcPr>
            <w:tcW w:w="395" w:type="pct"/>
            <w:shd w:val="clear" w:color="auto" w:fill="EEEEEE" w:themeFill="background2"/>
          </w:tcPr>
          <w:p w14:paraId="728F98AF" w14:textId="77777777" w:rsidR="00EA7562" w:rsidRPr="000E3CAD" w:rsidRDefault="00EA7562" w:rsidP="00EA7562">
            <w:pPr>
              <w:pStyle w:val="TableTextRight"/>
            </w:pPr>
            <w:r w:rsidRPr="000E3CAD">
              <w:t xml:space="preserve">51.4 </w:t>
            </w:r>
          </w:p>
        </w:tc>
        <w:tc>
          <w:tcPr>
            <w:tcW w:w="447" w:type="pct"/>
            <w:shd w:val="clear" w:color="auto" w:fill="EEEEEE" w:themeFill="background2"/>
          </w:tcPr>
          <w:p w14:paraId="09E15A41" w14:textId="77777777" w:rsidR="00EA7562" w:rsidRPr="000E3CAD" w:rsidRDefault="00EA7562" w:rsidP="00EA7562">
            <w:pPr>
              <w:pStyle w:val="TableTextRight"/>
            </w:pPr>
            <w:r w:rsidRPr="000E3CAD">
              <w:t xml:space="preserve">17.7 </w:t>
            </w:r>
          </w:p>
        </w:tc>
        <w:tc>
          <w:tcPr>
            <w:tcW w:w="395" w:type="pct"/>
          </w:tcPr>
          <w:p w14:paraId="255019A6" w14:textId="7F48D6FA" w:rsidR="00EA7562" w:rsidRPr="000E3CAD" w:rsidRDefault="00EA7562" w:rsidP="00467D53">
            <w:pPr>
              <w:pStyle w:val="TableTextRight"/>
            </w:pPr>
            <w:r>
              <w:rPr>
                <w:rFonts w:cs="Calibri Light"/>
                <w:szCs w:val="18"/>
              </w:rPr>
              <w:t>55.4</w:t>
            </w:r>
          </w:p>
        </w:tc>
        <w:tc>
          <w:tcPr>
            <w:tcW w:w="447" w:type="pct"/>
          </w:tcPr>
          <w:p w14:paraId="0CF4CB53" w14:textId="70AD9423" w:rsidR="00EA7562" w:rsidRPr="000E3CAD" w:rsidRDefault="00EA7562" w:rsidP="00467D53">
            <w:pPr>
              <w:pStyle w:val="TableTextRight"/>
            </w:pPr>
            <w:r>
              <w:rPr>
                <w:rFonts w:cs="Calibri Light"/>
                <w:szCs w:val="18"/>
              </w:rPr>
              <w:t>16.6</w:t>
            </w:r>
          </w:p>
        </w:tc>
        <w:tc>
          <w:tcPr>
            <w:tcW w:w="395" w:type="pct"/>
            <w:shd w:val="clear" w:color="auto" w:fill="EEEEEE" w:themeFill="background2"/>
          </w:tcPr>
          <w:p w14:paraId="2628F6B6" w14:textId="77777777" w:rsidR="00EA7562" w:rsidRPr="000E3CAD" w:rsidRDefault="00EA7562" w:rsidP="00EA7562">
            <w:pPr>
              <w:pStyle w:val="TableTextRight"/>
            </w:pPr>
            <w:r w:rsidRPr="000E3CAD">
              <w:t xml:space="preserve">54.0 </w:t>
            </w:r>
          </w:p>
        </w:tc>
        <w:tc>
          <w:tcPr>
            <w:tcW w:w="393" w:type="pct"/>
            <w:shd w:val="clear" w:color="auto" w:fill="EEEEEE" w:themeFill="background2"/>
          </w:tcPr>
          <w:p w14:paraId="0C8D6981" w14:textId="77777777" w:rsidR="00EA7562" w:rsidRPr="000E3CAD" w:rsidRDefault="00EA7562" w:rsidP="00EA7562">
            <w:pPr>
              <w:pStyle w:val="TableTextRight"/>
            </w:pPr>
            <w:r w:rsidRPr="000E3CAD">
              <w:t xml:space="preserve">15.6 </w:t>
            </w:r>
          </w:p>
        </w:tc>
      </w:tr>
      <w:tr w:rsidR="00EA7562" w:rsidRPr="00C70537" w14:paraId="27211AE9" w14:textId="77777777" w:rsidTr="00467D53">
        <w:trPr>
          <w:jc w:val="center"/>
        </w:trPr>
        <w:tc>
          <w:tcPr>
            <w:tcW w:w="832" w:type="pct"/>
          </w:tcPr>
          <w:p w14:paraId="509E6716" w14:textId="77777777" w:rsidR="00EA7562" w:rsidRPr="000E3CAD" w:rsidRDefault="00EA7562" w:rsidP="00EA7562">
            <w:pPr>
              <w:pStyle w:val="TableTextLeft"/>
            </w:pPr>
            <w:r w:rsidRPr="000E3CAD">
              <w:t xml:space="preserve">Enforcement </w:t>
            </w:r>
          </w:p>
        </w:tc>
        <w:tc>
          <w:tcPr>
            <w:tcW w:w="395" w:type="pct"/>
            <w:shd w:val="clear" w:color="auto" w:fill="EEEEEE" w:themeFill="background2"/>
          </w:tcPr>
          <w:p w14:paraId="67E59207" w14:textId="77777777" w:rsidR="00EA7562" w:rsidRPr="000E3CAD" w:rsidRDefault="00EA7562" w:rsidP="00EA7562">
            <w:pPr>
              <w:pStyle w:val="TableTextRight"/>
            </w:pPr>
            <w:r w:rsidRPr="000E3CAD">
              <w:t xml:space="preserve">67.6 </w:t>
            </w:r>
          </w:p>
        </w:tc>
        <w:tc>
          <w:tcPr>
            <w:tcW w:w="454" w:type="pct"/>
            <w:shd w:val="clear" w:color="auto" w:fill="EEEEEE" w:themeFill="background2"/>
          </w:tcPr>
          <w:p w14:paraId="6D200AFB" w14:textId="77777777" w:rsidR="00EA7562" w:rsidRPr="000E3CAD" w:rsidRDefault="00EA7562" w:rsidP="00EA7562">
            <w:pPr>
              <w:pStyle w:val="TableTextRight"/>
            </w:pPr>
            <w:r w:rsidRPr="000E3CAD">
              <w:t xml:space="preserve">29.1 </w:t>
            </w:r>
          </w:p>
        </w:tc>
        <w:tc>
          <w:tcPr>
            <w:tcW w:w="395" w:type="pct"/>
          </w:tcPr>
          <w:p w14:paraId="0152235E" w14:textId="77777777" w:rsidR="00EA7562" w:rsidRPr="000E3CAD" w:rsidRDefault="00EA7562" w:rsidP="00EA7562">
            <w:pPr>
              <w:pStyle w:val="TableTextRight"/>
            </w:pPr>
            <w:r w:rsidRPr="000E3CAD">
              <w:t xml:space="preserve">75.6 </w:t>
            </w:r>
          </w:p>
        </w:tc>
        <w:tc>
          <w:tcPr>
            <w:tcW w:w="452" w:type="pct"/>
          </w:tcPr>
          <w:p w14:paraId="47237B14" w14:textId="77777777" w:rsidR="00EA7562" w:rsidRPr="000E3CAD" w:rsidRDefault="00EA7562" w:rsidP="00EA7562">
            <w:pPr>
              <w:pStyle w:val="TableTextRight"/>
            </w:pPr>
            <w:r w:rsidRPr="000E3CAD">
              <w:t xml:space="preserve">29.9 </w:t>
            </w:r>
          </w:p>
        </w:tc>
        <w:tc>
          <w:tcPr>
            <w:tcW w:w="395" w:type="pct"/>
            <w:shd w:val="clear" w:color="auto" w:fill="EEEEEE" w:themeFill="background2"/>
          </w:tcPr>
          <w:p w14:paraId="3735955E" w14:textId="77777777" w:rsidR="00EA7562" w:rsidRPr="000E3CAD" w:rsidRDefault="00EA7562" w:rsidP="00EA7562">
            <w:pPr>
              <w:pStyle w:val="TableTextRight"/>
            </w:pPr>
            <w:r w:rsidRPr="000E3CAD">
              <w:t xml:space="preserve">83.6 </w:t>
            </w:r>
          </w:p>
        </w:tc>
        <w:tc>
          <w:tcPr>
            <w:tcW w:w="447" w:type="pct"/>
            <w:shd w:val="clear" w:color="auto" w:fill="EEEEEE" w:themeFill="background2"/>
          </w:tcPr>
          <w:p w14:paraId="1DB01A0E" w14:textId="77777777" w:rsidR="00EA7562" w:rsidRPr="000E3CAD" w:rsidRDefault="00EA7562" w:rsidP="00EA7562">
            <w:pPr>
              <w:pStyle w:val="TableTextRight"/>
            </w:pPr>
            <w:r w:rsidRPr="000E3CAD">
              <w:t xml:space="preserve">28.7 </w:t>
            </w:r>
          </w:p>
        </w:tc>
        <w:tc>
          <w:tcPr>
            <w:tcW w:w="395" w:type="pct"/>
          </w:tcPr>
          <w:p w14:paraId="07E45BF0" w14:textId="1E9B5512" w:rsidR="00EA7562" w:rsidRPr="000E3CAD" w:rsidRDefault="00EA7562" w:rsidP="00467D53">
            <w:pPr>
              <w:pStyle w:val="TableTextRight"/>
            </w:pPr>
            <w:r>
              <w:rPr>
                <w:rFonts w:cs="Calibri Light"/>
                <w:szCs w:val="18"/>
              </w:rPr>
              <w:t>124.4</w:t>
            </w:r>
          </w:p>
        </w:tc>
        <w:tc>
          <w:tcPr>
            <w:tcW w:w="447" w:type="pct"/>
          </w:tcPr>
          <w:p w14:paraId="5EA7B949" w14:textId="4B4D2B6D" w:rsidR="00EA7562" w:rsidRPr="000E3CAD" w:rsidRDefault="00EA7562" w:rsidP="00467D53">
            <w:pPr>
              <w:pStyle w:val="TableTextRight"/>
            </w:pPr>
            <w:r>
              <w:rPr>
                <w:rFonts w:cs="Calibri Light"/>
                <w:szCs w:val="18"/>
              </w:rPr>
              <w:t>37.2</w:t>
            </w:r>
          </w:p>
        </w:tc>
        <w:tc>
          <w:tcPr>
            <w:tcW w:w="395" w:type="pct"/>
            <w:shd w:val="clear" w:color="auto" w:fill="EEEEEE" w:themeFill="background2"/>
          </w:tcPr>
          <w:p w14:paraId="637C2113" w14:textId="77777777" w:rsidR="00EA7562" w:rsidRPr="000E3CAD" w:rsidRDefault="00EA7562" w:rsidP="00EA7562">
            <w:pPr>
              <w:pStyle w:val="TableTextRight"/>
            </w:pPr>
            <w:r w:rsidRPr="000E3CAD">
              <w:t xml:space="preserve">130.5 </w:t>
            </w:r>
          </w:p>
        </w:tc>
        <w:tc>
          <w:tcPr>
            <w:tcW w:w="393" w:type="pct"/>
            <w:shd w:val="clear" w:color="auto" w:fill="EEEEEE" w:themeFill="background2"/>
          </w:tcPr>
          <w:p w14:paraId="2C0DC3E6" w14:textId="77777777" w:rsidR="00EA7562" w:rsidRPr="000E3CAD" w:rsidRDefault="00EA7562" w:rsidP="00EA7562">
            <w:pPr>
              <w:pStyle w:val="TableTextRight"/>
            </w:pPr>
            <w:r w:rsidRPr="000E3CAD">
              <w:t>37.3</w:t>
            </w:r>
          </w:p>
        </w:tc>
      </w:tr>
      <w:tr w:rsidR="00EA7562" w:rsidRPr="00C70537" w14:paraId="76ACB30C" w14:textId="77777777" w:rsidTr="00467D53">
        <w:trPr>
          <w:jc w:val="center"/>
        </w:trPr>
        <w:tc>
          <w:tcPr>
            <w:tcW w:w="832" w:type="pct"/>
          </w:tcPr>
          <w:p w14:paraId="3C1213A4" w14:textId="77777777" w:rsidR="00EA7562" w:rsidRPr="000E3CAD" w:rsidRDefault="00EA7562" w:rsidP="00EA7562">
            <w:pPr>
              <w:pStyle w:val="TableTextLeft"/>
            </w:pPr>
            <w:r w:rsidRPr="000E3CAD">
              <w:t xml:space="preserve">Industry engagement </w:t>
            </w:r>
          </w:p>
        </w:tc>
        <w:tc>
          <w:tcPr>
            <w:tcW w:w="395" w:type="pct"/>
            <w:shd w:val="clear" w:color="auto" w:fill="EEEEEE" w:themeFill="background2"/>
          </w:tcPr>
          <w:p w14:paraId="1C8860DC" w14:textId="77777777" w:rsidR="00EA7562" w:rsidRPr="000E3CAD" w:rsidRDefault="00EA7562" w:rsidP="00EA7562">
            <w:pPr>
              <w:pStyle w:val="TableTextRight"/>
            </w:pPr>
            <w:r w:rsidRPr="000E3CAD">
              <w:t xml:space="preserve">5.8 </w:t>
            </w:r>
          </w:p>
        </w:tc>
        <w:tc>
          <w:tcPr>
            <w:tcW w:w="454" w:type="pct"/>
            <w:shd w:val="clear" w:color="auto" w:fill="EEEEEE" w:themeFill="background2"/>
          </w:tcPr>
          <w:p w14:paraId="36F88913" w14:textId="77777777" w:rsidR="00EA7562" w:rsidRPr="000E3CAD" w:rsidRDefault="00EA7562" w:rsidP="00EA7562">
            <w:pPr>
              <w:pStyle w:val="TableTextRight"/>
            </w:pPr>
            <w:r w:rsidRPr="000E3CAD">
              <w:t xml:space="preserve">2.5 </w:t>
            </w:r>
          </w:p>
        </w:tc>
        <w:tc>
          <w:tcPr>
            <w:tcW w:w="395" w:type="pct"/>
          </w:tcPr>
          <w:p w14:paraId="77AF7DBC" w14:textId="77777777" w:rsidR="00EA7562" w:rsidRPr="000E3CAD" w:rsidRDefault="00EA7562" w:rsidP="00EA7562">
            <w:pPr>
              <w:pStyle w:val="TableTextRight"/>
            </w:pPr>
            <w:r w:rsidRPr="000E3CAD">
              <w:t xml:space="preserve">9.9 </w:t>
            </w:r>
          </w:p>
        </w:tc>
        <w:tc>
          <w:tcPr>
            <w:tcW w:w="452" w:type="pct"/>
          </w:tcPr>
          <w:p w14:paraId="22777B5A" w14:textId="77777777" w:rsidR="00EA7562" w:rsidRPr="000E3CAD" w:rsidRDefault="00EA7562" w:rsidP="00EA7562">
            <w:pPr>
              <w:pStyle w:val="TableTextRight"/>
            </w:pPr>
            <w:r w:rsidRPr="000E3CAD">
              <w:t xml:space="preserve">3.9 </w:t>
            </w:r>
          </w:p>
        </w:tc>
        <w:tc>
          <w:tcPr>
            <w:tcW w:w="395" w:type="pct"/>
            <w:shd w:val="clear" w:color="auto" w:fill="EEEEEE" w:themeFill="background2"/>
          </w:tcPr>
          <w:p w14:paraId="5CC3EE74" w14:textId="77777777" w:rsidR="00EA7562" w:rsidRPr="000E3CAD" w:rsidRDefault="00EA7562" w:rsidP="00EA7562">
            <w:pPr>
              <w:pStyle w:val="TableTextRight"/>
            </w:pPr>
            <w:r w:rsidRPr="000E3CAD">
              <w:t xml:space="preserve">7.8 </w:t>
            </w:r>
          </w:p>
        </w:tc>
        <w:tc>
          <w:tcPr>
            <w:tcW w:w="447" w:type="pct"/>
            <w:shd w:val="clear" w:color="auto" w:fill="EEEEEE" w:themeFill="background2"/>
          </w:tcPr>
          <w:p w14:paraId="639FD246" w14:textId="77777777" w:rsidR="00EA7562" w:rsidRPr="000E3CAD" w:rsidRDefault="00EA7562" w:rsidP="00EA7562">
            <w:pPr>
              <w:pStyle w:val="TableTextRight"/>
            </w:pPr>
            <w:r w:rsidRPr="000E3CAD">
              <w:t xml:space="preserve">2.7 </w:t>
            </w:r>
          </w:p>
        </w:tc>
        <w:tc>
          <w:tcPr>
            <w:tcW w:w="395" w:type="pct"/>
          </w:tcPr>
          <w:p w14:paraId="0552A41F" w14:textId="20C9A3F9" w:rsidR="00EA7562" w:rsidRPr="000E3CAD" w:rsidRDefault="00EA7562" w:rsidP="00467D53">
            <w:pPr>
              <w:pStyle w:val="TableTextRight"/>
            </w:pPr>
            <w:r>
              <w:rPr>
                <w:rFonts w:cs="Calibri Light"/>
                <w:szCs w:val="18"/>
              </w:rPr>
              <w:t>9.5</w:t>
            </w:r>
          </w:p>
        </w:tc>
        <w:tc>
          <w:tcPr>
            <w:tcW w:w="447" w:type="pct"/>
          </w:tcPr>
          <w:p w14:paraId="4E6EE0D3" w14:textId="12457608" w:rsidR="00EA7562" w:rsidRPr="000E3CAD" w:rsidRDefault="00EA7562" w:rsidP="00467D53">
            <w:pPr>
              <w:pStyle w:val="TableTextRight"/>
            </w:pPr>
            <w:r>
              <w:rPr>
                <w:rFonts w:cs="Calibri Light"/>
                <w:szCs w:val="18"/>
              </w:rPr>
              <w:t>2.8</w:t>
            </w:r>
          </w:p>
        </w:tc>
        <w:tc>
          <w:tcPr>
            <w:tcW w:w="395" w:type="pct"/>
            <w:shd w:val="clear" w:color="auto" w:fill="EEEEEE" w:themeFill="background2"/>
          </w:tcPr>
          <w:p w14:paraId="0EB3D4E6" w14:textId="77777777" w:rsidR="00EA7562" w:rsidRPr="000E3CAD" w:rsidRDefault="00EA7562" w:rsidP="00EA7562">
            <w:pPr>
              <w:pStyle w:val="TableTextRight"/>
            </w:pPr>
            <w:r w:rsidRPr="000E3CAD">
              <w:t xml:space="preserve">10.1 </w:t>
            </w:r>
          </w:p>
        </w:tc>
        <w:tc>
          <w:tcPr>
            <w:tcW w:w="393" w:type="pct"/>
            <w:shd w:val="clear" w:color="auto" w:fill="EEEEEE" w:themeFill="background2"/>
          </w:tcPr>
          <w:p w14:paraId="23FB31A8" w14:textId="77777777" w:rsidR="00EA7562" w:rsidRPr="000E3CAD" w:rsidRDefault="00EA7562" w:rsidP="00EA7562">
            <w:pPr>
              <w:pStyle w:val="TableTextRight"/>
            </w:pPr>
            <w:r w:rsidRPr="000E3CAD">
              <w:t>2.9</w:t>
            </w:r>
          </w:p>
        </w:tc>
      </w:tr>
      <w:tr w:rsidR="00EA7562" w:rsidRPr="00C70537" w14:paraId="13E88149" w14:textId="77777777" w:rsidTr="00467D53">
        <w:trPr>
          <w:jc w:val="center"/>
        </w:trPr>
        <w:tc>
          <w:tcPr>
            <w:tcW w:w="832" w:type="pct"/>
          </w:tcPr>
          <w:p w14:paraId="5A5DDC54" w14:textId="77777777" w:rsidR="00EA7562" w:rsidRPr="000E3CAD" w:rsidRDefault="00EA7562" w:rsidP="00EA7562">
            <w:pPr>
              <w:pStyle w:val="TableTextLeft"/>
            </w:pPr>
            <w:r w:rsidRPr="000E3CAD">
              <w:t xml:space="preserve">Education </w:t>
            </w:r>
          </w:p>
        </w:tc>
        <w:tc>
          <w:tcPr>
            <w:tcW w:w="395" w:type="pct"/>
            <w:shd w:val="clear" w:color="auto" w:fill="EEEEEE" w:themeFill="background2"/>
          </w:tcPr>
          <w:p w14:paraId="5DDA5DDA" w14:textId="77777777" w:rsidR="00EA7562" w:rsidRPr="000E3CAD" w:rsidRDefault="00EA7562" w:rsidP="00EA7562">
            <w:pPr>
              <w:pStyle w:val="TableTextRight"/>
            </w:pPr>
            <w:r w:rsidRPr="000E3CAD">
              <w:t xml:space="preserve">1.3 </w:t>
            </w:r>
          </w:p>
        </w:tc>
        <w:tc>
          <w:tcPr>
            <w:tcW w:w="454" w:type="pct"/>
            <w:shd w:val="clear" w:color="auto" w:fill="EEEEEE" w:themeFill="background2"/>
          </w:tcPr>
          <w:p w14:paraId="1D4F5E25" w14:textId="77777777" w:rsidR="00EA7562" w:rsidRPr="000E3CAD" w:rsidRDefault="00EA7562" w:rsidP="00EA7562">
            <w:pPr>
              <w:pStyle w:val="TableTextRight"/>
            </w:pPr>
            <w:r w:rsidRPr="000E3CAD">
              <w:t xml:space="preserve">0.5 </w:t>
            </w:r>
          </w:p>
        </w:tc>
        <w:tc>
          <w:tcPr>
            <w:tcW w:w="395" w:type="pct"/>
          </w:tcPr>
          <w:p w14:paraId="08DB8524" w14:textId="77777777" w:rsidR="00EA7562" w:rsidRPr="000E3CAD" w:rsidRDefault="00EA7562" w:rsidP="00EA7562">
            <w:pPr>
              <w:pStyle w:val="TableTextRight"/>
            </w:pPr>
            <w:r w:rsidRPr="000E3CAD">
              <w:t xml:space="preserve">1.5 </w:t>
            </w:r>
          </w:p>
        </w:tc>
        <w:tc>
          <w:tcPr>
            <w:tcW w:w="452" w:type="pct"/>
          </w:tcPr>
          <w:p w14:paraId="688F656E" w14:textId="77777777" w:rsidR="00EA7562" w:rsidRPr="000E3CAD" w:rsidRDefault="00EA7562" w:rsidP="00EA7562">
            <w:pPr>
              <w:pStyle w:val="TableTextRight"/>
            </w:pPr>
            <w:r w:rsidRPr="000E3CAD">
              <w:t xml:space="preserve">0.6 </w:t>
            </w:r>
          </w:p>
        </w:tc>
        <w:tc>
          <w:tcPr>
            <w:tcW w:w="395" w:type="pct"/>
            <w:shd w:val="clear" w:color="auto" w:fill="EEEEEE" w:themeFill="background2"/>
          </w:tcPr>
          <w:p w14:paraId="6033255E" w14:textId="77777777" w:rsidR="00EA7562" w:rsidRPr="000E3CAD" w:rsidRDefault="00EA7562" w:rsidP="00EA7562">
            <w:pPr>
              <w:pStyle w:val="TableTextRight"/>
            </w:pPr>
            <w:r w:rsidRPr="000E3CAD">
              <w:t xml:space="preserve">10.9 </w:t>
            </w:r>
          </w:p>
        </w:tc>
        <w:tc>
          <w:tcPr>
            <w:tcW w:w="447" w:type="pct"/>
            <w:shd w:val="clear" w:color="auto" w:fill="EEEEEE" w:themeFill="background2"/>
          </w:tcPr>
          <w:p w14:paraId="252D8362" w14:textId="77777777" w:rsidR="00EA7562" w:rsidRPr="000E3CAD" w:rsidRDefault="00EA7562" w:rsidP="00EA7562">
            <w:pPr>
              <w:pStyle w:val="TableTextRight"/>
            </w:pPr>
            <w:r w:rsidRPr="000E3CAD">
              <w:t xml:space="preserve">3.7 </w:t>
            </w:r>
          </w:p>
        </w:tc>
        <w:tc>
          <w:tcPr>
            <w:tcW w:w="395" w:type="pct"/>
          </w:tcPr>
          <w:p w14:paraId="5E160038" w14:textId="1E880988" w:rsidR="00EA7562" w:rsidRPr="000E3CAD" w:rsidRDefault="00EA7562" w:rsidP="00467D53">
            <w:pPr>
              <w:pStyle w:val="TableTextRight"/>
            </w:pPr>
            <w:r>
              <w:rPr>
                <w:rFonts w:cs="Calibri Light"/>
                <w:szCs w:val="18"/>
              </w:rPr>
              <w:t>5.5</w:t>
            </w:r>
          </w:p>
        </w:tc>
        <w:tc>
          <w:tcPr>
            <w:tcW w:w="447" w:type="pct"/>
          </w:tcPr>
          <w:p w14:paraId="0D135856" w14:textId="0598A88F" w:rsidR="00EA7562" w:rsidRPr="000E3CAD" w:rsidRDefault="00EA7562" w:rsidP="00467D53">
            <w:pPr>
              <w:pStyle w:val="TableTextRight"/>
            </w:pPr>
            <w:r>
              <w:rPr>
                <w:rFonts w:cs="Calibri Light"/>
                <w:szCs w:val="18"/>
              </w:rPr>
              <w:t>1.6</w:t>
            </w:r>
          </w:p>
        </w:tc>
        <w:tc>
          <w:tcPr>
            <w:tcW w:w="395" w:type="pct"/>
            <w:shd w:val="clear" w:color="auto" w:fill="EEEEEE" w:themeFill="background2"/>
          </w:tcPr>
          <w:p w14:paraId="3A30959D" w14:textId="77777777" w:rsidR="00EA7562" w:rsidRPr="000E3CAD" w:rsidRDefault="00EA7562" w:rsidP="00EA7562">
            <w:pPr>
              <w:pStyle w:val="TableTextRight"/>
            </w:pPr>
            <w:r w:rsidRPr="000E3CAD">
              <w:t xml:space="preserve">5.7 </w:t>
            </w:r>
          </w:p>
        </w:tc>
        <w:tc>
          <w:tcPr>
            <w:tcW w:w="393" w:type="pct"/>
            <w:shd w:val="clear" w:color="auto" w:fill="EEEEEE" w:themeFill="background2"/>
          </w:tcPr>
          <w:p w14:paraId="74E86E9D" w14:textId="77777777" w:rsidR="00EA7562" w:rsidRPr="000E3CAD" w:rsidRDefault="00EA7562" w:rsidP="00EA7562">
            <w:pPr>
              <w:pStyle w:val="TableTextRight"/>
            </w:pPr>
            <w:r w:rsidRPr="000E3CAD">
              <w:t>1.6</w:t>
            </w:r>
          </w:p>
        </w:tc>
      </w:tr>
      <w:tr w:rsidR="00EA7562" w:rsidRPr="00C70537" w14:paraId="2704389C" w14:textId="77777777" w:rsidTr="00467D53">
        <w:trPr>
          <w:jc w:val="center"/>
        </w:trPr>
        <w:tc>
          <w:tcPr>
            <w:tcW w:w="832" w:type="pct"/>
          </w:tcPr>
          <w:p w14:paraId="59B497EC" w14:textId="77777777" w:rsidR="00EA7562" w:rsidRPr="000E3CAD" w:rsidRDefault="00EA7562" w:rsidP="00EA7562">
            <w:pPr>
              <w:pStyle w:val="TableTextLeft"/>
            </w:pPr>
            <w:r w:rsidRPr="000E3CAD">
              <w:t>Financial capability**</w:t>
            </w:r>
          </w:p>
        </w:tc>
        <w:tc>
          <w:tcPr>
            <w:tcW w:w="395" w:type="pct"/>
            <w:shd w:val="clear" w:color="auto" w:fill="EEEEEE" w:themeFill="background2"/>
          </w:tcPr>
          <w:p w14:paraId="003520BD" w14:textId="77777777" w:rsidR="00EA7562" w:rsidRPr="000E3CAD" w:rsidRDefault="00EA7562" w:rsidP="00EA7562">
            <w:pPr>
              <w:pStyle w:val="TableTextRight"/>
            </w:pPr>
            <w:r w:rsidRPr="000E3CAD">
              <w:t xml:space="preserve">7.7 </w:t>
            </w:r>
          </w:p>
        </w:tc>
        <w:tc>
          <w:tcPr>
            <w:tcW w:w="454" w:type="pct"/>
            <w:shd w:val="clear" w:color="auto" w:fill="EEEEEE" w:themeFill="background2"/>
          </w:tcPr>
          <w:p w14:paraId="1135AAA3" w14:textId="77777777" w:rsidR="00EA7562" w:rsidRPr="000E3CAD" w:rsidRDefault="00EA7562" w:rsidP="00EA7562">
            <w:pPr>
              <w:pStyle w:val="TableTextRight"/>
            </w:pPr>
            <w:r w:rsidRPr="000E3CAD">
              <w:t xml:space="preserve">3.3 </w:t>
            </w:r>
          </w:p>
        </w:tc>
        <w:tc>
          <w:tcPr>
            <w:tcW w:w="395" w:type="pct"/>
          </w:tcPr>
          <w:p w14:paraId="52DFD6A1" w14:textId="77777777" w:rsidR="00EA7562" w:rsidRPr="000E3CAD" w:rsidRDefault="00EA7562" w:rsidP="00EA7562">
            <w:pPr>
              <w:pStyle w:val="TableTextRight"/>
            </w:pPr>
            <w:r w:rsidRPr="000E3CAD">
              <w:t xml:space="preserve">8.8 </w:t>
            </w:r>
          </w:p>
        </w:tc>
        <w:tc>
          <w:tcPr>
            <w:tcW w:w="452" w:type="pct"/>
          </w:tcPr>
          <w:p w14:paraId="7039B529" w14:textId="77777777" w:rsidR="00EA7562" w:rsidRPr="000E3CAD" w:rsidRDefault="00EA7562" w:rsidP="00EA7562">
            <w:pPr>
              <w:pStyle w:val="TableTextRight"/>
            </w:pPr>
            <w:r w:rsidRPr="000E3CAD">
              <w:t xml:space="preserve">3.5 </w:t>
            </w:r>
          </w:p>
        </w:tc>
        <w:tc>
          <w:tcPr>
            <w:tcW w:w="395" w:type="pct"/>
            <w:shd w:val="clear" w:color="auto" w:fill="EEEEEE" w:themeFill="background2"/>
          </w:tcPr>
          <w:p w14:paraId="70E7CDAB" w14:textId="2805E2FA" w:rsidR="00EA7562" w:rsidRPr="000E3CAD" w:rsidRDefault="00BD190B" w:rsidP="00EA7562">
            <w:pPr>
              <w:pStyle w:val="TableTextRight"/>
            </w:pPr>
            <w:r>
              <w:noBreakHyphen/>
            </w:r>
            <w:r w:rsidR="00EA7562" w:rsidRPr="000E3CAD">
              <w:t xml:space="preserve"> </w:t>
            </w:r>
          </w:p>
        </w:tc>
        <w:tc>
          <w:tcPr>
            <w:tcW w:w="447" w:type="pct"/>
            <w:shd w:val="clear" w:color="auto" w:fill="EEEEEE" w:themeFill="background2"/>
          </w:tcPr>
          <w:p w14:paraId="07CA08FE" w14:textId="555E573B" w:rsidR="00EA7562" w:rsidRPr="000E3CAD" w:rsidRDefault="00BD190B" w:rsidP="00EA7562">
            <w:pPr>
              <w:pStyle w:val="TableTextRight"/>
            </w:pPr>
            <w:r>
              <w:noBreakHyphen/>
            </w:r>
            <w:r w:rsidR="00EA7562" w:rsidRPr="000E3CAD">
              <w:t xml:space="preserve"> </w:t>
            </w:r>
          </w:p>
        </w:tc>
        <w:tc>
          <w:tcPr>
            <w:tcW w:w="395" w:type="pct"/>
          </w:tcPr>
          <w:p w14:paraId="6CC7B317" w14:textId="42F02F8E" w:rsidR="00EA7562" w:rsidRPr="000E3CAD" w:rsidRDefault="00BD190B" w:rsidP="00467D53">
            <w:pPr>
              <w:pStyle w:val="TableTextRight"/>
            </w:pPr>
            <w:r>
              <w:rPr>
                <w:rFonts w:cs="Calibri Light"/>
                <w:szCs w:val="18"/>
              </w:rPr>
              <w:noBreakHyphen/>
            </w:r>
          </w:p>
        </w:tc>
        <w:tc>
          <w:tcPr>
            <w:tcW w:w="447" w:type="pct"/>
          </w:tcPr>
          <w:p w14:paraId="442E69BF" w14:textId="7A4F2427" w:rsidR="00EA7562" w:rsidRPr="000E3CAD" w:rsidRDefault="00BD190B" w:rsidP="00467D53">
            <w:pPr>
              <w:pStyle w:val="TableTextRight"/>
            </w:pPr>
            <w:r>
              <w:rPr>
                <w:rFonts w:cs="Calibri Light"/>
                <w:szCs w:val="18"/>
              </w:rPr>
              <w:noBreakHyphen/>
            </w:r>
          </w:p>
        </w:tc>
        <w:tc>
          <w:tcPr>
            <w:tcW w:w="395" w:type="pct"/>
            <w:shd w:val="clear" w:color="auto" w:fill="EEEEEE" w:themeFill="background2"/>
          </w:tcPr>
          <w:p w14:paraId="439BAFE9" w14:textId="0F30A4E2" w:rsidR="00EA7562" w:rsidRPr="000E3CAD" w:rsidRDefault="00BD190B" w:rsidP="00EA7562">
            <w:pPr>
              <w:pStyle w:val="TableTextRight"/>
            </w:pPr>
            <w:r>
              <w:noBreakHyphen/>
            </w:r>
            <w:r w:rsidR="00EA7562" w:rsidRPr="000E3CAD">
              <w:t xml:space="preserve"> </w:t>
            </w:r>
          </w:p>
        </w:tc>
        <w:tc>
          <w:tcPr>
            <w:tcW w:w="393" w:type="pct"/>
            <w:shd w:val="clear" w:color="auto" w:fill="EEEEEE" w:themeFill="background2"/>
          </w:tcPr>
          <w:p w14:paraId="46B84A39" w14:textId="1A33E9C6" w:rsidR="00EA7562" w:rsidRPr="000E3CAD" w:rsidRDefault="00BD190B" w:rsidP="00EA7562">
            <w:pPr>
              <w:pStyle w:val="TableTextRight"/>
            </w:pPr>
            <w:r>
              <w:noBreakHyphen/>
            </w:r>
            <w:r w:rsidR="00EA7562" w:rsidRPr="000E3CAD">
              <w:t xml:space="preserve"> </w:t>
            </w:r>
          </w:p>
        </w:tc>
      </w:tr>
      <w:tr w:rsidR="00EA7562" w:rsidRPr="00C70537" w14:paraId="6AA71A99" w14:textId="77777777" w:rsidTr="00467D53">
        <w:trPr>
          <w:jc w:val="center"/>
        </w:trPr>
        <w:tc>
          <w:tcPr>
            <w:tcW w:w="832" w:type="pct"/>
          </w:tcPr>
          <w:p w14:paraId="67FC9295" w14:textId="77777777" w:rsidR="00EA7562" w:rsidRPr="000E3CAD" w:rsidRDefault="00EA7562" w:rsidP="00EA7562">
            <w:pPr>
              <w:pStyle w:val="TableTextLeft"/>
            </w:pPr>
            <w:r w:rsidRPr="000E3CAD">
              <w:t xml:space="preserve">Guidance </w:t>
            </w:r>
          </w:p>
        </w:tc>
        <w:tc>
          <w:tcPr>
            <w:tcW w:w="395" w:type="pct"/>
            <w:shd w:val="clear" w:color="auto" w:fill="EEEEEE" w:themeFill="background2"/>
          </w:tcPr>
          <w:p w14:paraId="5F905D21" w14:textId="77777777" w:rsidR="00EA7562" w:rsidRPr="000E3CAD" w:rsidRDefault="00EA7562" w:rsidP="00EA7562">
            <w:pPr>
              <w:pStyle w:val="TableTextRight"/>
            </w:pPr>
            <w:r w:rsidRPr="000E3CAD">
              <w:t xml:space="preserve">3.1 </w:t>
            </w:r>
          </w:p>
        </w:tc>
        <w:tc>
          <w:tcPr>
            <w:tcW w:w="454" w:type="pct"/>
            <w:shd w:val="clear" w:color="auto" w:fill="EEEEEE" w:themeFill="background2"/>
          </w:tcPr>
          <w:p w14:paraId="4051B69F" w14:textId="77777777" w:rsidR="00EA7562" w:rsidRPr="000E3CAD" w:rsidRDefault="00EA7562" w:rsidP="00EA7562">
            <w:pPr>
              <w:pStyle w:val="TableTextRight"/>
            </w:pPr>
            <w:r w:rsidRPr="000E3CAD">
              <w:t xml:space="preserve">1.3 </w:t>
            </w:r>
          </w:p>
        </w:tc>
        <w:tc>
          <w:tcPr>
            <w:tcW w:w="395" w:type="pct"/>
          </w:tcPr>
          <w:p w14:paraId="19D7C05D" w14:textId="77777777" w:rsidR="00EA7562" w:rsidRPr="000E3CAD" w:rsidRDefault="00EA7562" w:rsidP="00EA7562">
            <w:pPr>
              <w:pStyle w:val="TableTextRight"/>
            </w:pPr>
            <w:r w:rsidRPr="000E3CAD">
              <w:t xml:space="preserve">3.3 </w:t>
            </w:r>
          </w:p>
        </w:tc>
        <w:tc>
          <w:tcPr>
            <w:tcW w:w="452" w:type="pct"/>
          </w:tcPr>
          <w:p w14:paraId="04FB7805" w14:textId="77777777" w:rsidR="00EA7562" w:rsidRPr="000E3CAD" w:rsidRDefault="00EA7562" w:rsidP="00EA7562">
            <w:pPr>
              <w:pStyle w:val="TableTextRight"/>
            </w:pPr>
            <w:r w:rsidRPr="000E3CAD">
              <w:t xml:space="preserve">1.3 </w:t>
            </w:r>
          </w:p>
        </w:tc>
        <w:tc>
          <w:tcPr>
            <w:tcW w:w="395" w:type="pct"/>
            <w:shd w:val="clear" w:color="auto" w:fill="EEEEEE" w:themeFill="background2"/>
          </w:tcPr>
          <w:p w14:paraId="3E380F30" w14:textId="77777777" w:rsidR="00EA7562" w:rsidRPr="000E3CAD" w:rsidRDefault="00EA7562" w:rsidP="00EA7562">
            <w:pPr>
              <w:pStyle w:val="TableTextRight"/>
            </w:pPr>
            <w:r w:rsidRPr="000E3CAD">
              <w:t xml:space="preserve">4.5 </w:t>
            </w:r>
          </w:p>
        </w:tc>
        <w:tc>
          <w:tcPr>
            <w:tcW w:w="447" w:type="pct"/>
            <w:shd w:val="clear" w:color="auto" w:fill="EEEEEE" w:themeFill="background2"/>
          </w:tcPr>
          <w:p w14:paraId="07AB8732" w14:textId="77777777" w:rsidR="00EA7562" w:rsidRPr="000E3CAD" w:rsidRDefault="00EA7562" w:rsidP="00EA7562">
            <w:pPr>
              <w:pStyle w:val="TableTextRight"/>
            </w:pPr>
            <w:r w:rsidRPr="000E3CAD">
              <w:t xml:space="preserve">1.5 </w:t>
            </w:r>
          </w:p>
        </w:tc>
        <w:tc>
          <w:tcPr>
            <w:tcW w:w="395" w:type="pct"/>
          </w:tcPr>
          <w:p w14:paraId="5A6E4C13" w14:textId="49FCC583" w:rsidR="00EA7562" w:rsidRPr="000E3CAD" w:rsidRDefault="00EA7562" w:rsidP="00467D53">
            <w:pPr>
              <w:pStyle w:val="TableTextRight"/>
            </w:pPr>
            <w:r>
              <w:rPr>
                <w:rFonts w:cs="Calibri Light"/>
                <w:szCs w:val="18"/>
              </w:rPr>
              <w:t>7.8</w:t>
            </w:r>
          </w:p>
        </w:tc>
        <w:tc>
          <w:tcPr>
            <w:tcW w:w="447" w:type="pct"/>
          </w:tcPr>
          <w:p w14:paraId="5469569C" w14:textId="4C17FDF3" w:rsidR="00EA7562" w:rsidRPr="000E3CAD" w:rsidRDefault="00EA7562" w:rsidP="00467D53">
            <w:pPr>
              <w:pStyle w:val="TableTextRight"/>
            </w:pPr>
            <w:r>
              <w:rPr>
                <w:rFonts w:cs="Calibri Light"/>
                <w:szCs w:val="18"/>
              </w:rPr>
              <w:t>2.3</w:t>
            </w:r>
          </w:p>
        </w:tc>
        <w:tc>
          <w:tcPr>
            <w:tcW w:w="395" w:type="pct"/>
            <w:shd w:val="clear" w:color="auto" w:fill="EEEEEE" w:themeFill="background2"/>
          </w:tcPr>
          <w:p w14:paraId="682C731D" w14:textId="77777777" w:rsidR="00EA7562" w:rsidRPr="000E3CAD" w:rsidRDefault="00EA7562" w:rsidP="00EA7562">
            <w:pPr>
              <w:pStyle w:val="TableTextRight"/>
            </w:pPr>
            <w:r w:rsidRPr="000E3CAD">
              <w:t xml:space="preserve">8.5 </w:t>
            </w:r>
          </w:p>
        </w:tc>
        <w:tc>
          <w:tcPr>
            <w:tcW w:w="393" w:type="pct"/>
            <w:shd w:val="clear" w:color="auto" w:fill="EEEEEE" w:themeFill="background2"/>
          </w:tcPr>
          <w:p w14:paraId="0C491494" w14:textId="77777777" w:rsidR="00EA7562" w:rsidRPr="000E3CAD" w:rsidRDefault="00EA7562" w:rsidP="00EA7562">
            <w:pPr>
              <w:pStyle w:val="TableTextRight"/>
            </w:pPr>
            <w:r w:rsidRPr="000E3CAD">
              <w:t xml:space="preserve">2.5 </w:t>
            </w:r>
          </w:p>
        </w:tc>
      </w:tr>
      <w:tr w:rsidR="00EA7562" w:rsidRPr="00C70537" w14:paraId="72D83264" w14:textId="77777777" w:rsidTr="00467D53">
        <w:trPr>
          <w:jc w:val="center"/>
        </w:trPr>
        <w:tc>
          <w:tcPr>
            <w:tcW w:w="832" w:type="pct"/>
          </w:tcPr>
          <w:p w14:paraId="27B45F90" w14:textId="77777777" w:rsidR="00EA7562" w:rsidRPr="000E3CAD" w:rsidRDefault="00EA7562" w:rsidP="00EA7562">
            <w:pPr>
              <w:pStyle w:val="TableTextLeft"/>
            </w:pPr>
            <w:r w:rsidRPr="000E3CAD">
              <w:t xml:space="preserve">Policy advice </w:t>
            </w:r>
          </w:p>
        </w:tc>
        <w:tc>
          <w:tcPr>
            <w:tcW w:w="395" w:type="pct"/>
            <w:shd w:val="clear" w:color="auto" w:fill="EEEEEE" w:themeFill="background2"/>
          </w:tcPr>
          <w:p w14:paraId="4DC2D414" w14:textId="77777777" w:rsidR="00EA7562" w:rsidRPr="000E3CAD" w:rsidRDefault="00EA7562" w:rsidP="00EA7562">
            <w:pPr>
              <w:pStyle w:val="TableTextRight"/>
            </w:pPr>
            <w:r w:rsidRPr="000E3CAD">
              <w:t xml:space="preserve">2.7 </w:t>
            </w:r>
          </w:p>
        </w:tc>
        <w:tc>
          <w:tcPr>
            <w:tcW w:w="454" w:type="pct"/>
            <w:shd w:val="clear" w:color="auto" w:fill="EEEEEE" w:themeFill="background2"/>
          </w:tcPr>
          <w:p w14:paraId="464EE905" w14:textId="77777777" w:rsidR="00EA7562" w:rsidRPr="000E3CAD" w:rsidRDefault="00EA7562" w:rsidP="00EA7562">
            <w:pPr>
              <w:pStyle w:val="TableTextRight"/>
            </w:pPr>
            <w:r w:rsidRPr="000E3CAD">
              <w:t xml:space="preserve">1.2 </w:t>
            </w:r>
          </w:p>
        </w:tc>
        <w:tc>
          <w:tcPr>
            <w:tcW w:w="395" w:type="pct"/>
          </w:tcPr>
          <w:p w14:paraId="5C4E31EB" w14:textId="77777777" w:rsidR="00EA7562" w:rsidRPr="000E3CAD" w:rsidRDefault="00EA7562" w:rsidP="00EA7562">
            <w:pPr>
              <w:pStyle w:val="TableTextRight"/>
            </w:pPr>
            <w:r w:rsidRPr="000E3CAD">
              <w:t xml:space="preserve">2.4 </w:t>
            </w:r>
          </w:p>
        </w:tc>
        <w:tc>
          <w:tcPr>
            <w:tcW w:w="452" w:type="pct"/>
          </w:tcPr>
          <w:p w14:paraId="3EDDDAB0" w14:textId="77777777" w:rsidR="00EA7562" w:rsidRPr="000E3CAD" w:rsidRDefault="00EA7562" w:rsidP="00EA7562">
            <w:pPr>
              <w:pStyle w:val="TableTextRight"/>
            </w:pPr>
            <w:r w:rsidRPr="000E3CAD">
              <w:t xml:space="preserve">0.9 </w:t>
            </w:r>
          </w:p>
        </w:tc>
        <w:tc>
          <w:tcPr>
            <w:tcW w:w="395" w:type="pct"/>
            <w:shd w:val="clear" w:color="auto" w:fill="EEEEEE" w:themeFill="background2"/>
          </w:tcPr>
          <w:p w14:paraId="601B755E" w14:textId="77777777" w:rsidR="00EA7562" w:rsidRPr="000E3CAD" w:rsidRDefault="00EA7562" w:rsidP="00EA7562">
            <w:pPr>
              <w:pStyle w:val="TableTextRight"/>
            </w:pPr>
            <w:r w:rsidRPr="000E3CAD">
              <w:t xml:space="preserve">6.8 </w:t>
            </w:r>
          </w:p>
        </w:tc>
        <w:tc>
          <w:tcPr>
            <w:tcW w:w="447" w:type="pct"/>
            <w:shd w:val="clear" w:color="auto" w:fill="EEEEEE" w:themeFill="background2"/>
          </w:tcPr>
          <w:p w14:paraId="1872726A" w14:textId="77777777" w:rsidR="00EA7562" w:rsidRPr="000E3CAD" w:rsidRDefault="00EA7562" w:rsidP="00EA7562">
            <w:pPr>
              <w:pStyle w:val="TableTextRight"/>
            </w:pPr>
            <w:r w:rsidRPr="000E3CAD">
              <w:t xml:space="preserve">2.3 </w:t>
            </w:r>
          </w:p>
        </w:tc>
        <w:tc>
          <w:tcPr>
            <w:tcW w:w="395" w:type="pct"/>
          </w:tcPr>
          <w:p w14:paraId="799C091F" w14:textId="1D1210F1" w:rsidR="00EA7562" w:rsidRPr="000E3CAD" w:rsidRDefault="00EA7562" w:rsidP="00467D53">
            <w:pPr>
              <w:pStyle w:val="TableTextRight"/>
            </w:pPr>
            <w:r>
              <w:rPr>
                <w:rFonts w:cs="Calibri Light"/>
                <w:szCs w:val="18"/>
              </w:rPr>
              <w:t>8.2</w:t>
            </w:r>
          </w:p>
        </w:tc>
        <w:tc>
          <w:tcPr>
            <w:tcW w:w="447" w:type="pct"/>
          </w:tcPr>
          <w:p w14:paraId="7216E870" w14:textId="5D71C7A5" w:rsidR="00EA7562" w:rsidRPr="000E3CAD" w:rsidRDefault="00EA7562" w:rsidP="00467D53">
            <w:pPr>
              <w:pStyle w:val="TableTextRight"/>
            </w:pPr>
            <w:r>
              <w:rPr>
                <w:rFonts w:cs="Calibri Light"/>
                <w:szCs w:val="18"/>
              </w:rPr>
              <w:t>2.4</w:t>
            </w:r>
          </w:p>
        </w:tc>
        <w:tc>
          <w:tcPr>
            <w:tcW w:w="395" w:type="pct"/>
            <w:shd w:val="clear" w:color="auto" w:fill="EEEEEE" w:themeFill="background2"/>
          </w:tcPr>
          <w:p w14:paraId="73E00C64" w14:textId="77777777" w:rsidR="00EA7562" w:rsidRPr="000E3CAD" w:rsidRDefault="00EA7562" w:rsidP="00EA7562">
            <w:pPr>
              <w:pStyle w:val="TableTextRight"/>
            </w:pPr>
            <w:r w:rsidRPr="000E3CAD">
              <w:t xml:space="preserve">6.5 </w:t>
            </w:r>
          </w:p>
        </w:tc>
        <w:tc>
          <w:tcPr>
            <w:tcW w:w="393" w:type="pct"/>
            <w:shd w:val="clear" w:color="auto" w:fill="EEEEEE" w:themeFill="background2"/>
          </w:tcPr>
          <w:p w14:paraId="75485455" w14:textId="77777777" w:rsidR="00EA7562" w:rsidRPr="000E3CAD" w:rsidRDefault="00EA7562" w:rsidP="00EA7562">
            <w:pPr>
              <w:pStyle w:val="TableTextRight"/>
            </w:pPr>
            <w:r w:rsidRPr="000E3CAD">
              <w:t>1.9</w:t>
            </w:r>
          </w:p>
        </w:tc>
      </w:tr>
      <w:tr w:rsidR="00EA7562" w:rsidRPr="00C70537" w14:paraId="4843A0F2" w14:textId="77777777" w:rsidTr="00467D53">
        <w:trPr>
          <w:jc w:val="center"/>
        </w:trPr>
        <w:tc>
          <w:tcPr>
            <w:tcW w:w="832" w:type="pct"/>
          </w:tcPr>
          <w:p w14:paraId="6B122DB9" w14:textId="77777777" w:rsidR="00EA7562" w:rsidRPr="000E3CAD" w:rsidRDefault="00EA7562" w:rsidP="00EA7562">
            <w:pPr>
              <w:pStyle w:val="TableTextLeft"/>
            </w:pPr>
            <w:r w:rsidRPr="000E3CAD">
              <w:t xml:space="preserve">Indirect costs </w:t>
            </w:r>
          </w:p>
        </w:tc>
        <w:tc>
          <w:tcPr>
            <w:tcW w:w="395" w:type="pct"/>
            <w:shd w:val="clear" w:color="auto" w:fill="EEEEEE" w:themeFill="background2"/>
          </w:tcPr>
          <w:p w14:paraId="3370F4BD" w14:textId="77777777" w:rsidR="00EA7562" w:rsidRPr="000E3CAD" w:rsidRDefault="00EA7562" w:rsidP="00EA7562">
            <w:pPr>
              <w:pStyle w:val="TableTextRight"/>
            </w:pPr>
            <w:r w:rsidRPr="000E3CAD">
              <w:t xml:space="preserve">93.5 </w:t>
            </w:r>
          </w:p>
        </w:tc>
        <w:tc>
          <w:tcPr>
            <w:tcW w:w="454" w:type="pct"/>
            <w:shd w:val="clear" w:color="auto" w:fill="EEEEEE" w:themeFill="background2"/>
          </w:tcPr>
          <w:p w14:paraId="0F69CB1C" w14:textId="77777777" w:rsidR="00EA7562" w:rsidRPr="000E3CAD" w:rsidRDefault="00EA7562" w:rsidP="00EA7562">
            <w:pPr>
              <w:pStyle w:val="TableTextRight"/>
            </w:pPr>
            <w:r w:rsidRPr="000E3CAD">
              <w:t xml:space="preserve">39.5 </w:t>
            </w:r>
          </w:p>
        </w:tc>
        <w:tc>
          <w:tcPr>
            <w:tcW w:w="395" w:type="pct"/>
          </w:tcPr>
          <w:p w14:paraId="68A1997B" w14:textId="77777777" w:rsidR="00EA7562" w:rsidRPr="000E3CAD" w:rsidRDefault="00EA7562" w:rsidP="00EA7562">
            <w:pPr>
              <w:pStyle w:val="TableTextRight"/>
            </w:pPr>
            <w:r w:rsidRPr="000E3CAD">
              <w:t xml:space="preserve">111.0 </w:t>
            </w:r>
          </w:p>
        </w:tc>
        <w:tc>
          <w:tcPr>
            <w:tcW w:w="452" w:type="pct"/>
          </w:tcPr>
          <w:p w14:paraId="1A89F940" w14:textId="77777777" w:rsidR="00EA7562" w:rsidRPr="000E3CAD" w:rsidRDefault="00EA7562" w:rsidP="00EA7562">
            <w:pPr>
              <w:pStyle w:val="TableTextRight"/>
            </w:pPr>
            <w:r w:rsidRPr="000E3CAD">
              <w:t xml:space="preserve">40.1 </w:t>
            </w:r>
          </w:p>
        </w:tc>
        <w:tc>
          <w:tcPr>
            <w:tcW w:w="395" w:type="pct"/>
            <w:shd w:val="clear" w:color="auto" w:fill="EEEEEE" w:themeFill="background2"/>
          </w:tcPr>
          <w:p w14:paraId="3A2BBF80" w14:textId="77777777" w:rsidR="00EA7562" w:rsidRPr="000E3CAD" w:rsidRDefault="00EA7562" w:rsidP="00EA7562">
            <w:pPr>
              <w:pStyle w:val="TableTextRight"/>
            </w:pPr>
            <w:r w:rsidRPr="000E3CAD">
              <w:t xml:space="preserve">126.3 </w:t>
            </w:r>
          </w:p>
        </w:tc>
        <w:tc>
          <w:tcPr>
            <w:tcW w:w="447" w:type="pct"/>
            <w:shd w:val="clear" w:color="auto" w:fill="EEEEEE" w:themeFill="background2"/>
          </w:tcPr>
          <w:p w14:paraId="3B5E74A1" w14:textId="77777777" w:rsidR="00EA7562" w:rsidRPr="000E3CAD" w:rsidRDefault="00EA7562" w:rsidP="00EA7562">
            <w:pPr>
              <w:pStyle w:val="TableTextRight"/>
            </w:pPr>
            <w:r w:rsidRPr="000E3CAD">
              <w:t xml:space="preserve">39.4 </w:t>
            </w:r>
          </w:p>
        </w:tc>
        <w:tc>
          <w:tcPr>
            <w:tcW w:w="395" w:type="pct"/>
          </w:tcPr>
          <w:p w14:paraId="31AD2A3E" w14:textId="1D97682B" w:rsidR="00EA7562" w:rsidRPr="000E3CAD" w:rsidRDefault="00EA7562" w:rsidP="00467D53">
            <w:pPr>
              <w:pStyle w:val="TableTextRight"/>
            </w:pPr>
            <w:r>
              <w:rPr>
                <w:rFonts w:cs="Calibri Light"/>
                <w:szCs w:val="18"/>
              </w:rPr>
              <w:t>123.9</w:t>
            </w:r>
          </w:p>
        </w:tc>
        <w:tc>
          <w:tcPr>
            <w:tcW w:w="447" w:type="pct"/>
          </w:tcPr>
          <w:p w14:paraId="5B3A59A0" w14:textId="1F25394D" w:rsidR="00EA7562" w:rsidRPr="000E3CAD" w:rsidRDefault="00EA7562" w:rsidP="00467D53">
            <w:pPr>
              <w:pStyle w:val="TableTextRight"/>
            </w:pPr>
            <w:r>
              <w:rPr>
                <w:rFonts w:cs="Calibri Light"/>
                <w:szCs w:val="18"/>
              </w:rPr>
              <w:t>37.0</w:t>
            </w:r>
          </w:p>
        </w:tc>
        <w:tc>
          <w:tcPr>
            <w:tcW w:w="395" w:type="pct"/>
            <w:shd w:val="clear" w:color="auto" w:fill="EEEEEE" w:themeFill="background2"/>
          </w:tcPr>
          <w:p w14:paraId="688D2571" w14:textId="77777777" w:rsidR="00EA7562" w:rsidRPr="000E3CAD" w:rsidRDefault="00EA7562" w:rsidP="00EA7562">
            <w:pPr>
              <w:pStyle w:val="TableTextRight"/>
            </w:pPr>
            <w:r w:rsidRPr="000E3CAD">
              <w:t xml:space="preserve">129.0 </w:t>
            </w:r>
          </w:p>
        </w:tc>
        <w:tc>
          <w:tcPr>
            <w:tcW w:w="393" w:type="pct"/>
            <w:shd w:val="clear" w:color="auto" w:fill="EEEEEE" w:themeFill="background2"/>
          </w:tcPr>
          <w:p w14:paraId="09E2437C" w14:textId="77777777" w:rsidR="00EA7562" w:rsidRPr="000E3CAD" w:rsidRDefault="00EA7562" w:rsidP="00EA7562">
            <w:pPr>
              <w:pStyle w:val="TableTextRight"/>
            </w:pPr>
            <w:r w:rsidRPr="000E3CAD">
              <w:t>37.5</w:t>
            </w:r>
          </w:p>
        </w:tc>
      </w:tr>
      <w:tr w:rsidR="00EA7562" w:rsidRPr="00C70537" w14:paraId="4203D56A" w14:textId="77777777" w:rsidTr="00467D53">
        <w:trPr>
          <w:jc w:val="center"/>
        </w:trPr>
        <w:tc>
          <w:tcPr>
            <w:tcW w:w="832" w:type="pct"/>
          </w:tcPr>
          <w:p w14:paraId="658246E4" w14:textId="77777777" w:rsidR="00EA7562" w:rsidRPr="000E3CAD" w:rsidRDefault="00EA7562" w:rsidP="00EA7562">
            <w:pPr>
              <w:pStyle w:val="TableTextLeft"/>
            </w:pPr>
            <w:r w:rsidRPr="000E3CAD">
              <w:t xml:space="preserve">Total operating costs </w:t>
            </w:r>
          </w:p>
        </w:tc>
        <w:tc>
          <w:tcPr>
            <w:tcW w:w="395" w:type="pct"/>
            <w:shd w:val="clear" w:color="auto" w:fill="EEEEEE" w:themeFill="background2"/>
          </w:tcPr>
          <w:p w14:paraId="51E69702" w14:textId="77777777" w:rsidR="00EA7562" w:rsidRPr="000E3CAD" w:rsidRDefault="00EA7562" w:rsidP="00EA7562">
            <w:pPr>
              <w:pStyle w:val="TableTextRight"/>
            </w:pPr>
            <w:r w:rsidRPr="000E3CAD">
              <w:t xml:space="preserve">232.4 </w:t>
            </w:r>
          </w:p>
        </w:tc>
        <w:tc>
          <w:tcPr>
            <w:tcW w:w="454" w:type="pct"/>
            <w:shd w:val="clear" w:color="auto" w:fill="EEEEEE" w:themeFill="background2"/>
          </w:tcPr>
          <w:p w14:paraId="163BFD13" w14:textId="77777777" w:rsidR="00EA7562" w:rsidRPr="000E3CAD" w:rsidRDefault="00EA7562" w:rsidP="00EA7562">
            <w:pPr>
              <w:pStyle w:val="TableTextRight"/>
            </w:pPr>
            <w:r w:rsidRPr="000E3CAD">
              <w:t xml:space="preserve">100.0 </w:t>
            </w:r>
          </w:p>
        </w:tc>
        <w:tc>
          <w:tcPr>
            <w:tcW w:w="395" w:type="pct"/>
          </w:tcPr>
          <w:p w14:paraId="1668711C" w14:textId="77777777" w:rsidR="00EA7562" w:rsidRPr="000E3CAD" w:rsidRDefault="00EA7562" w:rsidP="00EA7562">
            <w:pPr>
              <w:pStyle w:val="TableTextRight"/>
            </w:pPr>
            <w:r w:rsidRPr="000E3CAD">
              <w:t xml:space="preserve">252.5 </w:t>
            </w:r>
          </w:p>
        </w:tc>
        <w:tc>
          <w:tcPr>
            <w:tcW w:w="452" w:type="pct"/>
          </w:tcPr>
          <w:p w14:paraId="3FC80348" w14:textId="77777777" w:rsidR="00EA7562" w:rsidRPr="000E3CAD" w:rsidRDefault="00EA7562" w:rsidP="00EA7562">
            <w:pPr>
              <w:pStyle w:val="TableTextRight"/>
            </w:pPr>
            <w:r w:rsidRPr="000E3CAD">
              <w:t xml:space="preserve">100.0 </w:t>
            </w:r>
          </w:p>
        </w:tc>
        <w:tc>
          <w:tcPr>
            <w:tcW w:w="395" w:type="pct"/>
            <w:shd w:val="clear" w:color="auto" w:fill="EEEEEE" w:themeFill="background2"/>
          </w:tcPr>
          <w:p w14:paraId="7732BF43" w14:textId="77777777" w:rsidR="00EA7562" w:rsidRPr="000E3CAD" w:rsidRDefault="00EA7562" w:rsidP="00EA7562">
            <w:pPr>
              <w:pStyle w:val="TableTextRight"/>
            </w:pPr>
            <w:r w:rsidRPr="000E3CAD">
              <w:t xml:space="preserve">291.3 </w:t>
            </w:r>
          </w:p>
        </w:tc>
        <w:tc>
          <w:tcPr>
            <w:tcW w:w="447" w:type="pct"/>
            <w:shd w:val="clear" w:color="auto" w:fill="EEEEEE" w:themeFill="background2"/>
          </w:tcPr>
          <w:p w14:paraId="70E072EF" w14:textId="77777777" w:rsidR="00EA7562" w:rsidRPr="000E3CAD" w:rsidRDefault="00EA7562" w:rsidP="00EA7562">
            <w:pPr>
              <w:pStyle w:val="TableTextRight"/>
            </w:pPr>
            <w:r w:rsidRPr="000E3CAD">
              <w:t xml:space="preserve">100.0 </w:t>
            </w:r>
          </w:p>
        </w:tc>
        <w:tc>
          <w:tcPr>
            <w:tcW w:w="395" w:type="pct"/>
          </w:tcPr>
          <w:p w14:paraId="6DA635EE" w14:textId="53988F43" w:rsidR="00EA7562" w:rsidRPr="000E3CAD" w:rsidRDefault="00EA7562" w:rsidP="00467D53">
            <w:pPr>
              <w:pStyle w:val="TableTextRight"/>
            </w:pPr>
            <w:r>
              <w:rPr>
                <w:rFonts w:cs="Calibri Light"/>
                <w:szCs w:val="18"/>
              </w:rPr>
              <w:t>334.7</w:t>
            </w:r>
          </w:p>
        </w:tc>
        <w:tc>
          <w:tcPr>
            <w:tcW w:w="447" w:type="pct"/>
          </w:tcPr>
          <w:p w14:paraId="1C6FD616" w14:textId="4577D6C0" w:rsidR="00EA7562" w:rsidRPr="000E3CAD" w:rsidRDefault="00EA7562" w:rsidP="00467D53">
            <w:pPr>
              <w:pStyle w:val="TableTextRight"/>
            </w:pPr>
            <w:r>
              <w:rPr>
                <w:rFonts w:cs="Calibri Light"/>
                <w:szCs w:val="18"/>
              </w:rPr>
              <w:t>100.0</w:t>
            </w:r>
          </w:p>
        </w:tc>
        <w:tc>
          <w:tcPr>
            <w:tcW w:w="395" w:type="pct"/>
            <w:shd w:val="clear" w:color="auto" w:fill="EEEEEE" w:themeFill="background2"/>
          </w:tcPr>
          <w:p w14:paraId="0974CFC1" w14:textId="77777777" w:rsidR="00EA7562" w:rsidRPr="000E3CAD" w:rsidRDefault="00EA7562" w:rsidP="00EA7562">
            <w:pPr>
              <w:pStyle w:val="TableTextRight"/>
            </w:pPr>
            <w:r w:rsidRPr="000E3CAD">
              <w:t xml:space="preserve">344.3 </w:t>
            </w:r>
          </w:p>
        </w:tc>
        <w:tc>
          <w:tcPr>
            <w:tcW w:w="393" w:type="pct"/>
            <w:shd w:val="clear" w:color="auto" w:fill="EEEEEE" w:themeFill="background2"/>
          </w:tcPr>
          <w:p w14:paraId="6152D6B5" w14:textId="5552E008" w:rsidR="00EA7562" w:rsidRPr="000E3CAD" w:rsidRDefault="00EA7562" w:rsidP="00EA7562">
            <w:pPr>
              <w:pStyle w:val="TableTextRight"/>
            </w:pPr>
            <w:r w:rsidRPr="000E3CAD">
              <w:t>100</w:t>
            </w:r>
            <w:r w:rsidR="00467D53">
              <w:t>.0</w:t>
            </w:r>
            <w:r w:rsidRPr="000E3CAD">
              <w:t xml:space="preserve"> </w:t>
            </w:r>
          </w:p>
        </w:tc>
      </w:tr>
    </w:tbl>
    <w:p w14:paraId="281F206C" w14:textId="2B5BFA5E" w:rsidR="00B63AF4" w:rsidRPr="00293B59" w:rsidRDefault="00B63AF4" w:rsidP="0042197D">
      <w:pPr>
        <w:pStyle w:val="ChartorTableNote"/>
      </w:pPr>
      <w:r w:rsidRPr="00293B59">
        <w:t>* Th</w:t>
      </w:r>
      <w:r>
        <w:t>is table does not include costs relating to capital expenditure or the levy relief provided to personal financial advice licensees</w:t>
      </w:r>
      <w:r w:rsidR="001D062F">
        <w:t xml:space="preserve"> in </w:t>
      </w:r>
      <w:r w:rsidR="009C7ED2">
        <w:t>2020–21</w:t>
      </w:r>
      <w:r w:rsidR="001D062F">
        <w:t xml:space="preserve"> and </w:t>
      </w:r>
      <w:r w:rsidR="009C7ED2">
        <w:t>2021–22</w:t>
      </w:r>
      <w:r>
        <w:t xml:space="preserve">. </w:t>
      </w:r>
    </w:p>
    <w:p w14:paraId="4D2B8BB3" w14:textId="77777777" w:rsidR="00B63AF4" w:rsidRPr="00A64756" w:rsidRDefault="00B63AF4" w:rsidP="0042197D">
      <w:pPr>
        <w:pStyle w:val="ChartorTableNote"/>
        <w:rPr>
          <w:i/>
          <w:iCs/>
        </w:rPr>
      </w:pPr>
      <w:r w:rsidRPr="00293B59">
        <w:t>**</w:t>
      </w:r>
      <w:r w:rsidRPr="00293B59">
        <w:rPr>
          <w:kern w:val="32"/>
        </w:rPr>
        <w:t xml:space="preserve"> T</w:t>
      </w:r>
      <w:r w:rsidRPr="00293B59">
        <w:rPr>
          <w:iCs/>
          <w:kern w:val="32"/>
        </w:rPr>
        <w:t>he financial capability function moved from ASIC to Treasury in October 2020.</w:t>
      </w:r>
    </w:p>
    <w:p w14:paraId="1A9B4246" w14:textId="77777777" w:rsidR="00B63AF4" w:rsidRDefault="00B63AF4" w:rsidP="00424595">
      <w:pPr>
        <w:pStyle w:val="Heading3"/>
      </w:pPr>
      <w:bookmarkStart w:id="56" w:name="_Toc125305172"/>
      <w:bookmarkStart w:id="57" w:name="_Toc129270440"/>
      <w:r w:rsidRPr="00EE3B12">
        <w:t>Methodology</w:t>
      </w:r>
      <w:bookmarkEnd w:id="56"/>
      <w:bookmarkEnd w:id="57"/>
    </w:p>
    <w:p w14:paraId="514A2EA7" w14:textId="1581BA57" w:rsidR="00B63AF4" w:rsidRPr="001C5673" w:rsidRDefault="00B63AF4" w:rsidP="0037599B">
      <w:pPr>
        <w:pStyle w:val="numberedtext"/>
        <w:numPr>
          <w:ilvl w:val="0"/>
          <w:numId w:val="14"/>
        </w:numPr>
        <w:tabs>
          <w:tab w:val="left" w:pos="709"/>
        </w:tabs>
        <w:ind w:hanging="720"/>
        <w:rPr>
          <w:rFonts w:ascii="Calibri Light" w:eastAsia="Times New Roman" w:hAnsi="Calibri Light" w:cs="Times New Roman"/>
          <w:szCs w:val="20"/>
          <w:lang w:eastAsia="en-AU"/>
        </w:rPr>
      </w:pPr>
      <w:r w:rsidRPr="00293B59">
        <w:rPr>
          <w:rFonts w:ascii="Calibri Light" w:eastAsia="Times New Roman" w:hAnsi="Calibri Light" w:cs="Times New Roman"/>
          <w:szCs w:val="20"/>
          <w:lang w:eastAsia="en-AU"/>
        </w:rPr>
        <w:t>ASIC apportions its regulatory costs across its entire regulated population, which is divided into 52 sub</w:t>
      </w:r>
      <w:r w:rsidR="00BD190B">
        <w:rPr>
          <w:rFonts w:ascii="Calibri Light" w:eastAsia="Times New Roman" w:hAnsi="Calibri Light" w:cs="Times New Roman"/>
          <w:szCs w:val="20"/>
          <w:lang w:eastAsia="en-AU"/>
        </w:rPr>
        <w:noBreakHyphen/>
      </w:r>
      <w:r w:rsidRPr="00293B59">
        <w:rPr>
          <w:rFonts w:ascii="Calibri Light" w:eastAsia="Times New Roman" w:hAnsi="Calibri Light" w:cs="Times New Roman"/>
          <w:szCs w:val="20"/>
          <w:lang w:eastAsia="en-AU"/>
        </w:rPr>
        <w:t>sectors. The sub</w:t>
      </w:r>
      <w:r w:rsidR="00BD190B">
        <w:rPr>
          <w:rFonts w:ascii="Calibri Light" w:eastAsia="Times New Roman" w:hAnsi="Calibri Light" w:cs="Times New Roman"/>
          <w:szCs w:val="20"/>
          <w:lang w:eastAsia="en-AU"/>
        </w:rPr>
        <w:noBreakHyphen/>
      </w:r>
      <w:r w:rsidRPr="00293B59">
        <w:rPr>
          <w:rFonts w:ascii="Calibri Light" w:eastAsia="Times New Roman" w:hAnsi="Calibri Light" w:cs="Times New Roman"/>
          <w:szCs w:val="20"/>
          <w:lang w:eastAsia="en-AU"/>
        </w:rPr>
        <w:t>sectors were designed to group similar entities together to minimise cross</w:t>
      </w:r>
      <w:r w:rsidR="00BD190B">
        <w:rPr>
          <w:rFonts w:ascii="Calibri Light" w:eastAsia="Times New Roman" w:hAnsi="Calibri Light" w:cs="Times New Roman"/>
          <w:szCs w:val="20"/>
          <w:lang w:eastAsia="en-AU"/>
        </w:rPr>
        <w:noBreakHyphen/>
      </w:r>
      <w:r w:rsidRPr="00293B59">
        <w:rPr>
          <w:rFonts w:ascii="Calibri Light" w:eastAsia="Times New Roman" w:hAnsi="Calibri Light" w:cs="Times New Roman"/>
          <w:szCs w:val="20"/>
          <w:lang w:eastAsia="en-AU"/>
        </w:rPr>
        <w:t xml:space="preserve">subsidisation across the regulated population. </w:t>
      </w:r>
    </w:p>
    <w:p w14:paraId="25EC917D" w14:textId="4E4A60C4" w:rsidR="00B63AF4" w:rsidRPr="00DE74E7" w:rsidRDefault="00B63AF4" w:rsidP="0037599B">
      <w:pPr>
        <w:pStyle w:val="numberedtext"/>
        <w:numPr>
          <w:ilvl w:val="0"/>
          <w:numId w:val="14"/>
        </w:numPr>
        <w:tabs>
          <w:tab w:val="left" w:pos="709"/>
        </w:tabs>
        <w:ind w:hanging="720"/>
        <w:rPr>
          <w:rFonts w:ascii="Calibri Light" w:eastAsia="Times New Roman" w:hAnsi="Calibri Light" w:cs="Times New Roman"/>
          <w:szCs w:val="20"/>
          <w:lang w:eastAsia="en-AU"/>
        </w:rPr>
      </w:pPr>
      <w:r w:rsidRPr="00DE74E7">
        <w:rPr>
          <w:rFonts w:ascii="Calibri Light" w:eastAsia="Times New Roman" w:hAnsi="Calibri Light" w:cs="Times New Roman"/>
          <w:szCs w:val="20"/>
          <w:lang w:eastAsia="en-AU"/>
        </w:rPr>
        <w:t xml:space="preserve">Levies are </w:t>
      </w:r>
      <w:r w:rsidR="00DD7613" w:rsidRPr="350FA789">
        <w:rPr>
          <w:rFonts w:ascii="Calibri Light" w:eastAsia="Times New Roman" w:hAnsi="Calibri Light" w:cs="Times New Roman"/>
          <w:lang w:eastAsia="en-AU"/>
        </w:rPr>
        <w:t>calculated</w:t>
      </w:r>
      <w:r w:rsidR="3F099467" w:rsidRPr="350FA789">
        <w:rPr>
          <w:rFonts w:ascii="Calibri Light" w:eastAsia="Times New Roman" w:hAnsi="Calibri Light" w:cs="Times New Roman"/>
          <w:lang w:eastAsia="en-AU"/>
        </w:rPr>
        <w:t xml:space="preserve"> and invoiced </w:t>
      </w:r>
      <w:r w:rsidR="2E2A7FDC" w:rsidRPr="350FA789">
        <w:rPr>
          <w:rFonts w:ascii="Calibri Light" w:eastAsia="Times New Roman" w:hAnsi="Calibri Light" w:cs="Times New Roman"/>
          <w:lang w:eastAsia="en-AU"/>
        </w:rPr>
        <w:t>at the end of a financial year</w:t>
      </w:r>
      <w:r w:rsidR="2E2A7FDC" w:rsidRPr="00DE74E7">
        <w:rPr>
          <w:rFonts w:ascii="Calibri Light" w:eastAsia="Times New Roman" w:hAnsi="Calibri Light" w:cs="Times New Roman"/>
          <w:szCs w:val="20"/>
          <w:lang w:eastAsia="en-AU"/>
        </w:rPr>
        <w:t xml:space="preserve"> </w:t>
      </w:r>
      <w:r w:rsidR="6D231D0A" w:rsidRPr="350FA789">
        <w:rPr>
          <w:rFonts w:ascii="Calibri Light" w:eastAsia="Times New Roman" w:hAnsi="Calibri Light" w:cs="Times New Roman"/>
          <w:lang w:eastAsia="en-AU"/>
        </w:rPr>
        <w:t>(</w:t>
      </w:r>
      <w:r w:rsidRPr="00DE74E7">
        <w:rPr>
          <w:rFonts w:ascii="Calibri Light" w:eastAsia="Times New Roman" w:hAnsi="Calibri Light" w:cs="Times New Roman"/>
          <w:szCs w:val="20"/>
          <w:lang w:eastAsia="en-AU"/>
        </w:rPr>
        <w:t>ex</w:t>
      </w:r>
      <w:r w:rsidR="00BD190B">
        <w:rPr>
          <w:rFonts w:ascii="Calibri Light" w:eastAsia="Times New Roman" w:hAnsi="Calibri Light" w:cs="Times New Roman"/>
          <w:szCs w:val="20"/>
          <w:lang w:eastAsia="en-AU"/>
        </w:rPr>
        <w:noBreakHyphen/>
      </w:r>
      <w:r w:rsidRPr="00DE74E7">
        <w:rPr>
          <w:rFonts w:ascii="Calibri Light" w:eastAsia="Times New Roman" w:hAnsi="Calibri Light" w:cs="Times New Roman"/>
          <w:szCs w:val="20"/>
          <w:lang w:eastAsia="en-AU"/>
        </w:rPr>
        <w:t>post basis</w:t>
      </w:r>
      <w:r w:rsidR="590217D5" w:rsidRPr="350FA789">
        <w:rPr>
          <w:rFonts w:ascii="Calibri Light" w:eastAsia="Times New Roman" w:hAnsi="Calibri Light" w:cs="Times New Roman"/>
          <w:lang w:eastAsia="en-AU"/>
        </w:rPr>
        <w:t>)</w:t>
      </w:r>
      <w:r w:rsidRPr="00DE74E7">
        <w:rPr>
          <w:rFonts w:ascii="Calibri Light" w:eastAsia="Times New Roman" w:hAnsi="Calibri Light" w:cs="Times New Roman"/>
          <w:szCs w:val="20"/>
          <w:lang w:eastAsia="en-AU"/>
        </w:rPr>
        <w:t xml:space="preserve"> to the 52</w:t>
      </w:r>
      <w:r w:rsidR="0042197D">
        <w:rPr>
          <w:rFonts w:ascii="Calibri Light" w:eastAsia="Times New Roman" w:hAnsi="Calibri Light" w:cs="Times New Roman"/>
          <w:szCs w:val="20"/>
          <w:lang w:eastAsia="en-AU"/>
        </w:rPr>
        <w:t> </w:t>
      </w:r>
      <w:r w:rsidRPr="00DE74E7">
        <w:rPr>
          <w:rFonts w:ascii="Calibri Light" w:eastAsia="Times New Roman" w:hAnsi="Calibri Light" w:cs="Times New Roman"/>
          <w:szCs w:val="20"/>
          <w:lang w:eastAsia="en-AU"/>
        </w:rPr>
        <w:t>sub</w:t>
      </w:r>
      <w:r w:rsidR="00BD190B">
        <w:rPr>
          <w:rFonts w:ascii="Calibri Light" w:eastAsia="Times New Roman" w:hAnsi="Calibri Light" w:cs="Times New Roman"/>
          <w:szCs w:val="20"/>
          <w:lang w:eastAsia="en-AU"/>
        </w:rPr>
        <w:noBreakHyphen/>
      </w:r>
      <w:r w:rsidRPr="00DE74E7">
        <w:rPr>
          <w:rFonts w:ascii="Calibri Light" w:eastAsia="Times New Roman" w:hAnsi="Calibri Light" w:cs="Times New Roman"/>
          <w:szCs w:val="20"/>
          <w:lang w:eastAsia="en-AU"/>
        </w:rPr>
        <w:t>sectors, with costs recovered based on the regulatory effort incurred by ASIC in respect of each sub</w:t>
      </w:r>
      <w:r w:rsidR="00BD190B">
        <w:rPr>
          <w:rFonts w:ascii="Calibri Light" w:eastAsia="Times New Roman" w:hAnsi="Calibri Light" w:cs="Times New Roman"/>
          <w:szCs w:val="20"/>
          <w:lang w:eastAsia="en-AU"/>
        </w:rPr>
        <w:noBreakHyphen/>
      </w:r>
      <w:r w:rsidRPr="00DE74E7">
        <w:rPr>
          <w:rFonts w:ascii="Calibri Light" w:eastAsia="Times New Roman" w:hAnsi="Calibri Light" w:cs="Times New Roman"/>
          <w:szCs w:val="20"/>
          <w:lang w:eastAsia="en-AU"/>
        </w:rPr>
        <w:t>sector.</w:t>
      </w:r>
      <w:r>
        <w:rPr>
          <w:rFonts w:ascii="Calibri Light" w:eastAsia="Times New Roman" w:hAnsi="Calibri Light" w:cs="Times New Roman"/>
          <w:szCs w:val="20"/>
          <w:lang w:eastAsia="en-AU"/>
        </w:rPr>
        <w:t xml:space="preserve"> </w:t>
      </w:r>
      <w:r w:rsidR="00153481">
        <w:rPr>
          <w:rFonts w:ascii="Calibri Light" w:eastAsia="Times New Roman" w:hAnsi="Calibri Light" w:cs="Times New Roman"/>
          <w:szCs w:val="20"/>
          <w:lang w:eastAsia="en-AU"/>
        </w:rPr>
        <w:t>See Chapter 3 for f</w:t>
      </w:r>
      <w:r>
        <w:rPr>
          <w:rFonts w:ascii="Calibri Light" w:eastAsia="Times New Roman" w:hAnsi="Calibri Light" w:cs="Times New Roman"/>
          <w:szCs w:val="20"/>
          <w:lang w:eastAsia="en-AU"/>
        </w:rPr>
        <w:t>urther analysis on the ex</w:t>
      </w:r>
      <w:r w:rsidR="00BD190B">
        <w:rPr>
          <w:rFonts w:ascii="Calibri Light" w:eastAsia="Times New Roman" w:hAnsi="Calibri Light" w:cs="Times New Roman"/>
          <w:szCs w:val="20"/>
          <w:lang w:eastAsia="en-AU"/>
        </w:rPr>
        <w:noBreakHyphen/>
      </w:r>
      <w:r>
        <w:rPr>
          <w:rFonts w:ascii="Calibri Light" w:eastAsia="Times New Roman" w:hAnsi="Calibri Light" w:cs="Times New Roman"/>
          <w:szCs w:val="20"/>
          <w:lang w:eastAsia="en-AU"/>
        </w:rPr>
        <w:t xml:space="preserve">post nature of the levies framework. </w:t>
      </w:r>
    </w:p>
    <w:p w14:paraId="7F96338F" w14:textId="18B0BB4E" w:rsidR="00B63AF4" w:rsidRPr="00293B59" w:rsidRDefault="00B63AF4" w:rsidP="0037599B">
      <w:pPr>
        <w:pStyle w:val="numberedtext"/>
        <w:numPr>
          <w:ilvl w:val="0"/>
          <w:numId w:val="14"/>
        </w:numPr>
        <w:tabs>
          <w:tab w:val="left" w:pos="709"/>
        </w:tabs>
        <w:ind w:hanging="720"/>
        <w:rPr>
          <w:rFonts w:ascii="Calibri Light" w:eastAsia="Times New Roman" w:hAnsi="Calibri Light" w:cs="Times New Roman"/>
          <w:szCs w:val="20"/>
          <w:lang w:eastAsia="en-AU"/>
        </w:rPr>
      </w:pPr>
      <w:r w:rsidRPr="00DE74E7">
        <w:rPr>
          <w:rFonts w:ascii="Calibri Light" w:eastAsia="Times New Roman" w:hAnsi="Calibri Light" w:cs="Times New Roman"/>
          <w:szCs w:val="20"/>
          <w:lang w:eastAsia="en-AU"/>
        </w:rPr>
        <w:t>A time measurement system is used to measure the cost of regulatory activities for each sub</w:t>
      </w:r>
      <w:r w:rsidR="00BD190B">
        <w:rPr>
          <w:rFonts w:ascii="Calibri Light" w:eastAsia="Times New Roman" w:hAnsi="Calibri Light" w:cs="Times New Roman"/>
          <w:szCs w:val="20"/>
          <w:lang w:eastAsia="en-AU"/>
        </w:rPr>
        <w:noBreakHyphen/>
      </w:r>
      <w:r w:rsidRPr="00DE74E7">
        <w:rPr>
          <w:rFonts w:ascii="Calibri Light" w:eastAsia="Times New Roman" w:hAnsi="Calibri Light" w:cs="Times New Roman"/>
          <w:szCs w:val="20"/>
          <w:lang w:eastAsia="en-AU"/>
        </w:rPr>
        <w:t>sector. ASIC allocates costs (such as direct employee expenses and direct supplier costs) to the relevant sub</w:t>
      </w:r>
      <w:r w:rsidR="00BD190B">
        <w:rPr>
          <w:rFonts w:ascii="Calibri Light" w:eastAsia="Times New Roman" w:hAnsi="Calibri Light" w:cs="Times New Roman"/>
          <w:szCs w:val="20"/>
          <w:lang w:eastAsia="en-AU"/>
        </w:rPr>
        <w:noBreakHyphen/>
      </w:r>
      <w:r w:rsidRPr="00DE74E7">
        <w:rPr>
          <w:rFonts w:ascii="Calibri Light" w:eastAsia="Times New Roman" w:hAnsi="Calibri Light" w:cs="Times New Roman"/>
          <w:szCs w:val="20"/>
          <w:lang w:eastAsia="en-AU"/>
        </w:rPr>
        <w:t>sector and activity. Indirect costs are allocated to stakeholder and enforcement teams in proportion to the internal support they receive, and then allocated to sub</w:t>
      </w:r>
      <w:r w:rsidR="00BD190B">
        <w:rPr>
          <w:rFonts w:ascii="Calibri Light" w:eastAsia="Times New Roman" w:hAnsi="Calibri Light" w:cs="Times New Roman"/>
          <w:szCs w:val="20"/>
          <w:lang w:eastAsia="en-AU"/>
        </w:rPr>
        <w:noBreakHyphen/>
      </w:r>
      <w:r w:rsidRPr="00DE74E7">
        <w:rPr>
          <w:rFonts w:ascii="Calibri Light" w:eastAsia="Times New Roman" w:hAnsi="Calibri Light" w:cs="Times New Roman"/>
          <w:szCs w:val="20"/>
          <w:lang w:eastAsia="en-AU"/>
        </w:rPr>
        <w:t>sectors in the same manner as direct costs</w:t>
      </w:r>
      <w:r w:rsidR="00901E80">
        <w:rPr>
          <w:rFonts w:ascii="Calibri Light" w:eastAsia="Times New Roman" w:hAnsi="Calibri Light" w:cs="Times New Roman"/>
          <w:szCs w:val="20"/>
          <w:lang w:eastAsia="en-AU"/>
        </w:rPr>
        <w:t xml:space="preserve">. </w:t>
      </w:r>
    </w:p>
    <w:p w14:paraId="4044FC45" w14:textId="042EFFCE" w:rsidR="00B63AF4" w:rsidRPr="008567DA"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E54F31">
        <w:rPr>
          <w:rFonts w:ascii="Calibri Light" w:eastAsia="Times New Roman" w:hAnsi="Calibri Light" w:cs="Times New Roman"/>
          <w:szCs w:val="20"/>
          <w:lang w:eastAsia="en-AU"/>
        </w:rPr>
        <w:t xml:space="preserve">The levy payable by an individual entity </w:t>
      </w:r>
      <w:r>
        <w:rPr>
          <w:rFonts w:ascii="Calibri Light" w:eastAsia="Times New Roman" w:hAnsi="Calibri Light" w:cs="Times New Roman"/>
          <w:szCs w:val="20"/>
          <w:lang w:eastAsia="en-AU"/>
        </w:rPr>
        <w:t xml:space="preserve">is </w:t>
      </w:r>
      <w:r w:rsidR="00753C7C">
        <w:rPr>
          <w:rFonts w:ascii="Calibri Light" w:eastAsia="Times New Roman" w:hAnsi="Calibri Light" w:cs="Times New Roman"/>
          <w:szCs w:val="20"/>
          <w:lang w:eastAsia="en-AU"/>
        </w:rPr>
        <w:t xml:space="preserve">then </w:t>
      </w:r>
      <w:r w:rsidRPr="00E54F31">
        <w:rPr>
          <w:rFonts w:ascii="Calibri Light" w:eastAsia="Times New Roman" w:hAnsi="Calibri Light" w:cs="Times New Roman"/>
          <w:szCs w:val="20"/>
          <w:lang w:eastAsia="en-AU"/>
        </w:rPr>
        <w:t>determined using formulas and metrics for the sub</w:t>
      </w:r>
      <w:r w:rsidR="00BD190B">
        <w:rPr>
          <w:rFonts w:ascii="Calibri Light" w:eastAsia="Times New Roman" w:hAnsi="Calibri Light" w:cs="Times New Roman"/>
          <w:szCs w:val="20"/>
          <w:lang w:eastAsia="en-AU"/>
        </w:rPr>
        <w:noBreakHyphen/>
      </w:r>
      <w:r w:rsidRPr="00E54F31">
        <w:rPr>
          <w:rFonts w:ascii="Calibri Light" w:eastAsia="Times New Roman" w:hAnsi="Calibri Light" w:cs="Times New Roman"/>
          <w:szCs w:val="20"/>
          <w:lang w:eastAsia="en-AU"/>
        </w:rPr>
        <w:t>sector prescribed in the Cost Recovery Levy Regulations. Entities in a sub</w:t>
      </w:r>
      <w:r w:rsidR="00BD190B">
        <w:rPr>
          <w:rFonts w:ascii="Calibri Light" w:eastAsia="Times New Roman" w:hAnsi="Calibri Light" w:cs="Times New Roman"/>
          <w:szCs w:val="20"/>
          <w:lang w:eastAsia="en-AU"/>
        </w:rPr>
        <w:noBreakHyphen/>
      </w:r>
      <w:r w:rsidRPr="00E54F31">
        <w:rPr>
          <w:rFonts w:ascii="Calibri Light" w:eastAsia="Times New Roman" w:hAnsi="Calibri Light" w:cs="Times New Roman"/>
          <w:szCs w:val="20"/>
          <w:lang w:eastAsia="en-AU"/>
        </w:rPr>
        <w:t>sector may be required to pay a flat levy or a graduated levy.</w:t>
      </w:r>
      <w:r>
        <w:rPr>
          <w:rFonts w:ascii="Calibri Light" w:eastAsia="Times New Roman" w:hAnsi="Calibri Light" w:cs="Times New Roman"/>
          <w:szCs w:val="20"/>
          <w:lang w:eastAsia="en-AU"/>
        </w:rPr>
        <w:t xml:space="preserve"> </w:t>
      </w:r>
    </w:p>
    <w:p w14:paraId="318EBEB4" w14:textId="287DCFEE" w:rsidR="00B63AF4" w:rsidRPr="0003634C" w:rsidRDefault="00B63AF4" w:rsidP="0037599B">
      <w:pPr>
        <w:pStyle w:val="numberedtext"/>
        <w:numPr>
          <w:ilvl w:val="0"/>
          <w:numId w:val="14"/>
        </w:numPr>
        <w:tabs>
          <w:tab w:val="left" w:pos="709"/>
        </w:tabs>
        <w:ind w:hanging="720"/>
      </w:pPr>
      <w:r w:rsidRPr="0003634C">
        <w:rPr>
          <w:rFonts w:ascii="Calibri Light" w:eastAsia="Times New Roman" w:hAnsi="Calibri Light" w:cs="Times New Roman"/>
          <w:szCs w:val="20"/>
          <w:lang w:eastAsia="en-AU"/>
        </w:rPr>
        <w:t>ASIC calculates levies for individual entities based on data reported by the entity, which enables ASIC to calculate each entity</w:t>
      </w:r>
      <w:r w:rsidR="00BD190B">
        <w:rPr>
          <w:rFonts w:ascii="Calibri Light" w:eastAsia="Times New Roman" w:hAnsi="Calibri Light" w:cs="Times New Roman"/>
          <w:szCs w:val="20"/>
          <w:lang w:eastAsia="en-AU"/>
        </w:rPr>
        <w:t>’</w:t>
      </w:r>
      <w:r w:rsidRPr="0003634C">
        <w:rPr>
          <w:rFonts w:ascii="Calibri Light" w:eastAsia="Times New Roman" w:hAnsi="Calibri Light" w:cs="Times New Roman"/>
          <w:szCs w:val="20"/>
          <w:lang w:eastAsia="en-AU"/>
        </w:rPr>
        <w:t>s share of regulatory costs for the financial year. If</w:t>
      </w:r>
      <w:r w:rsidR="0090131E">
        <w:rPr>
          <w:rFonts w:ascii="Calibri Light" w:eastAsia="Times New Roman" w:hAnsi="Calibri Light" w:cs="Times New Roman"/>
          <w:szCs w:val="20"/>
          <w:lang w:eastAsia="en-AU"/>
        </w:rPr>
        <w:t> </w:t>
      </w:r>
      <w:r w:rsidRPr="0003634C">
        <w:rPr>
          <w:rFonts w:ascii="Calibri Light" w:eastAsia="Times New Roman" w:hAnsi="Calibri Light" w:cs="Times New Roman"/>
          <w:szCs w:val="20"/>
          <w:lang w:eastAsia="en-AU"/>
        </w:rPr>
        <w:t>entities operate in multiple sub</w:t>
      </w:r>
      <w:r w:rsidR="00BD190B">
        <w:rPr>
          <w:rFonts w:ascii="Calibri Light" w:eastAsia="Times New Roman" w:hAnsi="Calibri Light" w:cs="Times New Roman"/>
          <w:szCs w:val="20"/>
          <w:lang w:eastAsia="en-AU"/>
        </w:rPr>
        <w:noBreakHyphen/>
      </w:r>
      <w:r w:rsidRPr="0003634C">
        <w:rPr>
          <w:rFonts w:ascii="Calibri Light" w:eastAsia="Times New Roman" w:hAnsi="Calibri Light" w:cs="Times New Roman"/>
          <w:szCs w:val="20"/>
          <w:lang w:eastAsia="en-AU"/>
        </w:rPr>
        <w:t>sectors, all relevant levies for those sub</w:t>
      </w:r>
      <w:r w:rsidR="00BD190B">
        <w:rPr>
          <w:rFonts w:ascii="Calibri Light" w:eastAsia="Times New Roman" w:hAnsi="Calibri Light" w:cs="Times New Roman"/>
          <w:szCs w:val="20"/>
          <w:lang w:eastAsia="en-AU"/>
        </w:rPr>
        <w:noBreakHyphen/>
      </w:r>
      <w:r w:rsidRPr="0003634C">
        <w:rPr>
          <w:rFonts w:ascii="Calibri Light" w:eastAsia="Times New Roman" w:hAnsi="Calibri Light" w:cs="Times New Roman"/>
          <w:szCs w:val="20"/>
          <w:lang w:eastAsia="en-AU"/>
        </w:rPr>
        <w:t>sectors will be payable, and an entity</w:t>
      </w:r>
      <w:r w:rsidR="00BD190B">
        <w:rPr>
          <w:rFonts w:ascii="Calibri Light" w:eastAsia="Times New Roman" w:hAnsi="Calibri Light" w:cs="Times New Roman"/>
          <w:szCs w:val="20"/>
          <w:lang w:eastAsia="en-AU"/>
        </w:rPr>
        <w:t>’</w:t>
      </w:r>
      <w:r w:rsidRPr="0003634C">
        <w:rPr>
          <w:rFonts w:ascii="Calibri Light" w:eastAsia="Times New Roman" w:hAnsi="Calibri Light" w:cs="Times New Roman"/>
          <w:szCs w:val="20"/>
          <w:lang w:eastAsia="en-AU"/>
        </w:rPr>
        <w:t xml:space="preserve">s invoice will reflect this. </w:t>
      </w:r>
    </w:p>
    <w:p w14:paraId="70101467" w14:textId="3324DCBC" w:rsidR="00B63AF4" w:rsidRDefault="00B63AF4" w:rsidP="0037599B">
      <w:pPr>
        <w:pStyle w:val="numberedtext"/>
        <w:numPr>
          <w:ilvl w:val="0"/>
          <w:numId w:val="14"/>
        </w:numPr>
        <w:tabs>
          <w:tab w:val="left" w:pos="709"/>
        </w:tabs>
        <w:ind w:hanging="720"/>
      </w:pPr>
      <w:r w:rsidRPr="00293B59">
        <w:rPr>
          <w:rFonts w:ascii="Calibri Light" w:eastAsia="Times New Roman" w:hAnsi="Calibri Light" w:cs="Times New Roman"/>
          <w:szCs w:val="20"/>
          <w:lang w:eastAsia="en-AU"/>
        </w:rPr>
        <w:t>When cost recovery for a financial year exceeds or falls short of the amount of ASIC</w:t>
      </w:r>
      <w:r w:rsidR="00BD190B">
        <w:rPr>
          <w:rFonts w:ascii="Calibri Light" w:eastAsia="Times New Roman" w:hAnsi="Calibri Light" w:cs="Times New Roman"/>
          <w:szCs w:val="20"/>
          <w:lang w:eastAsia="en-AU"/>
        </w:rPr>
        <w:t>’</w:t>
      </w:r>
      <w:r w:rsidRPr="00293B59">
        <w:rPr>
          <w:rFonts w:ascii="Calibri Light" w:eastAsia="Times New Roman" w:hAnsi="Calibri Light" w:cs="Times New Roman"/>
          <w:szCs w:val="20"/>
          <w:lang w:eastAsia="en-AU"/>
        </w:rPr>
        <w:t>s regulatory costs for that year, an upward or downward adjustment to ASIC</w:t>
      </w:r>
      <w:r w:rsidR="00BD190B">
        <w:rPr>
          <w:rFonts w:ascii="Calibri Light" w:eastAsia="Times New Roman" w:hAnsi="Calibri Light" w:cs="Times New Roman"/>
          <w:szCs w:val="20"/>
          <w:lang w:eastAsia="en-AU"/>
        </w:rPr>
        <w:t>’</w:t>
      </w:r>
      <w:r w:rsidRPr="00293B59">
        <w:rPr>
          <w:rFonts w:ascii="Calibri Light" w:eastAsia="Times New Roman" w:hAnsi="Calibri Light" w:cs="Times New Roman"/>
          <w:szCs w:val="20"/>
          <w:lang w:eastAsia="en-AU"/>
        </w:rPr>
        <w:t xml:space="preserve">s regulatory costs will be made in the following financial year, thereby impacting levy amounts in that year. Under or over collection may occur due to a mismatch in the timing of when entities are </w:t>
      </w:r>
      <w:r w:rsidRPr="00293B59">
        <w:rPr>
          <w:rFonts w:ascii="Calibri Light" w:eastAsia="Times New Roman" w:hAnsi="Calibri Light" w:cs="Times New Roman"/>
          <w:szCs w:val="20"/>
          <w:lang w:eastAsia="en-AU"/>
        </w:rPr>
        <w:lastRenderedPageBreak/>
        <w:t>registered or deregistered and the notification of these activities. It can also occur due to other changes in the prior year</w:t>
      </w:r>
      <w:r w:rsidR="00BD190B">
        <w:rPr>
          <w:rFonts w:ascii="Calibri Light" w:eastAsia="Times New Roman" w:hAnsi="Calibri Light" w:cs="Times New Roman"/>
          <w:szCs w:val="20"/>
          <w:lang w:eastAsia="en-AU"/>
        </w:rPr>
        <w:t>’</w:t>
      </w:r>
      <w:r w:rsidRPr="00293B59">
        <w:rPr>
          <w:rFonts w:ascii="Calibri Light" w:eastAsia="Times New Roman" w:hAnsi="Calibri Light" w:cs="Times New Roman"/>
          <w:szCs w:val="20"/>
          <w:lang w:eastAsia="en-AU"/>
        </w:rPr>
        <w:t>s leviable populations, costs or metrics</w:t>
      </w:r>
      <w:r w:rsidR="00F745CC">
        <w:rPr>
          <w:rFonts w:ascii="Calibri Light" w:eastAsia="Times New Roman" w:hAnsi="Calibri Light" w:cs="Times New Roman"/>
          <w:szCs w:val="20"/>
          <w:lang w:eastAsia="en-AU"/>
        </w:rPr>
        <w:t>, or when an entity fails to pay a</w:t>
      </w:r>
      <w:r w:rsidR="00546410">
        <w:rPr>
          <w:rFonts w:ascii="Calibri Light" w:eastAsia="Times New Roman" w:hAnsi="Calibri Light" w:cs="Times New Roman"/>
          <w:szCs w:val="20"/>
          <w:lang w:eastAsia="en-AU"/>
        </w:rPr>
        <w:t xml:space="preserve"> levy</w:t>
      </w:r>
      <w:r w:rsidR="00F745CC">
        <w:rPr>
          <w:rFonts w:ascii="Calibri Light" w:eastAsia="Times New Roman" w:hAnsi="Calibri Light" w:cs="Times New Roman"/>
          <w:szCs w:val="20"/>
          <w:lang w:eastAsia="en-AU"/>
        </w:rPr>
        <w:t xml:space="preserve"> invoice</w:t>
      </w:r>
      <w:r w:rsidR="00873794">
        <w:rPr>
          <w:rFonts w:ascii="Calibri Light" w:eastAsia="Times New Roman" w:hAnsi="Calibri Light" w:cs="Times New Roman"/>
          <w:szCs w:val="20"/>
          <w:lang w:eastAsia="en-AU"/>
        </w:rPr>
        <w:t xml:space="preserve"> (without seeking a waiver)</w:t>
      </w:r>
      <w:r w:rsidRPr="00293B59">
        <w:rPr>
          <w:rFonts w:ascii="Calibri Light" w:eastAsia="Times New Roman" w:hAnsi="Calibri Light" w:cs="Times New Roman"/>
          <w:szCs w:val="20"/>
          <w:lang w:eastAsia="en-AU"/>
        </w:rPr>
        <w:t>. Adjustments for under and over recoveries are made to the sub</w:t>
      </w:r>
      <w:r w:rsidR="00BD190B">
        <w:rPr>
          <w:rFonts w:ascii="Calibri Light" w:eastAsia="Times New Roman" w:hAnsi="Calibri Light" w:cs="Times New Roman"/>
          <w:szCs w:val="20"/>
          <w:lang w:eastAsia="en-AU"/>
        </w:rPr>
        <w:noBreakHyphen/>
      </w:r>
      <w:r w:rsidRPr="00293B59">
        <w:rPr>
          <w:rFonts w:ascii="Calibri Light" w:eastAsia="Times New Roman" w:hAnsi="Calibri Light" w:cs="Times New Roman"/>
          <w:szCs w:val="20"/>
          <w:lang w:eastAsia="en-AU"/>
        </w:rPr>
        <w:t xml:space="preserve">sector in which the under or over recovery occurred. </w:t>
      </w:r>
    </w:p>
    <w:p w14:paraId="33EBB100" w14:textId="77777777" w:rsidR="00B63AF4" w:rsidRDefault="00B63AF4" w:rsidP="00424595">
      <w:pPr>
        <w:pStyle w:val="Heading3"/>
      </w:pPr>
      <w:bookmarkStart w:id="58" w:name="_Toc125305173"/>
      <w:bookmarkStart w:id="59" w:name="_Toc129270441"/>
      <w:r>
        <w:t>Levy waivers</w:t>
      </w:r>
      <w:bookmarkEnd w:id="58"/>
      <w:bookmarkEnd w:id="59"/>
      <w:r>
        <w:t xml:space="preserve"> </w:t>
      </w:r>
    </w:p>
    <w:p w14:paraId="73F210F5" w14:textId="6ABF6864"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Under </w:t>
      </w:r>
      <w:r w:rsidR="00E34157">
        <w:rPr>
          <w:rFonts w:ascii="Calibri Light" w:eastAsia="Times New Roman" w:hAnsi="Calibri Light" w:cs="Calibri Light"/>
          <w:szCs w:val="20"/>
          <w:lang w:eastAsia="en-AU"/>
        </w:rPr>
        <w:t>t</w:t>
      </w:r>
      <w:r>
        <w:rPr>
          <w:rFonts w:ascii="Calibri Light" w:eastAsia="Times New Roman" w:hAnsi="Calibri Light" w:cs="Calibri Light"/>
          <w:szCs w:val="20"/>
          <w:lang w:eastAsia="en-AU"/>
        </w:rPr>
        <w:t>he</w:t>
      </w:r>
      <w:r w:rsidR="00EC3A2B">
        <w:rPr>
          <w:rFonts w:ascii="Calibri Light" w:eastAsia="Times New Roman" w:hAnsi="Calibri Light" w:cs="Calibri Light"/>
          <w:szCs w:val="20"/>
          <w:lang w:eastAsia="en-AU"/>
        </w:rPr>
        <w:t xml:space="preserve"> Cost Recovery Levy Act</w:t>
      </w:r>
      <w:r>
        <w:rPr>
          <w:rFonts w:ascii="Calibri Light" w:eastAsia="Times New Roman" w:hAnsi="Calibri Light" w:cs="Calibri Light"/>
          <w:szCs w:val="20"/>
          <w:lang w:eastAsia="en-AU"/>
        </w:rPr>
        <w:t xml:space="preserve">, </w:t>
      </w:r>
      <w:r w:rsidRPr="0079793A">
        <w:rPr>
          <w:rFonts w:ascii="Calibri Light" w:eastAsia="Times New Roman" w:hAnsi="Calibri Light" w:cs="Calibri Light"/>
          <w:szCs w:val="20"/>
          <w:lang w:eastAsia="en-AU"/>
        </w:rPr>
        <w:t>ASIC has the power to waive levies</w:t>
      </w:r>
      <w:r>
        <w:rPr>
          <w:rFonts w:ascii="Calibri Light" w:eastAsia="Times New Roman" w:hAnsi="Calibri Light" w:cs="Calibri Light"/>
          <w:szCs w:val="20"/>
          <w:lang w:eastAsia="en-AU"/>
        </w:rPr>
        <w:t xml:space="preserve"> and penalties</w:t>
      </w:r>
      <w:r w:rsidRPr="0079793A">
        <w:rPr>
          <w:rFonts w:ascii="Calibri Light" w:eastAsia="Times New Roman" w:hAnsi="Calibri Light" w:cs="Calibri Light"/>
          <w:szCs w:val="20"/>
          <w:lang w:eastAsia="en-AU"/>
        </w:rPr>
        <w:t xml:space="preserve"> in exceptional circumstances</w:t>
      </w:r>
      <w:r>
        <w:rPr>
          <w:rFonts w:ascii="Calibri Light" w:eastAsia="Times New Roman" w:hAnsi="Calibri Light" w:cs="Calibri Light"/>
          <w:szCs w:val="20"/>
          <w:lang w:eastAsia="en-AU"/>
        </w:rPr>
        <w:t xml:space="preserve"> – examples of exceptional circumstances include natural disasters, serious illness, court caused delays etc</w:t>
      </w:r>
      <w:r w:rsidRPr="0079793A">
        <w:rPr>
          <w:rFonts w:ascii="Calibri Light" w:eastAsia="Times New Roman" w:hAnsi="Calibri Light" w:cs="Calibri Light"/>
          <w:szCs w:val="20"/>
          <w:lang w:eastAsia="en-AU"/>
        </w:rPr>
        <w:t>.</w:t>
      </w:r>
      <w:r>
        <w:rPr>
          <w:rFonts w:ascii="Calibri Light" w:eastAsia="Times New Roman" w:hAnsi="Calibri Light" w:cs="Calibri Light"/>
          <w:szCs w:val="20"/>
          <w:lang w:eastAsia="en-AU"/>
        </w:rPr>
        <w:t xml:space="preserve"> </w:t>
      </w:r>
    </w:p>
    <w:p w14:paraId="28817D8B" w14:textId="707FCB1F"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There is no limit to the amount that can be waived – ASIC can waive the payment in full or partially.</w:t>
      </w:r>
      <w:r w:rsidRPr="0079793A">
        <w:rPr>
          <w:rFonts w:ascii="Calibri Light" w:eastAsia="Times New Roman" w:hAnsi="Calibri Light" w:cs="Calibri Light"/>
          <w:szCs w:val="20"/>
          <w:lang w:eastAsia="en-AU"/>
        </w:rPr>
        <w:t xml:space="preserve"> The amounts that are waived are not recovered from other entities</w:t>
      </w:r>
      <w:r>
        <w:rPr>
          <w:rFonts w:ascii="Calibri Light" w:eastAsia="Times New Roman" w:hAnsi="Calibri Light" w:cs="Calibri Light"/>
          <w:szCs w:val="20"/>
          <w:lang w:eastAsia="en-AU"/>
        </w:rPr>
        <w:t xml:space="preserve"> or recovered in subsequent years, and instead </w:t>
      </w:r>
      <w:r w:rsidRPr="0079793A">
        <w:rPr>
          <w:rFonts w:ascii="Calibri Light" w:eastAsia="Times New Roman" w:hAnsi="Calibri Light" w:cs="Calibri Light"/>
          <w:szCs w:val="20"/>
          <w:lang w:eastAsia="en-AU"/>
        </w:rPr>
        <w:t>are borne by the Government (</w:t>
      </w:r>
      <w:r w:rsidR="00364DD7">
        <w:rPr>
          <w:rFonts w:ascii="Calibri Light" w:eastAsia="Times New Roman" w:hAnsi="Calibri Light" w:cs="Calibri Light"/>
          <w:szCs w:val="20"/>
          <w:lang w:eastAsia="en-AU"/>
        </w:rPr>
        <w:t>that is,</w:t>
      </w:r>
      <w:r w:rsidRPr="0079793A">
        <w:rPr>
          <w:rFonts w:ascii="Calibri Light" w:eastAsia="Times New Roman" w:hAnsi="Calibri Light" w:cs="Calibri Light"/>
          <w:szCs w:val="20"/>
          <w:lang w:eastAsia="en-AU"/>
        </w:rPr>
        <w:t xml:space="preserve"> general taxpayers).</w:t>
      </w:r>
    </w:p>
    <w:p w14:paraId="1C6F3A56" w14:textId="77777777" w:rsidR="00B63AF4" w:rsidRPr="00293B59" w:rsidRDefault="00B63AF4" w:rsidP="00B63AF4">
      <w:pPr>
        <w:pStyle w:val="Heading2"/>
        <w:rPr>
          <w:iCs w:val="0"/>
        </w:rPr>
      </w:pPr>
      <w:bookmarkStart w:id="60" w:name="_Toc125305174"/>
      <w:bookmarkStart w:id="61" w:name="_Toc129270442"/>
      <w:r w:rsidRPr="00293B59">
        <w:t>Principles of the levies framework</w:t>
      </w:r>
      <w:bookmarkEnd w:id="60"/>
      <w:bookmarkEnd w:id="61"/>
    </w:p>
    <w:p w14:paraId="36F3A863" w14:textId="455DD25D" w:rsidR="00706E5B" w:rsidRDefault="00B63AF4" w:rsidP="00706E5B">
      <w:pPr>
        <w:pStyle w:val="numberedtext"/>
        <w:numPr>
          <w:ilvl w:val="0"/>
          <w:numId w:val="14"/>
        </w:numPr>
        <w:tabs>
          <w:tab w:val="left" w:pos="709"/>
        </w:tabs>
        <w:ind w:hanging="720"/>
        <w:rPr>
          <w:rFonts w:eastAsia="Calibri" w:cs="Calibri Light"/>
        </w:rPr>
      </w:pPr>
      <w:r w:rsidRPr="00FF6C38">
        <w:rPr>
          <w:rFonts w:ascii="Calibri Light" w:eastAsia="Times New Roman" w:hAnsi="Calibri Light" w:cs="Calibri Light"/>
          <w:szCs w:val="20"/>
          <w:lang w:eastAsia="en-AU"/>
        </w:rPr>
        <w:t xml:space="preserve">The </w:t>
      </w:r>
      <w:r w:rsidR="00E35474">
        <w:rPr>
          <w:rFonts w:ascii="Calibri Light" w:eastAsia="Times New Roman" w:hAnsi="Calibri Light" w:cs="Calibri Light"/>
          <w:szCs w:val="20"/>
          <w:lang w:eastAsia="en-AU"/>
        </w:rPr>
        <w:t>levies framework</w:t>
      </w:r>
      <w:r w:rsidRPr="00FF6C38">
        <w:rPr>
          <w:rFonts w:ascii="Calibri Light" w:eastAsia="Times New Roman" w:hAnsi="Calibri Light" w:cs="Calibri Light"/>
          <w:szCs w:val="20"/>
          <w:lang w:eastAsia="en-AU"/>
        </w:rPr>
        <w:t xml:space="preserve"> aims to meet th</w:t>
      </w:r>
      <w:r w:rsidR="00DB4975">
        <w:rPr>
          <w:rFonts w:ascii="Calibri Light" w:eastAsia="Times New Roman" w:hAnsi="Calibri Light" w:cs="Calibri Light"/>
          <w:szCs w:val="20"/>
          <w:lang w:eastAsia="en-AU"/>
        </w:rPr>
        <w:t>e</w:t>
      </w:r>
      <w:r w:rsidR="00D666B3">
        <w:rPr>
          <w:rFonts w:ascii="Calibri Light" w:eastAsia="Times New Roman" w:hAnsi="Calibri Light" w:cs="Calibri Light"/>
          <w:szCs w:val="20"/>
          <w:lang w:eastAsia="en-AU"/>
        </w:rPr>
        <w:t xml:space="preserve"> two key principles of the </w:t>
      </w:r>
      <w:r w:rsidR="00735965">
        <w:rPr>
          <w:rFonts w:ascii="Calibri Light" w:eastAsia="Times New Roman" w:hAnsi="Calibri Light" w:cs="Calibri Light"/>
          <w:szCs w:val="20"/>
          <w:lang w:eastAsia="en-AU"/>
        </w:rPr>
        <w:t>Government and</w:t>
      </w:r>
      <w:r w:rsidR="00DB4975">
        <w:rPr>
          <w:rFonts w:ascii="Calibri Light" w:eastAsia="Times New Roman" w:hAnsi="Calibri Light" w:cs="Calibri Light"/>
          <w:szCs w:val="20"/>
          <w:lang w:eastAsia="en-AU"/>
        </w:rPr>
        <w:t xml:space="preserve"> Charging Framework </w:t>
      </w:r>
      <w:r w:rsidR="00E35474">
        <w:rPr>
          <w:rFonts w:ascii="Calibri Light" w:eastAsia="Times New Roman" w:hAnsi="Calibri Light" w:cs="Calibri Light"/>
          <w:szCs w:val="20"/>
          <w:lang w:eastAsia="en-AU"/>
        </w:rPr>
        <w:t xml:space="preserve">(see Chapter 1) </w:t>
      </w:r>
      <w:r w:rsidRPr="00FF6C38">
        <w:rPr>
          <w:rFonts w:ascii="Calibri Light" w:eastAsia="Times New Roman" w:hAnsi="Calibri Light" w:cs="Calibri Light"/>
          <w:szCs w:val="20"/>
          <w:lang w:eastAsia="en-AU"/>
        </w:rPr>
        <w:t>by utilising various components to try and accurately apportion</w:t>
      </w:r>
      <w:r w:rsidR="002D4B83">
        <w:rPr>
          <w:rFonts w:ascii="Calibri Light" w:eastAsia="Times New Roman" w:hAnsi="Calibri Light" w:cs="Calibri Light"/>
          <w:szCs w:val="20"/>
          <w:lang w:eastAsia="en-AU"/>
        </w:rPr>
        <w:t xml:space="preserve"> and recover</w:t>
      </w:r>
      <w:r w:rsidRPr="00FF6C38">
        <w:rPr>
          <w:rFonts w:ascii="Calibri Light" w:eastAsia="Times New Roman" w:hAnsi="Calibri Light" w:cs="Calibri Light"/>
          <w:szCs w:val="20"/>
          <w:lang w:eastAsia="en-AU"/>
        </w:rPr>
        <w:t xml:space="preserve"> costs </w:t>
      </w:r>
      <w:r w:rsidR="002D4B83">
        <w:rPr>
          <w:rFonts w:ascii="Calibri Light" w:eastAsia="Times New Roman" w:hAnsi="Calibri Light" w:cs="Calibri Light"/>
          <w:szCs w:val="20"/>
          <w:lang w:eastAsia="en-AU"/>
        </w:rPr>
        <w:t>from regulated</w:t>
      </w:r>
      <w:r w:rsidRPr="00FF6C38">
        <w:rPr>
          <w:rFonts w:ascii="Calibri Light" w:eastAsia="Times New Roman" w:hAnsi="Calibri Light" w:cs="Calibri Light"/>
          <w:szCs w:val="20"/>
          <w:lang w:eastAsia="en-AU"/>
        </w:rPr>
        <w:t xml:space="preserve"> entities</w:t>
      </w:r>
      <w:r w:rsidR="002D4B83">
        <w:rPr>
          <w:rFonts w:ascii="Calibri Light" w:eastAsia="Times New Roman" w:hAnsi="Calibri Light" w:cs="Calibri Light"/>
          <w:szCs w:val="20"/>
          <w:lang w:eastAsia="en-AU"/>
        </w:rPr>
        <w:t xml:space="preserve">, rather than general taxpayers. </w:t>
      </w:r>
    </w:p>
    <w:p w14:paraId="69B5F9E9" w14:textId="59C41AC5" w:rsidR="00B63AF4" w:rsidRPr="00706E5B" w:rsidRDefault="00B63AF4" w:rsidP="00706E5B">
      <w:pPr>
        <w:pStyle w:val="numberedtext"/>
        <w:numPr>
          <w:ilvl w:val="0"/>
          <w:numId w:val="14"/>
        </w:numPr>
        <w:tabs>
          <w:tab w:val="left" w:pos="709"/>
        </w:tabs>
        <w:ind w:hanging="720"/>
        <w:rPr>
          <w:rFonts w:eastAsia="Calibri" w:cs="Calibri Light"/>
        </w:rPr>
      </w:pPr>
      <w:r w:rsidRPr="00706E5B">
        <w:rPr>
          <w:rFonts w:ascii="Calibri Light" w:eastAsia="Times New Roman" w:hAnsi="Calibri Light" w:cs="Calibri Light"/>
          <w:szCs w:val="20"/>
          <w:lang w:eastAsia="en-AU"/>
        </w:rPr>
        <w:t>This has been done through allocating costs to industry sub</w:t>
      </w:r>
      <w:r w:rsidR="00BD190B">
        <w:rPr>
          <w:rFonts w:ascii="Calibri Light" w:eastAsia="Times New Roman" w:hAnsi="Calibri Light" w:cs="Calibri Light"/>
          <w:szCs w:val="20"/>
          <w:lang w:eastAsia="en-AU"/>
        </w:rPr>
        <w:noBreakHyphen/>
      </w:r>
      <w:r w:rsidRPr="00706E5B">
        <w:rPr>
          <w:rFonts w:ascii="Calibri Light" w:eastAsia="Times New Roman" w:hAnsi="Calibri Light" w:cs="Calibri Light"/>
          <w:szCs w:val="20"/>
          <w:lang w:eastAsia="en-AU"/>
        </w:rPr>
        <w:t>sectors to group entities that are providing similar services or undertaking similar activities; prescribing whether a sub</w:t>
      </w:r>
      <w:r w:rsidR="00BD190B">
        <w:rPr>
          <w:rFonts w:ascii="Calibri Light" w:eastAsia="Times New Roman" w:hAnsi="Calibri Light" w:cs="Calibri Light"/>
          <w:szCs w:val="20"/>
          <w:lang w:eastAsia="en-AU"/>
        </w:rPr>
        <w:noBreakHyphen/>
      </w:r>
      <w:r w:rsidRPr="00706E5B">
        <w:rPr>
          <w:rFonts w:ascii="Calibri Light" w:eastAsia="Times New Roman" w:hAnsi="Calibri Light" w:cs="Calibri Light"/>
          <w:szCs w:val="20"/>
          <w:lang w:eastAsia="en-AU"/>
        </w:rPr>
        <w:t>sector should pay a flat or graduated levy; and prescribing different types of metrics to apportion costs to entities within a sub</w:t>
      </w:r>
      <w:r w:rsidR="00BD190B">
        <w:rPr>
          <w:rFonts w:ascii="Calibri Light" w:eastAsia="Times New Roman" w:hAnsi="Calibri Light" w:cs="Calibri Light"/>
          <w:szCs w:val="20"/>
          <w:lang w:eastAsia="en-AU"/>
        </w:rPr>
        <w:noBreakHyphen/>
      </w:r>
      <w:r w:rsidRPr="00706E5B">
        <w:rPr>
          <w:rFonts w:ascii="Calibri Light" w:eastAsia="Times New Roman" w:hAnsi="Calibri Light" w:cs="Calibri Light"/>
          <w:szCs w:val="20"/>
          <w:lang w:eastAsia="en-AU"/>
        </w:rPr>
        <w:t xml:space="preserve">sector. </w:t>
      </w:r>
    </w:p>
    <w:p w14:paraId="0541404E" w14:textId="77777777" w:rsidR="00B63AF4" w:rsidRPr="00293B59" w:rsidRDefault="00B63AF4" w:rsidP="00232046">
      <w:pPr>
        <w:pStyle w:val="Heading3"/>
      </w:pPr>
      <w:bookmarkStart w:id="62" w:name="_Toc125305177"/>
      <w:bookmarkStart w:id="63" w:name="_Toc129270443"/>
      <w:r w:rsidRPr="00293B59">
        <w:t>Analysis and findings</w:t>
      </w:r>
      <w:bookmarkEnd w:id="62"/>
      <w:bookmarkEnd w:id="63"/>
    </w:p>
    <w:p w14:paraId="2006DF49" w14:textId="0DFB6B46" w:rsidR="00B63AF4" w:rsidRPr="00DB5779" w:rsidRDefault="003D4FF7" w:rsidP="00DB5779">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 current </w:t>
      </w:r>
      <w:r w:rsidR="00901DCB">
        <w:rPr>
          <w:rFonts w:ascii="Calibri Light" w:eastAsia="Times New Roman" w:hAnsi="Calibri Light" w:cs="Calibri Light"/>
          <w:szCs w:val="20"/>
          <w:lang w:eastAsia="en-AU"/>
        </w:rPr>
        <w:t>levies framework</w:t>
      </w:r>
      <w:r w:rsidR="00B07E79" w:rsidRPr="00B07E79">
        <w:rPr>
          <w:rFonts w:ascii="Calibri Light" w:eastAsia="Times New Roman" w:hAnsi="Calibri Light" w:cs="Calibri Light"/>
          <w:szCs w:val="20"/>
          <w:lang w:eastAsia="en-AU"/>
        </w:rPr>
        <w:t xml:space="preserve"> produces a high level of granularity that is intended to promote equity and fairness by having costs met by entities in the sub</w:t>
      </w:r>
      <w:r w:rsidR="00BD190B">
        <w:rPr>
          <w:rFonts w:ascii="Calibri Light" w:eastAsia="Times New Roman" w:hAnsi="Calibri Light" w:cs="Calibri Light"/>
          <w:szCs w:val="20"/>
          <w:lang w:eastAsia="en-AU"/>
        </w:rPr>
        <w:noBreakHyphen/>
      </w:r>
      <w:r w:rsidR="00B07E79" w:rsidRPr="00B07E79">
        <w:rPr>
          <w:rFonts w:ascii="Calibri Light" w:eastAsia="Times New Roman" w:hAnsi="Calibri Light" w:cs="Calibri Light"/>
          <w:szCs w:val="20"/>
          <w:lang w:eastAsia="en-AU"/>
        </w:rPr>
        <w:t>sector that causes the need for ASIC</w:t>
      </w:r>
      <w:r w:rsidR="00BD190B">
        <w:rPr>
          <w:rFonts w:ascii="Calibri Light" w:eastAsia="Times New Roman" w:hAnsi="Calibri Light" w:cs="Calibri Light"/>
          <w:szCs w:val="20"/>
          <w:lang w:eastAsia="en-AU"/>
        </w:rPr>
        <w:t>’</w:t>
      </w:r>
      <w:r w:rsidR="00B07E79" w:rsidRPr="00B07E79">
        <w:rPr>
          <w:rFonts w:ascii="Calibri Light" w:eastAsia="Times New Roman" w:hAnsi="Calibri Light" w:cs="Calibri Light"/>
          <w:szCs w:val="20"/>
          <w:lang w:eastAsia="en-AU"/>
        </w:rPr>
        <w:t>s regulatory effort.</w:t>
      </w:r>
      <w:r w:rsidR="00901DCB">
        <w:rPr>
          <w:rFonts w:ascii="Calibri Light" w:eastAsia="Times New Roman" w:hAnsi="Calibri Light" w:cs="Calibri Light"/>
          <w:szCs w:val="20"/>
          <w:lang w:eastAsia="en-AU"/>
        </w:rPr>
        <w:t xml:space="preserve"> </w:t>
      </w:r>
      <w:r w:rsidR="00B63AF4" w:rsidRPr="00DB5779">
        <w:rPr>
          <w:rFonts w:ascii="Calibri Light" w:eastAsia="Times New Roman" w:hAnsi="Calibri Light" w:cs="Calibri Light"/>
          <w:szCs w:val="20"/>
          <w:lang w:eastAsia="en-AU"/>
        </w:rPr>
        <w:t xml:space="preserve">However, in trying to </w:t>
      </w:r>
      <w:r w:rsidR="00366584" w:rsidRPr="00DB5779">
        <w:rPr>
          <w:rFonts w:ascii="Calibri Light" w:eastAsia="Times New Roman" w:hAnsi="Calibri Light" w:cs="Calibri Light"/>
          <w:szCs w:val="20"/>
          <w:lang w:eastAsia="en-AU"/>
        </w:rPr>
        <w:t xml:space="preserve">achieve </w:t>
      </w:r>
      <w:r w:rsidR="00B63AF4" w:rsidRPr="00DB5779">
        <w:rPr>
          <w:rFonts w:ascii="Calibri Light" w:eastAsia="Times New Roman" w:hAnsi="Calibri Light" w:cs="Calibri Light"/>
          <w:szCs w:val="20"/>
          <w:lang w:eastAsia="en-AU"/>
        </w:rPr>
        <w:t>this, other objectives of simplicity and efficiency of administering the IFM are not</w:t>
      </w:r>
      <w:r w:rsidR="003F5FB0" w:rsidRPr="00DB5779">
        <w:rPr>
          <w:rFonts w:ascii="Calibri Light" w:eastAsia="Times New Roman" w:hAnsi="Calibri Light" w:cs="Calibri Light"/>
          <w:szCs w:val="20"/>
          <w:lang w:eastAsia="en-AU"/>
        </w:rPr>
        <w:t xml:space="preserve"> always</w:t>
      </w:r>
      <w:r w:rsidR="00B63AF4" w:rsidRPr="00DB5779">
        <w:rPr>
          <w:rFonts w:ascii="Calibri Light" w:eastAsia="Times New Roman" w:hAnsi="Calibri Light" w:cs="Calibri Light"/>
          <w:szCs w:val="20"/>
          <w:lang w:eastAsia="en-AU"/>
        </w:rPr>
        <w:t xml:space="preserve"> met. Due to the granularity of the levies framework, the IFM is complex which makes it difficult for stakeholders to understand and engage with. </w:t>
      </w:r>
    </w:p>
    <w:p w14:paraId="24480E87" w14:textId="2DDD0DEA" w:rsidR="008B6FC1"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The Review has considered whether the levies framework should prioritise simplicity (which would increase cross</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subsidisation) or equity (which</w:t>
      </w:r>
      <w:r w:rsidR="00CD0B78">
        <w:rPr>
          <w:rFonts w:ascii="Calibri Light" w:eastAsia="Times New Roman" w:hAnsi="Calibri Light" w:cs="Calibri Light"/>
          <w:szCs w:val="20"/>
          <w:lang w:eastAsia="en-AU"/>
        </w:rPr>
        <w:t xml:space="preserve"> better</w:t>
      </w:r>
      <w:r>
        <w:rPr>
          <w:rFonts w:ascii="Calibri Light" w:eastAsia="Times New Roman" w:hAnsi="Calibri Light" w:cs="Calibri Light"/>
          <w:szCs w:val="20"/>
          <w:lang w:eastAsia="en-AU"/>
        </w:rPr>
        <w:t xml:space="preserve"> targets the apportioning of costs to entities causing the need for regulation). </w:t>
      </w:r>
    </w:p>
    <w:p w14:paraId="1161AF84" w14:textId="5C41B175"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606707">
        <w:rPr>
          <w:rFonts w:ascii="Calibri Light" w:eastAsia="Times New Roman" w:hAnsi="Calibri Light" w:cs="Calibri Light"/>
          <w:szCs w:val="20"/>
          <w:lang w:eastAsia="en-AU"/>
        </w:rPr>
        <w:t>A simpler approach would be expected to be more easily understood and easy to navigate for stakeholders</w:t>
      </w:r>
      <w:r w:rsidR="008B6FC1">
        <w:rPr>
          <w:rFonts w:ascii="Calibri Light" w:eastAsia="Times New Roman" w:hAnsi="Calibri Light" w:cs="Calibri Light"/>
          <w:szCs w:val="20"/>
          <w:lang w:eastAsia="en-AU"/>
        </w:rPr>
        <w:t>, and could be achieved by:</w:t>
      </w:r>
    </w:p>
    <w:p w14:paraId="41C33E07" w14:textId="548BE1A3" w:rsidR="008B6FC1" w:rsidRPr="008B6FC1" w:rsidRDefault="008B6FC1" w:rsidP="008B6FC1">
      <w:pPr>
        <w:pStyle w:val="Bullet"/>
        <w:ind w:left="1004"/>
        <w:rPr>
          <w:rFonts w:eastAsia="Calibri"/>
          <w:lang w:eastAsia="en-US"/>
        </w:rPr>
      </w:pPr>
      <w:r w:rsidRPr="008B6FC1">
        <w:rPr>
          <w:rFonts w:eastAsia="Calibri"/>
          <w:lang w:eastAsia="en-US"/>
        </w:rPr>
        <w:t>spreading all of ASIC</w:t>
      </w:r>
      <w:r w:rsidR="00BD190B">
        <w:rPr>
          <w:rFonts w:eastAsia="Calibri"/>
          <w:lang w:eastAsia="en-US"/>
        </w:rPr>
        <w:t>’</w:t>
      </w:r>
      <w:r w:rsidRPr="008B6FC1">
        <w:rPr>
          <w:rFonts w:eastAsia="Calibri"/>
          <w:lang w:eastAsia="en-US"/>
        </w:rPr>
        <w:t>s regulatory costs across its entire regulated population using a standardised metric to apportion costs to entities</w:t>
      </w:r>
    </w:p>
    <w:p w14:paraId="1BB2B36A" w14:textId="0087ECDD" w:rsidR="00B63AF4" w:rsidRPr="0042197D" w:rsidRDefault="00B63AF4" w:rsidP="0042197D">
      <w:pPr>
        <w:pStyle w:val="Bullet"/>
        <w:ind w:left="1004"/>
        <w:rPr>
          <w:rFonts w:eastAsia="Calibri"/>
          <w:lang w:eastAsia="en-US"/>
        </w:rPr>
      </w:pPr>
      <w:r w:rsidRPr="0042197D">
        <w:rPr>
          <w:rFonts w:eastAsia="Calibri"/>
          <w:lang w:eastAsia="en-US"/>
        </w:rPr>
        <w:t>combining and reducing the number of sub</w:t>
      </w:r>
      <w:r w:rsidR="00BD190B">
        <w:rPr>
          <w:rFonts w:eastAsia="Calibri"/>
          <w:lang w:eastAsia="en-US"/>
        </w:rPr>
        <w:noBreakHyphen/>
      </w:r>
      <w:r w:rsidRPr="0042197D">
        <w:rPr>
          <w:rFonts w:eastAsia="Calibri"/>
          <w:lang w:eastAsia="en-US"/>
        </w:rPr>
        <w:t>sectors</w:t>
      </w:r>
    </w:p>
    <w:p w14:paraId="3199A095" w14:textId="1CA187DB" w:rsidR="00B63AF4" w:rsidRPr="0042197D" w:rsidRDefault="00B63AF4" w:rsidP="0042197D">
      <w:pPr>
        <w:pStyle w:val="Bullet"/>
        <w:ind w:left="1004"/>
        <w:rPr>
          <w:rFonts w:eastAsia="Calibri"/>
          <w:lang w:eastAsia="en-US"/>
        </w:rPr>
      </w:pPr>
      <w:r w:rsidRPr="0042197D">
        <w:rPr>
          <w:rFonts w:eastAsia="Calibri"/>
          <w:lang w:eastAsia="en-US"/>
        </w:rPr>
        <w:t>removing sub</w:t>
      </w:r>
      <w:r w:rsidR="00BD190B">
        <w:rPr>
          <w:rFonts w:eastAsia="Calibri"/>
          <w:lang w:eastAsia="en-US"/>
        </w:rPr>
        <w:noBreakHyphen/>
      </w:r>
      <w:r w:rsidRPr="0042197D">
        <w:rPr>
          <w:rFonts w:eastAsia="Calibri"/>
          <w:lang w:eastAsia="en-US"/>
        </w:rPr>
        <w:t>sectors and recovering costs at a sector level</w:t>
      </w:r>
    </w:p>
    <w:p w14:paraId="698EB57C" w14:textId="3C70CB9E" w:rsidR="00B63AF4" w:rsidRPr="001E13AC"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T</w:t>
      </w:r>
      <w:r w:rsidRPr="00293B59">
        <w:rPr>
          <w:rFonts w:ascii="Calibri Light" w:eastAsia="Times New Roman" w:hAnsi="Calibri Light" w:cs="Calibri Light"/>
          <w:szCs w:val="20"/>
          <w:lang w:eastAsia="en-AU"/>
        </w:rPr>
        <w:t>here are trade</w:t>
      </w:r>
      <w:r w:rsidR="00BD190B">
        <w:rPr>
          <w:rFonts w:ascii="Calibri Light" w:eastAsia="Times New Roman" w:hAnsi="Calibri Light" w:cs="Calibri Light"/>
          <w:szCs w:val="20"/>
          <w:lang w:eastAsia="en-AU"/>
        </w:rPr>
        <w:noBreakHyphen/>
      </w:r>
      <w:r w:rsidRPr="00293B59">
        <w:rPr>
          <w:rFonts w:ascii="Calibri Light" w:eastAsia="Times New Roman" w:hAnsi="Calibri Light" w:cs="Calibri Light"/>
          <w:szCs w:val="20"/>
          <w:lang w:eastAsia="en-AU"/>
        </w:rPr>
        <w:t>offs associated with simplification which impact equity</w:t>
      </w:r>
      <w:r w:rsidR="00B523AD">
        <w:rPr>
          <w:rFonts w:ascii="Calibri Light" w:eastAsia="Times New Roman" w:hAnsi="Calibri Light" w:cs="Calibri Light"/>
          <w:szCs w:val="20"/>
          <w:lang w:eastAsia="en-AU"/>
        </w:rPr>
        <w:t xml:space="preserve"> and fairness</w:t>
      </w:r>
      <w:r w:rsidRPr="00293B59">
        <w:rPr>
          <w:rFonts w:ascii="Calibri Light" w:eastAsia="Times New Roman" w:hAnsi="Calibri Light" w:cs="Calibri Light"/>
          <w:szCs w:val="20"/>
          <w:lang w:eastAsia="en-AU"/>
        </w:rPr>
        <w:t xml:space="preserve">. Simplifying the </w:t>
      </w:r>
      <w:r>
        <w:rPr>
          <w:rFonts w:ascii="Calibri Light" w:eastAsia="Times New Roman" w:hAnsi="Calibri Light" w:cs="Calibri Light"/>
          <w:szCs w:val="20"/>
          <w:lang w:eastAsia="en-AU"/>
        </w:rPr>
        <w:t xml:space="preserve">levies framework would </w:t>
      </w:r>
      <w:r w:rsidR="00DF0889">
        <w:rPr>
          <w:rFonts w:ascii="Calibri Light" w:eastAsia="Times New Roman" w:hAnsi="Calibri Light" w:cs="Calibri Light"/>
          <w:szCs w:val="20"/>
          <w:lang w:eastAsia="en-AU"/>
        </w:rPr>
        <w:t>increase</w:t>
      </w:r>
      <w:r>
        <w:rPr>
          <w:rFonts w:ascii="Calibri Light" w:eastAsia="Times New Roman" w:hAnsi="Calibri Light" w:cs="Calibri Light"/>
          <w:szCs w:val="20"/>
          <w:lang w:eastAsia="en-AU"/>
        </w:rPr>
        <w:t xml:space="preserve"> cross</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 xml:space="preserve">subsidisation across entities and different parts of </w:t>
      </w:r>
      <w:r w:rsidR="00080196">
        <w:rPr>
          <w:rFonts w:ascii="Calibri Light" w:eastAsia="Times New Roman" w:hAnsi="Calibri Light" w:cs="Calibri Light"/>
          <w:szCs w:val="20"/>
          <w:lang w:eastAsia="en-AU"/>
        </w:rPr>
        <w:t>ASIC</w:t>
      </w:r>
      <w:r w:rsidR="00BD190B">
        <w:rPr>
          <w:rFonts w:ascii="Calibri Light" w:eastAsia="Times New Roman" w:hAnsi="Calibri Light" w:cs="Calibri Light"/>
          <w:szCs w:val="20"/>
          <w:lang w:eastAsia="en-AU"/>
        </w:rPr>
        <w:t>’</w:t>
      </w:r>
      <w:r w:rsidR="00080196">
        <w:rPr>
          <w:rFonts w:ascii="Calibri Light" w:eastAsia="Times New Roman" w:hAnsi="Calibri Light" w:cs="Calibri Light"/>
          <w:szCs w:val="20"/>
          <w:lang w:eastAsia="en-AU"/>
        </w:rPr>
        <w:t>s regulated population</w:t>
      </w:r>
      <w:r>
        <w:rPr>
          <w:rFonts w:ascii="Calibri Light" w:eastAsia="Times New Roman" w:hAnsi="Calibri Light" w:cs="Calibri Light"/>
          <w:szCs w:val="20"/>
          <w:lang w:eastAsia="en-AU"/>
        </w:rPr>
        <w:t xml:space="preserve">. That is, </w:t>
      </w:r>
      <w:r w:rsidRPr="00F36FD7">
        <w:rPr>
          <w:rFonts w:ascii="Calibri Light" w:eastAsia="Times New Roman" w:hAnsi="Calibri Light" w:cs="Calibri Light"/>
          <w:szCs w:val="20"/>
          <w:lang w:eastAsia="en-AU"/>
        </w:rPr>
        <w:t xml:space="preserve">the model </w:t>
      </w:r>
      <w:r>
        <w:rPr>
          <w:rFonts w:ascii="Calibri Light" w:eastAsia="Times New Roman" w:hAnsi="Calibri Light" w:cs="Calibri Light"/>
          <w:szCs w:val="20"/>
          <w:lang w:eastAsia="en-AU"/>
        </w:rPr>
        <w:t>would be</w:t>
      </w:r>
      <w:r w:rsidRPr="00F36FD7">
        <w:rPr>
          <w:rFonts w:ascii="Calibri Light" w:eastAsia="Times New Roman" w:hAnsi="Calibri Light" w:cs="Calibri Light"/>
          <w:szCs w:val="20"/>
          <w:lang w:eastAsia="en-AU"/>
        </w:rPr>
        <w:t xml:space="preserve"> less targeted in apportioning costs to the entities causing the need for regulation</w:t>
      </w:r>
      <w:r>
        <w:rPr>
          <w:rFonts w:ascii="Calibri Light" w:eastAsia="Times New Roman" w:hAnsi="Calibri Light" w:cs="Calibri Light"/>
          <w:szCs w:val="20"/>
          <w:lang w:eastAsia="en-AU"/>
        </w:rPr>
        <w:t xml:space="preserve"> and entities would </w:t>
      </w:r>
      <w:r>
        <w:rPr>
          <w:rFonts w:ascii="Calibri Light" w:eastAsia="Times New Roman" w:hAnsi="Calibri Light" w:cs="Calibri Light"/>
          <w:szCs w:val="20"/>
          <w:lang w:eastAsia="en-AU"/>
        </w:rPr>
        <w:lastRenderedPageBreak/>
        <w:t>increasingly subsidise the regulatory costs of other entities causing the need for ASIC</w:t>
      </w:r>
      <w:r w:rsidR="00BD190B">
        <w:rPr>
          <w:rFonts w:ascii="Calibri Light" w:eastAsia="Times New Roman" w:hAnsi="Calibri Light" w:cs="Calibri Light"/>
          <w:szCs w:val="20"/>
          <w:lang w:eastAsia="en-AU"/>
        </w:rPr>
        <w:t>’</w:t>
      </w:r>
      <w:r>
        <w:rPr>
          <w:rFonts w:ascii="Calibri Light" w:eastAsia="Times New Roman" w:hAnsi="Calibri Light" w:cs="Calibri Light"/>
          <w:szCs w:val="20"/>
          <w:lang w:eastAsia="en-AU"/>
        </w:rPr>
        <w:t>s regulatory effort.</w:t>
      </w:r>
    </w:p>
    <w:p w14:paraId="22D53655" w14:textId="12D1B337"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F36FD7">
        <w:rPr>
          <w:rFonts w:ascii="Calibri Light" w:eastAsia="Times New Roman" w:hAnsi="Calibri Light" w:cs="Calibri Light"/>
          <w:szCs w:val="20"/>
          <w:lang w:eastAsia="en-AU"/>
        </w:rPr>
        <w:t>It would also mean that some entities may benefit from regulatory costs being distributed amongst a wider population, while other entities would be paying more for increased regulatory costs associated with the additional population</w:t>
      </w:r>
      <w:r w:rsidR="00901E80">
        <w:rPr>
          <w:rFonts w:ascii="Calibri Light" w:eastAsia="Times New Roman" w:hAnsi="Calibri Light" w:cs="Calibri Light"/>
          <w:szCs w:val="20"/>
          <w:lang w:eastAsia="en-AU"/>
        </w:rPr>
        <w:t xml:space="preserve">. </w:t>
      </w:r>
    </w:p>
    <w:p w14:paraId="68921E03" w14:textId="10132385" w:rsidR="00B63AF4" w:rsidRPr="009547FC" w:rsidRDefault="00B63AF4" w:rsidP="009547FC">
      <w:pPr>
        <w:pStyle w:val="numberedtext"/>
        <w:numPr>
          <w:ilvl w:val="0"/>
          <w:numId w:val="14"/>
        </w:numPr>
        <w:tabs>
          <w:tab w:val="left" w:pos="709"/>
        </w:tabs>
        <w:ind w:hanging="720"/>
        <w:rPr>
          <w:rFonts w:ascii="Calibri Light" w:eastAsia="Times New Roman" w:hAnsi="Calibri Light" w:cs="Calibri Light"/>
          <w:szCs w:val="20"/>
          <w:lang w:eastAsia="en-AU"/>
        </w:rPr>
      </w:pPr>
      <w:r w:rsidRPr="00FC2F09">
        <w:rPr>
          <w:rFonts w:ascii="Calibri Light" w:eastAsia="Times New Roman" w:hAnsi="Calibri Light" w:cs="Calibri Light"/>
          <w:szCs w:val="20"/>
          <w:lang w:eastAsia="en-AU"/>
        </w:rPr>
        <w:t>The level of complexity</w:t>
      </w:r>
      <w:r>
        <w:rPr>
          <w:rFonts w:ascii="Calibri Light" w:eastAsia="Times New Roman" w:hAnsi="Calibri Light" w:cs="Calibri Light"/>
          <w:szCs w:val="20"/>
          <w:lang w:eastAsia="en-AU"/>
        </w:rPr>
        <w:t xml:space="preserve"> in the current framework</w:t>
      </w:r>
      <w:r w:rsidRPr="00FC2F09">
        <w:rPr>
          <w:rFonts w:ascii="Calibri Light" w:eastAsia="Times New Roman" w:hAnsi="Calibri Light" w:cs="Calibri Light"/>
          <w:szCs w:val="20"/>
          <w:lang w:eastAsia="en-AU"/>
        </w:rPr>
        <w:t xml:space="preserve"> also arises from the breadth of ASIC</w:t>
      </w:r>
      <w:r w:rsidR="00BD190B">
        <w:rPr>
          <w:rFonts w:ascii="Calibri Light" w:eastAsia="Times New Roman" w:hAnsi="Calibri Light" w:cs="Calibri Light"/>
          <w:szCs w:val="20"/>
          <w:lang w:eastAsia="en-AU"/>
        </w:rPr>
        <w:t>’</w:t>
      </w:r>
      <w:r w:rsidRPr="00FC2F09">
        <w:rPr>
          <w:rFonts w:ascii="Calibri Light" w:eastAsia="Times New Roman" w:hAnsi="Calibri Light" w:cs="Calibri Light"/>
          <w:szCs w:val="20"/>
          <w:lang w:eastAsia="en-AU"/>
        </w:rPr>
        <w:t>s regulated population.</w:t>
      </w:r>
      <w:r>
        <w:rPr>
          <w:rFonts w:ascii="Calibri Light" w:eastAsia="Times New Roman" w:hAnsi="Calibri Light" w:cs="Calibri Light"/>
          <w:szCs w:val="20"/>
          <w:lang w:eastAsia="en-AU"/>
        </w:rPr>
        <w:t xml:space="preserve"> </w:t>
      </w:r>
      <w:r w:rsidR="009301E7">
        <w:rPr>
          <w:rFonts w:ascii="Calibri Light" w:eastAsia="Times New Roman" w:hAnsi="Calibri Light" w:cs="Calibri Light"/>
          <w:szCs w:val="20"/>
          <w:lang w:eastAsia="en-AU"/>
        </w:rPr>
        <w:t xml:space="preserve">Achieving a simple model relies on being able to </w:t>
      </w:r>
      <w:r w:rsidR="003E5713">
        <w:rPr>
          <w:rFonts w:ascii="Calibri Light" w:eastAsia="Times New Roman" w:hAnsi="Calibri Light" w:cs="Calibri Light"/>
          <w:szCs w:val="20"/>
          <w:lang w:eastAsia="en-AU"/>
        </w:rPr>
        <w:t>identify a standardised metric that could apply across a wider population</w:t>
      </w:r>
      <w:r w:rsidR="009547FC">
        <w:rPr>
          <w:rFonts w:ascii="Calibri Light" w:eastAsia="Times New Roman" w:hAnsi="Calibri Light" w:cs="Calibri Light"/>
          <w:szCs w:val="20"/>
          <w:lang w:eastAsia="en-AU"/>
        </w:rPr>
        <w:t xml:space="preserve"> to apportion costs to entities</w:t>
      </w:r>
      <w:r w:rsidR="003E5713">
        <w:rPr>
          <w:rFonts w:ascii="Calibri Light" w:eastAsia="Times New Roman" w:hAnsi="Calibri Light" w:cs="Calibri Light"/>
          <w:szCs w:val="20"/>
          <w:lang w:eastAsia="en-AU"/>
        </w:rPr>
        <w:t xml:space="preserve">. </w:t>
      </w:r>
      <w:r w:rsidRPr="009547FC">
        <w:rPr>
          <w:rFonts w:ascii="Calibri Light" w:eastAsia="Times New Roman" w:hAnsi="Calibri Light" w:cs="Calibri Light"/>
          <w:szCs w:val="20"/>
          <w:lang w:eastAsia="en-AU"/>
        </w:rPr>
        <w:t xml:space="preserve">This is difficult as the types and sizes of entities that ASIC regulates </w:t>
      </w:r>
      <w:r w:rsidR="00DF11CD" w:rsidRPr="009547FC">
        <w:rPr>
          <w:rFonts w:ascii="Calibri Light" w:eastAsia="Times New Roman" w:hAnsi="Calibri Light" w:cs="Calibri Light"/>
          <w:szCs w:val="20"/>
          <w:lang w:eastAsia="en-AU"/>
        </w:rPr>
        <w:t xml:space="preserve">can be </w:t>
      </w:r>
      <w:r w:rsidRPr="009547FC">
        <w:rPr>
          <w:rFonts w:ascii="Calibri Light" w:eastAsia="Times New Roman" w:hAnsi="Calibri Light" w:cs="Calibri Light"/>
          <w:szCs w:val="20"/>
          <w:lang w:eastAsia="en-AU"/>
        </w:rPr>
        <w:t>vastly different</w:t>
      </w:r>
      <w:r w:rsidR="0047601F">
        <w:rPr>
          <w:rFonts w:ascii="Calibri Light" w:eastAsia="Times New Roman" w:hAnsi="Calibri Light" w:cs="Calibri Light"/>
          <w:szCs w:val="20"/>
          <w:lang w:eastAsia="en-AU"/>
        </w:rPr>
        <w:t xml:space="preserve">. </w:t>
      </w:r>
    </w:p>
    <w:p w14:paraId="48964FB3" w14:textId="5DD74EEA" w:rsidR="00B63AF4" w:rsidRPr="00B6133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During consultation, stakeholders were asked whether they preferred a simpler model or a more equitable model. </w:t>
      </w:r>
      <w:r w:rsidRPr="00166486">
        <w:rPr>
          <w:rFonts w:ascii="Calibri Light" w:eastAsia="Times New Roman" w:hAnsi="Calibri Light" w:cs="Calibri Light"/>
          <w:szCs w:val="20"/>
          <w:lang w:eastAsia="en-AU"/>
        </w:rPr>
        <w:t>Stakeholders generally did not support a simpler model or changes which lead to increased levels of cross</w:t>
      </w:r>
      <w:r w:rsidR="00BD190B">
        <w:rPr>
          <w:rFonts w:ascii="Calibri Light" w:eastAsia="Times New Roman" w:hAnsi="Calibri Light" w:cs="Calibri Light"/>
          <w:szCs w:val="20"/>
          <w:lang w:eastAsia="en-AU"/>
        </w:rPr>
        <w:noBreakHyphen/>
      </w:r>
      <w:r w:rsidRPr="00166486">
        <w:rPr>
          <w:rFonts w:ascii="Calibri Light" w:eastAsia="Times New Roman" w:hAnsi="Calibri Light" w:cs="Calibri Light"/>
          <w:szCs w:val="20"/>
          <w:lang w:eastAsia="en-AU"/>
        </w:rPr>
        <w:t xml:space="preserve">subsidisation, </w:t>
      </w:r>
      <w:r w:rsidR="00B85B47">
        <w:rPr>
          <w:rFonts w:ascii="Calibri Light" w:eastAsia="Times New Roman" w:hAnsi="Calibri Light" w:cs="Calibri Light"/>
          <w:szCs w:val="20"/>
          <w:lang w:eastAsia="en-AU"/>
        </w:rPr>
        <w:t xml:space="preserve">and </w:t>
      </w:r>
      <w:r w:rsidRPr="00166486">
        <w:rPr>
          <w:rFonts w:ascii="Calibri Light" w:eastAsia="Times New Roman" w:hAnsi="Calibri Light" w:cs="Calibri Light"/>
          <w:szCs w:val="20"/>
          <w:lang w:eastAsia="en-AU"/>
        </w:rPr>
        <w:t>instead prefe</w:t>
      </w:r>
      <w:r w:rsidR="00B85B47">
        <w:rPr>
          <w:rFonts w:ascii="Calibri Light" w:eastAsia="Times New Roman" w:hAnsi="Calibri Light" w:cs="Calibri Light"/>
          <w:szCs w:val="20"/>
          <w:lang w:eastAsia="en-AU"/>
        </w:rPr>
        <w:t>r</w:t>
      </w:r>
      <w:r w:rsidRPr="00166486">
        <w:rPr>
          <w:rFonts w:ascii="Calibri Light" w:eastAsia="Times New Roman" w:hAnsi="Calibri Light" w:cs="Calibri Light"/>
          <w:szCs w:val="20"/>
          <w:lang w:eastAsia="en-AU"/>
        </w:rPr>
        <w:t>r</w:t>
      </w:r>
      <w:r w:rsidR="00B85B47">
        <w:rPr>
          <w:rFonts w:ascii="Calibri Light" w:eastAsia="Times New Roman" w:hAnsi="Calibri Light" w:cs="Calibri Light"/>
          <w:szCs w:val="20"/>
          <w:lang w:eastAsia="en-AU"/>
        </w:rPr>
        <w:t>ed</w:t>
      </w:r>
      <w:r w:rsidRPr="00166486">
        <w:rPr>
          <w:rFonts w:ascii="Calibri Light" w:eastAsia="Times New Roman" w:hAnsi="Calibri Light" w:cs="Calibri Light"/>
          <w:szCs w:val="20"/>
          <w:lang w:eastAsia="en-AU"/>
        </w:rPr>
        <w:t xml:space="preserve"> more granularity </w:t>
      </w:r>
      <w:r w:rsidR="00B85B47">
        <w:rPr>
          <w:rFonts w:ascii="Calibri Light" w:eastAsia="Times New Roman" w:hAnsi="Calibri Light" w:cs="Calibri Light"/>
          <w:szCs w:val="20"/>
          <w:lang w:eastAsia="en-AU"/>
        </w:rPr>
        <w:t>to better target</w:t>
      </w:r>
      <w:r w:rsidRPr="00166486">
        <w:rPr>
          <w:rFonts w:ascii="Calibri Light" w:eastAsia="Times New Roman" w:hAnsi="Calibri Light" w:cs="Calibri Light"/>
          <w:szCs w:val="20"/>
          <w:lang w:eastAsia="en-AU"/>
        </w:rPr>
        <w:t xml:space="preserve"> costs</w:t>
      </w:r>
      <w:r w:rsidR="00B85B47">
        <w:rPr>
          <w:rFonts w:ascii="Calibri Light" w:eastAsia="Times New Roman" w:hAnsi="Calibri Light" w:cs="Calibri Light"/>
          <w:szCs w:val="20"/>
          <w:lang w:eastAsia="en-AU"/>
        </w:rPr>
        <w:t xml:space="preserve"> to entities</w:t>
      </w:r>
      <w:r w:rsidRPr="00166486">
        <w:rPr>
          <w:rFonts w:ascii="Calibri Light" w:eastAsia="Times New Roman" w:hAnsi="Calibri Light" w:cs="Calibri Light"/>
          <w:szCs w:val="20"/>
          <w:lang w:eastAsia="en-AU"/>
        </w:rPr>
        <w:t>.</w:t>
      </w:r>
    </w:p>
    <w:p w14:paraId="497C7479" w14:textId="2C8C811E"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 Review finds that the levies framework should be aimed at achieving equity and </w:t>
      </w:r>
      <w:r w:rsidR="00174CC1">
        <w:rPr>
          <w:rFonts w:ascii="Calibri Light" w:eastAsia="Times New Roman" w:hAnsi="Calibri Light" w:cs="Calibri Light"/>
          <w:szCs w:val="20"/>
          <w:lang w:eastAsia="en-AU"/>
        </w:rPr>
        <w:t>targeting costs to those entities in sub</w:t>
      </w:r>
      <w:r w:rsidR="00BD190B">
        <w:rPr>
          <w:rFonts w:ascii="Calibri Light" w:eastAsia="Times New Roman" w:hAnsi="Calibri Light" w:cs="Calibri Light"/>
          <w:szCs w:val="20"/>
          <w:lang w:eastAsia="en-AU"/>
        </w:rPr>
        <w:noBreakHyphen/>
      </w:r>
      <w:r w:rsidR="00174CC1">
        <w:rPr>
          <w:rFonts w:ascii="Calibri Light" w:eastAsia="Times New Roman" w:hAnsi="Calibri Light" w:cs="Calibri Light"/>
          <w:szCs w:val="20"/>
          <w:lang w:eastAsia="en-AU"/>
        </w:rPr>
        <w:t>sectors causing the need for</w:t>
      </w:r>
      <w:r w:rsidR="00945FCE">
        <w:rPr>
          <w:rFonts w:ascii="Calibri Light" w:eastAsia="Times New Roman" w:hAnsi="Calibri Light" w:cs="Calibri Light"/>
          <w:szCs w:val="20"/>
          <w:lang w:eastAsia="en-AU"/>
        </w:rPr>
        <w:t xml:space="preserve"> ASIC</w:t>
      </w:r>
      <w:r w:rsidR="00BD190B">
        <w:rPr>
          <w:rFonts w:ascii="Calibri Light" w:eastAsia="Times New Roman" w:hAnsi="Calibri Light" w:cs="Calibri Light"/>
          <w:szCs w:val="20"/>
          <w:lang w:eastAsia="en-AU"/>
        </w:rPr>
        <w:t>’</w:t>
      </w:r>
      <w:r w:rsidR="00945FCE">
        <w:rPr>
          <w:rFonts w:ascii="Calibri Light" w:eastAsia="Times New Roman" w:hAnsi="Calibri Light" w:cs="Calibri Light"/>
          <w:szCs w:val="20"/>
          <w:lang w:eastAsia="en-AU"/>
        </w:rPr>
        <w:t>s</w:t>
      </w:r>
      <w:r w:rsidR="00174CC1">
        <w:rPr>
          <w:rFonts w:ascii="Calibri Light" w:eastAsia="Times New Roman" w:hAnsi="Calibri Light" w:cs="Calibri Light"/>
          <w:szCs w:val="20"/>
          <w:lang w:eastAsia="en-AU"/>
        </w:rPr>
        <w:t xml:space="preserve"> regulatory effort</w:t>
      </w:r>
      <w:r>
        <w:rPr>
          <w:rFonts w:ascii="Calibri Light" w:eastAsia="Times New Roman" w:hAnsi="Calibri Light" w:cs="Calibri Light"/>
          <w:szCs w:val="20"/>
          <w:lang w:eastAsia="en-AU"/>
        </w:rPr>
        <w:t xml:space="preserve">. This means that the model will remain complex, however, the Review has considered ways it can be better navigated by and communicated to stakeholders – </w:t>
      </w:r>
      <w:r w:rsidRPr="00293B59">
        <w:rPr>
          <w:rFonts w:ascii="Calibri Light" w:eastAsia="Times New Roman" w:hAnsi="Calibri Light" w:cs="Calibri Light"/>
          <w:szCs w:val="20"/>
          <w:lang w:eastAsia="en-AU"/>
        </w:rPr>
        <w:t xml:space="preserve">see </w:t>
      </w:r>
      <w:r>
        <w:rPr>
          <w:rFonts w:ascii="Calibri Light" w:eastAsia="Times New Roman" w:hAnsi="Calibri Light" w:cs="Calibri Light"/>
          <w:szCs w:val="20"/>
          <w:lang w:eastAsia="en-AU"/>
        </w:rPr>
        <w:t>C</w:t>
      </w:r>
      <w:r w:rsidRPr="00293B59">
        <w:rPr>
          <w:rFonts w:ascii="Calibri Light" w:eastAsia="Times New Roman" w:hAnsi="Calibri Light" w:cs="Calibri Light"/>
          <w:szCs w:val="20"/>
          <w:lang w:eastAsia="en-AU"/>
        </w:rPr>
        <w:t>hapter</w:t>
      </w:r>
      <w:r>
        <w:rPr>
          <w:rFonts w:ascii="Calibri Light" w:eastAsia="Times New Roman" w:hAnsi="Calibri Light" w:cs="Calibri Light"/>
          <w:szCs w:val="20"/>
          <w:lang w:eastAsia="en-AU"/>
        </w:rPr>
        <w:t> </w:t>
      </w:r>
      <w:r w:rsidRPr="00293B59">
        <w:rPr>
          <w:rFonts w:ascii="Calibri Light" w:eastAsia="Times New Roman" w:hAnsi="Calibri Light" w:cs="Calibri Light"/>
          <w:szCs w:val="20"/>
          <w:lang w:eastAsia="en-AU"/>
        </w:rPr>
        <w:t>5</w:t>
      </w:r>
      <w:r>
        <w:rPr>
          <w:rFonts w:ascii="Calibri Light" w:eastAsia="Times New Roman" w:hAnsi="Calibri Light" w:cs="Calibri Light"/>
          <w:szCs w:val="20"/>
          <w:lang w:eastAsia="en-AU"/>
        </w:rPr>
        <w:t xml:space="preserve">. </w:t>
      </w:r>
    </w:p>
    <w:p w14:paraId="468D15C1" w14:textId="5D213880"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CC7723">
        <w:rPr>
          <w:rFonts w:ascii="Calibri Light" w:eastAsia="Times New Roman" w:hAnsi="Calibri Light" w:cs="Calibri Light"/>
          <w:szCs w:val="20"/>
          <w:lang w:eastAsia="en-AU"/>
        </w:rPr>
        <w:t xml:space="preserve">The Review has </w:t>
      </w:r>
      <w:r>
        <w:rPr>
          <w:rFonts w:ascii="Calibri Light" w:eastAsia="Times New Roman" w:hAnsi="Calibri Light" w:cs="Calibri Light"/>
          <w:szCs w:val="20"/>
          <w:lang w:eastAsia="en-AU"/>
        </w:rPr>
        <w:t xml:space="preserve">also </w:t>
      </w:r>
      <w:r w:rsidRPr="00CC7723">
        <w:rPr>
          <w:rFonts w:ascii="Calibri Light" w:eastAsia="Times New Roman" w:hAnsi="Calibri Light" w:cs="Calibri Light"/>
          <w:szCs w:val="20"/>
          <w:lang w:eastAsia="en-AU"/>
        </w:rPr>
        <w:t>considered how the model could be more targeted</w:t>
      </w:r>
      <w:r>
        <w:rPr>
          <w:rFonts w:ascii="Calibri Light" w:eastAsia="Times New Roman" w:hAnsi="Calibri Light" w:cs="Calibri Light"/>
          <w:szCs w:val="20"/>
          <w:lang w:eastAsia="en-AU"/>
        </w:rPr>
        <w:t xml:space="preserve">, </w:t>
      </w:r>
      <w:r w:rsidRPr="00CC7723">
        <w:rPr>
          <w:rFonts w:ascii="Calibri Light" w:eastAsia="Times New Roman" w:hAnsi="Calibri Light" w:cs="Calibri Light"/>
          <w:szCs w:val="20"/>
          <w:lang w:eastAsia="en-AU"/>
        </w:rPr>
        <w:t>however</w:t>
      </w:r>
      <w:r>
        <w:rPr>
          <w:rFonts w:ascii="Calibri Light" w:eastAsia="Times New Roman" w:hAnsi="Calibri Light" w:cs="Calibri Light"/>
          <w:szCs w:val="20"/>
          <w:lang w:eastAsia="en-AU"/>
        </w:rPr>
        <w:t>,</w:t>
      </w:r>
      <w:r w:rsidRPr="00CC7723">
        <w:rPr>
          <w:rFonts w:ascii="Calibri Light" w:eastAsia="Times New Roman" w:hAnsi="Calibri Light" w:cs="Calibri Light"/>
          <w:szCs w:val="20"/>
          <w:lang w:eastAsia="en-AU"/>
        </w:rPr>
        <w:t xml:space="preserve"> </w:t>
      </w:r>
      <w:r>
        <w:rPr>
          <w:rFonts w:ascii="Calibri Light" w:eastAsia="Times New Roman" w:hAnsi="Calibri Light" w:cs="Calibri Light"/>
          <w:szCs w:val="20"/>
          <w:lang w:eastAsia="en-AU"/>
        </w:rPr>
        <w:t>finds that any changes that lean towards ASIC calculating individual entity levies would not be feasible and more administratively burdensome and costly for ASIC to administer than the current framework, and likely impose additional regulatory burdens</w:t>
      </w:r>
      <w:r w:rsidR="004152BC">
        <w:rPr>
          <w:rFonts w:ascii="Calibri Light" w:eastAsia="Times New Roman" w:hAnsi="Calibri Light" w:cs="Calibri Light"/>
          <w:szCs w:val="20"/>
          <w:lang w:eastAsia="en-AU"/>
        </w:rPr>
        <w:t xml:space="preserve"> and costs</w:t>
      </w:r>
      <w:r>
        <w:rPr>
          <w:rFonts w:ascii="Calibri Light" w:eastAsia="Times New Roman" w:hAnsi="Calibri Light" w:cs="Calibri Light"/>
          <w:szCs w:val="20"/>
          <w:lang w:eastAsia="en-AU"/>
        </w:rPr>
        <w:t xml:space="preserve"> on </w:t>
      </w:r>
      <w:r w:rsidR="00080196">
        <w:rPr>
          <w:rFonts w:ascii="Calibri Light" w:eastAsia="Times New Roman" w:hAnsi="Calibri Light" w:cs="Calibri Light"/>
          <w:szCs w:val="20"/>
          <w:lang w:eastAsia="en-AU"/>
        </w:rPr>
        <w:t>regulated entities</w:t>
      </w:r>
      <w:r>
        <w:rPr>
          <w:rFonts w:ascii="Calibri Light" w:eastAsia="Times New Roman" w:hAnsi="Calibri Light" w:cs="Calibri Light"/>
          <w:szCs w:val="20"/>
          <w:lang w:eastAsia="en-AU"/>
        </w:rPr>
        <w:t>.</w:t>
      </w:r>
      <w:r w:rsidRPr="00CC7723">
        <w:rPr>
          <w:rFonts w:ascii="Calibri Light" w:eastAsia="Times New Roman" w:hAnsi="Calibri Light" w:cs="Calibri Light"/>
          <w:szCs w:val="20"/>
          <w:lang w:eastAsia="en-AU"/>
        </w:rPr>
        <w:t xml:space="preserve"> </w:t>
      </w:r>
    </w:p>
    <w:p w14:paraId="30410FFD" w14:textId="31A7BA6B" w:rsidR="00340163" w:rsidRDefault="00340163"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During consultation on the Review, stakeholders raised concerns </w:t>
      </w:r>
      <w:r w:rsidR="0041114C">
        <w:rPr>
          <w:rFonts w:ascii="Calibri Light" w:eastAsia="Times New Roman" w:hAnsi="Calibri Light" w:cs="Calibri Light"/>
          <w:szCs w:val="20"/>
          <w:lang w:eastAsia="en-AU"/>
        </w:rPr>
        <w:t>that</w:t>
      </w:r>
      <w:r>
        <w:rPr>
          <w:rFonts w:ascii="Calibri Light" w:eastAsia="Times New Roman" w:hAnsi="Calibri Light" w:cs="Calibri Light"/>
          <w:szCs w:val="20"/>
          <w:lang w:eastAsia="en-AU"/>
        </w:rPr>
        <w:t xml:space="preserve"> the cost of certain activities</w:t>
      </w:r>
      <w:r w:rsidR="0041114C">
        <w:rPr>
          <w:rFonts w:ascii="Calibri Light" w:eastAsia="Times New Roman" w:hAnsi="Calibri Light" w:cs="Calibri Light"/>
          <w:szCs w:val="20"/>
          <w:lang w:eastAsia="en-AU"/>
        </w:rPr>
        <w:t xml:space="preserve"> did not align with the </w:t>
      </w:r>
      <w:r w:rsidR="007F3566">
        <w:rPr>
          <w:rFonts w:ascii="Calibri Light" w:eastAsia="Times New Roman" w:hAnsi="Calibri Light" w:cs="Calibri Light"/>
          <w:szCs w:val="20"/>
          <w:lang w:eastAsia="en-AU"/>
        </w:rPr>
        <w:t>overarching</w:t>
      </w:r>
      <w:r w:rsidR="0041114C">
        <w:rPr>
          <w:rFonts w:ascii="Calibri Light" w:eastAsia="Times New Roman" w:hAnsi="Calibri Light" w:cs="Calibri Light"/>
          <w:szCs w:val="20"/>
          <w:lang w:eastAsia="en-AU"/>
        </w:rPr>
        <w:t xml:space="preserve"> principle</w:t>
      </w:r>
      <w:r w:rsidR="007F3566">
        <w:rPr>
          <w:rFonts w:ascii="Calibri Light" w:eastAsia="Times New Roman" w:hAnsi="Calibri Light" w:cs="Calibri Light"/>
          <w:szCs w:val="20"/>
          <w:lang w:eastAsia="en-AU"/>
        </w:rPr>
        <w:t xml:space="preserve"> of the Charging Framework</w:t>
      </w:r>
      <w:r w:rsidR="002360EF">
        <w:rPr>
          <w:rFonts w:ascii="Calibri Light" w:eastAsia="Times New Roman" w:hAnsi="Calibri Light" w:cs="Calibri Light"/>
          <w:szCs w:val="20"/>
          <w:lang w:eastAsia="en-AU"/>
        </w:rPr>
        <w:t xml:space="preserve">. For example, costs associated with </w:t>
      </w:r>
      <w:r w:rsidR="00700F17">
        <w:rPr>
          <w:rFonts w:ascii="Calibri Light" w:eastAsia="Times New Roman" w:hAnsi="Calibri Light" w:cs="Calibri Light"/>
          <w:szCs w:val="20"/>
          <w:lang w:eastAsia="en-AU"/>
        </w:rPr>
        <w:t>unlicensed</w:t>
      </w:r>
      <w:r w:rsidR="002360EF">
        <w:rPr>
          <w:rFonts w:ascii="Calibri Light" w:eastAsia="Times New Roman" w:hAnsi="Calibri Light" w:cs="Calibri Light"/>
          <w:szCs w:val="20"/>
          <w:lang w:eastAsia="en-AU"/>
        </w:rPr>
        <w:t xml:space="preserve"> conduct. </w:t>
      </w:r>
    </w:p>
    <w:p w14:paraId="1B333691" w14:textId="7309BF66" w:rsidR="0030791C" w:rsidRDefault="006C341C"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 Review </w:t>
      </w:r>
      <w:r w:rsidR="005D5AAE">
        <w:rPr>
          <w:rFonts w:ascii="Calibri Light" w:eastAsia="Times New Roman" w:hAnsi="Calibri Light" w:cs="Calibri Light"/>
          <w:szCs w:val="20"/>
          <w:lang w:eastAsia="en-AU"/>
        </w:rPr>
        <w:t xml:space="preserve">recognises that while </w:t>
      </w:r>
      <w:r w:rsidR="00937529">
        <w:rPr>
          <w:rFonts w:ascii="Calibri Light" w:eastAsia="Times New Roman" w:hAnsi="Calibri Light" w:cs="Calibri Light"/>
          <w:szCs w:val="20"/>
          <w:lang w:eastAsia="en-AU"/>
        </w:rPr>
        <w:t xml:space="preserve">the costs of some </w:t>
      </w:r>
      <w:r w:rsidR="005D5AAE">
        <w:rPr>
          <w:rFonts w:ascii="Calibri Light" w:eastAsia="Times New Roman" w:hAnsi="Calibri Light" w:cs="Calibri Light"/>
          <w:szCs w:val="20"/>
          <w:lang w:eastAsia="en-AU"/>
        </w:rPr>
        <w:t>activities may not be</w:t>
      </w:r>
      <w:r w:rsidR="00937529">
        <w:rPr>
          <w:rFonts w:ascii="Calibri Light" w:eastAsia="Times New Roman" w:hAnsi="Calibri Light" w:cs="Calibri Light"/>
          <w:szCs w:val="20"/>
          <w:lang w:eastAsia="en-AU"/>
        </w:rPr>
        <w:t xml:space="preserve"> targeted to those entities in the sub</w:t>
      </w:r>
      <w:r w:rsidR="00BD190B">
        <w:rPr>
          <w:rFonts w:ascii="Calibri Light" w:eastAsia="Times New Roman" w:hAnsi="Calibri Light" w:cs="Calibri Light"/>
          <w:szCs w:val="20"/>
          <w:lang w:eastAsia="en-AU"/>
        </w:rPr>
        <w:noBreakHyphen/>
      </w:r>
      <w:r w:rsidR="00937529">
        <w:rPr>
          <w:rFonts w:ascii="Calibri Light" w:eastAsia="Times New Roman" w:hAnsi="Calibri Light" w:cs="Calibri Light"/>
          <w:szCs w:val="20"/>
          <w:lang w:eastAsia="en-AU"/>
        </w:rPr>
        <w:t>sectors causing the need for ASIC</w:t>
      </w:r>
      <w:r w:rsidR="00BD190B">
        <w:rPr>
          <w:rFonts w:ascii="Calibri Light" w:eastAsia="Times New Roman" w:hAnsi="Calibri Light" w:cs="Calibri Light"/>
          <w:szCs w:val="20"/>
          <w:lang w:eastAsia="en-AU"/>
        </w:rPr>
        <w:t>’</w:t>
      </w:r>
      <w:r w:rsidR="00937529">
        <w:rPr>
          <w:rFonts w:ascii="Calibri Light" w:eastAsia="Times New Roman" w:hAnsi="Calibri Light" w:cs="Calibri Light"/>
          <w:szCs w:val="20"/>
          <w:lang w:eastAsia="en-AU"/>
        </w:rPr>
        <w:t>s regulatory effort, th</w:t>
      </w:r>
      <w:r w:rsidR="00E00315">
        <w:rPr>
          <w:rFonts w:ascii="Calibri Light" w:eastAsia="Times New Roman" w:hAnsi="Calibri Light" w:cs="Calibri Light"/>
          <w:szCs w:val="20"/>
          <w:lang w:eastAsia="en-AU"/>
        </w:rPr>
        <w:t>e sub</w:t>
      </w:r>
      <w:r w:rsidR="00BD190B">
        <w:rPr>
          <w:rFonts w:ascii="Calibri Light" w:eastAsia="Times New Roman" w:hAnsi="Calibri Light" w:cs="Calibri Light"/>
          <w:szCs w:val="20"/>
          <w:lang w:eastAsia="en-AU"/>
        </w:rPr>
        <w:noBreakHyphen/>
      </w:r>
      <w:r w:rsidR="00E00315">
        <w:rPr>
          <w:rFonts w:ascii="Calibri Light" w:eastAsia="Times New Roman" w:hAnsi="Calibri Light" w:cs="Calibri Light"/>
          <w:szCs w:val="20"/>
          <w:lang w:eastAsia="en-AU"/>
        </w:rPr>
        <w:t xml:space="preserve">sector and wider </w:t>
      </w:r>
      <w:r w:rsidR="003F45BD">
        <w:rPr>
          <w:rFonts w:ascii="Calibri Light" w:eastAsia="Times New Roman" w:hAnsi="Calibri Light" w:cs="Calibri Light"/>
          <w:szCs w:val="20"/>
          <w:lang w:eastAsia="en-AU"/>
        </w:rPr>
        <w:t>regulated population</w:t>
      </w:r>
      <w:r w:rsidR="00E00315">
        <w:rPr>
          <w:rFonts w:ascii="Calibri Light" w:eastAsia="Times New Roman" w:hAnsi="Calibri Light" w:cs="Calibri Light"/>
          <w:szCs w:val="20"/>
          <w:lang w:eastAsia="en-AU"/>
        </w:rPr>
        <w:t xml:space="preserve"> does </w:t>
      </w:r>
      <w:r w:rsidR="00937529">
        <w:rPr>
          <w:rFonts w:ascii="Calibri Light" w:eastAsia="Times New Roman" w:hAnsi="Calibri Light" w:cs="Calibri Light"/>
          <w:szCs w:val="20"/>
          <w:lang w:eastAsia="en-AU"/>
        </w:rPr>
        <w:t>re</w:t>
      </w:r>
      <w:r w:rsidR="00E00315">
        <w:rPr>
          <w:rFonts w:ascii="Calibri Light" w:eastAsia="Times New Roman" w:hAnsi="Calibri Light" w:cs="Calibri Light"/>
          <w:szCs w:val="20"/>
          <w:lang w:eastAsia="en-AU"/>
        </w:rPr>
        <w:t xml:space="preserve">ceive </w:t>
      </w:r>
      <w:r w:rsidR="00C07E89">
        <w:rPr>
          <w:rFonts w:ascii="Calibri Light" w:eastAsia="Times New Roman" w:hAnsi="Calibri Light" w:cs="Calibri Light"/>
          <w:szCs w:val="20"/>
          <w:lang w:eastAsia="en-AU"/>
        </w:rPr>
        <w:t>benefit,</w:t>
      </w:r>
      <w:r w:rsidR="00E00315">
        <w:rPr>
          <w:rFonts w:ascii="Calibri Light" w:eastAsia="Times New Roman" w:hAnsi="Calibri Light" w:cs="Calibri Light"/>
          <w:szCs w:val="20"/>
          <w:lang w:eastAsia="en-AU"/>
        </w:rPr>
        <w:t xml:space="preserve"> </w:t>
      </w:r>
      <w:r w:rsidR="001E1905">
        <w:rPr>
          <w:rFonts w:ascii="Calibri Light" w:eastAsia="Times New Roman" w:hAnsi="Calibri Light" w:cs="Calibri Light"/>
          <w:szCs w:val="20"/>
          <w:lang w:eastAsia="en-AU"/>
        </w:rPr>
        <w:t>and this should be recognised in the levies framework</w:t>
      </w:r>
      <w:r w:rsidR="00E00315">
        <w:rPr>
          <w:rFonts w:ascii="Calibri Light" w:eastAsia="Times New Roman" w:hAnsi="Calibri Light" w:cs="Calibri Light"/>
          <w:szCs w:val="20"/>
          <w:lang w:eastAsia="en-AU"/>
        </w:rPr>
        <w:t>.</w:t>
      </w:r>
    </w:p>
    <w:p w14:paraId="6774B2B2" w14:textId="77FE94F5" w:rsidR="00B63AF4" w:rsidRPr="004C139B" w:rsidRDefault="0030791C"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Therefore, the </w:t>
      </w:r>
      <w:r w:rsidR="00B63AF4">
        <w:rPr>
          <w:rFonts w:ascii="Calibri Light" w:eastAsia="Times New Roman" w:hAnsi="Calibri Light" w:cs="Calibri Light"/>
          <w:szCs w:val="20"/>
          <w:lang w:eastAsia="en-AU"/>
        </w:rPr>
        <w:t>Review finds that a third principle should be</w:t>
      </w:r>
      <w:r w:rsidR="00A1020C">
        <w:rPr>
          <w:rFonts w:ascii="Calibri Light" w:eastAsia="Times New Roman" w:hAnsi="Calibri Light" w:cs="Calibri Light"/>
          <w:szCs w:val="20"/>
          <w:lang w:eastAsia="en-AU"/>
        </w:rPr>
        <w:t xml:space="preserve"> applied</w:t>
      </w:r>
      <w:r w:rsidR="00B63AF4" w:rsidRPr="004C139B">
        <w:rPr>
          <w:rFonts w:ascii="Calibri Light" w:eastAsia="Times New Roman" w:hAnsi="Calibri Light" w:cs="Calibri Light"/>
          <w:szCs w:val="20"/>
          <w:lang w:eastAsia="en-AU"/>
        </w:rPr>
        <w:t xml:space="preserve"> in the </w:t>
      </w:r>
      <w:r w:rsidR="00B63AF4">
        <w:rPr>
          <w:rFonts w:ascii="Calibri Light" w:eastAsia="Times New Roman" w:hAnsi="Calibri Light" w:cs="Calibri Light"/>
          <w:szCs w:val="20"/>
          <w:lang w:eastAsia="en-AU"/>
        </w:rPr>
        <w:t xml:space="preserve">levies </w:t>
      </w:r>
      <w:r w:rsidR="00B63AF4" w:rsidRPr="004C139B">
        <w:rPr>
          <w:rFonts w:ascii="Calibri Light" w:eastAsia="Times New Roman" w:hAnsi="Calibri Light" w:cs="Calibri Light"/>
          <w:szCs w:val="20"/>
          <w:lang w:eastAsia="en-AU"/>
        </w:rPr>
        <w:t>framework</w:t>
      </w:r>
      <w:r w:rsidR="00B63AF4">
        <w:rPr>
          <w:rFonts w:ascii="Calibri Light" w:eastAsia="Times New Roman" w:hAnsi="Calibri Light" w:cs="Calibri Light"/>
          <w:szCs w:val="20"/>
          <w:lang w:eastAsia="en-AU"/>
        </w:rPr>
        <w:t xml:space="preserve"> when considering in which sub</w:t>
      </w:r>
      <w:r w:rsidR="00BD190B">
        <w:rPr>
          <w:rFonts w:ascii="Calibri Light" w:eastAsia="Times New Roman" w:hAnsi="Calibri Light" w:cs="Calibri Light"/>
          <w:szCs w:val="20"/>
          <w:lang w:eastAsia="en-AU"/>
        </w:rPr>
        <w:noBreakHyphen/>
      </w:r>
      <w:r w:rsidR="00B63AF4">
        <w:rPr>
          <w:rFonts w:ascii="Calibri Light" w:eastAsia="Times New Roman" w:hAnsi="Calibri Light" w:cs="Calibri Light"/>
          <w:szCs w:val="20"/>
          <w:lang w:eastAsia="en-AU"/>
        </w:rPr>
        <w:t>sector</w:t>
      </w:r>
      <w:r w:rsidR="00592FBC">
        <w:rPr>
          <w:rFonts w:ascii="Calibri Light" w:eastAsia="Times New Roman" w:hAnsi="Calibri Light" w:cs="Calibri Light"/>
          <w:szCs w:val="20"/>
          <w:lang w:eastAsia="en-AU"/>
        </w:rPr>
        <w:t>(</w:t>
      </w:r>
      <w:r w:rsidR="00B63AF4">
        <w:rPr>
          <w:rFonts w:ascii="Calibri Light" w:eastAsia="Times New Roman" w:hAnsi="Calibri Light" w:cs="Calibri Light"/>
          <w:szCs w:val="20"/>
          <w:lang w:eastAsia="en-AU"/>
        </w:rPr>
        <w:t>s</w:t>
      </w:r>
      <w:r w:rsidR="00592FBC">
        <w:rPr>
          <w:rFonts w:ascii="Calibri Light" w:eastAsia="Times New Roman" w:hAnsi="Calibri Light" w:cs="Calibri Light"/>
          <w:szCs w:val="20"/>
          <w:lang w:eastAsia="en-AU"/>
        </w:rPr>
        <w:t>)</w:t>
      </w:r>
      <w:r w:rsidR="00B63AF4">
        <w:rPr>
          <w:rFonts w:ascii="Calibri Light" w:eastAsia="Times New Roman" w:hAnsi="Calibri Light" w:cs="Calibri Light"/>
          <w:szCs w:val="20"/>
          <w:lang w:eastAsia="en-AU"/>
        </w:rPr>
        <w:t xml:space="preserve"> ASIC should recover its costs</w:t>
      </w:r>
      <w:r w:rsidR="009619E8">
        <w:rPr>
          <w:rFonts w:ascii="Calibri Light" w:eastAsia="Times New Roman" w:hAnsi="Calibri Light" w:cs="Calibri Light"/>
          <w:szCs w:val="20"/>
          <w:lang w:eastAsia="en-AU"/>
        </w:rPr>
        <w:t>.</w:t>
      </w:r>
    </w:p>
    <w:p w14:paraId="02F83F6B" w14:textId="28624540" w:rsidR="00B63AF4" w:rsidRPr="0042197D" w:rsidRDefault="00B63AF4" w:rsidP="0042197D">
      <w:pPr>
        <w:pStyle w:val="Bullet"/>
        <w:ind w:left="1004"/>
        <w:rPr>
          <w:rFonts w:eastAsia="Calibri"/>
          <w:lang w:eastAsia="en-US"/>
        </w:rPr>
      </w:pPr>
      <w:r w:rsidRPr="004351BB">
        <w:rPr>
          <w:rFonts w:eastAsia="Calibri"/>
          <w:b/>
          <w:bCs/>
          <w:lang w:eastAsia="en-US"/>
        </w:rPr>
        <w:t>Principle 1 (Governments</w:t>
      </w:r>
      <w:r w:rsidR="00BD190B">
        <w:rPr>
          <w:rFonts w:eastAsia="Calibri"/>
          <w:b/>
          <w:bCs/>
          <w:lang w:eastAsia="en-US"/>
        </w:rPr>
        <w:t>’</w:t>
      </w:r>
      <w:r w:rsidRPr="004351BB">
        <w:rPr>
          <w:rFonts w:eastAsia="Calibri"/>
          <w:b/>
          <w:bCs/>
          <w:lang w:eastAsia="en-US"/>
        </w:rPr>
        <w:t xml:space="preserve"> long</w:t>
      </w:r>
      <w:r w:rsidR="00BD190B">
        <w:rPr>
          <w:rFonts w:eastAsia="Calibri"/>
          <w:b/>
          <w:bCs/>
          <w:lang w:eastAsia="en-US"/>
        </w:rPr>
        <w:noBreakHyphen/>
      </w:r>
      <w:r w:rsidRPr="004351BB">
        <w:rPr>
          <w:rFonts w:eastAsia="Calibri"/>
          <w:b/>
          <w:bCs/>
          <w:lang w:eastAsia="en-US"/>
        </w:rPr>
        <w:t>standing position):</w:t>
      </w:r>
      <w:r w:rsidRPr="0042197D">
        <w:rPr>
          <w:rFonts w:eastAsia="Calibri"/>
          <w:lang w:eastAsia="en-US"/>
        </w:rPr>
        <w:t xml:space="preserve"> Cost recovery levies (and fees) attributable to regulated activity are considered as a funding mechanism prior to budget funding</w:t>
      </w:r>
      <w:r w:rsidR="006C25C9">
        <w:rPr>
          <w:rFonts w:eastAsia="Calibri"/>
          <w:lang w:eastAsia="en-US"/>
        </w:rPr>
        <w:t>.</w:t>
      </w:r>
    </w:p>
    <w:p w14:paraId="08A59CCE" w14:textId="621F4031" w:rsidR="00B63AF4" w:rsidRPr="0042197D" w:rsidRDefault="00B63AF4" w:rsidP="0042197D">
      <w:pPr>
        <w:pStyle w:val="Bullet"/>
        <w:ind w:left="1004"/>
        <w:rPr>
          <w:rFonts w:eastAsia="Calibri"/>
          <w:lang w:eastAsia="en-US"/>
        </w:rPr>
      </w:pPr>
      <w:r w:rsidRPr="004351BB">
        <w:rPr>
          <w:rFonts w:eastAsia="Calibri"/>
          <w:b/>
          <w:bCs/>
          <w:lang w:eastAsia="en-US"/>
        </w:rPr>
        <w:t>Principle 2 (Charging Framework):</w:t>
      </w:r>
      <w:r w:rsidRPr="0042197D">
        <w:rPr>
          <w:rFonts w:eastAsia="Calibri"/>
          <w:lang w:eastAsia="en-US"/>
        </w:rPr>
        <w:t xml:space="preserve"> </w:t>
      </w:r>
      <w:r w:rsidR="002F596D">
        <w:rPr>
          <w:rFonts w:eastAsia="Calibri"/>
          <w:lang w:eastAsia="en-US"/>
        </w:rPr>
        <w:t>T</w:t>
      </w:r>
      <w:r w:rsidR="002F596D" w:rsidRPr="002F596D">
        <w:rPr>
          <w:rFonts w:eastAsia="Calibri"/>
          <w:lang w:eastAsia="en-US"/>
        </w:rPr>
        <w:t>hose who create the need for a government activity or regulation, should be charged for it, rather than general taxpayers</w:t>
      </w:r>
      <w:r w:rsidRPr="0042197D">
        <w:rPr>
          <w:rFonts w:eastAsia="Calibri"/>
          <w:lang w:eastAsia="en-US"/>
        </w:rPr>
        <w:t>.</w:t>
      </w:r>
    </w:p>
    <w:p w14:paraId="547D2F67" w14:textId="53F59E70" w:rsidR="00B63AF4" w:rsidRPr="0042197D" w:rsidRDefault="00B63AF4" w:rsidP="0042197D">
      <w:pPr>
        <w:pStyle w:val="Bullet"/>
        <w:ind w:left="1004"/>
        <w:rPr>
          <w:rFonts w:eastAsia="Calibri"/>
          <w:lang w:eastAsia="en-US"/>
        </w:rPr>
      </w:pPr>
      <w:r w:rsidRPr="004351BB">
        <w:rPr>
          <w:rFonts w:eastAsia="Calibri"/>
          <w:b/>
          <w:bCs/>
          <w:lang w:eastAsia="en-US"/>
        </w:rPr>
        <w:t>Principle 3:</w:t>
      </w:r>
      <w:r w:rsidRPr="0042197D">
        <w:rPr>
          <w:rFonts w:eastAsia="Calibri"/>
          <w:lang w:eastAsia="en-US"/>
        </w:rPr>
        <w:t xml:space="preserve"> Where ASIC</w:t>
      </w:r>
      <w:r w:rsidR="00BD190B">
        <w:rPr>
          <w:rFonts w:eastAsia="Calibri"/>
          <w:lang w:eastAsia="en-US"/>
        </w:rPr>
        <w:t>’</w:t>
      </w:r>
      <w:r w:rsidRPr="0042197D">
        <w:rPr>
          <w:rFonts w:eastAsia="Calibri"/>
          <w:lang w:eastAsia="en-US"/>
        </w:rPr>
        <w:t xml:space="preserve">s regulatory costs cannot </w:t>
      </w:r>
      <w:r w:rsidR="00E803BC" w:rsidRPr="0042197D">
        <w:rPr>
          <w:rFonts w:eastAsia="Calibri"/>
          <w:lang w:eastAsia="en-US"/>
        </w:rPr>
        <w:t>directly</w:t>
      </w:r>
      <w:r w:rsidR="009619E8">
        <w:rPr>
          <w:rFonts w:eastAsia="Calibri"/>
          <w:lang w:eastAsia="en-US"/>
        </w:rPr>
        <w:t xml:space="preserve"> be</w:t>
      </w:r>
      <w:r w:rsidRPr="0042197D">
        <w:rPr>
          <w:rFonts w:eastAsia="Calibri"/>
          <w:lang w:eastAsia="en-US"/>
        </w:rPr>
        <w:t xml:space="preserve"> </w:t>
      </w:r>
      <w:r w:rsidR="00FB1F4E" w:rsidRPr="0042197D">
        <w:rPr>
          <w:rFonts w:eastAsia="Calibri"/>
          <w:lang w:eastAsia="en-US"/>
        </w:rPr>
        <w:t>attributed to</w:t>
      </w:r>
      <w:r w:rsidRPr="0042197D">
        <w:rPr>
          <w:rFonts w:eastAsia="Calibri"/>
          <w:lang w:eastAsia="en-US"/>
        </w:rPr>
        <w:t xml:space="preserve"> entities</w:t>
      </w:r>
      <w:r w:rsidR="00905545" w:rsidRPr="0042197D">
        <w:rPr>
          <w:rFonts w:eastAsia="Calibri"/>
          <w:lang w:eastAsia="en-US"/>
        </w:rPr>
        <w:t xml:space="preserve"> in sub</w:t>
      </w:r>
      <w:r w:rsidR="00BD190B">
        <w:rPr>
          <w:rFonts w:eastAsia="Calibri"/>
          <w:lang w:eastAsia="en-US"/>
        </w:rPr>
        <w:noBreakHyphen/>
      </w:r>
      <w:r w:rsidR="00905545" w:rsidRPr="0042197D">
        <w:rPr>
          <w:rFonts w:eastAsia="Calibri"/>
          <w:lang w:eastAsia="en-US"/>
        </w:rPr>
        <w:t>sectors</w:t>
      </w:r>
      <w:r w:rsidRPr="0042197D">
        <w:rPr>
          <w:rFonts w:eastAsia="Calibri"/>
          <w:lang w:eastAsia="en-US"/>
        </w:rPr>
        <w:t xml:space="preserve"> causing the need for ASIC</w:t>
      </w:r>
      <w:r w:rsidR="00BD190B">
        <w:rPr>
          <w:rFonts w:eastAsia="Calibri"/>
          <w:lang w:eastAsia="en-US"/>
        </w:rPr>
        <w:t>’</w:t>
      </w:r>
      <w:r w:rsidRPr="0042197D">
        <w:rPr>
          <w:rFonts w:eastAsia="Calibri"/>
          <w:lang w:eastAsia="en-US"/>
        </w:rPr>
        <w:t xml:space="preserve">s regulatory effort, costs should be </w:t>
      </w:r>
      <w:r w:rsidR="00574576" w:rsidRPr="0042197D">
        <w:rPr>
          <w:rFonts w:eastAsia="Calibri"/>
          <w:lang w:eastAsia="en-US"/>
        </w:rPr>
        <w:t>apportioned to the sub</w:t>
      </w:r>
      <w:r w:rsidR="00BD190B">
        <w:rPr>
          <w:rFonts w:eastAsia="Calibri"/>
          <w:lang w:eastAsia="en-US"/>
        </w:rPr>
        <w:noBreakHyphen/>
      </w:r>
      <w:r w:rsidR="00574576" w:rsidRPr="0042197D">
        <w:rPr>
          <w:rFonts w:eastAsia="Calibri"/>
          <w:lang w:eastAsia="en-US"/>
        </w:rPr>
        <w:t>sector</w:t>
      </w:r>
      <w:r w:rsidR="00592FBC">
        <w:rPr>
          <w:rFonts w:eastAsia="Calibri"/>
          <w:lang w:eastAsia="en-US"/>
        </w:rPr>
        <w:t>(</w:t>
      </w:r>
      <w:r w:rsidR="00574576" w:rsidRPr="0042197D">
        <w:rPr>
          <w:rFonts w:eastAsia="Calibri"/>
          <w:lang w:eastAsia="en-US"/>
        </w:rPr>
        <w:t>s</w:t>
      </w:r>
      <w:r w:rsidR="00592FBC">
        <w:rPr>
          <w:rFonts w:eastAsia="Calibri"/>
          <w:lang w:eastAsia="en-US"/>
        </w:rPr>
        <w:t>)</w:t>
      </w:r>
      <w:r w:rsidR="00574576" w:rsidRPr="0042197D">
        <w:rPr>
          <w:rFonts w:eastAsia="Calibri"/>
          <w:lang w:eastAsia="en-US"/>
        </w:rPr>
        <w:t xml:space="preserve"> </w:t>
      </w:r>
      <w:r w:rsidR="00905545" w:rsidRPr="0042197D">
        <w:rPr>
          <w:rFonts w:eastAsia="Calibri"/>
          <w:lang w:eastAsia="en-US"/>
        </w:rPr>
        <w:t>that</w:t>
      </w:r>
      <w:r w:rsidRPr="0042197D">
        <w:rPr>
          <w:rFonts w:eastAsia="Calibri"/>
          <w:lang w:eastAsia="en-US"/>
        </w:rPr>
        <w:t xml:space="preserve"> benefit from the regulated activity. </w:t>
      </w:r>
    </w:p>
    <w:p w14:paraId="164A209B" w14:textId="77777777" w:rsidR="001438CF" w:rsidRDefault="001438CF">
      <w:pPr>
        <w:spacing w:before="0" w:after="160" w:line="259" w:lineRule="auto"/>
        <w:rPr>
          <w:rFonts w:cs="Calibri Light"/>
        </w:rPr>
      </w:pPr>
      <w:r>
        <w:rPr>
          <w:rFonts w:cs="Calibri Light"/>
        </w:rPr>
        <w:br w:type="page"/>
      </w:r>
    </w:p>
    <w:p w14:paraId="61906576" w14:textId="002AA0CE"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lastRenderedPageBreak/>
        <w:t>The application of Principle 3 may result in certain costs being recovered from a wider population – that is, from multiple sub</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sectors, at a sector level, or at a whole of population level. This is because the associated activity is deemed to provide broader benefit to ASIC</w:t>
      </w:r>
      <w:r w:rsidR="00BD190B">
        <w:rPr>
          <w:rFonts w:ascii="Calibri Light" w:eastAsia="Times New Roman" w:hAnsi="Calibri Light" w:cs="Calibri Light"/>
          <w:szCs w:val="20"/>
          <w:lang w:eastAsia="en-AU"/>
        </w:rPr>
        <w:t>’</w:t>
      </w:r>
      <w:r>
        <w:rPr>
          <w:rFonts w:ascii="Calibri Light" w:eastAsia="Times New Roman" w:hAnsi="Calibri Light" w:cs="Calibri Light"/>
          <w:szCs w:val="20"/>
          <w:lang w:eastAsia="en-AU"/>
        </w:rPr>
        <w:t>s regulated population, as opposed to benefitting just one sub</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sector</w:t>
      </w:r>
      <w:r w:rsidR="00792DAD">
        <w:rPr>
          <w:rFonts w:ascii="Calibri Light" w:eastAsia="Times New Roman" w:hAnsi="Calibri Light" w:cs="Calibri Light"/>
          <w:szCs w:val="20"/>
          <w:lang w:eastAsia="en-AU"/>
        </w:rPr>
        <w:t xml:space="preserve">. This is explored </w:t>
      </w:r>
      <w:r w:rsidR="00EE5E2B">
        <w:rPr>
          <w:rFonts w:ascii="Calibri Light" w:eastAsia="Times New Roman" w:hAnsi="Calibri Light" w:cs="Calibri Light"/>
          <w:szCs w:val="20"/>
          <w:lang w:eastAsia="en-AU"/>
        </w:rPr>
        <w:t>below</w:t>
      </w:r>
      <w:r w:rsidR="00792DAD">
        <w:rPr>
          <w:rFonts w:ascii="Calibri Light" w:eastAsia="Times New Roman" w:hAnsi="Calibri Light" w:cs="Calibri Light"/>
          <w:szCs w:val="20"/>
          <w:lang w:eastAsia="en-AU"/>
        </w:rPr>
        <w:t xml:space="preserve">. </w:t>
      </w:r>
    </w:p>
    <w:p w14:paraId="008EF9FA" w14:textId="77777777" w:rsidR="00B63AF4" w:rsidRDefault="00B63AF4" w:rsidP="00232046">
      <w:pPr>
        <w:pStyle w:val="numberedtext"/>
        <w:tabs>
          <w:tab w:val="left" w:pos="709"/>
        </w:tabs>
        <w:ind w:firstLine="0"/>
        <w:rPr>
          <w:rFonts w:ascii="Calibri Light" w:eastAsia="Times New Roman" w:hAnsi="Calibri Light" w:cs="Calibri Light"/>
          <w:szCs w:val="20"/>
          <w:lang w:eastAsia="en-AU"/>
        </w:rPr>
      </w:pPr>
    </w:p>
    <w:tbl>
      <w:tblPr>
        <w:tblStyle w:val="Style1"/>
        <w:tblW w:w="5000" w:type="pct"/>
        <w:tblLook w:val="04A0" w:firstRow="1" w:lastRow="0" w:firstColumn="1" w:lastColumn="0" w:noHBand="0" w:noVBand="1"/>
      </w:tblPr>
      <w:tblGrid>
        <w:gridCol w:w="9072"/>
      </w:tblGrid>
      <w:tr w:rsidR="00B63AF4" w14:paraId="7B7EAC23" w14:textId="77777777" w:rsidTr="00BB4E2D">
        <w:trPr>
          <w:trHeight w:val="1825"/>
        </w:trPr>
        <w:tc>
          <w:tcPr>
            <w:tcW w:w="0" w:type="pct"/>
          </w:tcPr>
          <w:p w14:paraId="0C6183D8" w14:textId="53419C42" w:rsidR="00CC7843" w:rsidRPr="0099243D" w:rsidRDefault="00CC7843" w:rsidP="0042197D">
            <w:pPr>
              <w:pStyle w:val="BoxHeading"/>
            </w:pPr>
            <w:r w:rsidRPr="006726C7">
              <w:t xml:space="preserve">Key finding </w:t>
            </w:r>
          </w:p>
          <w:p w14:paraId="045CB988" w14:textId="68001D76" w:rsidR="00B63AF4" w:rsidRPr="005A1560" w:rsidRDefault="006C341C" w:rsidP="00B63AF4">
            <w:pPr>
              <w:pStyle w:val="BoxText"/>
              <w:rPr>
                <w:b/>
                <w:bCs/>
                <w:szCs w:val="22"/>
              </w:rPr>
            </w:pPr>
            <w:r w:rsidRPr="0099243D">
              <w:rPr>
                <w:bCs/>
                <w:szCs w:val="22"/>
              </w:rPr>
              <w:t>T</w:t>
            </w:r>
            <w:r w:rsidR="00B63AF4" w:rsidRPr="0099243D">
              <w:rPr>
                <w:bCs/>
                <w:szCs w:val="22"/>
              </w:rPr>
              <w:t xml:space="preserve">he existing levies framework remains appropriate and should </w:t>
            </w:r>
            <w:r w:rsidRPr="0099243D">
              <w:rPr>
                <w:bCs/>
                <w:szCs w:val="22"/>
              </w:rPr>
              <w:t>continue to</w:t>
            </w:r>
            <w:r w:rsidR="00041A04" w:rsidRPr="0099243D">
              <w:rPr>
                <w:bCs/>
                <w:szCs w:val="22"/>
              </w:rPr>
              <w:t xml:space="preserve"> </w:t>
            </w:r>
            <w:r w:rsidRPr="0099243D">
              <w:rPr>
                <w:bCs/>
                <w:szCs w:val="22"/>
              </w:rPr>
              <w:t>be focussed on achieving equity and recognising the broader industry benefits of ASIC</w:t>
            </w:r>
            <w:r w:rsidR="00BD190B">
              <w:rPr>
                <w:b/>
                <w:bCs/>
                <w:szCs w:val="22"/>
              </w:rPr>
              <w:t>’</w:t>
            </w:r>
            <w:r w:rsidRPr="0099243D">
              <w:rPr>
                <w:bCs/>
                <w:szCs w:val="22"/>
              </w:rPr>
              <w:t xml:space="preserve">s regulatory activities. </w:t>
            </w:r>
          </w:p>
          <w:p w14:paraId="64611565" w14:textId="4D2F7F16" w:rsidR="00B63AF4" w:rsidRDefault="00B63AF4" w:rsidP="00B63AF4">
            <w:pPr>
              <w:pStyle w:val="BoxText"/>
            </w:pPr>
            <w:r w:rsidRPr="00333A93">
              <w:rPr>
                <w:bCs/>
                <w:szCs w:val="22"/>
              </w:rPr>
              <w:t xml:space="preserve">Simplification of the </w:t>
            </w:r>
            <w:r w:rsidR="005A1560">
              <w:rPr>
                <w:bCs/>
                <w:szCs w:val="22"/>
              </w:rPr>
              <w:t>IFM</w:t>
            </w:r>
            <w:r w:rsidRPr="00333A93">
              <w:rPr>
                <w:bCs/>
                <w:szCs w:val="22"/>
              </w:rPr>
              <w:t xml:space="preserve"> would result in winners and losers</w:t>
            </w:r>
            <w:r w:rsidR="00813850" w:rsidRPr="00333A93">
              <w:rPr>
                <w:bCs/>
                <w:szCs w:val="22"/>
              </w:rPr>
              <w:t xml:space="preserve"> by </w:t>
            </w:r>
            <w:r w:rsidR="008C44BB" w:rsidRPr="00333A93">
              <w:rPr>
                <w:bCs/>
                <w:szCs w:val="22"/>
              </w:rPr>
              <w:t>reallocating</w:t>
            </w:r>
            <w:r w:rsidR="00813850" w:rsidRPr="00333A93">
              <w:rPr>
                <w:bCs/>
                <w:szCs w:val="22"/>
              </w:rPr>
              <w:t xml:space="preserve"> costs across entities</w:t>
            </w:r>
            <w:r w:rsidRPr="00333A93">
              <w:rPr>
                <w:bCs/>
                <w:szCs w:val="22"/>
              </w:rPr>
              <w:t xml:space="preserve">. The </w:t>
            </w:r>
            <w:r w:rsidR="00743DF5">
              <w:rPr>
                <w:bCs/>
                <w:szCs w:val="22"/>
              </w:rPr>
              <w:t>R</w:t>
            </w:r>
            <w:r w:rsidRPr="00333A93">
              <w:rPr>
                <w:bCs/>
                <w:szCs w:val="22"/>
              </w:rPr>
              <w:t>eview does not consider that any perceived benefits of such simplification outweigh the cost</w:t>
            </w:r>
            <w:r w:rsidR="005F4CB6">
              <w:rPr>
                <w:bCs/>
                <w:szCs w:val="22"/>
              </w:rPr>
              <w:t>s</w:t>
            </w:r>
            <w:r w:rsidRPr="00333A93">
              <w:rPr>
                <w:bCs/>
                <w:szCs w:val="22"/>
              </w:rPr>
              <w:t>.</w:t>
            </w:r>
          </w:p>
        </w:tc>
      </w:tr>
    </w:tbl>
    <w:p w14:paraId="5076CD5F" w14:textId="77777777" w:rsidR="00B63AF4" w:rsidRPr="00293B59" w:rsidRDefault="00B63AF4" w:rsidP="00B63AF4">
      <w:pPr>
        <w:pStyle w:val="Heading2"/>
      </w:pPr>
      <w:bookmarkStart w:id="64" w:name="_Toc129270444"/>
      <w:r w:rsidRPr="00293B59">
        <w:t>Activities and costs recovered through levies</w:t>
      </w:r>
      <w:bookmarkEnd w:id="64"/>
    </w:p>
    <w:p w14:paraId="78B1962B" w14:textId="3F09029A" w:rsidR="00B63AF4" w:rsidRDefault="005E49AD"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T</w:t>
      </w:r>
      <w:r w:rsidR="00B63AF4">
        <w:rPr>
          <w:rFonts w:ascii="Calibri Light" w:eastAsia="Times New Roman" w:hAnsi="Calibri Light" w:cs="Calibri Light"/>
          <w:szCs w:val="20"/>
          <w:lang w:eastAsia="en-AU"/>
        </w:rPr>
        <w:t>he</w:t>
      </w:r>
      <w:r>
        <w:rPr>
          <w:rFonts w:ascii="Calibri Light" w:eastAsia="Times New Roman" w:hAnsi="Calibri Light" w:cs="Calibri Light"/>
          <w:i/>
          <w:iCs/>
          <w:szCs w:val="20"/>
          <w:lang w:eastAsia="en-AU"/>
        </w:rPr>
        <w:t xml:space="preserve"> </w:t>
      </w:r>
      <w:r w:rsidR="00B63AF4" w:rsidRPr="0032739E">
        <w:rPr>
          <w:rFonts w:ascii="Calibri Light" w:eastAsia="Times New Roman" w:hAnsi="Calibri Light" w:cs="Calibri Light"/>
          <w:szCs w:val="20"/>
          <w:lang w:eastAsia="en-AU"/>
        </w:rPr>
        <w:t>Cost Recovery Levy Act</w:t>
      </w:r>
      <w:r w:rsidR="00B63AF4">
        <w:rPr>
          <w:rFonts w:ascii="Calibri Light" w:eastAsia="Times New Roman" w:hAnsi="Calibri Light" w:cs="Calibri Light"/>
          <w:szCs w:val="20"/>
          <w:lang w:eastAsia="en-AU"/>
        </w:rPr>
        <w:t xml:space="preserve"> sets out the amounts that ASIC can recover via levies and includes:</w:t>
      </w:r>
    </w:p>
    <w:p w14:paraId="4FDAD599" w14:textId="68465B21" w:rsidR="00B63AF4" w:rsidRPr="00A848E0" w:rsidRDefault="00B63AF4" w:rsidP="00A848E0">
      <w:pPr>
        <w:pStyle w:val="Bullet"/>
        <w:ind w:left="1004"/>
        <w:rPr>
          <w:rFonts w:eastAsia="Calibri"/>
          <w:lang w:eastAsia="en-US"/>
        </w:rPr>
      </w:pPr>
      <w:r w:rsidRPr="00A848E0">
        <w:rPr>
          <w:rFonts w:eastAsia="Calibri"/>
          <w:lang w:eastAsia="en-US"/>
        </w:rPr>
        <w:t>costs relating directly or indirectly to the regulation of leviable entities</w:t>
      </w:r>
    </w:p>
    <w:p w14:paraId="194130AA" w14:textId="52014A80" w:rsidR="00B63AF4" w:rsidRPr="00A848E0" w:rsidRDefault="00B63AF4" w:rsidP="00A848E0">
      <w:pPr>
        <w:pStyle w:val="Bullet"/>
        <w:ind w:left="1004"/>
        <w:rPr>
          <w:rFonts w:eastAsia="Calibri"/>
          <w:lang w:eastAsia="en-US"/>
        </w:rPr>
      </w:pPr>
      <w:r w:rsidRPr="00A848E0">
        <w:rPr>
          <w:rFonts w:eastAsia="Calibri"/>
          <w:lang w:eastAsia="en-US"/>
        </w:rPr>
        <w:t>costs relating to surveillance, education, guidance, engagement with industry and policy advice</w:t>
      </w:r>
    </w:p>
    <w:p w14:paraId="74F4BAAD" w14:textId="68C1458C" w:rsidR="00B63AF4" w:rsidRPr="00A848E0" w:rsidRDefault="00B63AF4" w:rsidP="00A848E0">
      <w:pPr>
        <w:pStyle w:val="Bullet"/>
        <w:ind w:left="1004"/>
        <w:rPr>
          <w:rFonts w:eastAsia="Calibri"/>
          <w:lang w:eastAsia="en-US"/>
        </w:rPr>
      </w:pPr>
      <w:r w:rsidRPr="00A848E0">
        <w:rPr>
          <w:rFonts w:eastAsia="Calibri"/>
          <w:lang w:eastAsia="en-US"/>
        </w:rPr>
        <w:t>costs relating</w:t>
      </w:r>
      <w:r w:rsidR="00117C5A" w:rsidRPr="00A848E0">
        <w:rPr>
          <w:rFonts w:eastAsia="Calibri"/>
          <w:lang w:eastAsia="en-US"/>
        </w:rPr>
        <w:t xml:space="preserve"> to</w:t>
      </w:r>
      <w:r w:rsidRPr="00A848E0">
        <w:rPr>
          <w:rFonts w:eastAsia="Calibri"/>
          <w:lang w:eastAsia="en-US"/>
        </w:rPr>
        <w:t xml:space="preserve"> amounts that are debited from the ESA</w:t>
      </w:r>
    </w:p>
    <w:p w14:paraId="6BAA85A4" w14:textId="5241EFCF" w:rsidR="00B63AF4" w:rsidRPr="00A848E0" w:rsidRDefault="00B63AF4" w:rsidP="00A848E0">
      <w:pPr>
        <w:pStyle w:val="Bullet"/>
        <w:ind w:left="1004"/>
        <w:rPr>
          <w:rFonts w:eastAsia="Calibri"/>
          <w:lang w:eastAsia="en-US"/>
        </w:rPr>
      </w:pPr>
      <w:r w:rsidRPr="00A848E0">
        <w:rPr>
          <w:rFonts w:eastAsia="Calibri"/>
          <w:lang w:eastAsia="en-US"/>
        </w:rPr>
        <w:t>capital</w:t>
      </w:r>
      <w:r w:rsidR="00117C5A" w:rsidRPr="00A848E0">
        <w:rPr>
          <w:rFonts w:eastAsia="Calibri"/>
          <w:lang w:eastAsia="en-US"/>
        </w:rPr>
        <w:t xml:space="preserve"> expenditure</w:t>
      </w:r>
      <w:r w:rsidRPr="00A848E0">
        <w:rPr>
          <w:rFonts w:eastAsia="Calibri"/>
          <w:lang w:eastAsia="en-US"/>
        </w:rPr>
        <w:t xml:space="preserve"> costs </w:t>
      </w:r>
    </w:p>
    <w:p w14:paraId="07D5DC18" w14:textId="62F124BF" w:rsidR="00B63AF4" w:rsidRDefault="00B63AF4" w:rsidP="0037599B">
      <w:pPr>
        <w:pStyle w:val="numberedtext"/>
        <w:numPr>
          <w:ilvl w:val="0"/>
          <w:numId w:val="14"/>
        </w:numPr>
        <w:tabs>
          <w:tab w:val="left" w:pos="709"/>
        </w:tabs>
        <w:ind w:hanging="720"/>
        <w:rPr>
          <w:rFonts w:ascii="Calibri Light" w:eastAsia="Times New Roman" w:hAnsi="Calibri Light" w:cs="Calibri Light"/>
          <w:lang w:eastAsia="en-AU"/>
        </w:rPr>
      </w:pPr>
      <w:r w:rsidRPr="77191390">
        <w:rPr>
          <w:rFonts w:ascii="Calibri Light" w:eastAsia="Times New Roman" w:hAnsi="Calibri Light" w:cs="Calibri Light"/>
          <w:lang w:eastAsia="en-AU"/>
        </w:rPr>
        <w:t>The majority of ASIC</w:t>
      </w:r>
      <w:r w:rsidR="00BD190B">
        <w:rPr>
          <w:rFonts w:ascii="Calibri Light" w:eastAsia="Times New Roman" w:hAnsi="Calibri Light" w:cs="Calibri Light"/>
          <w:lang w:eastAsia="en-AU"/>
        </w:rPr>
        <w:t>’</w:t>
      </w:r>
      <w:r w:rsidRPr="77191390">
        <w:rPr>
          <w:rFonts w:ascii="Calibri Light" w:eastAsia="Times New Roman" w:hAnsi="Calibri Light" w:cs="Calibri Light"/>
          <w:lang w:eastAsia="en-AU"/>
        </w:rPr>
        <w:t xml:space="preserve">s costs for its </w:t>
      </w:r>
      <w:r w:rsidR="1C79213B" w:rsidRPr="77191390">
        <w:rPr>
          <w:rFonts w:ascii="Calibri Light" w:eastAsia="Times New Roman" w:hAnsi="Calibri Light" w:cs="Calibri Light"/>
          <w:lang w:eastAsia="en-AU"/>
        </w:rPr>
        <w:t>regulatory</w:t>
      </w:r>
      <w:r w:rsidRPr="77191390">
        <w:rPr>
          <w:rFonts w:ascii="Calibri Light" w:eastAsia="Times New Roman" w:hAnsi="Calibri Light" w:cs="Calibri Light"/>
          <w:lang w:eastAsia="en-AU"/>
        </w:rPr>
        <w:t xml:space="preserve"> </w:t>
      </w:r>
      <w:r w:rsidR="44E307DC" w:rsidRPr="77191390">
        <w:rPr>
          <w:rFonts w:ascii="Calibri Light" w:eastAsia="Times New Roman" w:hAnsi="Calibri Light" w:cs="Calibri Light"/>
          <w:lang w:eastAsia="en-AU"/>
        </w:rPr>
        <w:t>activities</w:t>
      </w:r>
      <w:r w:rsidRPr="77191390">
        <w:rPr>
          <w:rFonts w:ascii="Calibri Light" w:eastAsia="Times New Roman" w:hAnsi="Calibri Light" w:cs="Calibri Light"/>
          <w:lang w:eastAsia="en-AU"/>
        </w:rPr>
        <w:t xml:space="preserve"> are recovered through levies, unless the Government has decided not to cost recover (see sections </w:t>
      </w:r>
      <w:r w:rsidR="002F03C1">
        <w:rPr>
          <w:rFonts w:ascii="Calibri Light" w:eastAsia="Times New Roman" w:hAnsi="Calibri Light" w:cs="Calibri Light"/>
          <w:lang w:eastAsia="en-AU"/>
        </w:rPr>
        <w:t>below)</w:t>
      </w:r>
      <w:r w:rsidRPr="77191390">
        <w:rPr>
          <w:rFonts w:ascii="Calibri Light" w:eastAsia="Times New Roman" w:hAnsi="Calibri Light" w:cs="Calibri Light"/>
          <w:lang w:eastAsia="en-AU"/>
        </w:rPr>
        <w:t xml:space="preserve">. </w:t>
      </w:r>
    </w:p>
    <w:p w14:paraId="32692D68" w14:textId="77777777" w:rsidR="00B63AF4" w:rsidRDefault="00B63AF4" w:rsidP="007A385D">
      <w:pPr>
        <w:pStyle w:val="Heading3"/>
      </w:pPr>
      <w:bookmarkStart w:id="65" w:name="_Toc129270445"/>
      <w:r>
        <w:t>Analysis and findings</w:t>
      </w:r>
      <w:bookmarkEnd w:id="65"/>
    </w:p>
    <w:p w14:paraId="46289197" w14:textId="3AFEF0A8" w:rsidR="00F2047E" w:rsidRDefault="00F2047E"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FD6092">
        <w:rPr>
          <w:rFonts w:ascii="Calibri Light" w:eastAsia="Times New Roman" w:hAnsi="Calibri Light" w:cs="Calibri Light"/>
          <w:szCs w:val="20"/>
          <w:lang w:eastAsia="en-AU"/>
        </w:rPr>
        <w:t>During consultation</w:t>
      </w:r>
      <w:r>
        <w:rPr>
          <w:rFonts w:ascii="Calibri Light" w:eastAsia="Times New Roman" w:hAnsi="Calibri Light" w:cs="Calibri Light"/>
          <w:szCs w:val="20"/>
          <w:lang w:eastAsia="en-AU"/>
        </w:rPr>
        <w:t>,</w:t>
      </w:r>
      <w:r w:rsidRPr="00FD6092">
        <w:rPr>
          <w:rFonts w:ascii="Calibri Light" w:eastAsia="Times New Roman" w:hAnsi="Calibri Light" w:cs="Calibri Light"/>
          <w:szCs w:val="20"/>
          <w:lang w:eastAsia="en-AU"/>
        </w:rPr>
        <w:t xml:space="preserve"> </w:t>
      </w:r>
      <w:r>
        <w:rPr>
          <w:rFonts w:ascii="Calibri Light" w:eastAsia="Times New Roman" w:hAnsi="Calibri Light" w:cs="Calibri Light"/>
          <w:szCs w:val="20"/>
          <w:lang w:eastAsia="en-AU"/>
        </w:rPr>
        <w:t xml:space="preserve">stakeholders generally supported the concept of </w:t>
      </w:r>
      <w:r w:rsidR="009B0177">
        <w:rPr>
          <w:rFonts w:ascii="Calibri Light" w:eastAsia="Times New Roman" w:hAnsi="Calibri Light" w:cs="Calibri Light"/>
          <w:szCs w:val="20"/>
          <w:lang w:eastAsia="en-AU"/>
        </w:rPr>
        <w:t xml:space="preserve">regulated entities </w:t>
      </w:r>
      <w:r>
        <w:rPr>
          <w:rFonts w:ascii="Calibri Light" w:eastAsia="Times New Roman" w:hAnsi="Calibri Light" w:cs="Calibri Light"/>
          <w:szCs w:val="20"/>
          <w:lang w:eastAsia="en-AU"/>
        </w:rPr>
        <w:t>paying for its regulation, however</w:t>
      </w:r>
      <w:r w:rsidR="00117C5A">
        <w:rPr>
          <w:rFonts w:ascii="Calibri Light" w:eastAsia="Times New Roman" w:hAnsi="Calibri Light" w:cs="Calibri Light"/>
          <w:szCs w:val="20"/>
          <w:lang w:eastAsia="en-AU"/>
        </w:rPr>
        <w:t>,</w:t>
      </w:r>
      <w:r>
        <w:rPr>
          <w:rFonts w:ascii="Calibri Light" w:eastAsia="Times New Roman" w:hAnsi="Calibri Light" w:cs="Calibri Light"/>
          <w:szCs w:val="20"/>
          <w:lang w:eastAsia="en-AU"/>
        </w:rPr>
        <w:t xml:space="preserve"> </w:t>
      </w:r>
      <w:r w:rsidR="00817266">
        <w:rPr>
          <w:rFonts w:ascii="Calibri Light" w:eastAsia="Times New Roman" w:hAnsi="Calibri Light" w:cs="Calibri Light"/>
          <w:szCs w:val="20"/>
          <w:lang w:eastAsia="en-AU"/>
        </w:rPr>
        <w:t xml:space="preserve">suggested </w:t>
      </w:r>
      <w:r w:rsidR="00C709DA">
        <w:rPr>
          <w:rFonts w:ascii="Calibri Light" w:eastAsia="Times New Roman" w:hAnsi="Calibri Light" w:cs="Calibri Light"/>
          <w:szCs w:val="20"/>
          <w:lang w:eastAsia="en-AU"/>
        </w:rPr>
        <w:t>that</w:t>
      </w:r>
      <w:r w:rsidR="00CB55A2">
        <w:rPr>
          <w:rFonts w:ascii="Calibri Light" w:eastAsia="Times New Roman" w:hAnsi="Calibri Light" w:cs="Calibri Light"/>
          <w:szCs w:val="20"/>
          <w:lang w:eastAsia="en-AU"/>
        </w:rPr>
        <w:t xml:space="preserve"> the </w:t>
      </w:r>
      <w:r w:rsidR="00C709DA">
        <w:rPr>
          <w:rFonts w:ascii="Calibri Light" w:eastAsia="Times New Roman" w:hAnsi="Calibri Light" w:cs="Calibri Light"/>
          <w:szCs w:val="20"/>
          <w:lang w:eastAsia="en-AU"/>
        </w:rPr>
        <w:t>costs</w:t>
      </w:r>
      <w:r w:rsidR="00CB55A2">
        <w:rPr>
          <w:rFonts w:ascii="Calibri Light" w:eastAsia="Times New Roman" w:hAnsi="Calibri Light" w:cs="Calibri Light"/>
          <w:szCs w:val="20"/>
          <w:lang w:eastAsia="en-AU"/>
        </w:rPr>
        <w:t xml:space="preserve"> for </w:t>
      </w:r>
      <w:r w:rsidR="00B274F7">
        <w:rPr>
          <w:rFonts w:ascii="Calibri Light" w:eastAsia="Times New Roman" w:hAnsi="Calibri Light" w:cs="Calibri Light"/>
          <w:szCs w:val="20"/>
          <w:lang w:eastAsia="en-AU"/>
        </w:rPr>
        <w:t>certain</w:t>
      </w:r>
      <w:r w:rsidR="00CB55A2">
        <w:rPr>
          <w:rFonts w:ascii="Calibri Light" w:eastAsia="Times New Roman" w:hAnsi="Calibri Light" w:cs="Calibri Light"/>
          <w:szCs w:val="20"/>
          <w:lang w:eastAsia="en-AU"/>
        </w:rPr>
        <w:t xml:space="preserve"> activities</w:t>
      </w:r>
      <w:r w:rsidR="00C709DA">
        <w:rPr>
          <w:rFonts w:ascii="Calibri Light" w:eastAsia="Times New Roman" w:hAnsi="Calibri Light" w:cs="Calibri Light"/>
          <w:szCs w:val="20"/>
          <w:lang w:eastAsia="en-AU"/>
        </w:rPr>
        <w:t xml:space="preserve"> should be removed from the IFM and be budget</w:t>
      </w:r>
      <w:r w:rsidR="00BD190B">
        <w:rPr>
          <w:rFonts w:ascii="Calibri Light" w:eastAsia="Times New Roman" w:hAnsi="Calibri Light" w:cs="Calibri Light"/>
          <w:szCs w:val="20"/>
          <w:lang w:eastAsia="en-AU"/>
        </w:rPr>
        <w:noBreakHyphen/>
      </w:r>
      <w:r w:rsidR="00C709DA">
        <w:rPr>
          <w:rFonts w:ascii="Calibri Light" w:eastAsia="Times New Roman" w:hAnsi="Calibri Light" w:cs="Calibri Light"/>
          <w:szCs w:val="20"/>
          <w:lang w:eastAsia="en-AU"/>
        </w:rPr>
        <w:t xml:space="preserve">funded instead </w:t>
      </w:r>
      <w:r w:rsidR="006C047C">
        <w:rPr>
          <w:rFonts w:ascii="Calibri Light" w:eastAsia="Times New Roman" w:hAnsi="Calibri Light" w:cs="Calibri Light"/>
          <w:szCs w:val="20"/>
          <w:lang w:eastAsia="en-AU"/>
        </w:rPr>
        <w:t>– in particular</w:t>
      </w:r>
      <w:r w:rsidR="00C709DA">
        <w:rPr>
          <w:rFonts w:ascii="Calibri Light" w:eastAsia="Times New Roman" w:hAnsi="Calibri Light" w:cs="Calibri Light"/>
          <w:szCs w:val="20"/>
          <w:lang w:eastAsia="en-AU"/>
        </w:rPr>
        <w:t>:</w:t>
      </w:r>
    </w:p>
    <w:p w14:paraId="1D66169D" w14:textId="00E76BCD" w:rsidR="00F2047E" w:rsidRPr="00A848E0" w:rsidRDefault="00DB34ED" w:rsidP="00A848E0">
      <w:pPr>
        <w:pStyle w:val="Bullet"/>
        <w:ind w:left="1004"/>
        <w:rPr>
          <w:rFonts w:eastAsia="Calibri"/>
          <w:lang w:eastAsia="en-US"/>
        </w:rPr>
      </w:pPr>
      <w:r w:rsidRPr="00A848E0">
        <w:rPr>
          <w:rFonts w:eastAsia="Calibri"/>
          <w:lang w:eastAsia="en-US"/>
        </w:rPr>
        <w:t>r</w:t>
      </w:r>
      <w:r w:rsidR="00F2047E" w:rsidRPr="00A848E0">
        <w:rPr>
          <w:rFonts w:eastAsia="Calibri"/>
          <w:lang w:eastAsia="en-US"/>
        </w:rPr>
        <w:t>egulatory activities that stakeholders have argued they are not causing the need for</w:t>
      </w:r>
    </w:p>
    <w:p w14:paraId="707E46D2" w14:textId="31D8E843" w:rsidR="00F2047E" w:rsidRPr="00A848E0" w:rsidRDefault="00DB34ED" w:rsidP="00A848E0">
      <w:pPr>
        <w:pStyle w:val="Bullet"/>
        <w:ind w:left="1004"/>
        <w:rPr>
          <w:rFonts w:eastAsia="Calibri"/>
          <w:lang w:eastAsia="en-US"/>
        </w:rPr>
      </w:pPr>
      <w:r w:rsidRPr="00A848E0">
        <w:rPr>
          <w:rFonts w:eastAsia="Calibri"/>
          <w:lang w:eastAsia="en-US"/>
        </w:rPr>
        <w:t>r</w:t>
      </w:r>
      <w:r w:rsidR="00F2047E" w:rsidRPr="00A848E0">
        <w:rPr>
          <w:rFonts w:eastAsia="Calibri"/>
          <w:lang w:eastAsia="en-US"/>
        </w:rPr>
        <w:t>egulatory activities that should be considered business as usual for an Australian Government body</w:t>
      </w:r>
    </w:p>
    <w:p w14:paraId="376FD290" w14:textId="106C9A66" w:rsidR="00F2047E" w:rsidRPr="00A848E0" w:rsidRDefault="00DB34ED" w:rsidP="00A848E0">
      <w:pPr>
        <w:pStyle w:val="Bullet"/>
        <w:ind w:left="1004"/>
        <w:rPr>
          <w:rFonts w:eastAsia="Calibri"/>
          <w:lang w:eastAsia="en-US"/>
        </w:rPr>
      </w:pPr>
      <w:r w:rsidRPr="00A848E0">
        <w:rPr>
          <w:rFonts w:eastAsia="Calibri"/>
          <w:lang w:eastAsia="en-US"/>
        </w:rPr>
        <w:t>r</w:t>
      </w:r>
      <w:r w:rsidR="00F2047E" w:rsidRPr="00A848E0">
        <w:rPr>
          <w:rFonts w:eastAsia="Calibri"/>
          <w:lang w:eastAsia="en-US"/>
        </w:rPr>
        <w:t xml:space="preserve">egulatory activities that </w:t>
      </w:r>
      <w:r w:rsidR="0067513D">
        <w:rPr>
          <w:rFonts w:eastAsia="Calibri"/>
          <w:lang w:eastAsia="en-US"/>
        </w:rPr>
        <w:t>the regulated population</w:t>
      </w:r>
      <w:r w:rsidR="00F2047E" w:rsidRPr="00A848E0">
        <w:rPr>
          <w:rFonts w:eastAsia="Calibri"/>
          <w:lang w:eastAsia="en-US"/>
        </w:rPr>
        <w:t xml:space="preserve"> does not benefit from</w:t>
      </w:r>
    </w:p>
    <w:p w14:paraId="3925DA86" w14:textId="580B0F54" w:rsidR="00B63AF4" w:rsidRPr="00262B03" w:rsidRDefault="00D32A4C"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 </w:t>
      </w:r>
      <w:r w:rsidR="00835500">
        <w:rPr>
          <w:rFonts w:ascii="Calibri Light" w:eastAsia="Times New Roman" w:hAnsi="Calibri Light" w:cs="Calibri Light"/>
          <w:szCs w:val="20"/>
          <w:lang w:eastAsia="en-AU"/>
        </w:rPr>
        <w:t>appropriateness of recovering</w:t>
      </w:r>
      <w:r>
        <w:rPr>
          <w:rFonts w:ascii="Calibri Light" w:eastAsia="Times New Roman" w:hAnsi="Calibri Light" w:cs="Calibri Light"/>
          <w:szCs w:val="20"/>
          <w:lang w:eastAsia="en-AU"/>
        </w:rPr>
        <w:t xml:space="preserve"> the costs</w:t>
      </w:r>
      <w:r w:rsidR="00835500">
        <w:rPr>
          <w:rFonts w:ascii="Calibri Light" w:eastAsia="Times New Roman" w:hAnsi="Calibri Light" w:cs="Calibri Light"/>
          <w:szCs w:val="20"/>
          <w:lang w:eastAsia="en-AU"/>
        </w:rPr>
        <w:t xml:space="preserve"> of the following activities</w:t>
      </w:r>
      <w:r>
        <w:rPr>
          <w:rFonts w:ascii="Calibri Light" w:eastAsia="Times New Roman" w:hAnsi="Calibri Light" w:cs="Calibri Light"/>
          <w:szCs w:val="20"/>
          <w:lang w:eastAsia="en-AU"/>
        </w:rPr>
        <w:t xml:space="preserve"> were consistently raised by s</w:t>
      </w:r>
      <w:r w:rsidR="00B63AF4">
        <w:rPr>
          <w:rFonts w:ascii="Calibri Light" w:eastAsia="Times New Roman" w:hAnsi="Calibri Light" w:cs="Calibri Light"/>
          <w:szCs w:val="20"/>
          <w:lang w:eastAsia="en-AU"/>
        </w:rPr>
        <w:t>takeholders</w:t>
      </w:r>
      <w:r>
        <w:rPr>
          <w:rFonts w:ascii="Calibri Light" w:eastAsia="Times New Roman" w:hAnsi="Calibri Light" w:cs="Calibri Light"/>
          <w:szCs w:val="20"/>
          <w:lang w:eastAsia="en-AU"/>
        </w:rPr>
        <w:t>:</w:t>
      </w:r>
    </w:p>
    <w:p w14:paraId="72DF1A58" w14:textId="2EC768EF" w:rsidR="00674D80" w:rsidRDefault="002A4D23" w:rsidP="00A848E0">
      <w:pPr>
        <w:pStyle w:val="Bullet"/>
        <w:ind w:left="1004"/>
        <w:rPr>
          <w:rFonts w:eastAsia="Calibri"/>
          <w:lang w:eastAsia="en-US"/>
        </w:rPr>
      </w:pPr>
      <w:r>
        <w:rPr>
          <w:rFonts w:eastAsia="Calibri"/>
          <w:lang w:eastAsia="en-US"/>
        </w:rPr>
        <w:t xml:space="preserve">enforcement action </w:t>
      </w:r>
    </w:p>
    <w:p w14:paraId="42BAC3DE" w14:textId="1D62DB93" w:rsidR="002A4D23" w:rsidRPr="002A4D23" w:rsidRDefault="002A4D23" w:rsidP="002A4D23">
      <w:pPr>
        <w:pStyle w:val="Bullet"/>
        <w:ind w:left="1004"/>
        <w:rPr>
          <w:rFonts w:eastAsia="Calibri"/>
          <w:lang w:eastAsia="en-US"/>
        </w:rPr>
      </w:pPr>
      <w:r w:rsidRPr="00A848E0">
        <w:rPr>
          <w:rFonts w:eastAsia="Calibri"/>
          <w:lang w:eastAsia="en-US"/>
        </w:rPr>
        <w:t>unsuccessful enforcement action</w:t>
      </w:r>
    </w:p>
    <w:p w14:paraId="7C3D0CA9" w14:textId="1D60F217" w:rsidR="00B63AF4" w:rsidRPr="00A848E0" w:rsidRDefault="00B63AF4" w:rsidP="00A848E0">
      <w:pPr>
        <w:pStyle w:val="Bullet"/>
        <w:ind w:left="1004"/>
        <w:rPr>
          <w:rFonts w:eastAsia="Calibri"/>
          <w:lang w:eastAsia="en-US"/>
        </w:rPr>
      </w:pPr>
      <w:r w:rsidRPr="00A848E0">
        <w:rPr>
          <w:rFonts w:eastAsia="Calibri"/>
          <w:lang w:eastAsia="en-US"/>
        </w:rPr>
        <w:t xml:space="preserve">enforcement action against </w:t>
      </w:r>
      <w:r w:rsidR="00700F17">
        <w:rPr>
          <w:rFonts w:eastAsia="Calibri"/>
          <w:lang w:eastAsia="en-US"/>
        </w:rPr>
        <w:t>unlicensed</w:t>
      </w:r>
      <w:r w:rsidRPr="00A848E0">
        <w:rPr>
          <w:rFonts w:eastAsia="Calibri"/>
          <w:lang w:eastAsia="en-US"/>
        </w:rPr>
        <w:t xml:space="preserve"> operators</w:t>
      </w:r>
    </w:p>
    <w:p w14:paraId="4D1BA242" w14:textId="7D5B308D" w:rsidR="00B63AF4" w:rsidRPr="00A848E0" w:rsidRDefault="00B63AF4" w:rsidP="00A848E0">
      <w:pPr>
        <w:pStyle w:val="Bullet"/>
        <w:ind w:left="1004"/>
        <w:rPr>
          <w:rFonts w:eastAsia="Calibri"/>
          <w:lang w:eastAsia="en-US"/>
        </w:rPr>
      </w:pPr>
      <w:r w:rsidRPr="00A848E0">
        <w:rPr>
          <w:rFonts w:eastAsia="Calibri"/>
          <w:lang w:eastAsia="en-US"/>
        </w:rPr>
        <w:lastRenderedPageBreak/>
        <w:t>regulating emerging sectors</w:t>
      </w:r>
    </w:p>
    <w:p w14:paraId="382CA959" w14:textId="437076DC" w:rsidR="00B63AF4" w:rsidRPr="00A848E0" w:rsidRDefault="00B63AF4" w:rsidP="00A848E0">
      <w:pPr>
        <w:pStyle w:val="Bullet"/>
        <w:ind w:left="1004"/>
        <w:rPr>
          <w:rFonts w:eastAsia="Calibri"/>
          <w:lang w:eastAsia="en-US"/>
        </w:rPr>
      </w:pPr>
      <w:r w:rsidRPr="00A848E0">
        <w:rPr>
          <w:rFonts w:eastAsia="Calibri"/>
          <w:lang w:eastAsia="en-US"/>
        </w:rPr>
        <w:t>education of the public</w:t>
      </w:r>
    </w:p>
    <w:p w14:paraId="2469A056" w14:textId="3FE120FB" w:rsidR="00B63AF4" w:rsidRPr="00A848E0" w:rsidRDefault="00B63AF4" w:rsidP="00A848E0">
      <w:pPr>
        <w:pStyle w:val="Bullet"/>
        <w:ind w:left="1004"/>
        <w:rPr>
          <w:rFonts w:eastAsia="Calibri"/>
          <w:lang w:eastAsia="en-US"/>
        </w:rPr>
      </w:pPr>
      <w:r w:rsidRPr="00A848E0">
        <w:rPr>
          <w:rFonts w:eastAsia="Calibri"/>
          <w:lang w:eastAsia="en-US"/>
        </w:rPr>
        <w:t xml:space="preserve">policy advice provided to the Government </w:t>
      </w:r>
    </w:p>
    <w:p w14:paraId="0338D764" w14:textId="64C01B6E" w:rsidR="00B63AF4" w:rsidRPr="00A848E0" w:rsidRDefault="00B63AF4" w:rsidP="00A848E0">
      <w:pPr>
        <w:pStyle w:val="Bullet"/>
        <w:ind w:left="1004"/>
        <w:rPr>
          <w:rFonts w:eastAsia="Calibri"/>
          <w:lang w:eastAsia="en-US"/>
        </w:rPr>
      </w:pPr>
      <w:r w:rsidRPr="00A848E0">
        <w:rPr>
          <w:rFonts w:eastAsia="Calibri"/>
          <w:lang w:eastAsia="en-US"/>
        </w:rPr>
        <w:t>capital expenditure</w:t>
      </w:r>
    </w:p>
    <w:p w14:paraId="777633AC" w14:textId="37C6D5D8"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Some stakeholders also raised whether the operation of sub</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 xml:space="preserve">section 10(4) of the </w:t>
      </w:r>
      <w:r w:rsidRPr="0032739E">
        <w:rPr>
          <w:rFonts w:ascii="Calibri Light" w:eastAsia="Times New Roman" w:hAnsi="Calibri Light" w:cs="Calibri Light"/>
          <w:szCs w:val="20"/>
          <w:lang w:eastAsia="en-AU"/>
        </w:rPr>
        <w:t>Cost Recovery Levy Act</w:t>
      </w:r>
      <w:r w:rsidR="00E83AD9">
        <w:rPr>
          <w:rFonts w:ascii="Calibri Light" w:eastAsia="Times New Roman" w:hAnsi="Calibri Light" w:cs="Calibri Light"/>
          <w:szCs w:val="20"/>
          <w:lang w:eastAsia="en-AU"/>
        </w:rPr>
        <w:t xml:space="preserve"> </w:t>
      </w:r>
      <w:r>
        <w:rPr>
          <w:rFonts w:ascii="Calibri Light" w:eastAsia="Times New Roman" w:hAnsi="Calibri Light" w:cs="Calibri Light"/>
          <w:szCs w:val="20"/>
          <w:lang w:eastAsia="en-AU"/>
        </w:rPr>
        <w:t>exclude</w:t>
      </w:r>
      <w:r w:rsidR="00E83AD9">
        <w:rPr>
          <w:rFonts w:ascii="Calibri Light" w:eastAsia="Times New Roman" w:hAnsi="Calibri Light" w:cs="Calibri Light"/>
          <w:szCs w:val="20"/>
          <w:lang w:eastAsia="en-AU"/>
        </w:rPr>
        <w:t>s</w:t>
      </w:r>
      <w:r>
        <w:rPr>
          <w:rFonts w:ascii="Calibri Light" w:eastAsia="Times New Roman" w:hAnsi="Calibri Light" w:cs="Calibri Light"/>
          <w:szCs w:val="20"/>
          <w:lang w:eastAsia="en-AU"/>
        </w:rPr>
        <w:t xml:space="preserve"> certain costs (such as costs relating to </w:t>
      </w:r>
      <w:r w:rsidR="00700F17">
        <w:rPr>
          <w:rFonts w:ascii="Calibri Light" w:eastAsia="Times New Roman" w:hAnsi="Calibri Light" w:cs="Calibri Light"/>
          <w:szCs w:val="20"/>
          <w:lang w:eastAsia="en-AU"/>
        </w:rPr>
        <w:t>unlicensed</w:t>
      </w:r>
      <w:r>
        <w:rPr>
          <w:rFonts w:ascii="Calibri Light" w:eastAsia="Times New Roman" w:hAnsi="Calibri Light" w:cs="Calibri Light"/>
          <w:szCs w:val="20"/>
          <w:lang w:eastAsia="en-AU"/>
        </w:rPr>
        <w:t xml:space="preserve"> activity and emerging sectors) from being recovered. Sub</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 xml:space="preserve">section 10(4) states that ASIC cannot recover costs relating to the regulation of persons and entities that are not </w:t>
      </w:r>
      <w:r w:rsidR="00BD190B">
        <w:rPr>
          <w:rFonts w:ascii="Calibri Light" w:eastAsia="Times New Roman" w:hAnsi="Calibri Light" w:cs="Calibri Light"/>
          <w:szCs w:val="20"/>
          <w:lang w:eastAsia="en-AU"/>
        </w:rPr>
        <w:t>‘</w:t>
      </w:r>
      <w:r>
        <w:rPr>
          <w:rFonts w:ascii="Calibri Light" w:eastAsia="Times New Roman" w:hAnsi="Calibri Light" w:cs="Calibri Light"/>
          <w:szCs w:val="20"/>
          <w:lang w:eastAsia="en-AU"/>
        </w:rPr>
        <w:t>leviable entities</w:t>
      </w:r>
      <w:r w:rsidR="00BD190B">
        <w:rPr>
          <w:rFonts w:ascii="Calibri Light" w:eastAsia="Times New Roman" w:hAnsi="Calibri Light" w:cs="Calibri Light"/>
          <w:szCs w:val="20"/>
          <w:lang w:eastAsia="en-AU"/>
        </w:rPr>
        <w:t>’</w:t>
      </w:r>
      <w:r>
        <w:rPr>
          <w:rFonts w:ascii="Calibri Light" w:eastAsia="Times New Roman" w:hAnsi="Calibri Light" w:cs="Calibri Light"/>
          <w:szCs w:val="20"/>
          <w:lang w:eastAsia="en-AU"/>
        </w:rPr>
        <w:t xml:space="preserve">. For the purposes of the </w:t>
      </w:r>
      <w:r w:rsidR="007D3ABA">
        <w:rPr>
          <w:rFonts w:ascii="Calibri Light" w:eastAsia="Times New Roman" w:hAnsi="Calibri Light" w:cs="Calibri Light"/>
          <w:szCs w:val="20"/>
          <w:lang w:eastAsia="en-AU"/>
        </w:rPr>
        <w:t xml:space="preserve">Cost Recovery Levy </w:t>
      </w:r>
      <w:r>
        <w:rPr>
          <w:rFonts w:ascii="Calibri Light" w:eastAsia="Times New Roman" w:hAnsi="Calibri Light" w:cs="Calibri Light"/>
          <w:szCs w:val="20"/>
          <w:lang w:eastAsia="en-AU"/>
        </w:rPr>
        <w:t>Act, a leviable entity is a regulated entity and includes persons who contravene</w:t>
      </w:r>
      <w:r w:rsidR="00A4269A">
        <w:rPr>
          <w:rFonts w:ascii="Calibri Light" w:eastAsia="Times New Roman" w:hAnsi="Calibri Light" w:cs="Calibri Light"/>
          <w:szCs w:val="20"/>
          <w:lang w:eastAsia="en-AU"/>
        </w:rPr>
        <w:t xml:space="preserve"> certain provisions in</w:t>
      </w:r>
      <w:r>
        <w:rPr>
          <w:rFonts w:ascii="Calibri Light" w:eastAsia="Times New Roman" w:hAnsi="Calibri Light" w:cs="Calibri Light"/>
          <w:szCs w:val="20"/>
          <w:lang w:eastAsia="en-AU"/>
        </w:rPr>
        <w:t xml:space="preserve"> the Acts ASIC administers (</w:t>
      </w:r>
      <w:r w:rsidR="0025103A">
        <w:rPr>
          <w:rFonts w:ascii="Calibri Light" w:eastAsia="Times New Roman" w:hAnsi="Calibri Light" w:cs="Calibri Light"/>
          <w:szCs w:val="20"/>
          <w:lang w:eastAsia="en-AU"/>
        </w:rPr>
        <w:t>for example,</w:t>
      </w:r>
      <w:r>
        <w:rPr>
          <w:rFonts w:ascii="Calibri Light" w:eastAsia="Times New Roman" w:hAnsi="Calibri Light" w:cs="Calibri Light"/>
          <w:szCs w:val="20"/>
          <w:lang w:eastAsia="en-AU"/>
        </w:rPr>
        <w:t xml:space="preserve"> </w:t>
      </w:r>
      <w:r w:rsidR="00700F17">
        <w:rPr>
          <w:rFonts w:ascii="Calibri Light" w:eastAsia="Times New Roman" w:hAnsi="Calibri Light" w:cs="Calibri Light"/>
          <w:szCs w:val="20"/>
          <w:lang w:eastAsia="en-AU"/>
        </w:rPr>
        <w:t>unlicensed</w:t>
      </w:r>
      <w:r>
        <w:rPr>
          <w:rFonts w:ascii="Calibri Light" w:eastAsia="Times New Roman" w:hAnsi="Calibri Light" w:cs="Calibri Light"/>
          <w:szCs w:val="20"/>
          <w:lang w:eastAsia="en-AU"/>
        </w:rPr>
        <w:t xml:space="preserve"> operators) as well as persons ASIC regulates (</w:t>
      </w:r>
      <w:r w:rsidR="0025103A">
        <w:rPr>
          <w:rFonts w:ascii="Calibri Light" w:eastAsia="Times New Roman" w:hAnsi="Calibri Light" w:cs="Calibri Light"/>
          <w:szCs w:val="20"/>
          <w:lang w:eastAsia="en-AU"/>
        </w:rPr>
        <w:t>for example,</w:t>
      </w:r>
      <w:r>
        <w:rPr>
          <w:rFonts w:ascii="Calibri Light" w:eastAsia="Times New Roman" w:hAnsi="Calibri Light" w:cs="Calibri Light"/>
          <w:szCs w:val="20"/>
          <w:lang w:eastAsia="en-AU"/>
        </w:rPr>
        <w:t xml:space="preserve"> entities in emerging sectors). </w:t>
      </w:r>
    </w:p>
    <w:p w14:paraId="574EB05D" w14:textId="31FABFF5" w:rsidR="00DF1A63" w:rsidRDefault="00B63AF4" w:rsidP="003B5ABB">
      <w:pPr>
        <w:pStyle w:val="numberedtext"/>
        <w:numPr>
          <w:ilvl w:val="0"/>
          <w:numId w:val="14"/>
        </w:numPr>
        <w:tabs>
          <w:tab w:val="left" w:pos="709"/>
        </w:tabs>
        <w:ind w:hanging="720"/>
        <w:rPr>
          <w:rFonts w:ascii="Calibri Light" w:eastAsia="Times New Roman" w:hAnsi="Calibri Light" w:cs="Calibri Light"/>
          <w:szCs w:val="20"/>
          <w:lang w:eastAsia="en-AU"/>
        </w:rPr>
      </w:pPr>
      <w:r w:rsidRPr="003B5ABB">
        <w:rPr>
          <w:rFonts w:ascii="Calibri Light" w:eastAsia="Times New Roman" w:hAnsi="Calibri Light" w:cs="Calibri Light"/>
          <w:szCs w:val="20"/>
          <w:lang w:eastAsia="en-AU"/>
        </w:rPr>
        <w:t>The Review finds that the recovery of ASIC</w:t>
      </w:r>
      <w:r w:rsidR="00BD190B">
        <w:rPr>
          <w:rFonts w:ascii="Calibri Light" w:eastAsia="Times New Roman" w:hAnsi="Calibri Light" w:cs="Calibri Light"/>
          <w:szCs w:val="20"/>
          <w:lang w:eastAsia="en-AU"/>
        </w:rPr>
        <w:t>’</w:t>
      </w:r>
      <w:r w:rsidRPr="003B5ABB">
        <w:rPr>
          <w:rFonts w:ascii="Calibri Light" w:eastAsia="Times New Roman" w:hAnsi="Calibri Light" w:cs="Calibri Light"/>
          <w:szCs w:val="20"/>
          <w:lang w:eastAsia="en-AU"/>
        </w:rPr>
        <w:t>s regulatory activities that are currently recovered through levies remains appropriate</w:t>
      </w:r>
      <w:r w:rsidR="003B5ABB">
        <w:rPr>
          <w:rFonts w:ascii="Calibri Light" w:eastAsia="Times New Roman" w:hAnsi="Calibri Light" w:cs="Calibri Light"/>
          <w:szCs w:val="20"/>
          <w:lang w:eastAsia="en-AU"/>
        </w:rPr>
        <w:t xml:space="preserve"> and </w:t>
      </w:r>
      <w:r w:rsidR="00DF1A63">
        <w:rPr>
          <w:rFonts w:ascii="Calibri Light" w:eastAsia="Times New Roman" w:hAnsi="Calibri Light" w:cs="Calibri Light"/>
          <w:szCs w:val="20"/>
          <w:lang w:eastAsia="en-AU"/>
        </w:rPr>
        <w:t xml:space="preserve">aligns with the Charging Framework </w:t>
      </w:r>
      <w:r w:rsidR="00140796">
        <w:rPr>
          <w:rFonts w:ascii="Calibri Light" w:eastAsia="Times New Roman" w:hAnsi="Calibri Light" w:cs="Calibri Light"/>
          <w:szCs w:val="20"/>
          <w:lang w:eastAsia="en-AU"/>
        </w:rPr>
        <w:t xml:space="preserve">which identifies the types of costs that can be recovered through levies. </w:t>
      </w:r>
    </w:p>
    <w:p w14:paraId="5386C82B" w14:textId="10C2AD04" w:rsidR="00B63AF4" w:rsidRPr="000C7A28" w:rsidRDefault="00140796" w:rsidP="000C7A28">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 Review </w:t>
      </w:r>
      <w:r w:rsidR="003B5ABB" w:rsidRPr="003B5ABB">
        <w:rPr>
          <w:rFonts w:ascii="Calibri Light" w:eastAsia="Times New Roman" w:hAnsi="Calibri Light" w:cs="Calibri Light"/>
          <w:szCs w:val="20"/>
          <w:lang w:eastAsia="en-AU"/>
        </w:rPr>
        <w:t>notes that the removal of costs from the IFM would not align with the Governments</w:t>
      </w:r>
      <w:r w:rsidR="00BD190B">
        <w:rPr>
          <w:rFonts w:ascii="Calibri Light" w:eastAsia="Times New Roman" w:hAnsi="Calibri Light" w:cs="Calibri Light"/>
          <w:szCs w:val="20"/>
          <w:lang w:eastAsia="en-AU"/>
        </w:rPr>
        <w:t>’</w:t>
      </w:r>
      <w:r w:rsidR="003B5ABB" w:rsidRPr="003B5ABB">
        <w:rPr>
          <w:rFonts w:ascii="Calibri Light" w:eastAsia="Times New Roman" w:hAnsi="Calibri Light" w:cs="Calibri Light"/>
          <w:szCs w:val="20"/>
          <w:lang w:eastAsia="en-AU"/>
        </w:rPr>
        <w:t xml:space="preserve"> position that cost recovery levies and fees attributable to regulatory activity are considered as a funding mechanism prior to budget funding.</w:t>
      </w:r>
      <w:r w:rsidR="00DF1A63">
        <w:rPr>
          <w:rFonts w:ascii="Calibri Light" w:eastAsia="Times New Roman" w:hAnsi="Calibri Light" w:cs="Calibri Light"/>
          <w:szCs w:val="20"/>
          <w:lang w:eastAsia="en-AU"/>
        </w:rPr>
        <w:t xml:space="preserve"> </w:t>
      </w:r>
      <w:r w:rsidR="00B63AF4" w:rsidRPr="000C7A28">
        <w:rPr>
          <w:rFonts w:ascii="Calibri Light" w:eastAsia="Times New Roman" w:hAnsi="Calibri Light" w:cs="Calibri Light"/>
          <w:szCs w:val="20"/>
          <w:lang w:eastAsia="en-AU"/>
        </w:rPr>
        <w:t>In line with this and consistent with the principles of the levies framework, the Review recognises that ASIC</w:t>
      </w:r>
      <w:r w:rsidR="00BD190B">
        <w:rPr>
          <w:rFonts w:ascii="Calibri Light" w:eastAsia="Times New Roman" w:hAnsi="Calibri Light" w:cs="Calibri Light"/>
          <w:szCs w:val="20"/>
          <w:lang w:eastAsia="en-AU"/>
        </w:rPr>
        <w:t>’</w:t>
      </w:r>
      <w:r w:rsidR="00B63AF4" w:rsidRPr="000C7A28">
        <w:rPr>
          <w:rFonts w:ascii="Calibri Light" w:eastAsia="Times New Roman" w:hAnsi="Calibri Light" w:cs="Calibri Light"/>
          <w:szCs w:val="20"/>
          <w:lang w:eastAsia="en-AU"/>
        </w:rPr>
        <w:t>s regulated population and in particular, the relevant sub</w:t>
      </w:r>
      <w:r w:rsidR="00BD190B">
        <w:rPr>
          <w:rFonts w:ascii="Calibri Light" w:eastAsia="Times New Roman" w:hAnsi="Calibri Light" w:cs="Calibri Light"/>
          <w:szCs w:val="20"/>
          <w:lang w:eastAsia="en-AU"/>
        </w:rPr>
        <w:noBreakHyphen/>
      </w:r>
      <w:r w:rsidR="00B63AF4" w:rsidRPr="000C7A28">
        <w:rPr>
          <w:rFonts w:ascii="Calibri Light" w:eastAsia="Times New Roman" w:hAnsi="Calibri Light" w:cs="Calibri Light"/>
          <w:szCs w:val="20"/>
          <w:lang w:eastAsia="en-AU"/>
        </w:rPr>
        <w:t>sectors to which these costs are attributed to also receive benefit.</w:t>
      </w:r>
    </w:p>
    <w:p w14:paraId="78AC7948" w14:textId="77777777" w:rsidR="00234E99" w:rsidRPr="00A848E0" w:rsidRDefault="00234E99" w:rsidP="00234E99">
      <w:pPr>
        <w:pStyle w:val="Bullet"/>
        <w:numPr>
          <w:ilvl w:val="0"/>
          <w:numId w:val="0"/>
        </w:numPr>
        <w:ind w:left="284" w:hanging="284"/>
        <w:rPr>
          <w:rFonts w:eastAsia="Calibri"/>
          <w:lang w:eastAsia="en-US"/>
        </w:rPr>
      </w:pPr>
    </w:p>
    <w:tbl>
      <w:tblPr>
        <w:tblStyle w:val="Style1"/>
        <w:tblW w:w="5000" w:type="pct"/>
        <w:tblLook w:val="04A0" w:firstRow="1" w:lastRow="0" w:firstColumn="1" w:lastColumn="0" w:noHBand="0" w:noVBand="1"/>
      </w:tblPr>
      <w:tblGrid>
        <w:gridCol w:w="9072"/>
      </w:tblGrid>
      <w:tr w:rsidR="00905545" w14:paraId="210F1FD6" w14:textId="77777777" w:rsidTr="003A78C4">
        <w:tc>
          <w:tcPr>
            <w:tcW w:w="5000" w:type="pct"/>
          </w:tcPr>
          <w:p w14:paraId="4D5F3109" w14:textId="212C8C99" w:rsidR="00905545" w:rsidRPr="00333A93" w:rsidRDefault="00905545" w:rsidP="00A848E0">
            <w:pPr>
              <w:pStyle w:val="BoxHeading"/>
            </w:pPr>
            <w:r w:rsidRPr="006726C7">
              <w:t>Key finding</w:t>
            </w:r>
          </w:p>
          <w:p w14:paraId="57E9026E" w14:textId="5F109F6C" w:rsidR="00905545" w:rsidRPr="005A1560" w:rsidRDefault="00905545" w:rsidP="009653BB">
            <w:pPr>
              <w:pStyle w:val="BoxText"/>
              <w:rPr>
                <w:b/>
                <w:bCs/>
                <w:szCs w:val="22"/>
              </w:rPr>
            </w:pPr>
            <w:r w:rsidRPr="00333A93">
              <w:rPr>
                <w:bCs/>
                <w:szCs w:val="22"/>
              </w:rPr>
              <w:t>The types of costs and nature of ASIC</w:t>
            </w:r>
            <w:r w:rsidR="00BD190B">
              <w:rPr>
                <w:bCs/>
                <w:szCs w:val="22"/>
              </w:rPr>
              <w:t>’</w:t>
            </w:r>
            <w:r w:rsidRPr="00333A93">
              <w:rPr>
                <w:bCs/>
                <w:szCs w:val="22"/>
              </w:rPr>
              <w:t>s activities that are currently recovered through levies remains appropriate and aligns with the principles of the levies framework.</w:t>
            </w:r>
          </w:p>
        </w:tc>
      </w:tr>
    </w:tbl>
    <w:p w14:paraId="3561BE84" w14:textId="77777777" w:rsidR="00B63AF4" w:rsidRPr="00293B59" w:rsidRDefault="00B63AF4" w:rsidP="00B63AF4">
      <w:pPr>
        <w:pStyle w:val="Heading2"/>
      </w:pPr>
      <w:bookmarkStart w:id="66" w:name="_Toc129270446"/>
      <w:r w:rsidRPr="00293B59">
        <w:t>Costs not recovered through levies</w:t>
      </w:r>
      <w:bookmarkEnd w:id="66"/>
    </w:p>
    <w:p w14:paraId="01D6AB18" w14:textId="27E7DD82" w:rsidR="00B63AF4" w:rsidRPr="004A60F6"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293B59">
        <w:rPr>
          <w:rFonts w:ascii="Calibri Light" w:eastAsia="Times New Roman" w:hAnsi="Calibri Light" w:cs="Calibri Light"/>
          <w:szCs w:val="20"/>
          <w:lang w:eastAsia="en-AU"/>
        </w:rPr>
        <w:t xml:space="preserve">The </w:t>
      </w:r>
      <w:r w:rsidR="000F12F6">
        <w:rPr>
          <w:rFonts w:ascii="Calibri Light" w:eastAsia="Times New Roman" w:hAnsi="Calibri Light" w:cs="Calibri Light"/>
          <w:szCs w:val="20"/>
          <w:lang w:eastAsia="en-AU"/>
        </w:rPr>
        <w:t>g</w:t>
      </w:r>
      <w:r w:rsidRPr="00293B59">
        <w:rPr>
          <w:rFonts w:ascii="Calibri Light" w:eastAsia="Times New Roman" w:hAnsi="Calibri Light" w:cs="Calibri Light"/>
          <w:szCs w:val="20"/>
          <w:lang w:eastAsia="en-AU"/>
        </w:rPr>
        <w:t>overnment has made decisions that certain regulatory costs will not be recovered through IFM levies. Costs that are not recovered through levies are b</w:t>
      </w:r>
      <w:r w:rsidR="00AC4FCB">
        <w:rPr>
          <w:rFonts w:ascii="Calibri Light" w:eastAsia="Times New Roman" w:hAnsi="Calibri Light" w:cs="Calibri Light"/>
          <w:szCs w:val="20"/>
          <w:lang w:eastAsia="en-AU"/>
        </w:rPr>
        <w:t>ud</w:t>
      </w:r>
      <w:r w:rsidRPr="00293B59">
        <w:rPr>
          <w:rFonts w:ascii="Calibri Light" w:eastAsia="Times New Roman" w:hAnsi="Calibri Light" w:cs="Calibri Light"/>
          <w:szCs w:val="20"/>
          <w:lang w:eastAsia="en-AU"/>
        </w:rPr>
        <w:t>get</w:t>
      </w:r>
      <w:r w:rsidR="00BD190B">
        <w:rPr>
          <w:rFonts w:ascii="Calibri Light" w:eastAsia="Times New Roman" w:hAnsi="Calibri Light" w:cs="Calibri Light"/>
          <w:szCs w:val="20"/>
          <w:lang w:eastAsia="en-AU"/>
        </w:rPr>
        <w:noBreakHyphen/>
      </w:r>
      <w:r w:rsidRPr="00293B59">
        <w:rPr>
          <w:rFonts w:ascii="Calibri Light" w:eastAsia="Times New Roman" w:hAnsi="Calibri Light" w:cs="Calibri Light"/>
          <w:szCs w:val="20"/>
          <w:lang w:eastAsia="en-AU"/>
        </w:rPr>
        <w:t>funded.</w:t>
      </w:r>
    </w:p>
    <w:p w14:paraId="5CCE5D73" w14:textId="58B0FF2F" w:rsidR="00B63AF4" w:rsidRPr="0032739E" w:rsidRDefault="00B63AF4" w:rsidP="0037599B">
      <w:pPr>
        <w:pStyle w:val="numberedtext"/>
        <w:numPr>
          <w:ilvl w:val="0"/>
          <w:numId w:val="14"/>
        </w:numPr>
        <w:tabs>
          <w:tab w:val="left" w:pos="709"/>
        </w:tabs>
        <w:ind w:hanging="720"/>
        <w:rPr>
          <w:rFonts w:cs="Calibri Light"/>
        </w:rPr>
      </w:pPr>
      <w:r w:rsidRPr="0032739E">
        <w:rPr>
          <w:rFonts w:ascii="Calibri Light" w:eastAsia="Times New Roman" w:hAnsi="Calibri Light" w:cs="Calibri Light"/>
          <w:szCs w:val="20"/>
          <w:lang w:eastAsia="en-AU"/>
        </w:rPr>
        <w:t xml:space="preserve">Entities registered under the </w:t>
      </w:r>
      <w:r w:rsidRPr="0032739E">
        <w:rPr>
          <w:rFonts w:ascii="Calibri Light" w:eastAsia="Times New Roman" w:hAnsi="Calibri Light" w:cs="Calibri Light"/>
          <w:i/>
          <w:iCs/>
          <w:szCs w:val="20"/>
          <w:lang w:eastAsia="en-AU"/>
        </w:rPr>
        <w:t>Australian Charities and Not</w:t>
      </w:r>
      <w:r w:rsidR="00BD190B">
        <w:rPr>
          <w:rFonts w:ascii="Calibri Light" w:eastAsia="Times New Roman" w:hAnsi="Calibri Light" w:cs="Calibri Light"/>
          <w:i/>
          <w:iCs/>
          <w:szCs w:val="20"/>
          <w:lang w:eastAsia="en-AU"/>
        </w:rPr>
        <w:noBreakHyphen/>
      </w:r>
      <w:r w:rsidRPr="0032739E">
        <w:rPr>
          <w:rFonts w:ascii="Calibri Light" w:eastAsia="Times New Roman" w:hAnsi="Calibri Light" w:cs="Calibri Light"/>
          <w:i/>
          <w:iCs/>
          <w:szCs w:val="20"/>
          <w:lang w:eastAsia="en-AU"/>
        </w:rPr>
        <w:t>for</w:t>
      </w:r>
      <w:r w:rsidR="00BD190B">
        <w:rPr>
          <w:rFonts w:ascii="Calibri Light" w:eastAsia="Times New Roman" w:hAnsi="Calibri Light" w:cs="Calibri Light"/>
          <w:i/>
          <w:iCs/>
          <w:szCs w:val="20"/>
          <w:lang w:eastAsia="en-AU"/>
        </w:rPr>
        <w:noBreakHyphen/>
      </w:r>
      <w:r w:rsidRPr="0032739E">
        <w:rPr>
          <w:rFonts w:ascii="Calibri Light" w:eastAsia="Times New Roman" w:hAnsi="Calibri Light" w:cs="Calibri Light"/>
          <w:i/>
          <w:iCs/>
          <w:szCs w:val="20"/>
          <w:lang w:eastAsia="en-AU"/>
        </w:rPr>
        <w:t>profits Commission Act 2012</w:t>
      </w:r>
      <w:r w:rsidRPr="0032739E">
        <w:rPr>
          <w:rFonts w:ascii="Calibri Light" w:eastAsia="Times New Roman" w:hAnsi="Calibri Light" w:cs="Calibri Light"/>
          <w:szCs w:val="20"/>
          <w:lang w:eastAsia="en-AU"/>
        </w:rPr>
        <w:t xml:space="preserve"> are exempt from having to pay levies</w:t>
      </w:r>
      <w:r w:rsidR="00CB4A6F">
        <w:rPr>
          <w:rFonts w:ascii="Calibri Light" w:eastAsia="Times New Roman" w:hAnsi="Calibri Light" w:cs="Calibri Light"/>
          <w:szCs w:val="20"/>
          <w:lang w:eastAsia="en-AU"/>
        </w:rPr>
        <w:t xml:space="preserve">. </w:t>
      </w:r>
    </w:p>
    <w:p w14:paraId="6E2308EB" w14:textId="51D71EBE" w:rsidR="003F1A91" w:rsidRDefault="00C80A25"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 Cost Recovery Levy Regulations </w:t>
      </w:r>
      <w:r w:rsidR="008F3273">
        <w:rPr>
          <w:rFonts w:ascii="Calibri Light" w:eastAsia="Times New Roman" w:hAnsi="Calibri Light" w:cs="Calibri Light"/>
          <w:szCs w:val="20"/>
          <w:lang w:eastAsia="en-AU"/>
        </w:rPr>
        <w:t>outline</w:t>
      </w:r>
      <w:r w:rsidR="00266081">
        <w:rPr>
          <w:rFonts w:ascii="Calibri Light" w:eastAsia="Times New Roman" w:hAnsi="Calibri Light" w:cs="Calibri Light"/>
          <w:szCs w:val="20"/>
          <w:lang w:eastAsia="en-AU"/>
        </w:rPr>
        <w:t xml:space="preserve"> w</w:t>
      </w:r>
      <w:r w:rsidR="00B63AF4" w:rsidRPr="0032739E">
        <w:rPr>
          <w:rFonts w:ascii="Calibri Light" w:eastAsia="Times New Roman" w:hAnsi="Calibri Light" w:cs="Calibri Light"/>
          <w:szCs w:val="20"/>
          <w:lang w:eastAsia="en-AU"/>
        </w:rPr>
        <w:t xml:space="preserve">here the Government has </w:t>
      </w:r>
      <w:r w:rsidR="009402D4" w:rsidRPr="0032739E">
        <w:rPr>
          <w:rFonts w:ascii="Calibri Light" w:eastAsia="Times New Roman" w:hAnsi="Calibri Light" w:cs="Calibri Light"/>
          <w:szCs w:val="20"/>
          <w:lang w:eastAsia="en-AU"/>
        </w:rPr>
        <w:t>decided</w:t>
      </w:r>
      <w:r w:rsidR="00B63AF4" w:rsidRPr="0032739E">
        <w:rPr>
          <w:rFonts w:ascii="Calibri Light" w:eastAsia="Times New Roman" w:hAnsi="Calibri Light" w:cs="Calibri Light"/>
          <w:szCs w:val="20"/>
          <w:lang w:eastAsia="en-AU"/>
        </w:rPr>
        <w:t xml:space="preserve"> that certain amounts are not part of ASIC</w:t>
      </w:r>
      <w:r w:rsidR="00BD190B">
        <w:rPr>
          <w:rFonts w:ascii="Calibri Light" w:eastAsia="Times New Roman" w:hAnsi="Calibri Light" w:cs="Calibri Light"/>
          <w:szCs w:val="20"/>
          <w:lang w:eastAsia="en-AU"/>
        </w:rPr>
        <w:t>’</w:t>
      </w:r>
      <w:r w:rsidR="00B63AF4" w:rsidRPr="0032739E">
        <w:rPr>
          <w:rFonts w:ascii="Calibri Light" w:eastAsia="Times New Roman" w:hAnsi="Calibri Light" w:cs="Calibri Light"/>
          <w:szCs w:val="20"/>
          <w:lang w:eastAsia="en-AU"/>
        </w:rPr>
        <w:t xml:space="preserve">s regulatory costs and therefore are not recovered through the IFM. These include the costs of: </w:t>
      </w:r>
    </w:p>
    <w:p w14:paraId="1983A3B6" w14:textId="7A648D46" w:rsidR="003F1A91" w:rsidRPr="00A848E0" w:rsidRDefault="00B63AF4" w:rsidP="00A848E0">
      <w:pPr>
        <w:pStyle w:val="Bullet"/>
        <w:ind w:left="1004"/>
        <w:rPr>
          <w:rFonts w:eastAsia="Calibri"/>
          <w:lang w:eastAsia="en-US"/>
        </w:rPr>
      </w:pPr>
      <w:r w:rsidRPr="00A848E0">
        <w:rPr>
          <w:rFonts w:eastAsia="Calibri"/>
          <w:lang w:eastAsia="en-US"/>
        </w:rPr>
        <w:t>operating the Companies Auditors Disciplinary Board (CADB)</w:t>
      </w:r>
    </w:p>
    <w:p w14:paraId="7C401258" w14:textId="398EEAE4" w:rsidR="003F1A91" w:rsidRPr="00A848E0" w:rsidRDefault="00B63AF4" w:rsidP="00A848E0">
      <w:pPr>
        <w:pStyle w:val="Bullet"/>
        <w:ind w:left="1004"/>
        <w:rPr>
          <w:rFonts w:eastAsia="Calibri"/>
          <w:lang w:eastAsia="en-US"/>
        </w:rPr>
      </w:pPr>
      <w:r w:rsidRPr="00A848E0">
        <w:rPr>
          <w:rFonts w:eastAsia="Calibri"/>
          <w:lang w:eastAsia="en-US"/>
        </w:rPr>
        <w:t xml:space="preserve">operating the registered liquidators disciplinary committees </w:t>
      </w:r>
    </w:p>
    <w:p w14:paraId="220CD43A" w14:textId="0FD98E6D" w:rsidR="003F1A91" w:rsidRPr="00A848E0" w:rsidRDefault="00B63AF4" w:rsidP="00A848E0">
      <w:pPr>
        <w:pStyle w:val="Bullet"/>
        <w:ind w:left="1004"/>
        <w:rPr>
          <w:rFonts w:eastAsia="Calibri"/>
          <w:lang w:eastAsia="en-US"/>
        </w:rPr>
      </w:pPr>
      <w:r w:rsidRPr="00A848E0">
        <w:rPr>
          <w:rFonts w:eastAsia="Calibri"/>
          <w:lang w:eastAsia="en-US"/>
        </w:rPr>
        <w:t>maintaining and operating ASIC</w:t>
      </w:r>
      <w:r w:rsidR="00BD190B">
        <w:rPr>
          <w:rFonts w:eastAsia="Calibri"/>
          <w:lang w:eastAsia="en-US"/>
        </w:rPr>
        <w:t>’</w:t>
      </w:r>
      <w:r w:rsidRPr="00A848E0">
        <w:rPr>
          <w:rFonts w:eastAsia="Calibri"/>
          <w:lang w:eastAsia="en-US"/>
        </w:rPr>
        <w:t xml:space="preserve">s public registers </w:t>
      </w:r>
    </w:p>
    <w:p w14:paraId="4F6C7E53" w14:textId="7859ECB3" w:rsidR="003F1A91" w:rsidRPr="00A848E0" w:rsidRDefault="00B63AF4" w:rsidP="00A848E0">
      <w:pPr>
        <w:pStyle w:val="Bullet"/>
        <w:ind w:left="1004"/>
        <w:rPr>
          <w:rFonts w:eastAsia="Calibri"/>
          <w:lang w:eastAsia="en-US"/>
        </w:rPr>
      </w:pPr>
      <w:r w:rsidRPr="00A848E0">
        <w:rPr>
          <w:rFonts w:eastAsia="Calibri"/>
          <w:lang w:eastAsia="en-US"/>
        </w:rPr>
        <w:lastRenderedPageBreak/>
        <w:t>regulating self</w:t>
      </w:r>
      <w:r w:rsidR="00BD190B">
        <w:rPr>
          <w:rFonts w:eastAsia="Calibri"/>
          <w:lang w:eastAsia="en-US"/>
        </w:rPr>
        <w:noBreakHyphen/>
      </w:r>
      <w:r w:rsidRPr="00A848E0">
        <w:rPr>
          <w:rFonts w:eastAsia="Calibri"/>
          <w:lang w:eastAsia="en-US"/>
        </w:rPr>
        <w:t xml:space="preserve">managed superannuation fund (SMSF) auditors </w:t>
      </w:r>
    </w:p>
    <w:p w14:paraId="644ABFC4" w14:textId="7147E42F" w:rsidR="00E87F52" w:rsidRPr="00A848E0" w:rsidRDefault="00B63AF4" w:rsidP="00A848E0">
      <w:pPr>
        <w:pStyle w:val="Bullet"/>
        <w:ind w:left="1004"/>
        <w:rPr>
          <w:rFonts w:eastAsia="Calibri"/>
          <w:lang w:eastAsia="en-US"/>
        </w:rPr>
      </w:pPr>
      <w:r w:rsidRPr="00A848E0">
        <w:rPr>
          <w:rFonts w:eastAsia="Calibri"/>
          <w:lang w:eastAsia="en-US"/>
        </w:rPr>
        <w:t>preliminary investigations and reports by registered liquidators into the failure of a company with few or no assets</w:t>
      </w:r>
    </w:p>
    <w:p w14:paraId="0C0D74F7" w14:textId="77777777" w:rsidR="00B63AF4" w:rsidRDefault="00B63AF4" w:rsidP="007A385D">
      <w:pPr>
        <w:pStyle w:val="Heading4"/>
      </w:pPr>
      <w:bookmarkStart w:id="67" w:name="_Toc129270447"/>
      <w:r>
        <w:t>Analysis and findings</w:t>
      </w:r>
      <w:bookmarkEnd w:id="67"/>
    </w:p>
    <w:p w14:paraId="67760493" w14:textId="1C8BA669" w:rsidR="00016557" w:rsidRPr="0072276F" w:rsidRDefault="00DD75E3" w:rsidP="0037599B">
      <w:pPr>
        <w:pStyle w:val="numberedtext"/>
        <w:numPr>
          <w:ilvl w:val="0"/>
          <w:numId w:val="14"/>
        </w:numPr>
        <w:tabs>
          <w:tab w:val="left" w:pos="709"/>
        </w:tabs>
        <w:ind w:hanging="720"/>
        <w:rPr>
          <w:rFonts w:ascii="Calibri Light" w:eastAsia="Times New Roman" w:hAnsi="Calibri Light" w:cs="Calibri Light"/>
          <w:lang w:eastAsia="en-AU"/>
        </w:rPr>
      </w:pPr>
      <w:r w:rsidRPr="0072276F">
        <w:rPr>
          <w:rFonts w:ascii="Calibri Light" w:eastAsia="Times New Roman" w:hAnsi="Calibri Light" w:cs="Calibri Light"/>
          <w:lang w:eastAsia="en-AU"/>
        </w:rPr>
        <w:t xml:space="preserve">Stakeholders in the financial advice sector </w:t>
      </w:r>
      <w:r w:rsidR="00B63AF4" w:rsidRPr="0072276F">
        <w:rPr>
          <w:rFonts w:ascii="Calibri Light" w:eastAsia="Times New Roman" w:hAnsi="Calibri Light" w:cs="Calibri Light"/>
          <w:lang w:eastAsia="en-AU"/>
        </w:rPr>
        <w:t>noted</w:t>
      </w:r>
      <w:r w:rsidR="42EE147E" w:rsidRPr="0072276F">
        <w:rPr>
          <w:rFonts w:ascii="Calibri Light" w:eastAsia="Times New Roman" w:hAnsi="Calibri Light" w:cs="Calibri Light"/>
          <w:lang w:eastAsia="en-AU"/>
        </w:rPr>
        <w:t xml:space="preserve"> some inconsistency in decisions</w:t>
      </w:r>
      <w:r w:rsidR="7310CB30" w:rsidRPr="0072276F">
        <w:rPr>
          <w:rFonts w:ascii="Calibri Light" w:eastAsia="Times New Roman" w:hAnsi="Calibri Light" w:cs="Calibri Light"/>
          <w:lang w:eastAsia="en-AU"/>
        </w:rPr>
        <w:t xml:space="preserve"> to exclude costs from the IFM</w:t>
      </w:r>
      <w:r w:rsidR="42EE147E" w:rsidRPr="0072276F">
        <w:rPr>
          <w:rFonts w:ascii="Calibri Light" w:eastAsia="Times New Roman" w:hAnsi="Calibri Light" w:cs="Calibri Light"/>
          <w:lang w:eastAsia="en-AU"/>
        </w:rPr>
        <w:t xml:space="preserve">. For example, </w:t>
      </w:r>
      <w:r w:rsidR="00B63AF4" w:rsidRPr="0072276F">
        <w:rPr>
          <w:rFonts w:ascii="Calibri Light" w:eastAsia="Times New Roman" w:hAnsi="Calibri Light" w:cs="Calibri Light"/>
          <w:lang w:eastAsia="en-AU"/>
        </w:rPr>
        <w:t>costs relating to the Single Disciplinary Body</w:t>
      </w:r>
      <w:r w:rsidR="002418D9" w:rsidRPr="0072276F">
        <w:rPr>
          <w:rFonts w:ascii="Calibri Light" w:eastAsia="Times New Roman" w:hAnsi="Calibri Light" w:cs="Calibri Light"/>
          <w:lang w:eastAsia="en-AU"/>
        </w:rPr>
        <w:t xml:space="preserve"> for financial advisers</w:t>
      </w:r>
      <w:r w:rsidR="00B63AF4" w:rsidRPr="0072276F">
        <w:rPr>
          <w:rFonts w:ascii="Calibri Light" w:eastAsia="Times New Roman" w:hAnsi="Calibri Light" w:cs="Calibri Light"/>
          <w:lang w:eastAsia="en-AU"/>
        </w:rPr>
        <w:t xml:space="preserve"> established within ASIC are recovered </w:t>
      </w:r>
      <w:r w:rsidR="00786037" w:rsidRPr="0072276F">
        <w:rPr>
          <w:rFonts w:ascii="Calibri Light" w:eastAsia="Times New Roman" w:hAnsi="Calibri Light" w:cs="Calibri Light"/>
          <w:lang w:eastAsia="en-AU"/>
        </w:rPr>
        <w:t>through the IFM</w:t>
      </w:r>
      <w:r w:rsidR="00B63AF4" w:rsidRPr="0072276F">
        <w:rPr>
          <w:rFonts w:ascii="Calibri Light" w:eastAsia="Times New Roman" w:hAnsi="Calibri Light" w:cs="Calibri Light"/>
          <w:lang w:eastAsia="en-AU"/>
        </w:rPr>
        <w:t xml:space="preserve">, </w:t>
      </w:r>
      <w:r w:rsidR="1137951B" w:rsidRPr="0072276F">
        <w:rPr>
          <w:rFonts w:ascii="Calibri Light" w:eastAsia="Times New Roman" w:hAnsi="Calibri Light" w:cs="Calibri Light"/>
          <w:lang w:eastAsia="en-AU"/>
        </w:rPr>
        <w:t xml:space="preserve">however, the </w:t>
      </w:r>
      <w:r w:rsidR="00B63AF4" w:rsidRPr="0072276F">
        <w:rPr>
          <w:rFonts w:ascii="Calibri Light" w:eastAsia="Times New Roman" w:hAnsi="Calibri Light" w:cs="Calibri Light"/>
          <w:lang w:eastAsia="en-AU"/>
        </w:rPr>
        <w:t>costs of ASIC operating registered liquidator disciplinary committees</w:t>
      </w:r>
      <w:r w:rsidR="6E865729" w:rsidRPr="0072276F">
        <w:rPr>
          <w:rFonts w:ascii="Calibri Light" w:eastAsia="Times New Roman" w:hAnsi="Calibri Light" w:cs="Calibri Light"/>
          <w:lang w:eastAsia="en-AU"/>
        </w:rPr>
        <w:t xml:space="preserve"> are not recovered </w:t>
      </w:r>
      <w:r w:rsidR="00786037" w:rsidRPr="0072276F">
        <w:rPr>
          <w:rFonts w:ascii="Calibri Light" w:eastAsia="Times New Roman" w:hAnsi="Calibri Light" w:cs="Calibri Light"/>
          <w:lang w:eastAsia="en-AU"/>
        </w:rPr>
        <w:t>through the IFM</w:t>
      </w:r>
      <w:r w:rsidR="00B63AF4" w:rsidRPr="0072276F">
        <w:rPr>
          <w:rFonts w:ascii="Calibri Light" w:eastAsia="Times New Roman" w:hAnsi="Calibri Light" w:cs="Calibri Light"/>
          <w:lang w:eastAsia="en-AU"/>
        </w:rPr>
        <w:t xml:space="preserve">. </w:t>
      </w:r>
    </w:p>
    <w:p w14:paraId="2D21CDB1" w14:textId="47A955C7" w:rsidR="00A91643" w:rsidRPr="0072276F" w:rsidRDefault="00B63AF4" w:rsidP="0037599B">
      <w:pPr>
        <w:pStyle w:val="numberedtext"/>
        <w:numPr>
          <w:ilvl w:val="0"/>
          <w:numId w:val="14"/>
        </w:numPr>
        <w:tabs>
          <w:tab w:val="left" w:pos="709"/>
        </w:tabs>
        <w:ind w:hanging="720"/>
        <w:rPr>
          <w:rFonts w:ascii="Calibri Light" w:eastAsia="Times New Roman" w:hAnsi="Calibri Light" w:cs="Calibri Light"/>
          <w:lang w:eastAsia="en-AU"/>
        </w:rPr>
      </w:pPr>
      <w:r w:rsidRPr="0072276F">
        <w:rPr>
          <w:rFonts w:ascii="Calibri Light" w:eastAsia="Times New Roman" w:hAnsi="Calibri Light" w:cs="Calibri Light"/>
          <w:lang w:eastAsia="en-AU"/>
        </w:rPr>
        <w:t xml:space="preserve">The Review notes that the Government has full discretion to decide what costs will </w:t>
      </w:r>
      <w:r w:rsidR="00FD7A38" w:rsidRPr="0072276F">
        <w:rPr>
          <w:rFonts w:ascii="Calibri Light" w:eastAsia="Times New Roman" w:hAnsi="Calibri Light" w:cs="Calibri Light"/>
          <w:lang w:eastAsia="en-AU"/>
        </w:rPr>
        <w:t>or</w:t>
      </w:r>
      <w:r w:rsidRPr="0072276F">
        <w:rPr>
          <w:rFonts w:ascii="Calibri Light" w:eastAsia="Times New Roman" w:hAnsi="Calibri Light" w:cs="Calibri Light"/>
          <w:lang w:eastAsia="en-AU"/>
        </w:rPr>
        <w:t xml:space="preserve"> won</w:t>
      </w:r>
      <w:r w:rsidR="00BD190B">
        <w:rPr>
          <w:rFonts w:ascii="Calibri Light" w:eastAsia="Times New Roman" w:hAnsi="Calibri Light" w:cs="Calibri Light"/>
          <w:lang w:eastAsia="en-AU"/>
        </w:rPr>
        <w:t>’</w:t>
      </w:r>
      <w:r w:rsidRPr="0072276F">
        <w:rPr>
          <w:rFonts w:ascii="Calibri Light" w:eastAsia="Times New Roman" w:hAnsi="Calibri Light" w:cs="Calibri Light"/>
          <w:lang w:eastAsia="en-AU"/>
        </w:rPr>
        <w:t xml:space="preserve">t be recovered via the IFM. </w:t>
      </w:r>
      <w:r w:rsidR="00FD7A38" w:rsidRPr="0072276F">
        <w:rPr>
          <w:rFonts w:ascii="Calibri Light" w:eastAsia="Times New Roman" w:hAnsi="Calibri Light" w:cs="Calibri Light"/>
          <w:lang w:eastAsia="en-AU"/>
        </w:rPr>
        <w:t xml:space="preserve">However, the Review acknowledges stakeholder concerns and finds that the Government should consider these decisions more consistently – see section </w:t>
      </w:r>
      <w:r w:rsidR="0052684D">
        <w:rPr>
          <w:rFonts w:ascii="Calibri Light" w:eastAsia="Times New Roman" w:hAnsi="Calibri Light" w:cs="Calibri Light"/>
          <w:lang w:eastAsia="en-AU"/>
        </w:rPr>
        <w:t>below</w:t>
      </w:r>
      <w:r w:rsidR="00FD7A38" w:rsidRPr="0072276F">
        <w:rPr>
          <w:rFonts w:ascii="Calibri Light" w:eastAsia="Times New Roman" w:hAnsi="Calibri Light" w:cs="Calibri Light"/>
          <w:lang w:eastAsia="en-AU"/>
        </w:rPr>
        <w:t xml:space="preserve">. </w:t>
      </w:r>
    </w:p>
    <w:p w14:paraId="5CF468E3" w14:textId="77777777" w:rsidR="00B63AF4" w:rsidRPr="00293B59" w:rsidRDefault="00B63AF4" w:rsidP="00366CC0">
      <w:pPr>
        <w:pStyle w:val="Heading2"/>
      </w:pPr>
      <w:bookmarkStart w:id="68" w:name="_Toc129270448"/>
      <w:r w:rsidRPr="00293B59">
        <w:t>Cost recovery policy</w:t>
      </w:r>
      <w:bookmarkEnd w:id="68"/>
    </w:p>
    <w:p w14:paraId="2768AE9F" w14:textId="63B12C9E"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Charging Framework requires that for each cost recovered activity</w:t>
      </w:r>
      <w:r w:rsidR="005F7AEC" w:rsidRPr="45E69C77">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the responsible Government entity must have policy approval from the Government to cost recover. Government entities should seek approval:</w:t>
      </w:r>
    </w:p>
    <w:p w14:paraId="75FFE1A6" w14:textId="7061B7A1" w:rsidR="00B63AF4" w:rsidRPr="00A848E0" w:rsidRDefault="00B63AF4" w:rsidP="00A848E0">
      <w:pPr>
        <w:pStyle w:val="Bullet"/>
        <w:ind w:left="1004"/>
        <w:rPr>
          <w:rFonts w:eastAsia="Calibri"/>
          <w:lang w:eastAsia="en-US"/>
        </w:rPr>
      </w:pPr>
      <w:r w:rsidRPr="00A848E0">
        <w:rPr>
          <w:rFonts w:eastAsia="Calibri"/>
          <w:lang w:eastAsia="en-US"/>
        </w:rPr>
        <w:t>to undertake a specific activity on a full or partial cost recovery basis, whether a new or existing activity</w:t>
      </w:r>
    </w:p>
    <w:p w14:paraId="74809FFA" w14:textId="5F90248E" w:rsidR="00B63AF4" w:rsidRPr="00A848E0" w:rsidRDefault="00B63AF4" w:rsidP="00A848E0">
      <w:pPr>
        <w:pStyle w:val="Bullet"/>
        <w:ind w:left="1004"/>
        <w:rPr>
          <w:rFonts w:eastAsia="Calibri"/>
          <w:lang w:eastAsia="en-US"/>
        </w:rPr>
      </w:pPr>
      <w:r w:rsidRPr="00A848E0">
        <w:rPr>
          <w:rFonts w:eastAsia="Calibri"/>
          <w:lang w:eastAsia="en-US"/>
        </w:rPr>
        <w:t>for a new recovery model, or to make significant changes to an existing model</w:t>
      </w:r>
    </w:p>
    <w:p w14:paraId="5040922E" w14:textId="1EBADE0C" w:rsidR="0036562D" w:rsidRPr="00A848E0" w:rsidRDefault="0036562D" w:rsidP="00A848E0">
      <w:pPr>
        <w:pStyle w:val="Bullet"/>
        <w:ind w:left="1004"/>
        <w:rPr>
          <w:rFonts w:eastAsia="Calibri"/>
          <w:lang w:eastAsia="en-US"/>
        </w:rPr>
      </w:pPr>
      <w:r w:rsidRPr="00A848E0">
        <w:rPr>
          <w:rFonts w:eastAsia="Calibri"/>
          <w:lang w:eastAsia="en-US"/>
        </w:rPr>
        <w:t>to bring forward new legislation or amend existing legislation to provide authority to charge or change charges</w:t>
      </w:r>
    </w:p>
    <w:p w14:paraId="082AD86A" w14:textId="77777777" w:rsidR="00B63AF4" w:rsidRPr="00293B59" w:rsidRDefault="00B63AF4" w:rsidP="00B63AF4">
      <w:pPr>
        <w:pStyle w:val="Heading3"/>
      </w:pPr>
      <w:bookmarkStart w:id="69" w:name="_Toc129270449"/>
      <w:r>
        <w:t>New policy measures and proposals</w:t>
      </w:r>
      <w:bookmarkEnd w:id="69"/>
    </w:p>
    <w:p w14:paraId="6EBD15B3" w14:textId="0316D449"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Where the Government </w:t>
      </w:r>
      <w:r w:rsidR="00210950">
        <w:rPr>
          <w:rFonts w:ascii="Calibri Light" w:eastAsia="Times New Roman" w:hAnsi="Calibri Light" w:cs="Calibri Light"/>
          <w:lang w:eastAsia="en-AU"/>
        </w:rPr>
        <w:t xml:space="preserve">legislates </w:t>
      </w:r>
      <w:r w:rsidRPr="45E69C77">
        <w:rPr>
          <w:rFonts w:ascii="Calibri Light" w:eastAsia="Times New Roman" w:hAnsi="Calibri Light" w:cs="Calibri Light"/>
          <w:lang w:eastAsia="en-AU"/>
        </w:rPr>
        <w:t>a new policy measure and/or provides additional funding to ASIC, it is the responsibility of ASIC (with Treasury</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support) to ensure that there is policy authority from the Government to cost recover via the IFM. </w:t>
      </w:r>
    </w:p>
    <w:p w14:paraId="66F660E5" w14:textId="556296E0"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It is also the responsibility of ASIC and Treasury to provide advice to Government about the impact the new policy measure and/or additional funding will have on the IFM and the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w:t>
      </w:r>
      <w:r w:rsidR="00592FBC">
        <w:rPr>
          <w:rFonts w:ascii="Calibri Light" w:eastAsia="Times New Roman" w:hAnsi="Calibri Light" w:cs="Calibri Light"/>
          <w:lang w:eastAsia="en-AU"/>
        </w:rPr>
        <w:t>(</w:t>
      </w:r>
      <w:r w:rsidRPr="45E69C77">
        <w:rPr>
          <w:rFonts w:ascii="Calibri Light" w:eastAsia="Times New Roman" w:hAnsi="Calibri Light" w:cs="Calibri Light"/>
          <w:lang w:eastAsia="en-AU"/>
        </w:rPr>
        <w:t>s</w:t>
      </w:r>
      <w:r w:rsidR="00592FBC">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from which costs will be recovered from. This includes consideration of whether the costs should be fully or partially recovered from industr</w:t>
      </w:r>
      <w:r w:rsidR="00461859">
        <w:rPr>
          <w:rFonts w:ascii="Calibri Light" w:eastAsia="Times New Roman" w:hAnsi="Calibri Light" w:cs="Calibri Light"/>
          <w:lang w:eastAsia="en-AU"/>
        </w:rPr>
        <w:t>y</w:t>
      </w:r>
      <w:r w:rsidRPr="45E69C77">
        <w:rPr>
          <w:rFonts w:ascii="Calibri Light" w:eastAsia="Times New Roman" w:hAnsi="Calibri Light" w:cs="Calibri Light"/>
          <w:lang w:eastAsia="en-AU"/>
        </w:rPr>
        <w:t xml:space="preserve">, or not recovered at all. </w:t>
      </w:r>
    </w:p>
    <w:p w14:paraId="14F02E8D" w14:textId="1D4445C8"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Government has in the past made decisions to not recover costs for new policy measures or additional funding where it would have an adverse impact on existing or new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sectors. </w:t>
      </w:r>
    </w:p>
    <w:p w14:paraId="5D368647" w14:textId="77777777" w:rsidR="00B63AF4" w:rsidRDefault="00B63AF4" w:rsidP="007A385D">
      <w:pPr>
        <w:pStyle w:val="Heading4"/>
      </w:pPr>
      <w:r>
        <w:t>Analysis and findings</w:t>
      </w:r>
    </w:p>
    <w:p w14:paraId="7F0DE586" w14:textId="726C843E" w:rsidR="00D9451F" w:rsidRDefault="0070513F"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Generally, w</w:t>
      </w:r>
      <w:r w:rsidR="00292D0A" w:rsidRPr="45E69C77">
        <w:rPr>
          <w:rFonts w:ascii="Calibri Light" w:eastAsia="Times New Roman" w:hAnsi="Calibri Light" w:cs="Calibri Light"/>
          <w:lang w:eastAsia="en-AU"/>
        </w:rPr>
        <w:t>here the Government is considering a new policy measure or determining whether additional funding should be provided to ASIC</w:t>
      </w:r>
      <w:r w:rsidR="00995FF7">
        <w:rPr>
          <w:rFonts w:ascii="Calibri Light" w:eastAsia="Times New Roman" w:hAnsi="Calibri Light" w:cs="Calibri Light"/>
          <w:lang w:eastAsia="en-AU"/>
        </w:rPr>
        <w:t>,</w:t>
      </w:r>
      <w:r w:rsidR="00292D0A" w:rsidRPr="45E69C77">
        <w:rPr>
          <w:rFonts w:ascii="Calibri Light" w:eastAsia="Times New Roman" w:hAnsi="Calibri Light" w:cs="Calibri Light"/>
          <w:lang w:eastAsia="en-AU"/>
        </w:rPr>
        <w:t xml:space="preserve"> it should consider</w:t>
      </w:r>
      <w:r w:rsidR="00706C48" w:rsidRPr="45E69C77">
        <w:rPr>
          <w:rFonts w:ascii="Calibri Light" w:eastAsia="Times New Roman" w:hAnsi="Calibri Light" w:cs="Calibri Light"/>
          <w:lang w:eastAsia="en-AU"/>
        </w:rPr>
        <w:t xml:space="preserve"> the implications of cost recovery for the </w:t>
      </w:r>
      <w:r w:rsidR="00315CD3" w:rsidRPr="45E69C77">
        <w:rPr>
          <w:rFonts w:ascii="Calibri Light" w:eastAsia="Times New Roman" w:hAnsi="Calibri Light" w:cs="Calibri Light"/>
          <w:lang w:eastAsia="en-AU"/>
        </w:rPr>
        <w:t>affected</w:t>
      </w:r>
      <w:r w:rsidR="00706C48" w:rsidRPr="45E69C77">
        <w:rPr>
          <w:rFonts w:ascii="Calibri Light" w:eastAsia="Times New Roman" w:hAnsi="Calibri Light" w:cs="Calibri Light"/>
          <w:lang w:eastAsia="en-AU"/>
        </w:rPr>
        <w:t xml:space="preserve"> regulated population.</w:t>
      </w:r>
      <w:r w:rsidR="00292D0A" w:rsidRPr="45E69C77">
        <w:rPr>
          <w:rFonts w:ascii="Calibri Light" w:eastAsia="Times New Roman" w:hAnsi="Calibri Light" w:cs="Calibri Light"/>
          <w:lang w:eastAsia="en-AU"/>
        </w:rPr>
        <w:t xml:space="preserve"> </w:t>
      </w:r>
    </w:p>
    <w:p w14:paraId="41DB19B7" w14:textId="6D124941" w:rsidR="00D9451F" w:rsidRPr="00215A02" w:rsidRDefault="00D9451F"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While authority for cost recovery remains a decision for Government, the Government should ensure decisions are made </w:t>
      </w:r>
      <w:r w:rsidR="00C614FB">
        <w:rPr>
          <w:rFonts w:ascii="Calibri Light" w:eastAsia="Times New Roman" w:hAnsi="Calibri Light" w:cs="Calibri Light"/>
          <w:lang w:eastAsia="en-AU"/>
        </w:rPr>
        <w:t xml:space="preserve">most </w:t>
      </w:r>
      <w:r w:rsidRPr="45E69C77">
        <w:rPr>
          <w:rFonts w:ascii="Calibri Light" w:eastAsia="Times New Roman" w:hAnsi="Calibri Light" w:cs="Calibri Light"/>
          <w:lang w:eastAsia="en-AU"/>
        </w:rPr>
        <w:t xml:space="preserve">consistently. ASIC and Treasury remain responsible for </w:t>
      </w:r>
      <w:r w:rsidRPr="45E69C77">
        <w:rPr>
          <w:rFonts w:ascii="Calibri Light" w:eastAsia="Times New Roman" w:hAnsi="Calibri Light" w:cs="Calibri Light"/>
          <w:lang w:eastAsia="en-AU"/>
        </w:rPr>
        <w:lastRenderedPageBreak/>
        <w:t>advising</w:t>
      </w:r>
      <w:r w:rsidR="00FE7B3F">
        <w:rPr>
          <w:rFonts w:ascii="Calibri Light" w:eastAsia="Times New Roman" w:hAnsi="Calibri Light" w:cs="Calibri Light"/>
          <w:lang w:eastAsia="en-AU"/>
        </w:rPr>
        <w:t xml:space="preserve"> the</w:t>
      </w:r>
      <w:r w:rsidRPr="45E69C77">
        <w:rPr>
          <w:rFonts w:ascii="Calibri Light" w:eastAsia="Times New Roman" w:hAnsi="Calibri Light" w:cs="Calibri Light"/>
          <w:lang w:eastAsia="en-AU"/>
        </w:rPr>
        <w:t xml:space="preserve"> Government on what factors to consider when making decisions about cost recovery. </w:t>
      </w:r>
      <w:r w:rsidR="00215A02">
        <w:rPr>
          <w:rFonts w:ascii="Calibri Light" w:eastAsia="Times New Roman" w:hAnsi="Calibri Light" w:cs="Calibri Light"/>
          <w:lang w:eastAsia="en-AU"/>
        </w:rPr>
        <w:t>These factors generally include:</w:t>
      </w:r>
    </w:p>
    <w:p w14:paraId="278F61F0" w14:textId="1DB0BBAD" w:rsidR="006B0B0E" w:rsidRDefault="006B0B0E" w:rsidP="00215A02">
      <w:pPr>
        <w:pStyle w:val="Bullet"/>
        <w:ind w:left="1004"/>
        <w:rPr>
          <w:rFonts w:eastAsia="Calibri"/>
          <w:lang w:eastAsia="en-US"/>
        </w:rPr>
      </w:pPr>
      <w:r>
        <w:rPr>
          <w:rFonts w:eastAsia="Calibri"/>
          <w:lang w:eastAsia="en-US"/>
        </w:rPr>
        <w:t>whether costs are recoverable under the legislative framework</w:t>
      </w:r>
    </w:p>
    <w:p w14:paraId="08642986" w14:textId="58E44F29" w:rsidR="006B0B0E" w:rsidRDefault="006B0B0E" w:rsidP="00215A02">
      <w:pPr>
        <w:pStyle w:val="Bullet"/>
        <w:ind w:left="1004"/>
        <w:rPr>
          <w:rFonts w:eastAsia="Calibri"/>
          <w:lang w:eastAsia="en-US"/>
        </w:rPr>
      </w:pPr>
      <w:r>
        <w:rPr>
          <w:rFonts w:eastAsia="Calibri"/>
          <w:lang w:eastAsia="en-US"/>
        </w:rPr>
        <w:t xml:space="preserve">whether costs can be recovered from </w:t>
      </w:r>
      <w:r w:rsidR="00E41B41">
        <w:rPr>
          <w:rFonts w:eastAsia="Calibri"/>
          <w:lang w:eastAsia="en-US"/>
        </w:rPr>
        <w:t>an existing sub</w:t>
      </w:r>
      <w:r w:rsidR="00BD190B">
        <w:rPr>
          <w:rFonts w:eastAsia="Calibri"/>
          <w:lang w:eastAsia="en-US"/>
        </w:rPr>
        <w:noBreakHyphen/>
      </w:r>
      <w:r w:rsidR="00E41B41">
        <w:rPr>
          <w:rFonts w:eastAsia="Calibri"/>
          <w:lang w:eastAsia="en-US"/>
        </w:rPr>
        <w:t>sector or sub</w:t>
      </w:r>
      <w:r w:rsidR="00BD190B">
        <w:rPr>
          <w:rFonts w:eastAsia="Calibri"/>
          <w:lang w:eastAsia="en-US"/>
        </w:rPr>
        <w:noBreakHyphen/>
      </w:r>
      <w:r w:rsidR="00E41B41">
        <w:rPr>
          <w:rFonts w:eastAsia="Calibri"/>
          <w:lang w:eastAsia="en-US"/>
        </w:rPr>
        <w:t>sectors</w:t>
      </w:r>
    </w:p>
    <w:p w14:paraId="25ED5E30" w14:textId="6ABCBE9B" w:rsidR="00CB08D5" w:rsidRPr="00E41B41" w:rsidRDefault="00941571" w:rsidP="00E41B41">
      <w:pPr>
        <w:pStyle w:val="Bullet"/>
        <w:ind w:left="1004"/>
        <w:rPr>
          <w:rFonts w:eastAsia="Calibri"/>
          <w:lang w:eastAsia="en-US"/>
        </w:rPr>
      </w:pPr>
      <w:r>
        <w:rPr>
          <w:rFonts w:eastAsia="Calibri"/>
          <w:lang w:eastAsia="en-US"/>
        </w:rPr>
        <w:t>how costs should be recovered to minimise any adverse impacts</w:t>
      </w:r>
      <w:r w:rsidR="008271A5">
        <w:rPr>
          <w:rFonts w:eastAsia="Calibri"/>
          <w:lang w:eastAsia="en-US"/>
        </w:rPr>
        <w:t>, such as impacts on competition and innovation</w:t>
      </w:r>
    </w:p>
    <w:p w14:paraId="5313C502" w14:textId="11EFF614" w:rsidR="0068096C" w:rsidRPr="0068096C" w:rsidRDefault="00BD6B62"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The </w:t>
      </w:r>
      <w:r w:rsidR="00967EDA">
        <w:rPr>
          <w:rFonts w:ascii="Calibri Light" w:eastAsia="Times New Roman" w:hAnsi="Calibri Light" w:cs="Calibri Light"/>
          <w:szCs w:val="20"/>
          <w:lang w:eastAsia="en-AU"/>
        </w:rPr>
        <w:t xml:space="preserve">cost recovery </w:t>
      </w:r>
      <w:r>
        <w:rPr>
          <w:rFonts w:ascii="Calibri Light" w:eastAsia="Times New Roman" w:hAnsi="Calibri Light" w:cs="Calibri Light"/>
          <w:szCs w:val="20"/>
          <w:lang w:eastAsia="en-AU"/>
        </w:rPr>
        <w:t>decision</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 xml:space="preserve">making process at </w:t>
      </w:r>
      <w:r w:rsidRPr="007F7028">
        <w:rPr>
          <w:rFonts w:ascii="Calibri Light" w:eastAsia="Times New Roman" w:hAnsi="Calibri Light" w:cs="Calibri Light"/>
          <w:szCs w:val="20"/>
          <w:lang w:eastAsia="en-AU"/>
        </w:rPr>
        <w:t xml:space="preserve">Appendix </w:t>
      </w:r>
      <w:r w:rsidR="007F7028" w:rsidRPr="007F7028">
        <w:rPr>
          <w:rFonts w:ascii="Calibri Light" w:eastAsia="Times New Roman" w:hAnsi="Calibri Light" w:cs="Calibri Light"/>
          <w:szCs w:val="20"/>
          <w:lang w:eastAsia="en-AU"/>
        </w:rPr>
        <w:t>B</w:t>
      </w:r>
      <w:r>
        <w:rPr>
          <w:rFonts w:ascii="Calibri Light" w:eastAsia="Times New Roman" w:hAnsi="Calibri Light" w:cs="Calibri Light"/>
          <w:szCs w:val="20"/>
          <w:lang w:eastAsia="en-AU"/>
        </w:rPr>
        <w:t xml:space="preserve"> sets out what the Government should consider when </w:t>
      </w:r>
      <w:r w:rsidR="00F026FF">
        <w:rPr>
          <w:rFonts w:ascii="Calibri Light" w:eastAsia="Times New Roman" w:hAnsi="Calibri Light" w:cs="Calibri Light"/>
          <w:szCs w:val="20"/>
          <w:lang w:eastAsia="en-AU"/>
        </w:rPr>
        <w:t xml:space="preserve">a new policy measure or additional funding is provided to ASIC. </w:t>
      </w:r>
    </w:p>
    <w:p w14:paraId="72BFE03B" w14:textId="79F7D91C" w:rsidR="00905545" w:rsidRPr="00563CF0"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563CF0">
        <w:rPr>
          <w:rFonts w:ascii="Calibri Light" w:eastAsia="Times New Roman" w:hAnsi="Calibri Light" w:cs="Calibri Light"/>
          <w:lang w:eastAsia="en-AU"/>
        </w:rPr>
        <w:t>It is</w:t>
      </w:r>
      <w:r w:rsidR="006449BD">
        <w:rPr>
          <w:rFonts w:ascii="Calibri Light" w:eastAsia="Times New Roman" w:hAnsi="Calibri Light" w:cs="Calibri Light"/>
          <w:lang w:eastAsia="en-AU"/>
        </w:rPr>
        <w:t xml:space="preserve"> also</w:t>
      </w:r>
      <w:r w:rsidRPr="00563CF0">
        <w:rPr>
          <w:rFonts w:ascii="Calibri Light" w:eastAsia="Times New Roman" w:hAnsi="Calibri Light" w:cs="Calibri Light"/>
          <w:lang w:eastAsia="en-AU"/>
        </w:rPr>
        <w:t xml:space="preserve"> important tha</w:t>
      </w:r>
      <w:r w:rsidR="0052106C" w:rsidRPr="00563CF0">
        <w:rPr>
          <w:rFonts w:ascii="Calibri Light" w:eastAsia="Times New Roman" w:hAnsi="Calibri Light" w:cs="Calibri Light"/>
          <w:lang w:eastAsia="en-AU"/>
        </w:rPr>
        <w:t xml:space="preserve">t </w:t>
      </w:r>
      <w:r w:rsidRPr="00563CF0">
        <w:rPr>
          <w:rFonts w:ascii="Calibri Light" w:eastAsia="Times New Roman" w:hAnsi="Calibri Light" w:cs="Calibri Light"/>
          <w:lang w:eastAsia="en-AU"/>
        </w:rPr>
        <w:t>decision</w:t>
      </w:r>
      <w:r w:rsidR="0052106C" w:rsidRPr="00563CF0">
        <w:rPr>
          <w:rFonts w:ascii="Calibri Light" w:eastAsia="Times New Roman" w:hAnsi="Calibri Light" w:cs="Calibri Light"/>
          <w:lang w:eastAsia="en-AU"/>
        </w:rPr>
        <w:t>s</w:t>
      </w:r>
      <w:r w:rsidRPr="00563CF0">
        <w:rPr>
          <w:rFonts w:ascii="Calibri Light" w:eastAsia="Times New Roman" w:hAnsi="Calibri Light" w:cs="Calibri Light"/>
          <w:lang w:eastAsia="en-AU"/>
        </w:rPr>
        <w:t xml:space="preserve"> made by </w:t>
      </w:r>
      <w:r w:rsidR="00FE7B3F">
        <w:rPr>
          <w:rFonts w:ascii="Calibri Light" w:eastAsia="Times New Roman" w:hAnsi="Calibri Light" w:cs="Calibri Light"/>
          <w:lang w:eastAsia="en-AU"/>
        </w:rPr>
        <w:t xml:space="preserve">the </w:t>
      </w:r>
      <w:r w:rsidR="00905545" w:rsidRPr="00563CF0">
        <w:rPr>
          <w:rFonts w:ascii="Calibri Light" w:eastAsia="Times New Roman" w:hAnsi="Calibri Light" w:cs="Calibri Light"/>
          <w:lang w:eastAsia="en-AU"/>
        </w:rPr>
        <w:t>G</w:t>
      </w:r>
      <w:r w:rsidRPr="00563CF0">
        <w:rPr>
          <w:rFonts w:ascii="Calibri Light" w:eastAsia="Times New Roman" w:hAnsi="Calibri Light" w:cs="Calibri Light"/>
          <w:lang w:eastAsia="en-AU"/>
        </w:rPr>
        <w:t>overnment</w:t>
      </w:r>
      <w:r w:rsidR="00905545" w:rsidRPr="00563CF0">
        <w:rPr>
          <w:rFonts w:ascii="Calibri Light" w:eastAsia="Times New Roman" w:hAnsi="Calibri Light" w:cs="Calibri Light"/>
          <w:lang w:eastAsia="en-AU"/>
        </w:rPr>
        <w:t xml:space="preserve"> </w:t>
      </w:r>
      <w:r w:rsidR="0052106C" w:rsidRPr="00563CF0">
        <w:rPr>
          <w:rFonts w:ascii="Calibri Light" w:eastAsia="Times New Roman" w:hAnsi="Calibri Light" w:cs="Calibri Light"/>
          <w:lang w:eastAsia="en-AU"/>
        </w:rPr>
        <w:t xml:space="preserve">that </w:t>
      </w:r>
      <w:r w:rsidR="008C44BB" w:rsidRPr="00563CF0">
        <w:rPr>
          <w:rFonts w:ascii="Calibri Light" w:eastAsia="Times New Roman" w:hAnsi="Calibri Light" w:cs="Calibri Light"/>
          <w:lang w:eastAsia="en-AU"/>
        </w:rPr>
        <w:t>have</w:t>
      </w:r>
      <w:r w:rsidR="0052106C" w:rsidRPr="00563CF0">
        <w:rPr>
          <w:rFonts w:ascii="Calibri Light" w:eastAsia="Times New Roman" w:hAnsi="Calibri Light" w:cs="Calibri Light"/>
          <w:lang w:eastAsia="en-AU"/>
        </w:rPr>
        <w:t xml:space="preserve"> an impact on </w:t>
      </w:r>
      <w:r w:rsidR="00905545" w:rsidRPr="00563CF0">
        <w:rPr>
          <w:rFonts w:ascii="Calibri Light" w:eastAsia="Times New Roman" w:hAnsi="Calibri Light" w:cs="Calibri Light"/>
          <w:lang w:eastAsia="en-AU"/>
        </w:rPr>
        <w:t>cost recovery</w:t>
      </w:r>
      <w:r w:rsidRPr="00563CF0">
        <w:rPr>
          <w:rFonts w:ascii="Calibri Light" w:eastAsia="Times New Roman" w:hAnsi="Calibri Light" w:cs="Calibri Light"/>
          <w:lang w:eastAsia="en-AU"/>
        </w:rPr>
        <w:t xml:space="preserve"> is communicated effectively to industry. </w:t>
      </w:r>
      <w:r w:rsidR="00905545" w:rsidRPr="00563CF0">
        <w:rPr>
          <w:rFonts w:ascii="Calibri Light" w:eastAsia="Times New Roman" w:hAnsi="Calibri Light" w:cs="Calibri Light"/>
          <w:lang w:eastAsia="en-AU"/>
        </w:rPr>
        <w:t xml:space="preserve">For example, in 2021, new laws were introduced to prescribe that certain debt management </w:t>
      </w:r>
      <w:r w:rsidR="00552F77" w:rsidRPr="00563CF0">
        <w:rPr>
          <w:rFonts w:ascii="Calibri Light" w:eastAsia="Times New Roman" w:hAnsi="Calibri Light" w:cs="Calibri Light"/>
          <w:lang w:eastAsia="en-AU"/>
        </w:rPr>
        <w:t>and credit repair services</w:t>
      </w:r>
      <w:r w:rsidR="00905545" w:rsidRPr="00563CF0">
        <w:rPr>
          <w:rFonts w:ascii="Calibri Light" w:eastAsia="Times New Roman" w:hAnsi="Calibri Light" w:cs="Calibri Light"/>
          <w:lang w:eastAsia="en-AU"/>
        </w:rPr>
        <w:t xml:space="preserve"> were considered a </w:t>
      </w:r>
      <w:r w:rsidR="00BD190B">
        <w:rPr>
          <w:rFonts w:ascii="Calibri Light" w:eastAsia="Times New Roman" w:hAnsi="Calibri Light" w:cs="Calibri Light"/>
          <w:lang w:eastAsia="en-AU"/>
        </w:rPr>
        <w:t>‘</w:t>
      </w:r>
      <w:r w:rsidR="00905545" w:rsidRPr="00563CF0">
        <w:rPr>
          <w:rFonts w:ascii="Calibri Light" w:eastAsia="Times New Roman" w:hAnsi="Calibri Light" w:cs="Calibri Light"/>
          <w:lang w:eastAsia="en-AU"/>
        </w:rPr>
        <w:t>credit activity</w:t>
      </w:r>
      <w:r w:rsidR="00BD190B">
        <w:rPr>
          <w:rFonts w:ascii="Calibri Light" w:eastAsia="Times New Roman" w:hAnsi="Calibri Light" w:cs="Calibri Light"/>
          <w:lang w:eastAsia="en-AU"/>
        </w:rPr>
        <w:t>’</w:t>
      </w:r>
      <w:r w:rsidR="00905545" w:rsidRPr="00563CF0">
        <w:rPr>
          <w:rFonts w:ascii="Calibri Light" w:eastAsia="Times New Roman" w:hAnsi="Calibri Light" w:cs="Calibri Light"/>
          <w:lang w:eastAsia="en-AU"/>
        </w:rPr>
        <w:t>. During consultation on this Review, stakeholders in the deposit</w:t>
      </w:r>
      <w:r w:rsidR="00BD190B">
        <w:rPr>
          <w:rFonts w:ascii="Calibri Light" w:eastAsia="Times New Roman" w:hAnsi="Calibri Light" w:cs="Calibri Light"/>
          <w:lang w:eastAsia="en-AU"/>
        </w:rPr>
        <w:noBreakHyphen/>
      </w:r>
      <w:r w:rsidR="00905545" w:rsidRPr="00563CF0">
        <w:rPr>
          <w:rFonts w:ascii="Calibri Light" w:eastAsia="Times New Roman" w:hAnsi="Calibri Light" w:cs="Calibri Light"/>
          <w:lang w:eastAsia="en-AU"/>
        </w:rPr>
        <w:t xml:space="preserve">taking and credit sector noted that they were unaware of how this change would impact </w:t>
      </w:r>
      <w:r w:rsidR="00BF6B98" w:rsidRPr="00563CF0">
        <w:rPr>
          <w:rFonts w:ascii="Calibri Light" w:eastAsia="Times New Roman" w:hAnsi="Calibri Light" w:cs="Calibri Light"/>
          <w:lang w:eastAsia="en-AU"/>
        </w:rPr>
        <w:t xml:space="preserve">cost recovery via </w:t>
      </w:r>
      <w:r w:rsidR="00905545" w:rsidRPr="00563CF0">
        <w:rPr>
          <w:rFonts w:ascii="Calibri Light" w:eastAsia="Times New Roman" w:hAnsi="Calibri Light" w:cs="Calibri Light"/>
          <w:lang w:eastAsia="en-AU"/>
        </w:rPr>
        <w:t>the IFM</w:t>
      </w:r>
      <w:r w:rsidR="00AB3DE0" w:rsidRPr="00563CF0">
        <w:rPr>
          <w:rFonts w:ascii="Calibri Light" w:eastAsia="Times New Roman" w:hAnsi="Calibri Light" w:cs="Calibri Light"/>
          <w:lang w:eastAsia="en-AU"/>
        </w:rPr>
        <w:t>, particularly on levy amounts, and would have liked</w:t>
      </w:r>
      <w:r w:rsidR="00BF6B98" w:rsidRPr="00563CF0">
        <w:rPr>
          <w:rFonts w:ascii="Calibri Light" w:eastAsia="Times New Roman" w:hAnsi="Calibri Light" w:cs="Calibri Light"/>
          <w:lang w:eastAsia="en-AU"/>
        </w:rPr>
        <w:t xml:space="preserve"> more</w:t>
      </w:r>
      <w:r w:rsidR="00AB3DE0" w:rsidRPr="00563CF0">
        <w:rPr>
          <w:rFonts w:ascii="Calibri Light" w:eastAsia="Times New Roman" w:hAnsi="Calibri Light" w:cs="Calibri Light"/>
          <w:lang w:eastAsia="en-AU"/>
        </w:rPr>
        <w:t xml:space="preserve"> information regarding the impacts</w:t>
      </w:r>
      <w:r w:rsidR="00BF6B98" w:rsidRPr="00563CF0">
        <w:rPr>
          <w:rFonts w:ascii="Calibri Light" w:eastAsia="Times New Roman" w:hAnsi="Calibri Light" w:cs="Calibri Light"/>
          <w:lang w:eastAsia="en-AU"/>
        </w:rPr>
        <w:t xml:space="preserve"> ahead of costs being recovered</w:t>
      </w:r>
      <w:r w:rsidR="00AB3DE0" w:rsidRPr="00563CF0">
        <w:rPr>
          <w:rFonts w:ascii="Calibri Light" w:eastAsia="Times New Roman" w:hAnsi="Calibri Light" w:cs="Calibri Light"/>
          <w:lang w:eastAsia="en-AU"/>
        </w:rPr>
        <w:t xml:space="preserve">. </w:t>
      </w:r>
    </w:p>
    <w:p w14:paraId="1EA34E8F" w14:textId="77777777" w:rsidR="00B63AF4" w:rsidRDefault="00B63AF4" w:rsidP="00B63AF4">
      <w:pPr>
        <w:pStyle w:val="Heading3"/>
      </w:pPr>
      <w:bookmarkStart w:id="70" w:name="_Toc129270450"/>
      <w:r>
        <w:t>Existing activities</w:t>
      </w:r>
      <w:bookmarkEnd w:id="70"/>
      <w:r>
        <w:t xml:space="preserve"> </w:t>
      </w:r>
    </w:p>
    <w:p w14:paraId="7A097E77" w14:textId="22446ED4"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While the Government generally makes decisions regarding cost recovery before the costs are incurred by ASIC, there may be instances where the cost of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existing activities increase substantially during the financial year. </w:t>
      </w:r>
    </w:p>
    <w:p w14:paraId="5945961D" w14:textId="6ACFBC1E"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While not common, the Government may </w:t>
      </w:r>
      <w:r w:rsidR="00E32161" w:rsidRPr="45E69C77">
        <w:rPr>
          <w:rFonts w:ascii="Calibri Light" w:eastAsia="Times New Roman" w:hAnsi="Calibri Light" w:cs="Calibri Light"/>
          <w:lang w:eastAsia="en-AU"/>
        </w:rPr>
        <w:t>decide</w:t>
      </w:r>
      <w:r w:rsidRPr="45E69C77">
        <w:rPr>
          <w:rFonts w:ascii="Calibri Light" w:eastAsia="Times New Roman" w:hAnsi="Calibri Light" w:cs="Calibri Light"/>
          <w:lang w:eastAsia="en-AU"/>
        </w:rPr>
        <w:t xml:space="preserve"> to not recover certain costs after it has been incurred by ASIC and would have an adverse impact on the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 costs are being recovered from. </w:t>
      </w:r>
      <w:r w:rsidR="00A46276" w:rsidRPr="45E69C77">
        <w:rPr>
          <w:rFonts w:ascii="Calibri Light" w:eastAsia="Times New Roman" w:hAnsi="Calibri Light" w:cs="Calibri Light"/>
          <w:lang w:eastAsia="en-AU"/>
        </w:rPr>
        <w:t>For example, in 2021, temporary levy relief was provided to the personal financial advice licensee sub</w:t>
      </w:r>
      <w:r w:rsidR="00BD190B">
        <w:rPr>
          <w:rFonts w:ascii="Calibri Light" w:eastAsia="Times New Roman" w:hAnsi="Calibri Light" w:cs="Calibri Light"/>
          <w:lang w:eastAsia="en-AU"/>
        </w:rPr>
        <w:noBreakHyphen/>
      </w:r>
      <w:r w:rsidR="00A46276" w:rsidRPr="45E69C77">
        <w:rPr>
          <w:rFonts w:ascii="Calibri Light" w:eastAsia="Times New Roman" w:hAnsi="Calibri Light" w:cs="Calibri Light"/>
          <w:lang w:eastAsia="en-AU"/>
        </w:rPr>
        <w:t xml:space="preserve">sector for </w:t>
      </w:r>
      <w:r w:rsidR="009C7ED2">
        <w:rPr>
          <w:rFonts w:ascii="Calibri Light" w:eastAsia="Times New Roman" w:hAnsi="Calibri Light" w:cs="Calibri Light"/>
          <w:lang w:eastAsia="en-AU"/>
        </w:rPr>
        <w:t>2020–21</w:t>
      </w:r>
      <w:r w:rsidR="00A46276" w:rsidRPr="45E69C77">
        <w:rPr>
          <w:rFonts w:ascii="Calibri Light" w:eastAsia="Times New Roman" w:hAnsi="Calibri Light" w:cs="Calibri Light"/>
          <w:lang w:eastAsia="en-AU"/>
        </w:rPr>
        <w:t xml:space="preserve"> and </w:t>
      </w:r>
      <w:r w:rsidR="009C7ED2">
        <w:rPr>
          <w:rFonts w:ascii="Calibri Light" w:eastAsia="Times New Roman" w:hAnsi="Calibri Light" w:cs="Calibri Light"/>
          <w:lang w:eastAsia="en-AU"/>
        </w:rPr>
        <w:t>2021–22</w:t>
      </w:r>
      <w:r w:rsidR="00A46276" w:rsidRPr="45E69C77">
        <w:rPr>
          <w:rFonts w:ascii="Calibri Light" w:eastAsia="Times New Roman" w:hAnsi="Calibri Light" w:cs="Calibri Light"/>
          <w:lang w:eastAsia="en-AU"/>
        </w:rPr>
        <w:t xml:space="preserve"> levies in recognition of the increasing levies faced by this sub</w:t>
      </w:r>
      <w:r w:rsidR="00BD190B">
        <w:rPr>
          <w:rFonts w:ascii="Calibri Light" w:eastAsia="Times New Roman" w:hAnsi="Calibri Light" w:cs="Calibri Light"/>
          <w:lang w:eastAsia="en-AU"/>
        </w:rPr>
        <w:noBreakHyphen/>
      </w:r>
      <w:r w:rsidR="00A46276" w:rsidRPr="45E69C77">
        <w:rPr>
          <w:rFonts w:ascii="Calibri Light" w:eastAsia="Times New Roman" w:hAnsi="Calibri Light" w:cs="Calibri Light"/>
          <w:lang w:eastAsia="en-AU"/>
        </w:rPr>
        <w:t xml:space="preserve">sector. </w:t>
      </w:r>
    </w:p>
    <w:p w14:paraId="5D9CAC2D" w14:textId="77777777" w:rsidR="00B63AF4" w:rsidRDefault="00B63AF4" w:rsidP="007A385D">
      <w:pPr>
        <w:pStyle w:val="Heading4"/>
      </w:pPr>
      <w:r>
        <w:t xml:space="preserve">Analysis and findings </w:t>
      </w:r>
    </w:p>
    <w:p w14:paraId="5E862BCA" w14:textId="093FE332" w:rsidR="00B63AF4" w:rsidRDefault="00804569"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lang w:eastAsia="en-AU"/>
        </w:rPr>
        <w:t>I</w:t>
      </w:r>
      <w:r w:rsidR="00B63AF4" w:rsidRPr="45E69C77">
        <w:rPr>
          <w:rFonts w:ascii="Calibri Light" w:eastAsia="Times New Roman" w:hAnsi="Calibri Light" w:cs="Calibri Light"/>
          <w:lang w:eastAsia="en-AU"/>
        </w:rPr>
        <w:t xml:space="preserve">t is appropriate for </w:t>
      </w:r>
      <w:r w:rsidR="00FE7B3F">
        <w:rPr>
          <w:rFonts w:ascii="Calibri Light" w:eastAsia="Times New Roman" w:hAnsi="Calibri Light" w:cs="Calibri Light"/>
          <w:lang w:eastAsia="en-AU"/>
        </w:rPr>
        <w:t xml:space="preserve">the </w:t>
      </w:r>
      <w:r w:rsidR="00B63AF4" w:rsidRPr="45E69C77">
        <w:rPr>
          <w:rFonts w:ascii="Calibri Light" w:eastAsia="Times New Roman" w:hAnsi="Calibri Light" w:cs="Calibri Light"/>
          <w:lang w:eastAsia="en-AU"/>
        </w:rPr>
        <w:t>Government to continue determining whether cost recovery is suitable on a case</w:t>
      </w:r>
      <w:r w:rsidR="00BD190B">
        <w:rPr>
          <w:rFonts w:ascii="Calibri Light" w:eastAsia="Times New Roman" w:hAnsi="Calibri Light" w:cs="Calibri Light"/>
          <w:lang w:eastAsia="en-AU"/>
        </w:rPr>
        <w:noBreakHyphen/>
      </w:r>
      <w:r w:rsidR="00B63AF4" w:rsidRPr="45E69C77">
        <w:rPr>
          <w:rFonts w:ascii="Calibri Light" w:eastAsia="Times New Roman" w:hAnsi="Calibri Light" w:cs="Calibri Light"/>
          <w:lang w:eastAsia="en-AU"/>
        </w:rPr>
        <w:t>by</w:t>
      </w:r>
      <w:r w:rsidR="00BD190B">
        <w:rPr>
          <w:rFonts w:ascii="Calibri Light" w:eastAsia="Times New Roman" w:hAnsi="Calibri Light" w:cs="Calibri Light"/>
          <w:lang w:eastAsia="en-AU"/>
        </w:rPr>
        <w:noBreakHyphen/>
      </w:r>
      <w:r w:rsidR="00B63AF4" w:rsidRPr="45E69C77">
        <w:rPr>
          <w:rFonts w:ascii="Calibri Light" w:eastAsia="Times New Roman" w:hAnsi="Calibri Light" w:cs="Calibri Light"/>
          <w:lang w:eastAsia="en-AU"/>
        </w:rPr>
        <w:t>case basis.</w:t>
      </w:r>
    </w:p>
    <w:p w14:paraId="5C4ABE5F" w14:textId="3BD4C980" w:rsidR="00B63AF4" w:rsidRDefault="00B63AF4" w:rsidP="0037599B">
      <w:pPr>
        <w:pStyle w:val="numberedtext"/>
        <w:numPr>
          <w:ilvl w:val="0"/>
          <w:numId w:val="14"/>
        </w:numPr>
        <w:tabs>
          <w:tab w:val="left" w:pos="709"/>
        </w:tabs>
        <w:ind w:hanging="720"/>
        <w:rPr>
          <w:rFonts w:ascii="Calibri Light" w:eastAsia="Times New Roman" w:hAnsi="Calibri Light" w:cs="Calibri Light"/>
          <w:lang w:eastAsia="en-AU"/>
        </w:rPr>
      </w:pPr>
      <w:r w:rsidRPr="07D7D4D3">
        <w:rPr>
          <w:rFonts w:ascii="Calibri Light" w:eastAsia="Times New Roman" w:hAnsi="Calibri Light" w:cs="Calibri Light"/>
          <w:lang w:eastAsia="en-AU"/>
        </w:rPr>
        <w:t xml:space="preserve">While it is ideal for these decisions to be made by </w:t>
      </w:r>
      <w:r w:rsidR="00FE7B3F">
        <w:rPr>
          <w:rFonts w:ascii="Calibri Light" w:eastAsia="Times New Roman" w:hAnsi="Calibri Light" w:cs="Calibri Light"/>
          <w:lang w:eastAsia="en-AU"/>
        </w:rPr>
        <w:t xml:space="preserve">the </w:t>
      </w:r>
      <w:r w:rsidRPr="07D7D4D3">
        <w:rPr>
          <w:rFonts w:ascii="Calibri Light" w:eastAsia="Times New Roman" w:hAnsi="Calibri Light" w:cs="Calibri Light"/>
          <w:lang w:eastAsia="en-AU"/>
        </w:rPr>
        <w:t xml:space="preserve">Government before costs are incurred by ASIC (so that there is certainty for industry), there may be instances where a matter arises </w:t>
      </w:r>
      <w:r w:rsidR="00684DC4" w:rsidRPr="07D7D4D3">
        <w:rPr>
          <w:rFonts w:ascii="Calibri Light" w:eastAsia="Times New Roman" w:hAnsi="Calibri Light" w:cs="Calibri Light"/>
          <w:lang w:eastAsia="en-AU"/>
        </w:rPr>
        <w:t>during</w:t>
      </w:r>
      <w:r w:rsidRPr="07D7D4D3">
        <w:rPr>
          <w:rFonts w:ascii="Calibri Light" w:eastAsia="Times New Roman" w:hAnsi="Calibri Light" w:cs="Calibri Light"/>
          <w:lang w:eastAsia="en-AU"/>
        </w:rPr>
        <w:t xml:space="preserve"> the financial year for which there will be a substantial increase in costs for a sub</w:t>
      </w:r>
      <w:r w:rsidR="00BD190B">
        <w:rPr>
          <w:rFonts w:ascii="Calibri Light" w:eastAsia="Times New Roman" w:hAnsi="Calibri Light" w:cs="Calibri Light"/>
          <w:lang w:eastAsia="en-AU"/>
        </w:rPr>
        <w:noBreakHyphen/>
      </w:r>
      <w:r w:rsidRPr="07D7D4D3">
        <w:rPr>
          <w:rFonts w:ascii="Calibri Light" w:eastAsia="Times New Roman" w:hAnsi="Calibri Light" w:cs="Calibri Light"/>
          <w:lang w:eastAsia="en-AU"/>
        </w:rPr>
        <w:t xml:space="preserve">sector. </w:t>
      </w:r>
    </w:p>
    <w:p w14:paraId="3A76221F" w14:textId="1A8F2911" w:rsidR="00B63AF4" w:rsidRDefault="008530F8"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lang w:eastAsia="en-AU"/>
        </w:rPr>
        <w:t>W</w:t>
      </w:r>
      <w:r w:rsidR="004809B8">
        <w:rPr>
          <w:rFonts w:ascii="Calibri Light" w:eastAsia="Times New Roman" w:hAnsi="Calibri Light" w:cs="Calibri Light"/>
          <w:lang w:eastAsia="en-AU"/>
        </w:rPr>
        <w:t xml:space="preserve">ithout </w:t>
      </w:r>
      <w:r w:rsidR="00FE7B3F">
        <w:rPr>
          <w:rFonts w:ascii="Calibri Light" w:eastAsia="Times New Roman" w:hAnsi="Calibri Light" w:cs="Calibri Light"/>
          <w:lang w:eastAsia="en-AU"/>
        </w:rPr>
        <w:t>g</w:t>
      </w:r>
      <w:r w:rsidR="004809B8">
        <w:rPr>
          <w:rFonts w:ascii="Calibri Light" w:eastAsia="Times New Roman" w:hAnsi="Calibri Light" w:cs="Calibri Light"/>
          <w:lang w:eastAsia="en-AU"/>
        </w:rPr>
        <w:t>overnment intervention</w:t>
      </w:r>
      <w:r w:rsidR="00B63AF4" w:rsidRPr="45E69C77">
        <w:rPr>
          <w:rFonts w:ascii="Calibri Light" w:eastAsia="Times New Roman" w:hAnsi="Calibri Light" w:cs="Calibri Light"/>
          <w:lang w:eastAsia="en-AU"/>
        </w:rPr>
        <w:t>, ASIC must recover these costs from the relevant sub</w:t>
      </w:r>
      <w:r w:rsidR="00BD190B">
        <w:rPr>
          <w:rFonts w:ascii="Calibri Light" w:eastAsia="Times New Roman" w:hAnsi="Calibri Light" w:cs="Calibri Light"/>
          <w:lang w:eastAsia="en-AU"/>
        </w:rPr>
        <w:noBreakHyphen/>
      </w:r>
      <w:r w:rsidR="00B63AF4" w:rsidRPr="45E69C77">
        <w:rPr>
          <w:rFonts w:ascii="Calibri Light" w:eastAsia="Times New Roman" w:hAnsi="Calibri Light" w:cs="Calibri Light"/>
          <w:lang w:eastAsia="en-AU"/>
        </w:rPr>
        <w:t>sector irrespective of the financial impact it would have on the sub</w:t>
      </w:r>
      <w:r w:rsidR="00BD190B">
        <w:rPr>
          <w:rFonts w:ascii="Calibri Light" w:eastAsia="Times New Roman" w:hAnsi="Calibri Light" w:cs="Calibri Light"/>
          <w:lang w:eastAsia="en-AU"/>
        </w:rPr>
        <w:noBreakHyphen/>
      </w:r>
      <w:r w:rsidR="00B63AF4" w:rsidRPr="45E69C77">
        <w:rPr>
          <w:rFonts w:ascii="Calibri Light" w:eastAsia="Times New Roman" w:hAnsi="Calibri Light" w:cs="Calibri Light"/>
          <w:lang w:eastAsia="en-AU"/>
        </w:rPr>
        <w:t xml:space="preserve">sector. </w:t>
      </w:r>
    </w:p>
    <w:p w14:paraId="426DB9B4" w14:textId="68EF74BD" w:rsidR="00EE3292" w:rsidRPr="007571B6" w:rsidDel="00706C48" w:rsidRDefault="00EE3292"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sidDel="00706C48">
        <w:rPr>
          <w:rFonts w:ascii="Calibri Light" w:eastAsia="Times New Roman" w:hAnsi="Calibri Light" w:cs="Calibri Light"/>
          <w:lang w:eastAsia="en-AU"/>
        </w:rPr>
        <w:t xml:space="preserve">It remains a decision of </w:t>
      </w:r>
      <w:r w:rsidR="00FE7B3F">
        <w:rPr>
          <w:rFonts w:ascii="Calibri Light" w:eastAsia="Times New Roman" w:hAnsi="Calibri Light" w:cs="Calibri Light"/>
          <w:lang w:eastAsia="en-AU"/>
        </w:rPr>
        <w:t xml:space="preserve">the </w:t>
      </w:r>
      <w:r w:rsidRPr="45E69C77" w:rsidDel="00706C48">
        <w:rPr>
          <w:rFonts w:ascii="Calibri Light" w:eastAsia="Times New Roman" w:hAnsi="Calibri Light" w:cs="Calibri Light"/>
          <w:lang w:eastAsia="en-AU"/>
        </w:rPr>
        <w:t>Government whether costs</w:t>
      </w:r>
      <w:r w:rsidR="001C627F" w:rsidRPr="45E69C77">
        <w:rPr>
          <w:rFonts w:ascii="Calibri Light" w:eastAsia="Times New Roman" w:hAnsi="Calibri Light" w:cs="Calibri Light"/>
          <w:lang w:eastAsia="en-AU"/>
        </w:rPr>
        <w:t xml:space="preserve"> that would have a significant financial impact on a sub</w:t>
      </w:r>
      <w:r w:rsidR="00BD190B">
        <w:rPr>
          <w:rFonts w:ascii="Calibri Light" w:eastAsia="Times New Roman" w:hAnsi="Calibri Light" w:cs="Calibri Light"/>
          <w:lang w:eastAsia="en-AU"/>
        </w:rPr>
        <w:noBreakHyphen/>
      </w:r>
      <w:r w:rsidR="001C627F" w:rsidRPr="45E69C77">
        <w:rPr>
          <w:rFonts w:ascii="Calibri Light" w:eastAsia="Times New Roman" w:hAnsi="Calibri Light" w:cs="Calibri Light"/>
          <w:lang w:eastAsia="en-AU"/>
        </w:rPr>
        <w:t>sector</w:t>
      </w:r>
      <w:r w:rsidRPr="45E69C77" w:rsidDel="00706C48">
        <w:rPr>
          <w:rFonts w:ascii="Calibri Light" w:eastAsia="Times New Roman" w:hAnsi="Calibri Light" w:cs="Calibri Light"/>
          <w:lang w:eastAsia="en-AU"/>
        </w:rPr>
        <w:t xml:space="preserve"> should be recovered from the relevant sub</w:t>
      </w:r>
      <w:r w:rsidR="00BD190B">
        <w:rPr>
          <w:rFonts w:ascii="Calibri Light" w:eastAsia="Times New Roman" w:hAnsi="Calibri Light" w:cs="Calibri Light"/>
          <w:lang w:eastAsia="en-AU"/>
        </w:rPr>
        <w:noBreakHyphen/>
      </w:r>
      <w:r w:rsidRPr="45E69C77" w:rsidDel="00706C48">
        <w:rPr>
          <w:rFonts w:ascii="Calibri Light" w:eastAsia="Times New Roman" w:hAnsi="Calibri Light" w:cs="Calibri Light"/>
          <w:lang w:eastAsia="en-AU"/>
        </w:rPr>
        <w:t xml:space="preserve">sector or recovered in a different way </w:t>
      </w:r>
      <w:r w:rsidR="009B0CED">
        <w:rPr>
          <w:rFonts w:ascii="Calibri Light" w:eastAsia="Times New Roman" w:hAnsi="Calibri Light" w:cs="Calibri Light"/>
          <w:lang w:eastAsia="en-AU"/>
        </w:rPr>
        <w:t>to ease the financial impact</w:t>
      </w:r>
      <w:r w:rsidR="00926F55">
        <w:rPr>
          <w:rFonts w:ascii="Calibri Light" w:eastAsia="Times New Roman" w:hAnsi="Calibri Light" w:cs="Calibri Light"/>
          <w:lang w:eastAsia="en-AU"/>
        </w:rPr>
        <w:t xml:space="preserve"> – see Appendix B</w:t>
      </w:r>
      <w:r w:rsidRPr="45E69C77" w:rsidDel="00706C48">
        <w:rPr>
          <w:rFonts w:ascii="Calibri Light" w:eastAsia="Times New Roman" w:hAnsi="Calibri Light" w:cs="Calibri Light"/>
          <w:lang w:eastAsia="en-AU"/>
        </w:rPr>
        <w:t>.</w:t>
      </w:r>
      <w:r w:rsidRPr="007571B6" w:rsidDel="00706C48">
        <w:rPr>
          <w:rFonts w:cs="Calibri Light"/>
        </w:rPr>
        <w:t xml:space="preserve"> </w:t>
      </w:r>
    </w:p>
    <w:p w14:paraId="431749DE" w14:textId="520604D9" w:rsidR="00B63AF4" w:rsidRDefault="00B63AF4" w:rsidP="00B63AF4">
      <w:pPr>
        <w:pStyle w:val="Heading2"/>
      </w:pPr>
      <w:bookmarkStart w:id="71" w:name="_Toc129270451"/>
      <w:r w:rsidRPr="00293B59">
        <w:t>Allocation of costs to sub</w:t>
      </w:r>
      <w:r w:rsidR="00BD190B">
        <w:noBreakHyphen/>
      </w:r>
      <w:r w:rsidRPr="00293B59">
        <w:t>sectors</w:t>
      </w:r>
      <w:bookmarkEnd w:id="71"/>
    </w:p>
    <w:p w14:paraId="6F79A775" w14:textId="4B4561E2" w:rsidR="00B63AF4" w:rsidRDefault="00D52D52"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w:t>
      </w:r>
      <w:r w:rsidR="00B63AF4" w:rsidRPr="45E69C77">
        <w:rPr>
          <w:rFonts w:ascii="Calibri Light" w:eastAsia="Times New Roman" w:hAnsi="Calibri Light" w:cs="Calibri Light"/>
          <w:lang w:eastAsia="en-AU"/>
        </w:rPr>
        <w:t>he Cost Recovery Levy Act sets out the principles ASIC must have regard to when attributing its regulatory costs to a sub</w:t>
      </w:r>
      <w:r w:rsidR="00BD190B">
        <w:rPr>
          <w:rFonts w:ascii="Calibri Light" w:eastAsia="Times New Roman" w:hAnsi="Calibri Light" w:cs="Calibri Light"/>
          <w:lang w:eastAsia="en-AU"/>
        </w:rPr>
        <w:noBreakHyphen/>
      </w:r>
      <w:r w:rsidR="00B63AF4" w:rsidRPr="45E69C77">
        <w:rPr>
          <w:rFonts w:ascii="Calibri Light" w:eastAsia="Times New Roman" w:hAnsi="Calibri Light" w:cs="Calibri Light"/>
          <w:lang w:eastAsia="en-AU"/>
        </w:rPr>
        <w:t>sector.</w:t>
      </w:r>
    </w:p>
    <w:p w14:paraId="291A1D3B" w14:textId="1A753E38" w:rsidR="00B63AF4" w:rsidRPr="00A848E0" w:rsidRDefault="00B63AF4" w:rsidP="00A848E0">
      <w:pPr>
        <w:pStyle w:val="Bullet"/>
        <w:ind w:left="1004"/>
        <w:rPr>
          <w:rFonts w:eastAsia="Calibri"/>
          <w:lang w:eastAsia="en-US"/>
        </w:rPr>
      </w:pPr>
      <w:bookmarkStart w:id="72" w:name="_Hlk126831611"/>
      <w:r w:rsidRPr="00A848E0">
        <w:rPr>
          <w:rFonts w:eastAsia="Calibri"/>
          <w:lang w:eastAsia="en-US"/>
        </w:rPr>
        <w:lastRenderedPageBreak/>
        <w:t>Costs relating to the direct regulation of leviable entities (that is, direct costs) must be attributed to that sub</w:t>
      </w:r>
      <w:r w:rsidR="00BD190B">
        <w:rPr>
          <w:rFonts w:eastAsia="Calibri"/>
          <w:lang w:eastAsia="en-US"/>
        </w:rPr>
        <w:noBreakHyphen/>
      </w:r>
      <w:r w:rsidRPr="00A848E0">
        <w:rPr>
          <w:rFonts w:eastAsia="Calibri"/>
          <w:lang w:eastAsia="en-US"/>
        </w:rPr>
        <w:t>sector.</w:t>
      </w:r>
    </w:p>
    <w:bookmarkEnd w:id="72"/>
    <w:p w14:paraId="69E01F4C" w14:textId="7756788A" w:rsidR="00B63AF4" w:rsidRPr="00A848E0" w:rsidRDefault="00B63AF4" w:rsidP="00A848E0">
      <w:pPr>
        <w:pStyle w:val="Bullet"/>
        <w:ind w:left="1004"/>
        <w:rPr>
          <w:rFonts w:eastAsia="Calibri"/>
          <w:lang w:eastAsia="en-US"/>
        </w:rPr>
      </w:pPr>
      <w:r w:rsidRPr="00A848E0">
        <w:rPr>
          <w:rFonts w:eastAsia="Calibri"/>
          <w:lang w:eastAsia="en-US"/>
        </w:rPr>
        <w:t>Costs relating to the indirect regulation of leviable entities (that is, indirect costs) must be attributed to each sub</w:t>
      </w:r>
      <w:r w:rsidR="00BD190B">
        <w:rPr>
          <w:rFonts w:eastAsia="Calibri"/>
          <w:lang w:eastAsia="en-US"/>
        </w:rPr>
        <w:noBreakHyphen/>
      </w:r>
      <w:r w:rsidRPr="00A848E0">
        <w:rPr>
          <w:rFonts w:eastAsia="Calibri"/>
          <w:lang w:eastAsia="en-US"/>
        </w:rPr>
        <w:t>sector in proportion to the regulatory resources directed to that sub</w:t>
      </w:r>
      <w:r w:rsidR="00BD190B">
        <w:rPr>
          <w:rFonts w:eastAsia="Calibri"/>
          <w:lang w:eastAsia="en-US"/>
        </w:rPr>
        <w:noBreakHyphen/>
      </w:r>
      <w:r w:rsidRPr="00A848E0">
        <w:rPr>
          <w:rFonts w:eastAsia="Calibri"/>
          <w:lang w:eastAsia="en-US"/>
        </w:rPr>
        <w:t>sector.</w:t>
      </w:r>
    </w:p>
    <w:p w14:paraId="561D8FA8" w14:textId="042DEB08" w:rsidR="00B63AF4" w:rsidRPr="00A848E0" w:rsidRDefault="00B63AF4" w:rsidP="00A848E0">
      <w:pPr>
        <w:pStyle w:val="Bullet"/>
        <w:ind w:left="1004"/>
        <w:rPr>
          <w:rFonts w:eastAsia="Calibri"/>
          <w:lang w:eastAsia="en-US"/>
        </w:rPr>
      </w:pPr>
      <w:r w:rsidRPr="00A848E0">
        <w:rPr>
          <w:rFonts w:eastAsia="Calibri"/>
          <w:lang w:eastAsia="en-US"/>
        </w:rPr>
        <w:t xml:space="preserve">An excess or shortfall (under or over recovery) is </w:t>
      </w:r>
      <w:r w:rsidR="1632CB85" w:rsidRPr="00A848E0">
        <w:rPr>
          <w:rFonts w:eastAsia="Calibri"/>
          <w:lang w:eastAsia="en-US"/>
        </w:rPr>
        <w:t>attributable</w:t>
      </w:r>
      <w:r w:rsidRPr="00A848E0">
        <w:rPr>
          <w:rFonts w:eastAsia="Calibri"/>
          <w:lang w:eastAsia="en-US"/>
        </w:rPr>
        <w:t xml:space="preserve"> to the sub</w:t>
      </w:r>
      <w:r w:rsidR="00BD190B">
        <w:rPr>
          <w:rFonts w:eastAsia="Calibri"/>
          <w:lang w:eastAsia="en-US"/>
        </w:rPr>
        <w:noBreakHyphen/>
      </w:r>
      <w:r w:rsidRPr="00A848E0">
        <w:rPr>
          <w:rFonts w:eastAsia="Calibri"/>
          <w:lang w:eastAsia="en-US"/>
        </w:rPr>
        <w:t>sector in which the excess or shortfall arose.</w:t>
      </w:r>
    </w:p>
    <w:p w14:paraId="471D1332" w14:textId="003AD069" w:rsidR="00B63AF4" w:rsidRPr="00A848E0" w:rsidRDefault="00B63AF4" w:rsidP="00A848E0">
      <w:pPr>
        <w:pStyle w:val="Bullet"/>
        <w:ind w:left="1004"/>
        <w:rPr>
          <w:rFonts w:eastAsia="Calibri"/>
          <w:lang w:eastAsia="en-US"/>
        </w:rPr>
      </w:pPr>
      <w:r w:rsidRPr="00A848E0">
        <w:rPr>
          <w:rFonts w:eastAsia="Calibri"/>
          <w:lang w:eastAsia="en-US"/>
        </w:rPr>
        <w:t>Costs relating to the ESA are to be attributed over time and in a reasonable manner to the sub</w:t>
      </w:r>
      <w:r w:rsidR="00BD190B">
        <w:rPr>
          <w:rFonts w:eastAsia="Calibri"/>
          <w:lang w:eastAsia="en-US"/>
        </w:rPr>
        <w:noBreakHyphen/>
      </w:r>
      <w:r w:rsidRPr="00A848E0">
        <w:rPr>
          <w:rFonts w:eastAsia="Calibri"/>
          <w:lang w:eastAsia="en-US"/>
        </w:rPr>
        <w:t xml:space="preserve">sectors to which the costs giving rise to the debits in the ESA relate. </w:t>
      </w:r>
    </w:p>
    <w:p w14:paraId="417645F9" w14:textId="77777777" w:rsidR="00B63AF4" w:rsidRPr="00640744" w:rsidRDefault="00B63AF4" w:rsidP="00B63AF4">
      <w:pPr>
        <w:pStyle w:val="Heading3"/>
      </w:pPr>
      <w:bookmarkStart w:id="73" w:name="_Toc129270452"/>
      <w:r>
        <w:t>Direct costs</w:t>
      </w:r>
      <w:bookmarkEnd w:id="73"/>
      <w:r>
        <w:t xml:space="preserve"> </w:t>
      </w:r>
    </w:p>
    <w:p w14:paraId="71672F01" w14:textId="2FF98D17" w:rsidR="00B63AF4" w:rsidRPr="00A46276"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ASIC uses a time management</w:t>
      </w:r>
      <w:r w:rsidR="00F552C0">
        <w:rPr>
          <w:rFonts w:ascii="Calibri Light" w:eastAsia="Times New Roman" w:hAnsi="Calibri Light" w:cs="Calibri Light"/>
          <w:lang w:eastAsia="en-AU"/>
        </w:rPr>
        <w:t xml:space="preserve"> and </w:t>
      </w:r>
      <w:r w:rsidR="00A46276" w:rsidRPr="45E69C77">
        <w:rPr>
          <w:rFonts w:ascii="Calibri Light" w:eastAsia="Times New Roman" w:hAnsi="Calibri Light" w:cs="Calibri Light"/>
          <w:lang w:eastAsia="en-AU"/>
        </w:rPr>
        <w:t>recording</w:t>
      </w:r>
      <w:r w:rsidRPr="45E69C77">
        <w:rPr>
          <w:rFonts w:ascii="Calibri Light" w:eastAsia="Times New Roman" w:hAnsi="Calibri Light" w:cs="Calibri Light"/>
          <w:lang w:eastAsia="en-AU"/>
        </w:rPr>
        <w:t xml:space="preserve"> system whereby ASIC staff measure the time spent on </w:t>
      </w:r>
      <w:r w:rsidR="00A46276" w:rsidRPr="45E69C77">
        <w:rPr>
          <w:rFonts w:ascii="Calibri Light" w:eastAsia="Times New Roman" w:hAnsi="Calibri Light" w:cs="Calibri Light"/>
          <w:lang w:eastAsia="en-AU"/>
        </w:rPr>
        <w:t xml:space="preserve">a specific </w:t>
      </w:r>
      <w:r w:rsidRPr="45E69C77">
        <w:rPr>
          <w:rFonts w:ascii="Calibri Light" w:eastAsia="Times New Roman" w:hAnsi="Calibri Light" w:cs="Calibri Light"/>
          <w:lang w:eastAsia="en-AU"/>
        </w:rPr>
        <w:t>regulatory activi</w:t>
      </w:r>
      <w:r w:rsidR="00A46276" w:rsidRPr="45E69C77">
        <w:rPr>
          <w:rFonts w:ascii="Calibri Light" w:eastAsia="Times New Roman" w:hAnsi="Calibri Light" w:cs="Calibri Light"/>
          <w:lang w:eastAsia="en-AU"/>
        </w:rPr>
        <w:t>ty and the affected</w:t>
      </w:r>
      <w:r w:rsidRPr="45E69C77">
        <w:rPr>
          <w:rFonts w:ascii="Calibri Light" w:eastAsia="Times New Roman" w:hAnsi="Calibri Light" w:cs="Calibri Light"/>
          <w:lang w:eastAsia="en-AU"/>
        </w:rPr>
        <w:t xml:space="preserv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 For example, </w:t>
      </w:r>
      <w:r w:rsidR="00A83D3F">
        <w:rPr>
          <w:rFonts w:ascii="Calibri Light" w:eastAsia="Times New Roman" w:hAnsi="Calibri Light" w:cs="Calibri Light"/>
          <w:lang w:eastAsia="en-AU"/>
        </w:rPr>
        <w:t>if a</w:t>
      </w:r>
      <w:r w:rsidR="00FE4F31">
        <w:rPr>
          <w:rFonts w:ascii="Calibri Light" w:eastAsia="Times New Roman" w:hAnsi="Calibri Light" w:cs="Calibri Light"/>
          <w:lang w:eastAsia="en-AU"/>
        </w:rPr>
        <w:t xml:space="preserve"> staff member</w:t>
      </w:r>
      <w:r w:rsidR="00A46276" w:rsidRPr="45E69C77">
        <w:rPr>
          <w:rFonts w:ascii="Calibri Light" w:eastAsia="Times New Roman" w:hAnsi="Calibri Light" w:cs="Calibri Light"/>
          <w:lang w:eastAsia="en-AU"/>
        </w:rPr>
        <w:t xml:space="preserve"> spent 10 hours undertaking supervision and surveillance on an entity within the credit intermediaries sub</w:t>
      </w:r>
      <w:r w:rsidR="00BD190B">
        <w:rPr>
          <w:rFonts w:ascii="Calibri Light" w:eastAsia="Times New Roman" w:hAnsi="Calibri Light" w:cs="Calibri Light"/>
          <w:lang w:eastAsia="en-AU"/>
        </w:rPr>
        <w:noBreakHyphen/>
      </w:r>
      <w:r w:rsidR="00A46276" w:rsidRPr="45E69C77">
        <w:rPr>
          <w:rFonts w:ascii="Calibri Light" w:eastAsia="Times New Roman" w:hAnsi="Calibri Light" w:cs="Calibri Light"/>
          <w:lang w:eastAsia="en-AU"/>
        </w:rPr>
        <w:t>sector</w:t>
      </w:r>
      <w:r w:rsidR="007A11D7">
        <w:rPr>
          <w:rFonts w:ascii="Calibri Light" w:eastAsia="Times New Roman" w:hAnsi="Calibri Light" w:cs="Calibri Light"/>
          <w:lang w:eastAsia="en-AU"/>
        </w:rPr>
        <w:t xml:space="preserve"> – the associated</w:t>
      </w:r>
      <w:r w:rsidR="008C7E03">
        <w:rPr>
          <w:rFonts w:ascii="Calibri Light" w:eastAsia="Times New Roman" w:hAnsi="Calibri Light" w:cs="Calibri Light"/>
          <w:lang w:eastAsia="en-AU"/>
        </w:rPr>
        <w:t xml:space="preserve"> costs</w:t>
      </w:r>
      <w:r w:rsidR="007A11D7">
        <w:rPr>
          <w:rFonts w:ascii="Calibri Light" w:eastAsia="Times New Roman" w:hAnsi="Calibri Light" w:cs="Calibri Light"/>
          <w:lang w:eastAsia="en-AU"/>
        </w:rPr>
        <w:t xml:space="preserve"> </w:t>
      </w:r>
      <w:r w:rsidR="00A46276" w:rsidRPr="45E69C77">
        <w:rPr>
          <w:rFonts w:ascii="Calibri Light" w:eastAsia="Times New Roman" w:hAnsi="Calibri Light" w:cs="Calibri Light"/>
          <w:lang w:eastAsia="en-AU"/>
        </w:rPr>
        <w:t>(such as direct employee expenses and direct supplier costs)</w:t>
      </w:r>
      <w:r w:rsidR="007A11D7">
        <w:rPr>
          <w:rFonts w:ascii="Calibri Light" w:eastAsia="Times New Roman" w:hAnsi="Calibri Light" w:cs="Calibri Light"/>
          <w:lang w:eastAsia="en-AU"/>
        </w:rPr>
        <w:t xml:space="preserve"> are allocated to that</w:t>
      </w:r>
      <w:r w:rsidR="00A46276" w:rsidRPr="45E69C77">
        <w:rPr>
          <w:rFonts w:ascii="Calibri Light" w:eastAsia="Times New Roman" w:hAnsi="Calibri Light" w:cs="Calibri Light"/>
          <w:lang w:eastAsia="en-AU"/>
        </w:rPr>
        <w:t xml:space="preserve"> sub</w:t>
      </w:r>
      <w:r w:rsidR="00BD190B">
        <w:rPr>
          <w:rFonts w:ascii="Calibri Light" w:eastAsia="Times New Roman" w:hAnsi="Calibri Light" w:cs="Calibri Light"/>
          <w:lang w:eastAsia="en-AU"/>
        </w:rPr>
        <w:noBreakHyphen/>
      </w:r>
      <w:r w:rsidR="00A46276" w:rsidRPr="45E69C77">
        <w:rPr>
          <w:rFonts w:ascii="Calibri Light" w:eastAsia="Times New Roman" w:hAnsi="Calibri Light" w:cs="Calibri Light"/>
          <w:lang w:eastAsia="en-AU"/>
        </w:rPr>
        <w:t>sector.</w:t>
      </w:r>
    </w:p>
    <w:p w14:paraId="2E5A18AF" w14:textId="18518C89" w:rsidR="00A46276" w:rsidRPr="00A46276"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Some activities or costs can impact multiple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 for example, certain capital projects that impact multiple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or enforcement matters where the issues in a particular matter involve multiple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Where this is the case, costs are apportioned across the relevant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based on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regulatory effort for each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 </w:t>
      </w:r>
    </w:p>
    <w:p w14:paraId="2B4161A1" w14:textId="59491EBE" w:rsidR="00B63AF4" w:rsidRPr="007E3E0E"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For example, </w:t>
      </w:r>
      <w:r w:rsidR="00A46276" w:rsidRPr="45E69C77">
        <w:rPr>
          <w:rFonts w:ascii="Calibri Light" w:eastAsia="Times New Roman" w:hAnsi="Calibri Light" w:cs="Calibri Light"/>
          <w:lang w:eastAsia="en-AU"/>
        </w:rPr>
        <w:t xml:space="preserve">ASIC investigates a matter relating to an individual who is suspected of providing </w:t>
      </w:r>
      <w:r w:rsidR="00700F17">
        <w:rPr>
          <w:rFonts w:ascii="Calibri Light" w:eastAsia="Times New Roman" w:hAnsi="Calibri Light" w:cs="Calibri Light"/>
          <w:lang w:eastAsia="en-AU"/>
        </w:rPr>
        <w:t>unlicensed</w:t>
      </w:r>
      <w:r w:rsidR="00A46276" w:rsidRPr="45E69C77">
        <w:rPr>
          <w:rFonts w:ascii="Calibri Light" w:eastAsia="Times New Roman" w:hAnsi="Calibri Light" w:cs="Calibri Light"/>
          <w:lang w:eastAsia="en-AU"/>
        </w:rPr>
        <w:t xml:space="preserve"> personal financial advice to retail clients as well as suspected </w:t>
      </w:r>
      <w:r w:rsidR="00700F17">
        <w:rPr>
          <w:rFonts w:ascii="Calibri Light" w:eastAsia="Times New Roman" w:hAnsi="Calibri Light" w:cs="Calibri Light"/>
          <w:lang w:eastAsia="en-AU"/>
        </w:rPr>
        <w:t>unlicensed</w:t>
      </w:r>
      <w:r w:rsidR="00A46276" w:rsidRPr="45E69C77">
        <w:rPr>
          <w:rFonts w:ascii="Calibri Light" w:eastAsia="Times New Roman" w:hAnsi="Calibri Light" w:cs="Calibri Light"/>
          <w:lang w:eastAsia="en-AU"/>
        </w:rPr>
        <w:t xml:space="preserve"> dealing of general insurance products. In this scenario, </w:t>
      </w:r>
      <w:r w:rsidR="00254D95" w:rsidRPr="45E69C77">
        <w:rPr>
          <w:rFonts w:ascii="Calibri Light" w:eastAsia="Times New Roman" w:hAnsi="Calibri Light" w:cs="Calibri Light"/>
          <w:lang w:eastAsia="en-AU"/>
        </w:rPr>
        <w:t xml:space="preserve">if ASIC staff spend 30 </w:t>
      </w:r>
      <w:r w:rsidR="00C26D17">
        <w:rPr>
          <w:rFonts w:ascii="Calibri Light" w:eastAsia="Times New Roman" w:hAnsi="Calibri Light" w:cs="Calibri Light"/>
          <w:lang w:eastAsia="en-AU"/>
        </w:rPr>
        <w:t>per cent of its time</w:t>
      </w:r>
      <w:r w:rsidR="00F85E35">
        <w:rPr>
          <w:rFonts w:ascii="Calibri Light" w:eastAsia="Times New Roman" w:hAnsi="Calibri Light" w:cs="Calibri Light"/>
          <w:lang w:eastAsia="en-AU"/>
        </w:rPr>
        <w:t xml:space="preserve"> on the matter</w:t>
      </w:r>
      <w:r w:rsidR="00C26D17">
        <w:rPr>
          <w:rFonts w:ascii="Calibri Light" w:eastAsia="Times New Roman" w:hAnsi="Calibri Light" w:cs="Calibri Light"/>
          <w:lang w:eastAsia="en-AU"/>
        </w:rPr>
        <w:t xml:space="preserve"> </w:t>
      </w:r>
      <w:r w:rsidR="00254D95" w:rsidRPr="45E69C77">
        <w:rPr>
          <w:rFonts w:ascii="Calibri Light" w:eastAsia="Times New Roman" w:hAnsi="Calibri Light" w:cs="Calibri Light"/>
          <w:lang w:eastAsia="en-AU"/>
        </w:rPr>
        <w:t>investigating the financial advice aspect and 70</w:t>
      </w:r>
      <w:r w:rsidR="00C26D17">
        <w:rPr>
          <w:rFonts w:ascii="Calibri Light" w:eastAsia="Times New Roman" w:hAnsi="Calibri Light" w:cs="Calibri Light"/>
          <w:lang w:eastAsia="en-AU"/>
        </w:rPr>
        <w:t xml:space="preserve"> per cent of its time</w:t>
      </w:r>
      <w:r w:rsidR="00254D95" w:rsidRPr="45E69C77">
        <w:rPr>
          <w:rFonts w:ascii="Calibri Light" w:eastAsia="Times New Roman" w:hAnsi="Calibri Light" w:cs="Calibri Light"/>
          <w:lang w:eastAsia="en-AU"/>
        </w:rPr>
        <w:t xml:space="preserve"> investigating the insurance aspect, the costs of the matter would be recovered proportionally from the relevant sub</w:t>
      </w:r>
      <w:r w:rsidR="00BD190B">
        <w:rPr>
          <w:rFonts w:ascii="Calibri Light" w:eastAsia="Times New Roman" w:hAnsi="Calibri Light" w:cs="Calibri Light"/>
          <w:lang w:eastAsia="en-AU"/>
        </w:rPr>
        <w:noBreakHyphen/>
      </w:r>
      <w:r w:rsidR="00254D95" w:rsidRPr="45E69C77">
        <w:rPr>
          <w:rFonts w:ascii="Calibri Light" w:eastAsia="Times New Roman" w:hAnsi="Calibri Light" w:cs="Calibri Light"/>
          <w:lang w:eastAsia="en-AU"/>
        </w:rPr>
        <w:t xml:space="preserve">sectors – </w:t>
      </w:r>
      <w:r w:rsidR="00A46276" w:rsidRPr="45E69C77">
        <w:rPr>
          <w:rFonts w:ascii="Calibri Light" w:eastAsia="Times New Roman" w:hAnsi="Calibri Light" w:cs="Calibri Light"/>
          <w:lang w:eastAsia="en-AU"/>
        </w:rPr>
        <w:t>30 per cent from the personal financial advice licensee sub</w:t>
      </w:r>
      <w:r w:rsidR="00BD190B">
        <w:rPr>
          <w:rFonts w:ascii="Calibri Light" w:eastAsia="Times New Roman" w:hAnsi="Calibri Light" w:cs="Calibri Light"/>
          <w:lang w:eastAsia="en-AU"/>
        </w:rPr>
        <w:noBreakHyphen/>
      </w:r>
      <w:r w:rsidR="00A46276" w:rsidRPr="45E69C77">
        <w:rPr>
          <w:rFonts w:ascii="Calibri Light" w:eastAsia="Times New Roman" w:hAnsi="Calibri Light" w:cs="Calibri Light"/>
          <w:lang w:eastAsia="en-AU"/>
        </w:rPr>
        <w:t>sector and 70</w:t>
      </w:r>
      <w:r w:rsidR="00A848E0">
        <w:rPr>
          <w:rFonts w:ascii="Calibri Light" w:eastAsia="Times New Roman" w:hAnsi="Calibri Light" w:cs="Calibri Light"/>
          <w:lang w:eastAsia="en-AU"/>
        </w:rPr>
        <w:t> </w:t>
      </w:r>
      <w:r w:rsidR="00A46276" w:rsidRPr="45E69C77">
        <w:rPr>
          <w:rFonts w:ascii="Calibri Light" w:eastAsia="Times New Roman" w:hAnsi="Calibri Light" w:cs="Calibri Light"/>
          <w:lang w:eastAsia="en-AU"/>
        </w:rPr>
        <w:t>per</w:t>
      </w:r>
      <w:r w:rsidR="00A848E0">
        <w:rPr>
          <w:rFonts w:ascii="Calibri Light" w:eastAsia="Times New Roman" w:hAnsi="Calibri Light" w:cs="Calibri Light"/>
          <w:lang w:eastAsia="en-AU"/>
        </w:rPr>
        <w:t> </w:t>
      </w:r>
      <w:r w:rsidR="00A46276" w:rsidRPr="45E69C77">
        <w:rPr>
          <w:rFonts w:ascii="Calibri Light" w:eastAsia="Times New Roman" w:hAnsi="Calibri Light" w:cs="Calibri Light"/>
          <w:lang w:eastAsia="en-AU"/>
        </w:rPr>
        <w:t>cent from the insurance product provider sub</w:t>
      </w:r>
      <w:r w:rsidR="00BD190B">
        <w:rPr>
          <w:rFonts w:ascii="Calibri Light" w:eastAsia="Times New Roman" w:hAnsi="Calibri Light" w:cs="Calibri Light"/>
          <w:lang w:eastAsia="en-AU"/>
        </w:rPr>
        <w:noBreakHyphen/>
      </w:r>
      <w:r w:rsidR="00A46276" w:rsidRPr="45E69C77">
        <w:rPr>
          <w:rFonts w:ascii="Calibri Light" w:eastAsia="Times New Roman" w:hAnsi="Calibri Light" w:cs="Calibri Light"/>
          <w:lang w:eastAsia="en-AU"/>
        </w:rPr>
        <w:t xml:space="preserve">sector. </w:t>
      </w:r>
    </w:p>
    <w:p w14:paraId="0B7A2704" w14:textId="5DDBE096"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ASIC currently assigns costs at the activity and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level which aims to apportion costs to those entities in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causing the need for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regulatory effort.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time recording system currently disti</w:t>
      </w:r>
      <w:r w:rsidR="00F32265">
        <w:rPr>
          <w:rFonts w:ascii="Calibri Light" w:eastAsia="Times New Roman" w:hAnsi="Calibri Light" w:cs="Calibri Light"/>
          <w:lang w:eastAsia="en-AU"/>
        </w:rPr>
        <w:t>nguishe</w:t>
      </w:r>
      <w:r w:rsidRPr="45E69C77">
        <w:rPr>
          <w:rFonts w:ascii="Calibri Light" w:eastAsia="Times New Roman" w:hAnsi="Calibri Light" w:cs="Calibri Light"/>
          <w:lang w:eastAsia="en-AU"/>
        </w:rPr>
        <w:t>s between 52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and 17 regulatory activity types, which results in 884 possible combinations of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sectors and activities. </w:t>
      </w:r>
    </w:p>
    <w:p w14:paraId="68376E1C" w14:textId="599CBCA7"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In </w:t>
      </w:r>
      <w:r w:rsidR="009C7ED2">
        <w:rPr>
          <w:rFonts w:ascii="Calibri Light" w:eastAsia="Times New Roman" w:hAnsi="Calibri Light" w:cs="Calibri Light"/>
          <w:lang w:eastAsia="en-AU"/>
        </w:rPr>
        <w:t>2020–21</w:t>
      </w:r>
      <w:r w:rsidRPr="45E69C77">
        <w:rPr>
          <w:rFonts w:ascii="Calibri Light" w:eastAsia="Times New Roman" w:hAnsi="Calibri Light" w:cs="Calibri Light"/>
          <w:lang w:eastAsia="en-AU"/>
        </w:rPr>
        <w:t>, ASIC undertook a pilot cost study on two of its regulatory activities (enforcement, and supervision and surveillance) to test whether a further disaggregation at a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activity level would have any benefits, including impact on levy size and distribution. However, after conducting the pilot study, ASIC found that levy distribution and size were not impacted by a further disaggregation of regulatory activities and did not identify any benefits from the pilot. </w:t>
      </w:r>
      <w:r w:rsidR="005C1775" w:rsidRPr="45E69C77">
        <w:rPr>
          <w:rFonts w:ascii="Calibri Light" w:eastAsia="Times New Roman" w:hAnsi="Calibri Light" w:cs="Calibri Light"/>
          <w:lang w:eastAsia="en-AU"/>
        </w:rPr>
        <w:t xml:space="preserve">Additionally, the implementation of granular time reporting would require expensive system changes to be efficient which would then be recoverable under the IFM. </w:t>
      </w:r>
    </w:p>
    <w:p w14:paraId="31882813" w14:textId="77777777" w:rsidR="00B63AF4" w:rsidRPr="00FD1758" w:rsidRDefault="00B63AF4" w:rsidP="007A385D">
      <w:pPr>
        <w:pStyle w:val="Heading4"/>
      </w:pPr>
      <w:r w:rsidRPr="00FD1758">
        <w:t>Analysis and findings</w:t>
      </w:r>
    </w:p>
    <w:p w14:paraId="4F763D10" w14:textId="5C754686"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Review finds that the current allocation approach of direct costs at an activity and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level remains appropriate in apportioning costs to those entities in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that are causing the need for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regulatory effort. </w:t>
      </w:r>
    </w:p>
    <w:p w14:paraId="061178B1" w14:textId="137D3445" w:rsidR="00B63AF4" w:rsidRPr="00B41178"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lastRenderedPageBreak/>
        <w:t xml:space="preserve">However, there are certain activities where the recovery of costs </w:t>
      </w:r>
      <w:r w:rsidR="00706444" w:rsidRPr="45E69C77">
        <w:rPr>
          <w:rFonts w:ascii="Calibri Light" w:eastAsia="Times New Roman" w:hAnsi="Calibri Light" w:cs="Calibri Light"/>
          <w:lang w:eastAsia="en-AU"/>
        </w:rPr>
        <w:t>does</w:t>
      </w:r>
      <w:r w:rsidRPr="45E69C77">
        <w:rPr>
          <w:rFonts w:ascii="Calibri Light" w:eastAsia="Times New Roman" w:hAnsi="Calibri Light" w:cs="Calibri Light"/>
          <w:lang w:eastAsia="en-AU"/>
        </w:rPr>
        <w:t xml:space="preserve"> not align with this principle and should be recovered in a different way where there are wider industry benefits – </w:t>
      </w:r>
      <w:r w:rsidR="00622CFB">
        <w:rPr>
          <w:rFonts w:ascii="Calibri Light" w:eastAsia="Times New Roman" w:hAnsi="Calibri Light" w:cs="Calibri Light"/>
          <w:lang w:eastAsia="en-AU"/>
        </w:rPr>
        <w:t>see sections below</w:t>
      </w:r>
      <w:r w:rsidR="00901E80">
        <w:rPr>
          <w:rFonts w:ascii="Calibri Light" w:eastAsia="Times New Roman" w:hAnsi="Calibri Light" w:cs="Calibri Light"/>
          <w:lang w:eastAsia="en-AU"/>
        </w:rPr>
        <w:t xml:space="preserve">. </w:t>
      </w:r>
    </w:p>
    <w:p w14:paraId="48761BAB" w14:textId="77777777" w:rsidR="00B41178" w:rsidRPr="007E3E0E" w:rsidRDefault="00B41178" w:rsidP="00B41178">
      <w:pPr>
        <w:pStyle w:val="numberedtext"/>
        <w:tabs>
          <w:tab w:val="left" w:pos="709"/>
        </w:tabs>
        <w:ind w:firstLine="0"/>
        <w:rPr>
          <w:rFonts w:ascii="Calibri Light" w:eastAsia="Times New Roman" w:hAnsi="Calibri Light" w:cs="Calibri Light"/>
          <w:szCs w:val="20"/>
          <w:lang w:eastAsia="en-AU"/>
        </w:rPr>
      </w:pPr>
    </w:p>
    <w:tbl>
      <w:tblPr>
        <w:tblStyle w:val="Style1"/>
        <w:tblW w:w="5000" w:type="pct"/>
        <w:tblLook w:val="04A0" w:firstRow="1" w:lastRow="0" w:firstColumn="1" w:lastColumn="0" w:noHBand="0" w:noVBand="1"/>
      </w:tblPr>
      <w:tblGrid>
        <w:gridCol w:w="9072"/>
      </w:tblGrid>
      <w:tr w:rsidR="00CC040E" w14:paraId="3CF7BC1B" w14:textId="77777777" w:rsidTr="003A78C4">
        <w:trPr>
          <w:trHeight w:val="1653"/>
        </w:trPr>
        <w:tc>
          <w:tcPr>
            <w:tcW w:w="5000" w:type="pct"/>
          </w:tcPr>
          <w:p w14:paraId="20D48F2D" w14:textId="4A0FE948" w:rsidR="00CC040E" w:rsidRPr="006726C7" w:rsidRDefault="00CC040E" w:rsidP="00A848E0">
            <w:pPr>
              <w:pStyle w:val="BoxHeading"/>
            </w:pPr>
            <w:r w:rsidRPr="006726C7">
              <w:t>Key finding</w:t>
            </w:r>
          </w:p>
          <w:p w14:paraId="15857C21" w14:textId="472E5235" w:rsidR="00CC040E" w:rsidRPr="0061358B" w:rsidRDefault="00CC040E" w:rsidP="009653BB">
            <w:pPr>
              <w:pStyle w:val="BoxText"/>
              <w:rPr>
                <w:b/>
                <w:szCs w:val="22"/>
              </w:rPr>
            </w:pPr>
            <w:r w:rsidRPr="00DC670C">
              <w:rPr>
                <w:szCs w:val="22"/>
              </w:rPr>
              <w:t xml:space="preserve">The current approach of using a time management system to allocate direct costs </w:t>
            </w:r>
            <w:r w:rsidR="00601886">
              <w:rPr>
                <w:szCs w:val="22"/>
              </w:rPr>
              <w:t>on</w:t>
            </w:r>
            <w:r w:rsidRPr="00DC670C">
              <w:rPr>
                <w:szCs w:val="22"/>
              </w:rPr>
              <w:t xml:space="preserve"> an activity and sub</w:t>
            </w:r>
            <w:r w:rsidR="00BD190B">
              <w:rPr>
                <w:szCs w:val="22"/>
              </w:rPr>
              <w:noBreakHyphen/>
            </w:r>
            <w:r w:rsidRPr="00DC670C">
              <w:rPr>
                <w:szCs w:val="22"/>
              </w:rPr>
              <w:t>sector basis remains appropriate. Based on findings from a 2021 pilot study, any further disaggregation would be administratively burdensome and costly for ASIC to administer and would not have any significant impacts on levy distribution and size.</w:t>
            </w:r>
          </w:p>
        </w:tc>
      </w:tr>
    </w:tbl>
    <w:p w14:paraId="766FC529" w14:textId="77777777" w:rsidR="00E63C98" w:rsidRPr="00293B59" w:rsidRDefault="00E63C98" w:rsidP="00E63C98">
      <w:pPr>
        <w:pStyle w:val="Heading3"/>
      </w:pPr>
      <w:bookmarkStart w:id="74" w:name="_Toc129270453"/>
      <w:r w:rsidRPr="00293B59">
        <w:t>Indirect costs</w:t>
      </w:r>
      <w:bookmarkEnd w:id="74"/>
    </w:p>
    <w:p w14:paraId="38EB9C2C" w14:textId="2923823D" w:rsidR="00E63C98" w:rsidRPr="00FC7C33" w:rsidRDefault="00E63C98" w:rsidP="00E63C98">
      <w:pPr>
        <w:pStyle w:val="numberedtext"/>
        <w:numPr>
          <w:ilvl w:val="0"/>
          <w:numId w:val="14"/>
        </w:numPr>
        <w:tabs>
          <w:tab w:val="left" w:pos="709"/>
        </w:tabs>
        <w:ind w:hanging="720"/>
        <w:rPr>
          <w:rFonts w:cs="Calibri Light"/>
        </w:rPr>
      </w:pPr>
      <w:r w:rsidRPr="45E69C77">
        <w:rPr>
          <w:rFonts w:ascii="Calibri Light" w:eastAsia="Times New Roman" w:hAnsi="Calibri Light" w:cs="Calibri Light"/>
          <w:lang w:eastAsia="en-AU"/>
        </w:rPr>
        <w:t>ASIC allocates indirect costs primarily on a fulltime equivalent (FTE) basis – that is, the amount of FTE allocated to a specific regulatory activity in a particular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will determine the amount of indirect costs attributed to the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w:t>
      </w:r>
      <w:r>
        <w:rPr>
          <w:rFonts w:ascii="Calibri Light" w:eastAsia="Times New Roman" w:hAnsi="Calibri Light" w:cs="Calibri Light"/>
          <w:lang w:eastAsia="en-AU"/>
        </w:rPr>
        <w:t xml:space="preserve"> </w:t>
      </w:r>
      <w:r w:rsidRPr="009066B6">
        <w:rPr>
          <w:rFonts w:ascii="Calibri Light" w:eastAsia="Times New Roman" w:hAnsi="Calibri Light" w:cs="Calibri Light"/>
          <w:lang w:eastAsia="en-AU"/>
        </w:rPr>
        <w:t>For example, if 20 per cent of staff undertook work relevant to a particular sub</w:t>
      </w:r>
      <w:r w:rsidR="00BD190B">
        <w:rPr>
          <w:rFonts w:ascii="Calibri Light" w:eastAsia="Times New Roman" w:hAnsi="Calibri Light" w:cs="Calibri Light"/>
          <w:lang w:eastAsia="en-AU"/>
        </w:rPr>
        <w:noBreakHyphen/>
      </w:r>
      <w:r w:rsidRPr="009066B6">
        <w:rPr>
          <w:rFonts w:ascii="Calibri Light" w:eastAsia="Times New Roman" w:hAnsi="Calibri Light" w:cs="Calibri Light"/>
          <w:lang w:eastAsia="en-AU"/>
        </w:rPr>
        <w:t>sector, 20 per cent of the indirect costs (finance, legal, property etc) would be allocated to that sub</w:t>
      </w:r>
      <w:r w:rsidR="00BD190B">
        <w:rPr>
          <w:rFonts w:ascii="Calibri Light" w:eastAsia="Times New Roman" w:hAnsi="Calibri Light" w:cs="Calibri Light"/>
          <w:lang w:eastAsia="en-AU"/>
        </w:rPr>
        <w:noBreakHyphen/>
      </w:r>
      <w:r w:rsidRPr="009066B6">
        <w:rPr>
          <w:rFonts w:ascii="Calibri Light" w:eastAsia="Times New Roman" w:hAnsi="Calibri Light" w:cs="Calibri Light"/>
          <w:lang w:eastAsia="en-AU"/>
        </w:rPr>
        <w:t>sector. This subsequently flows through to levies</w:t>
      </w:r>
      <w:r w:rsidRPr="45E69C77">
        <w:rPr>
          <w:rFonts w:ascii="Calibri Light" w:eastAsia="Times New Roman" w:hAnsi="Calibri Light" w:cs="Calibri Light"/>
          <w:lang w:eastAsia="en-AU"/>
        </w:rPr>
        <w:t xml:space="preserve">. </w:t>
      </w:r>
    </w:p>
    <w:p w14:paraId="41D31B93" w14:textId="73560539" w:rsidR="00E63C98" w:rsidRPr="00FD4BD5" w:rsidRDefault="00E63C98" w:rsidP="00E63C98">
      <w:pPr>
        <w:pStyle w:val="numberedtext"/>
        <w:numPr>
          <w:ilvl w:val="0"/>
          <w:numId w:val="14"/>
        </w:numPr>
        <w:tabs>
          <w:tab w:val="left" w:pos="709"/>
        </w:tabs>
        <w:ind w:hanging="720"/>
        <w:rPr>
          <w:rFonts w:cs="Calibri Light"/>
        </w:rPr>
      </w:pPr>
      <w:r w:rsidRPr="45E69C77">
        <w:rPr>
          <w:rFonts w:ascii="Calibri Light" w:eastAsia="Times New Roman" w:hAnsi="Calibri Light" w:cs="Calibri Light"/>
          <w:lang w:eastAsia="en-AU"/>
        </w:rPr>
        <w:t>There are exceptions to this rule where FTE is not an appropriate measure. For example,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General Counsel costs are allocated based on the </w:t>
      </w:r>
      <w:r w:rsidRPr="005F5D43">
        <w:rPr>
          <w:rFonts w:ascii="Calibri Light" w:eastAsia="Times New Roman" w:hAnsi="Calibri Light" w:cs="Calibri Light"/>
          <w:lang w:eastAsia="en-AU"/>
        </w:rPr>
        <w:t>areas</w:t>
      </w:r>
      <w:r w:rsidRPr="45E69C77">
        <w:rPr>
          <w:rFonts w:ascii="Calibri Light" w:eastAsia="Times New Roman" w:hAnsi="Calibri Light" w:cs="Calibri Light"/>
          <w:lang w:eastAsia="en-AU"/>
        </w:rPr>
        <w:t xml:space="preserve"> in which they spent most of their time. In these instances, ASIC generally uses the </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direct cost</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costing method for apportioning its indirect costs. </w:t>
      </w:r>
    </w:p>
    <w:p w14:paraId="5AD5BD34" w14:textId="77777777" w:rsidR="00E63C98" w:rsidRPr="005F1216" w:rsidRDefault="00E63C98" w:rsidP="007A385D">
      <w:pPr>
        <w:pStyle w:val="Heading4"/>
        <w:rPr>
          <w:rFonts w:eastAsiaTheme="minorHAnsi"/>
        </w:rPr>
      </w:pPr>
      <w:r>
        <w:rPr>
          <w:rFonts w:eastAsiaTheme="minorHAnsi"/>
        </w:rPr>
        <w:t>Analysis and findings</w:t>
      </w:r>
    </w:p>
    <w:p w14:paraId="54C855D2" w14:textId="324986D8" w:rsidR="00E63C98" w:rsidRDefault="00E63C98" w:rsidP="00E63C98">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Stakeholders have expressed confusion relating to the recovery of indirect costs and how these costs are allocated to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sectors and therefore impact levies. </w:t>
      </w:r>
    </w:p>
    <w:p w14:paraId="249142A4" w14:textId="6F326537" w:rsidR="00E63C98" w:rsidRDefault="00E63C98" w:rsidP="00E63C98">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While the approach remains appropriate and is consistent with the Charging Framework, consideration has been given as to how the allocation of these costs could be better explained – see Chapter 5.</w:t>
      </w:r>
    </w:p>
    <w:p w14:paraId="73B64FE3" w14:textId="77777777" w:rsidR="00E63C98" w:rsidRDefault="00E63C98" w:rsidP="00E63C98"/>
    <w:tbl>
      <w:tblPr>
        <w:tblStyle w:val="Style1"/>
        <w:tblW w:w="5000" w:type="pct"/>
        <w:tblLook w:val="04A0" w:firstRow="1" w:lastRow="0" w:firstColumn="1" w:lastColumn="0" w:noHBand="0" w:noVBand="1"/>
      </w:tblPr>
      <w:tblGrid>
        <w:gridCol w:w="9072"/>
      </w:tblGrid>
      <w:tr w:rsidR="00E63C98" w14:paraId="4F1F7905" w14:textId="77777777">
        <w:tc>
          <w:tcPr>
            <w:tcW w:w="5000" w:type="pct"/>
          </w:tcPr>
          <w:p w14:paraId="3423AE27" w14:textId="77777777" w:rsidR="00E63C98" w:rsidRPr="006A120E" w:rsidRDefault="00E63C98">
            <w:pPr>
              <w:pStyle w:val="BoxHeading"/>
            </w:pPr>
            <w:r w:rsidRPr="006A120E">
              <w:t>Key finding</w:t>
            </w:r>
          </w:p>
          <w:p w14:paraId="57DCDD37" w14:textId="421F84EF" w:rsidR="00E63C98" w:rsidRPr="00FD2244" w:rsidRDefault="006F6876" w:rsidP="003407E8">
            <w:pPr>
              <w:pStyle w:val="BoxText"/>
              <w:rPr>
                <w:b/>
                <w:bCs/>
                <w:szCs w:val="22"/>
              </w:rPr>
            </w:pPr>
            <w:r w:rsidRPr="00DC670C">
              <w:rPr>
                <w:szCs w:val="22"/>
              </w:rPr>
              <w:t xml:space="preserve">The current approach of </w:t>
            </w:r>
            <w:r w:rsidR="00247B81">
              <w:rPr>
                <w:szCs w:val="22"/>
              </w:rPr>
              <w:t>ASIC allocating indirect costs on an FTE basis</w:t>
            </w:r>
            <w:r w:rsidR="00BB0B9E">
              <w:rPr>
                <w:szCs w:val="22"/>
              </w:rPr>
              <w:t xml:space="preserve">, and in some cases, </w:t>
            </w:r>
            <w:r w:rsidR="00827CD0">
              <w:rPr>
                <w:szCs w:val="22"/>
              </w:rPr>
              <w:t xml:space="preserve">using the direct cost method </w:t>
            </w:r>
            <w:r w:rsidR="003407E8">
              <w:rPr>
                <w:szCs w:val="22"/>
              </w:rPr>
              <w:t xml:space="preserve">remains </w:t>
            </w:r>
            <w:r w:rsidR="00827CD0">
              <w:rPr>
                <w:szCs w:val="22"/>
              </w:rPr>
              <w:t xml:space="preserve">appropriate and </w:t>
            </w:r>
            <w:r w:rsidR="003407E8">
              <w:rPr>
                <w:szCs w:val="22"/>
              </w:rPr>
              <w:t>is consistent</w:t>
            </w:r>
            <w:r w:rsidR="00827CD0">
              <w:rPr>
                <w:szCs w:val="22"/>
              </w:rPr>
              <w:t xml:space="preserve"> with the Charging Framework</w:t>
            </w:r>
            <w:r w:rsidR="003407E8">
              <w:rPr>
                <w:szCs w:val="22"/>
              </w:rPr>
              <w:t>.</w:t>
            </w:r>
          </w:p>
        </w:tc>
      </w:tr>
    </w:tbl>
    <w:p w14:paraId="10DC7A0F" w14:textId="785DD6AE" w:rsidR="00B63AF4" w:rsidRDefault="00B63AF4" w:rsidP="00B63AF4">
      <w:pPr>
        <w:pStyle w:val="Heading3"/>
      </w:pPr>
      <w:bookmarkStart w:id="75" w:name="_Toc129270454"/>
      <w:r>
        <w:t>Enforcement</w:t>
      </w:r>
      <w:bookmarkEnd w:id="75"/>
      <w:r>
        <w:t xml:space="preserve"> </w:t>
      </w:r>
    </w:p>
    <w:p w14:paraId="56ACFCE6" w14:textId="64F8AD4A" w:rsidR="00F8124E"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Currently, two approaches are taken to the recovery of enforcement costs</w:t>
      </w:r>
      <w:r w:rsidR="00803934" w:rsidRPr="45E69C77">
        <w:rPr>
          <w:rFonts w:ascii="Calibri Light" w:eastAsia="Times New Roman" w:hAnsi="Calibri Light" w:cs="Calibri Light"/>
          <w:lang w:eastAsia="en-AU"/>
        </w:rPr>
        <w:t xml:space="preserve"> – for </w:t>
      </w:r>
      <w:r w:rsidR="00BD190B">
        <w:rPr>
          <w:rFonts w:ascii="Calibri Light" w:eastAsia="Times New Roman" w:hAnsi="Calibri Light" w:cs="Calibri Light"/>
          <w:lang w:eastAsia="en-AU"/>
        </w:rPr>
        <w:t>‘</w:t>
      </w:r>
      <w:r w:rsidR="00296982">
        <w:rPr>
          <w:rFonts w:ascii="Calibri Light" w:eastAsia="Times New Roman" w:hAnsi="Calibri Light" w:cs="Calibri Light"/>
          <w:lang w:eastAsia="en-AU"/>
        </w:rPr>
        <w:t>b</w:t>
      </w:r>
      <w:r w:rsidR="001401B3" w:rsidRPr="45E69C77">
        <w:rPr>
          <w:rFonts w:ascii="Calibri Light" w:eastAsia="Times New Roman" w:hAnsi="Calibri Light" w:cs="Calibri Light"/>
          <w:lang w:eastAsia="en-AU"/>
        </w:rPr>
        <w:t>usiness as usual</w:t>
      </w:r>
      <w:r w:rsidR="00BD190B">
        <w:rPr>
          <w:rFonts w:ascii="Calibri Light" w:eastAsia="Times New Roman" w:hAnsi="Calibri Light" w:cs="Calibri Light"/>
          <w:lang w:eastAsia="en-AU"/>
        </w:rPr>
        <w:t>’</w:t>
      </w:r>
      <w:r w:rsidR="001401B3" w:rsidRPr="45E69C77">
        <w:rPr>
          <w:rFonts w:ascii="Calibri Light" w:eastAsia="Times New Roman" w:hAnsi="Calibri Light" w:cs="Calibri Light"/>
          <w:lang w:eastAsia="en-AU"/>
        </w:rPr>
        <w:t xml:space="preserve"> (BAU)</w:t>
      </w:r>
      <w:r w:rsidR="00803934" w:rsidRPr="45E69C77">
        <w:rPr>
          <w:rFonts w:ascii="Calibri Light" w:eastAsia="Times New Roman" w:hAnsi="Calibri Light" w:cs="Calibri Light"/>
          <w:lang w:eastAsia="en-AU"/>
        </w:rPr>
        <w:t xml:space="preserve"> enforcement matters and</w:t>
      </w:r>
      <w:r w:rsidR="00303379" w:rsidRPr="45E69C77">
        <w:rPr>
          <w:rFonts w:ascii="Calibri Light" w:eastAsia="Times New Roman" w:hAnsi="Calibri Light" w:cs="Calibri Light"/>
          <w:lang w:eastAsia="en-AU"/>
        </w:rPr>
        <w:t xml:space="preserve"> for</w:t>
      </w:r>
      <w:r w:rsidR="00803934" w:rsidRPr="45E69C77">
        <w:rPr>
          <w:rFonts w:ascii="Calibri Light" w:eastAsia="Times New Roman" w:hAnsi="Calibri Light" w:cs="Calibri Light"/>
          <w:lang w:eastAsia="en-AU"/>
        </w:rPr>
        <w:t xml:space="preserve"> ESA enforcement matters. </w:t>
      </w:r>
    </w:p>
    <w:p w14:paraId="30B809C5" w14:textId="6D5623B0"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lastRenderedPageBreak/>
        <w:t>B</w:t>
      </w:r>
      <w:r w:rsidR="003D0030" w:rsidRPr="45E69C77">
        <w:rPr>
          <w:rFonts w:ascii="Calibri Light" w:eastAsia="Times New Roman" w:hAnsi="Calibri Light" w:cs="Calibri Light"/>
          <w:lang w:eastAsia="en-AU"/>
        </w:rPr>
        <w:t>AU</w:t>
      </w:r>
      <w:r w:rsidRPr="45E69C77">
        <w:rPr>
          <w:rFonts w:ascii="Calibri Light" w:eastAsia="Times New Roman" w:hAnsi="Calibri Light" w:cs="Calibri Light"/>
          <w:lang w:eastAsia="en-AU"/>
        </w:rPr>
        <w:t xml:space="preserve"> enforcement costs are allocated to the relevant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sector(s) and recovered in the year in which the costs are incurred. These costs are recovered via cost recovery levies consistent with the Charging Framework. </w:t>
      </w:r>
      <w:r w:rsidR="00A320A7" w:rsidRPr="45E69C77">
        <w:rPr>
          <w:rFonts w:ascii="Calibri Light" w:eastAsia="Times New Roman" w:hAnsi="Calibri Light" w:cs="Calibri Light"/>
          <w:lang w:eastAsia="en-AU"/>
        </w:rPr>
        <w:t xml:space="preserve">BAU enforcement matters are generally smaller enforcement matters that ASIC funds through its general appropriation. </w:t>
      </w:r>
    </w:p>
    <w:p w14:paraId="7E8A5B43" w14:textId="4F2CD7E6" w:rsidR="00FE2EC6" w:rsidRDefault="001A39E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For larger enforcement matters, </w:t>
      </w:r>
      <w:r w:rsidR="00A5182A" w:rsidRPr="45E69C77">
        <w:rPr>
          <w:rFonts w:ascii="Calibri Light" w:eastAsia="Times New Roman" w:hAnsi="Calibri Light" w:cs="Calibri Light"/>
          <w:lang w:eastAsia="en-AU"/>
        </w:rPr>
        <w:t>t</w:t>
      </w:r>
      <w:r w:rsidR="00B63AF4" w:rsidRPr="45E69C77">
        <w:rPr>
          <w:rFonts w:ascii="Calibri Light" w:eastAsia="Times New Roman" w:hAnsi="Calibri Light" w:cs="Calibri Light"/>
          <w:lang w:eastAsia="en-AU"/>
        </w:rPr>
        <w:t xml:space="preserve">he Government, as part of its annual appropriation to ASIC, prescribes an amount that is credited to the </w:t>
      </w:r>
      <w:r w:rsidR="00593466" w:rsidRPr="45E69C77">
        <w:rPr>
          <w:rFonts w:ascii="Calibri Light" w:eastAsia="Times New Roman" w:hAnsi="Calibri Light" w:cs="Calibri Light"/>
          <w:lang w:eastAsia="en-AU"/>
        </w:rPr>
        <w:t>ESA</w:t>
      </w:r>
      <w:r w:rsidR="00B63AF4" w:rsidRPr="45E69C77">
        <w:rPr>
          <w:rFonts w:ascii="Calibri Light" w:eastAsia="Times New Roman" w:hAnsi="Calibri Light" w:cs="Calibri Light"/>
          <w:lang w:eastAsia="en-AU"/>
        </w:rPr>
        <w:t>. This appropriation amount (rather than the annual expenditure from the ESA) is recovered each year from industry</w:t>
      </w:r>
      <w:r w:rsidR="00FE2EC6" w:rsidRPr="45E69C77">
        <w:rPr>
          <w:rFonts w:ascii="Calibri Light" w:eastAsia="Times New Roman" w:hAnsi="Calibri Light" w:cs="Calibri Light"/>
          <w:lang w:eastAsia="en-AU"/>
        </w:rPr>
        <w:t>.</w:t>
      </w:r>
      <w:r w:rsidR="00B63AF4" w:rsidRPr="45E69C77">
        <w:rPr>
          <w:rFonts w:ascii="Calibri Light" w:eastAsia="Times New Roman" w:hAnsi="Calibri Light" w:cs="Calibri Light"/>
          <w:lang w:eastAsia="en-AU"/>
        </w:rPr>
        <w:t xml:space="preserve"> </w:t>
      </w:r>
    </w:p>
    <w:p w14:paraId="3B7843F7" w14:textId="4AFC3177" w:rsidR="00CC1CAF" w:rsidRPr="001E732B" w:rsidRDefault="00CC1CAF"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ESA costs are allocated to the relevant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based on a three</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year rolling average of ESA activity in each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This approach aims to reduce the volatility of ESA costs allocated to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by easing the impact of large matters on levies.</w:t>
      </w:r>
      <w:r w:rsidR="001E732B" w:rsidRPr="45E69C77">
        <w:rPr>
          <w:rFonts w:ascii="Calibri Light" w:eastAsia="Times New Roman" w:hAnsi="Calibri Light" w:cs="Calibri Light"/>
          <w:lang w:eastAsia="en-AU"/>
        </w:rPr>
        <w:t xml:space="preserve"> ESA costs are recovered via statutory levies in recognition of the intertemporal cross</w:t>
      </w:r>
      <w:r w:rsidR="00BD190B">
        <w:rPr>
          <w:rFonts w:ascii="Calibri Light" w:eastAsia="Times New Roman" w:hAnsi="Calibri Light" w:cs="Calibri Light"/>
          <w:lang w:eastAsia="en-AU"/>
        </w:rPr>
        <w:noBreakHyphen/>
      </w:r>
      <w:r w:rsidR="001E732B" w:rsidRPr="45E69C77">
        <w:rPr>
          <w:rFonts w:ascii="Calibri Light" w:eastAsia="Times New Roman" w:hAnsi="Calibri Light" w:cs="Calibri Light"/>
          <w:lang w:eastAsia="en-AU"/>
        </w:rPr>
        <w:t>subsidisation of costs over time.</w:t>
      </w:r>
    </w:p>
    <w:p w14:paraId="456A2B44" w14:textId="25892BBE" w:rsidR="00FA00D6" w:rsidRPr="00D33880" w:rsidRDefault="00D63BB5" w:rsidP="0037599B">
      <w:pPr>
        <w:pStyle w:val="numberedtext"/>
        <w:numPr>
          <w:ilvl w:val="0"/>
          <w:numId w:val="14"/>
        </w:numPr>
        <w:tabs>
          <w:tab w:val="left" w:pos="709"/>
        </w:tabs>
        <w:spacing w:before="0" w:after="160" w:line="259" w:lineRule="auto"/>
        <w:ind w:hanging="720"/>
        <w:rPr>
          <w:rFonts w:cs="Calibri Light"/>
          <w:b/>
        </w:rPr>
      </w:pPr>
      <w:r w:rsidRPr="00D33880">
        <w:rPr>
          <w:rFonts w:ascii="Calibri Light" w:eastAsia="Times New Roman" w:hAnsi="Calibri Light" w:cs="Calibri Light"/>
          <w:lang w:eastAsia="en-AU"/>
        </w:rPr>
        <w:t>ASIC staff in enforcement teams record time spent per matter. Matters are charged to sub</w:t>
      </w:r>
      <w:r w:rsidR="00BD190B">
        <w:rPr>
          <w:rFonts w:ascii="Calibri Light" w:eastAsia="Times New Roman" w:hAnsi="Calibri Light" w:cs="Calibri Light"/>
          <w:lang w:eastAsia="en-AU"/>
        </w:rPr>
        <w:noBreakHyphen/>
      </w:r>
      <w:r w:rsidRPr="00D33880">
        <w:rPr>
          <w:rFonts w:ascii="Calibri Light" w:eastAsia="Times New Roman" w:hAnsi="Calibri Light" w:cs="Calibri Light"/>
          <w:lang w:eastAsia="en-AU"/>
        </w:rPr>
        <w:t xml:space="preserve">sectors based on the regulatory classification of the entity and the type of misconduct subject to investigation. </w:t>
      </w:r>
    </w:p>
    <w:p w14:paraId="13FE63BB" w14:textId="630D9A48" w:rsidR="001F4310" w:rsidRPr="0032739E" w:rsidRDefault="001F4310" w:rsidP="005404C2">
      <w:pPr>
        <w:pStyle w:val="TableMainHeading"/>
        <w:keepLines/>
      </w:pPr>
      <w:bookmarkStart w:id="76" w:name="_Toc129270455"/>
      <w:r w:rsidRPr="0032739E">
        <w:t xml:space="preserve">Table 2.3: ESA amounts since </w:t>
      </w:r>
      <w:r w:rsidR="00C854A0">
        <w:t xml:space="preserve">the </w:t>
      </w:r>
      <w:r w:rsidRPr="0032739E">
        <w:t>commencement of the IFM</w:t>
      </w:r>
      <w:bookmarkEnd w:id="76"/>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253"/>
        <w:gridCol w:w="1253"/>
        <w:gridCol w:w="1255"/>
        <w:gridCol w:w="1252"/>
        <w:gridCol w:w="1252"/>
        <w:gridCol w:w="1254"/>
      </w:tblGrid>
      <w:tr w:rsidR="001F4310" w:rsidRPr="00A848E0" w14:paraId="6749EF8F" w14:textId="77777777" w:rsidTr="0032739E">
        <w:trPr>
          <w:cnfStyle w:val="100000000000" w:firstRow="1" w:lastRow="0" w:firstColumn="0" w:lastColumn="0" w:oddVBand="0" w:evenVBand="0" w:oddHBand="0" w:evenHBand="0" w:firstRowFirstColumn="0" w:firstRowLastColumn="0" w:lastRowFirstColumn="0" w:lastRowLastColumn="0"/>
        </w:trPr>
        <w:tc>
          <w:tcPr>
            <w:tcW w:w="851" w:type="pct"/>
          </w:tcPr>
          <w:p w14:paraId="2144BD99" w14:textId="77777777" w:rsidR="001F4310" w:rsidRPr="00A848E0" w:rsidRDefault="001F4310" w:rsidP="005404C2">
            <w:pPr>
              <w:pStyle w:val="TableColumnHeadingLeft"/>
              <w:keepNext/>
              <w:keepLines/>
            </w:pPr>
          </w:p>
        </w:tc>
        <w:tc>
          <w:tcPr>
            <w:tcW w:w="691" w:type="pct"/>
            <w:vAlign w:val="center"/>
          </w:tcPr>
          <w:p w14:paraId="652A670E" w14:textId="0E075379" w:rsidR="001F4310" w:rsidRPr="00A848E0" w:rsidRDefault="009C7ED2" w:rsidP="005404C2">
            <w:pPr>
              <w:pStyle w:val="TableColumnHeadingRight"/>
              <w:keepNext/>
              <w:keepLines/>
              <w:rPr>
                <w:b/>
                <w:bCs/>
              </w:rPr>
            </w:pPr>
            <w:r>
              <w:rPr>
                <w:b/>
                <w:bCs/>
              </w:rPr>
              <w:t>2017–18</w:t>
            </w:r>
          </w:p>
        </w:tc>
        <w:tc>
          <w:tcPr>
            <w:tcW w:w="691" w:type="pct"/>
            <w:vAlign w:val="center"/>
          </w:tcPr>
          <w:p w14:paraId="26C06113" w14:textId="2D5566D8" w:rsidR="001F4310" w:rsidRPr="00A848E0" w:rsidRDefault="009C7ED2" w:rsidP="005404C2">
            <w:pPr>
              <w:pStyle w:val="TableColumnHeadingRight"/>
              <w:keepNext/>
              <w:keepLines/>
              <w:rPr>
                <w:b/>
                <w:bCs/>
              </w:rPr>
            </w:pPr>
            <w:r>
              <w:rPr>
                <w:b/>
                <w:bCs/>
              </w:rPr>
              <w:t>2018–19</w:t>
            </w:r>
          </w:p>
        </w:tc>
        <w:tc>
          <w:tcPr>
            <w:tcW w:w="692" w:type="pct"/>
            <w:vAlign w:val="center"/>
          </w:tcPr>
          <w:p w14:paraId="3D58D957" w14:textId="6AEBBF52" w:rsidR="001F4310" w:rsidRPr="00A848E0" w:rsidRDefault="009C7ED2" w:rsidP="005404C2">
            <w:pPr>
              <w:pStyle w:val="TableColumnHeadingRight"/>
              <w:keepNext/>
              <w:keepLines/>
              <w:rPr>
                <w:b/>
                <w:bCs/>
              </w:rPr>
            </w:pPr>
            <w:r>
              <w:rPr>
                <w:b/>
                <w:bCs/>
              </w:rPr>
              <w:t>2019–20</w:t>
            </w:r>
          </w:p>
        </w:tc>
        <w:tc>
          <w:tcPr>
            <w:tcW w:w="691" w:type="pct"/>
            <w:vAlign w:val="center"/>
          </w:tcPr>
          <w:p w14:paraId="1496A45E" w14:textId="7D831686" w:rsidR="001F4310" w:rsidRPr="00A848E0" w:rsidRDefault="009C7ED2" w:rsidP="005404C2">
            <w:pPr>
              <w:pStyle w:val="TableColumnHeadingRight"/>
              <w:keepNext/>
              <w:keepLines/>
              <w:rPr>
                <w:b/>
                <w:bCs/>
              </w:rPr>
            </w:pPr>
            <w:r>
              <w:rPr>
                <w:b/>
                <w:bCs/>
              </w:rPr>
              <w:t>2020–21</w:t>
            </w:r>
          </w:p>
        </w:tc>
        <w:tc>
          <w:tcPr>
            <w:tcW w:w="691" w:type="pct"/>
            <w:vAlign w:val="center"/>
          </w:tcPr>
          <w:p w14:paraId="722C61BE" w14:textId="48E12C16" w:rsidR="001F4310" w:rsidRPr="00A848E0" w:rsidRDefault="009C7ED2" w:rsidP="005404C2">
            <w:pPr>
              <w:pStyle w:val="TableColumnHeadingRight"/>
              <w:keepNext/>
              <w:keepLines/>
              <w:rPr>
                <w:b/>
                <w:bCs/>
              </w:rPr>
            </w:pPr>
            <w:r>
              <w:rPr>
                <w:b/>
                <w:bCs/>
              </w:rPr>
              <w:t>2021–22</w:t>
            </w:r>
          </w:p>
        </w:tc>
        <w:tc>
          <w:tcPr>
            <w:tcW w:w="692" w:type="pct"/>
          </w:tcPr>
          <w:p w14:paraId="2BAEADAF" w14:textId="6077A471" w:rsidR="001F4310" w:rsidRPr="00A848E0" w:rsidRDefault="001F4310" w:rsidP="005404C2">
            <w:pPr>
              <w:pStyle w:val="TableColumnHeadingRight"/>
              <w:keepNext/>
              <w:keepLines/>
              <w:rPr>
                <w:b/>
                <w:bCs/>
              </w:rPr>
            </w:pPr>
            <w:r w:rsidRPr="00A848E0">
              <w:rPr>
                <w:b/>
                <w:bCs/>
              </w:rPr>
              <w:t>2022</w:t>
            </w:r>
            <w:r w:rsidR="00243244">
              <w:rPr>
                <w:b/>
                <w:bCs/>
              </w:rPr>
              <w:t>–</w:t>
            </w:r>
            <w:r w:rsidRPr="00A848E0">
              <w:rPr>
                <w:b/>
                <w:bCs/>
              </w:rPr>
              <w:t>23</w:t>
            </w:r>
          </w:p>
        </w:tc>
      </w:tr>
      <w:tr w:rsidR="007171E0" w:rsidRPr="000E3CAD" w14:paraId="3AAC50B1" w14:textId="77777777" w:rsidTr="007171E0">
        <w:tc>
          <w:tcPr>
            <w:tcW w:w="851" w:type="pct"/>
          </w:tcPr>
          <w:p w14:paraId="1A782AC0" w14:textId="115B990E" w:rsidR="001F4310" w:rsidRPr="00A848E0" w:rsidRDefault="001F4310" w:rsidP="005404C2">
            <w:pPr>
              <w:pStyle w:val="TableColumnHeadingLeft"/>
              <w:keepNext/>
              <w:keepLines/>
            </w:pPr>
            <w:r w:rsidRPr="00A848E0">
              <w:t>Appropriation ($</w:t>
            </w:r>
            <w:r w:rsidR="007171E0" w:rsidRPr="00A848E0">
              <w:t xml:space="preserve"> </w:t>
            </w:r>
            <w:r w:rsidRPr="00A848E0">
              <w:t>m</w:t>
            </w:r>
            <w:r w:rsidR="007171E0" w:rsidRPr="00A848E0">
              <w:t>illion</w:t>
            </w:r>
            <w:r w:rsidRPr="00A848E0">
              <w:t>)</w:t>
            </w:r>
          </w:p>
        </w:tc>
        <w:tc>
          <w:tcPr>
            <w:tcW w:w="691" w:type="pct"/>
            <w:vAlign w:val="center"/>
          </w:tcPr>
          <w:p w14:paraId="0F0CCD83" w14:textId="77777777" w:rsidR="001F4310" w:rsidRPr="000E3CAD" w:rsidRDefault="001F4310" w:rsidP="005404C2">
            <w:pPr>
              <w:pStyle w:val="TableTextRight"/>
              <w:keepNext/>
              <w:keepLines/>
            </w:pPr>
            <w:r w:rsidRPr="000E3CAD">
              <w:t>26,279</w:t>
            </w:r>
          </w:p>
        </w:tc>
        <w:tc>
          <w:tcPr>
            <w:tcW w:w="691" w:type="pct"/>
            <w:vAlign w:val="center"/>
          </w:tcPr>
          <w:p w14:paraId="7934D22F" w14:textId="77777777" w:rsidR="001F4310" w:rsidRPr="000E3CAD" w:rsidRDefault="001F4310" w:rsidP="005404C2">
            <w:pPr>
              <w:pStyle w:val="TableTextRight"/>
              <w:keepNext/>
              <w:keepLines/>
            </w:pPr>
            <w:r w:rsidRPr="000E3CAD">
              <w:t>36,217</w:t>
            </w:r>
          </w:p>
        </w:tc>
        <w:tc>
          <w:tcPr>
            <w:tcW w:w="692" w:type="pct"/>
            <w:vAlign w:val="center"/>
          </w:tcPr>
          <w:p w14:paraId="7A704CBB" w14:textId="77777777" w:rsidR="001F4310" w:rsidRPr="000E3CAD" w:rsidRDefault="001F4310" w:rsidP="005404C2">
            <w:pPr>
              <w:pStyle w:val="TableTextRight"/>
              <w:keepNext/>
              <w:keepLines/>
            </w:pPr>
            <w:r w:rsidRPr="000E3CAD">
              <w:t>41,195</w:t>
            </w:r>
          </w:p>
        </w:tc>
        <w:tc>
          <w:tcPr>
            <w:tcW w:w="691" w:type="pct"/>
            <w:vAlign w:val="center"/>
          </w:tcPr>
          <w:p w14:paraId="413CA548" w14:textId="77777777" w:rsidR="001F4310" w:rsidRPr="000E3CAD" w:rsidRDefault="001F4310" w:rsidP="005404C2">
            <w:pPr>
              <w:pStyle w:val="TableTextRight"/>
              <w:keepNext/>
              <w:keepLines/>
            </w:pPr>
            <w:r w:rsidRPr="000E3CAD">
              <w:t>59,221</w:t>
            </w:r>
          </w:p>
        </w:tc>
        <w:tc>
          <w:tcPr>
            <w:tcW w:w="691" w:type="pct"/>
            <w:vAlign w:val="center"/>
          </w:tcPr>
          <w:p w14:paraId="4E9DA508" w14:textId="77777777" w:rsidR="001F4310" w:rsidRPr="000E3CAD" w:rsidRDefault="001F4310" w:rsidP="005404C2">
            <w:pPr>
              <w:pStyle w:val="TableTextRight"/>
              <w:keepNext/>
              <w:keepLines/>
            </w:pPr>
            <w:r w:rsidRPr="000E3CAD">
              <w:t>64,811</w:t>
            </w:r>
          </w:p>
        </w:tc>
        <w:tc>
          <w:tcPr>
            <w:tcW w:w="692" w:type="pct"/>
            <w:vAlign w:val="center"/>
          </w:tcPr>
          <w:p w14:paraId="10D0F0A3" w14:textId="77777777" w:rsidR="001F4310" w:rsidRPr="000A0BA9" w:rsidRDefault="001F4310" w:rsidP="005404C2">
            <w:pPr>
              <w:pStyle w:val="TableTextRight"/>
              <w:keepNext/>
              <w:keepLines/>
            </w:pPr>
            <w:r w:rsidRPr="003C1639">
              <w:t>55,246</w:t>
            </w:r>
          </w:p>
        </w:tc>
      </w:tr>
      <w:tr w:rsidR="007171E0" w:rsidRPr="000E3CAD" w14:paraId="7D73DE63" w14:textId="77777777" w:rsidTr="0032739E">
        <w:tc>
          <w:tcPr>
            <w:tcW w:w="0" w:type="pct"/>
          </w:tcPr>
          <w:p w14:paraId="7FA067F8" w14:textId="6C9C3FF2" w:rsidR="001F4310" w:rsidRPr="00A848E0" w:rsidRDefault="001F4310" w:rsidP="005404C2">
            <w:pPr>
              <w:pStyle w:val="TableColumnHeadingLeft"/>
              <w:keepNext/>
              <w:keepLines/>
            </w:pPr>
            <w:r w:rsidRPr="00A848E0">
              <w:t>Amount spent ($</w:t>
            </w:r>
            <w:r w:rsidR="007171E0" w:rsidRPr="00A848E0">
              <w:t xml:space="preserve"> </w:t>
            </w:r>
            <w:r w:rsidRPr="00A848E0">
              <w:t>m</w:t>
            </w:r>
            <w:r w:rsidR="007171E0" w:rsidRPr="00A848E0">
              <w:t>illion</w:t>
            </w:r>
            <w:r w:rsidRPr="00A848E0">
              <w:t>)</w:t>
            </w:r>
          </w:p>
        </w:tc>
        <w:tc>
          <w:tcPr>
            <w:tcW w:w="0" w:type="pct"/>
            <w:vAlign w:val="center"/>
          </w:tcPr>
          <w:p w14:paraId="47C194D9" w14:textId="6C0E1121" w:rsidR="001F4310" w:rsidRPr="000E3CAD" w:rsidRDefault="00BD190B" w:rsidP="005404C2">
            <w:pPr>
              <w:pStyle w:val="TableTextRight"/>
              <w:keepNext/>
              <w:keepLines/>
            </w:pPr>
            <w:r>
              <w:noBreakHyphen/>
            </w:r>
            <w:r w:rsidR="001F4310" w:rsidRPr="000E3CAD">
              <w:t>29,563</w:t>
            </w:r>
          </w:p>
        </w:tc>
        <w:tc>
          <w:tcPr>
            <w:tcW w:w="0" w:type="pct"/>
            <w:vAlign w:val="center"/>
          </w:tcPr>
          <w:p w14:paraId="68781721" w14:textId="01A7BD5D" w:rsidR="001F4310" w:rsidRPr="000E3CAD" w:rsidRDefault="00BD190B" w:rsidP="005404C2">
            <w:pPr>
              <w:pStyle w:val="TableTextRight"/>
              <w:keepNext/>
              <w:keepLines/>
            </w:pPr>
            <w:r>
              <w:noBreakHyphen/>
            </w:r>
            <w:r w:rsidR="001F4310" w:rsidRPr="000E3CAD">
              <w:t>34,611</w:t>
            </w:r>
          </w:p>
        </w:tc>
        <w:tc>
          <w:tcPr>
            <w:tcW w:w="0" w:type="pct"/>
            <w:vAlign w:val="center"/>
          </w:tcPr>
          <w:p w14:paraId="621C4612" w14:textId="0EFBAEF7" w:rsidR="001F4310" w:rsidRPr="000E3CAD" w:rsidRDefault="00BD190B" w:rsidP="005404C2">
            <w:pPr>
              <w:pStyle w:val="TableTextRight"/>
              <w:keepNext/>
              <w:keepLines/>
            </w:pPr>
            <w:r>
              <w:noBreakHyphen/>
            </w:r>
            <w:r w:rsidR="001F4310" w:rsidRPr="000E3CAD">
              <w:t>72,099</w:t>
            </w:r>
          </w:p>
        </w:tc>
        <w:tc>
          <w:tcPr>
            <w:tcW w:w="0" w:type="pct"/>
            <w:vAlign w:val="center"/>
          </w:tcPr>
          <w:p w14:paraId="71B90EC2" w14:textId="410B3B40" w:rsidR="001F4310" w:rsidRPr="000E3CAD" w:rsidRDefault="00BD190B" w:rsidP="005404C2">
            <w:pPr>
              <w:pStyle w:val="TableTextRight"/>
              <w:keepNext/>
              <w:keepLines/>
            </w:pPr>
            <w:r>
              <w:noBreakHyphen/>
            </w:r>
            <w:r w:rsidR="001F4310" w:rsidRPr="000E3CAD">
              <w:t>59,610</w:t>
            </w:r>
          </w:p>
        </w:tc>
        <w:tc>
          <w:tcPr>
            <w:tcW w:w="0" w:type="pct"/>
            <w:vAlign w:val="center"/>
          </w:tcPr>
          <w:p w14:paraId="637809BB" w14:textId="299CB5AD" w:rsidR="001F4310" w:rsidRPr="000E3CAD" w:rsidRDefault="00BD190B" w:rsidP="005404C2">
            <w:pPr>
              <w:pStyle w:val="TableTextRight"/>
              <w:keepNext/>
              <w:keepLines/>
            </w:pPr>
            <w:r>
              <w:noBreakHyphen/>
            </w:r>
            <w:r w:rsidR="001F4310" w:rsidRPr="000E3CAD">
              <w:t>59,491</w:t>
            </w:r>
          </w:p>
        </w:tc>
        <w:tc>
          <w:tcPr>
            <w:tcW w:w="0" w:type="pct"/>
            <w:vAlign w:val="center"/>
          </w:tcPr>
          <w:p w14:paraId="0F1A4273" w14:textId="53ED7F7E" w:rsidR="001F4310" w:rsidRPr="000A0BA9" w:rsidRDefault="00553FA4" w:rsidP="005404C2">
            <w:pPr>
              <w:pStyle w:val="TableTextRight"/>
              <w:keepNext/>
              <w:keepLines/>
            </w:pPr>
            <w:r>
              <w:t>Not available</w:t>
            </w:r>
          </w:p>
        </w:tc>
      </w:tr>
      <w:tr w:rsidR="007171E0" w:rsidRPr="000E3CAD" w14:paraId="45CEE5C6" w14:textId="77777777" w:rsidTr="0032739E">
        <w:tc>
          <w:tcPr>
            <w:tcW w:w="0" w:type="pct"/>
          </w:tcPr>
          <w:p w14:paraId="61276709" w14:textId="77BD0238" w:rsidR="001F4310" w:rsidRPr="00A848E0" w:rsidRDefault="001F4310" w:rsidP="005404C2">
            <w:pPr>
              <w:pStyle w:val="TableColumnHeadingLeft"/>
              <w:keepNext/>
              <w:keepLines/>
            </w:pPr>
            <w:r w:rsidRPr="00A848E0">
              <w:t>Balance ($</w:t>
            </w:r>
            <w:r w:rsidR="007171E0" w:rsidRPr="00A848E0">
              <w:t> </w:t>
            </w:r>
            <w:r w:rsidRPr="00A848E0">
              <w:t>m</w:t>
            </w:r>
            <w:r w:rsidR="007171E0" w:rsidRPr="00A848E0">
              <w:t>illion</w:t>
            </w:r>
            <w:r w:rsidRPr="00A848E0">
              <w:t>)</w:t>
            </w:r>
          </w:p>
        </w:tc>
        <w:tc>
          <w:tcPr>
            <w:tcW w:w="0" w:type="pct"/>
            <w:vAlign w:val="center"/>
          </w:tcPr>
          <w:p w14:paraId="3FA8B3D7" w14:textId="77777777" w:rsidR="001F4310" w:rsidRPr="000E3CAD" w:rsidRDefault="001F4310" w:rsidP="005404C2">
            <w:pPr>
              <w:pStyle w:val="TableTextRight"/>
              <w:keepNext/>
              <w:keepLines/>
            </w:pPr>
            <w:r w:rsidRPr="000E3CAD">
              <w:t>59,135</w:t>
            </w:r>
          </w:p>
        </w:tc>
        <w:tc>
          <w:tcPr>
            <w:tcW w:w="0" w:type="pct"/>
            <w:vAlign w:val="center"/>
          </w:tcPr>
          <w:p w14:paraId="46080457" w14:textId="77777777" w:rsidR="001F4310" w:rsidRPr="000E3CAD" w:rsidRDefault="001F4310" w:rsidP="005404C2">
            <w:pPr>
              <w:pStyle w:val="TableTextRight"/>
              <w:keepNext/>
              <w:keepLines/>
            </w:pPr>
            <w:r w:rsidRPr="000E3CAD">
              <w:t>62,954</w:t>
            </w:r>
          </w:p>
        </w:tc>
        <w:tc>
          <w:tcPr>
            <w:tcW w:w="0" w:type="pct"/>
            <w:vAlign w:val="center"/>
          </w:tcPr>
          <w:p w14:paraId="3C9B5127" w14:textId="77777777" w:rsidR="001F4310" w:rsidRPr="000E3CAD" w:rsidRDefault="001F4310" w:rsidP="005404C2">
            <w:pPr>
              <w:pStyle w:val="TableTextRight"/>
              <w:keepNext/>
              <w:keepLines/>
            </w:pPr>
            <w:r w:rsidRPr="000E3CAD">
              <w:t>39,599</w:t>
            </w:r>
          </w:p>
        </w:tc>
        <w:tc>
          <w:tcPr>
            <w:tcW w:w="0" w:type="pct"/>
            <w:vAlign w:val="center"/>
          </w:tcPr>
          <w:p w14:paraId="2D850CF3" w14:textId="77777777" w:rsidR="001F4310" w:rsidRPr="000E3CAD" w:rsidRDefault="001F4310" w:rsidP="005404C2">
            <w:pPr>
              <w:pStyle w:val="TableTextRight"/>
              <w:keepNext/>
              <w:keepLines/>
            </w:pPr>
            <w:r w:rsidRPr="000E3CAD">
              <w:t>45,174</w:t>
            </w:r>
          </w:p>
        </w:tc>
        <w:tc>
          <w:tcPr>
            <w:tcW w:w="0" w:type="pct"/>
            <w:vAlign w:val="center"/>
          </w:tcPr>
          <w:p w14:paraId="644EA090" w14:textId="77777777" w:rsidR="001F4310" w:rsidRPr="000E3CAD" w:rsidRDefault="001F4310" w:rsidP="005404C2">
            <w:pPr>
              <w:pStyle w:val="TableTextRight"/>
              <w:keepNext/>
              <w:keepLines/>
            </w:pPr>
            <w:r w:rsidRPr="000E3CAD">
              <w:t>71,137</w:t>
            </w:r>
          </w:p>
        </w:tc>
        <w:tc>
          <w:tcPr>
            <w:tcW w:w="0" w:type="pct"/>
            <w:vAlign w:val="center"/>
          </w:tcPr>
          <w:p w14:paraId="3772AFCC" w14:textId="2DF5AFC9" w:rsidR="001F4310" w:rsidRPr="000A0BA9" w:rsidRDefault="00553FA4" w:rsidP="005404C2">
            <w:pPr>
              <w:pStyle w:val="TableTextRight"/>
              <w:keepNext/>
              <w:keepLines/>
            </w:pPr>
            <w:r>
              <w:t>Not available</w:t>
            </w:r>
          </w:p>
        </w:tc>
      </w:tr>
    </w:tbl>
    <w:p w14:paraId="75DDD3D1" w14:textId="77777777" w:rsidR="00D63BB5" w:rsidRPr="008C191D" w:rsidRDefault="00D63BB5" w:rsidP="00D63BB5">
      <w:pPr>
        <w:pStyle w:val="Heading4"/>
      </w:pPr>
      <w:r>
        <w:t xml:space="preserve">Analysis and findings </w:t>
      </w:r>
    </w:p>
    <w:p w14:paraId="5FEF70D2" w14:textId="1CEB5A8F" w:rsidR="00B63AF4" w:rsidRPr="00293B59"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IFM attempts to attribute regulatory costs to the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to which the enforcement activity relates. However, stakeholders have raised concern that this approach does not meet the overarching principle that those who cause the need for regulation should pay for it, and leads to outcomes such as:</w:t>
      </w:r>
    </w:p>
    <w:p w14:paraId="7FC80220" w14:textId="2E1DF2F6" w:rsidR="00B63AF4" w:rsidRPr="00A848E0" w:rsidRDefault="00B63AF4" w:rsidP="00A848E0">
      <w:pPr>
        <w:pStyle w:val="Bullet"/>
        <w:ind w:left="1004"/>
        <w:rPr>
          <w:rFonts w:eastAsia="Calibri"/>
          <w:lang w:eastAsia="en-US"/>
        </w:rPr>
      </w:pPr>
      <w:r w:rsidRPr="00A848E0">
        <w:rPr>
          <w:rFonts w:eastAsia="Calibri"/>
          <w:lang w:eastAsia="en-US"/>
        </w:rPr>
        <w:t>groups of entities (a sub</w:t>
      </w:r>
      <w:r w:rsidR="00BD190B">
        <w:rPr>
          <w:rFonts w:eastAsia="Calibri"/>
          <w:lang w:eastAsia="en-US"/>
        </w:rPr>
        <w:noBreakHyphen/>
      </w:r>
      <w:r w:rsidRPr="00A848E0">
        <w:rPr>
          <w:rFonts w:eastAsia="Calibri"/>
          <w:lang w:eastAsia="en-US"/>
        </w:rPr>
        <w:t>sector or multiple sub</w:t>
      </w:r>
      <w:r w:rsidR="00BD190B">
        <w:rPr>
          <w:rFonts w:eastAsia="Calibri"/>
          <w:lang w:eastAsia="en-US"/>
        </w:rPr>
        <w:noBreakHyphen/>
      </w:r>
      <w:r w:rsidRPr="00A848E0">
        <w:rPr>
          <w:rFonts w:eastAsia="Calibri"/>
          <w:lang w:eastAsia="en-US"/>
        </w:rPr>
        <w:t>sectors) paying for enforcement action taken by ASIC against individual entities</w:t>
      </w:r>
    </w:p>
    <w:p w14:paraId="37067DA9" w14:textId="082AC160" w:rsidR="00B63AF4" w:rsidRPr="00A848E0" w:rsidRDefault="00B63AF4" w:rsidP="00A848E0">
      <w:pPr>
        <w:pStyle w:val="Bullet"/>
        <w:ind w:left="1004"/>
        <w:rPr>
          <w:rFonts w:eastAsia="Calibri"/>
          <w:lang w:eastAsia="en-US"/>
        </w:rPr>
      </w:pPr>
      <w:r w:rsidRPr="00A848E0">
        <w:rPr>
          <w:rFonts w:eastAsia="Calibri"/>
          <w:lang w:eastAsia="en-US"/>
        </w:rPr>
        <w:t xml:space="preserve">smaller entities paying for enforcement action taken by ASIC against larger entities, which industry deem as disproportionate and lacking in fairness </w:t>
      </w:r>
    </w:p>
    <w:p w14:paraId="0F0F95F0" w14:textId="3AC65395" w:rsidR="00B63AF4" w:rsidRPr="00A848E0" w:rsidRDefault="00B63AF4" w:rsidP="00A848E0">
      <w:pPr>
        <w:pStyle w:val="Bullet"/>
        <w:ind w:left="1004"/>
        <w:rPr>
          <w:rFonts w:eastAsia="Calibri"/>
          <w:lang w:eastAsia="en-US"/>
        </w:rPr>
      </w:pPr>
      <w:r w:rsidRPr="00A848E0">
        <w:rPr>
          <w:rFonts w:eastAsia="Calibri"/>
          <w:lang w:eastAsia="en-US"/>
        </w:rPr>
        <w:t>entities paying for enforcement costs relating to entities who have left the sector, due to the time lag between misconduct and enforcement action and the often</w:t>
      </w:r>
      <w:r w:rsidR="00BD190B">
        <w:rPr>
          <w:rFonts w:eastAsia="Calibri"/>
          <w:lang w:eastAsia="en-US"/>
        </w:rPr>
        <w:noBreakHyphen/>
      </w:r>
      <w:r w:rsidRPr="00A848E0">
        <w:rPr>
          <w:rFonts w:eastAsia="Calibri"/>
          <w:lang w:eastAsia="en-US"/>
        </w:rPr>
        <w:t xml:space="preserve">lengthy process of enforcement meaning matters may take multiple years to resolve </w:t>
      </w:r>
    </w:p>
    <w:p w14:paraId="63F7CDFC" w14:textId="1F2C563E"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 Review finds that the recovery of enforcement costs solely from entities subject to enforcement activity would introduce additional complexity and administrative costs into the model that would likely outweigh the benefits of more targeted recovery. However, where possible, ASIC does seek to recover certain enforcement costs from entities subject to enforcement – see </w:t>
      </w:r>
      <w:r w:rsidR="00815A17">
        <w:rPr>
          <w:rFonts w:ascii="Calibri Light" w:eastAsia="Times New Roman" w:hAnsi="Calibri Light" w:cs="Calibri Light"/>
          <w:lang w:eastAsia="en-AU"/>
        </w:rPr>
        <w:t>below</w:t>
      </w:r>
      <w:r w:rsidRPr="45E69C77">
        <w:rPr>
          <w:rFonts w:ascii="Calibri Light" w:eastAsia="Times New Roman" w:hAnsi="Calibri Light" w:cs="Calibri Light"/>
          <w:lang w:eastAsia="en-AU"/>
        </w:rPr>
        <w:t xml:space="preserve">. </w:t>
      </w:r>
    </w:p>
    <w:p w14:paraId="346ED198" w14:textId="7644E3E8" w:rsidR="009D5E8F" w:rsidRPr="00831854" w:rsidRDefault="00403288" w:rsidP="00A473C4">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lang w:eastAsia="en-AU"/>
        </w:rPr>
        <w:lastRenderedPageBreak/>
        <w:t>T</w:t>
      </w:r>
      <w:r w:rsidR="00B63AF4" w:rsidRPr="45E69C77">
        <w:rPr>
          <w:rFonts w:ascii="Calibri Light" w:eastAsia="Times New Roman" w:hAnsi="Calibri Light" w:cs="Calibri Light"/>
          <w:lang w:eastAsia="en-AU"/>
        </w:rPr>
        <w:t xml:space="preserve">here is broader benefit to </w:t>
      </w:r>
      <w:r w:rsidR="000E3CAD" w:rsidRPr="45E69C77">
        <w:rPr>
          <w:rFonts w:ascii="Calibri Light" w:eastAsia="Times New Roman" w:hAnsi="Calibri Light" w:cs="Calibri Light"/>
          <w:lang w:eastAsia="en-AU"/>
        </w:rPr>
        <w:t>other entities within the industry sub</w:t>
      </w:r>
      <w:r w:rsidR="00BD190B">
        <w:rPr>
          <w:rFonts w:ascii="Calibri Light" w:eastAsia="Times New Roman" w:hAnsi="Calibri Light" w:cs="Calibri Light"/>
          <w:lang w:eastAsia="en-AU"/>
        </w:rPr>
        <w:noBreakHyphen/>
      </w:r>
      <w:r w:rsidR="000E3CAD" w:rsidRPr="45E69C77">
        <w:rPr>
          <w:rFonts w:ascii="Calibri Light" w:eastAsia="Times New Roman" w:hAnsi="Calibri Light" w:cs="Calibri Light"/>
          <w:lang w:eastAsia="en-AU"/>
        </w:rPr>
        <w:t>sector f</w:t>
      </w:r>
      <w:r w:rsidR="00B63AF4" w:rsidRPr="45E69C77">
        <w:rPr>
          <w:rFonts w:ascii="Calibri Light" w:eastAsia="Times New Roman" w:hAnsi="Calibri Light" w:cs="Calibri Light"/>
          <w:lang w:eastAsia="en-AU"/>
        </w:rPr>
        <w:t>rom ASIC</w:t>
      </w:r>
      <w:r w:rsidR="00BD190B">
        <w:rPr>
          <w:rFonts w:ascii="Calibri Light" w:eastAsia="Times New Roman" w:hAnsi="Calibri Light" w:cs="Calibri Light"/>
          <w:lang w:eastAsia="en-AU"/>
        </w:rPr>
        <w:t>’</w:t>
      </w:r>
      <w:r w:rsidR="00B63AF4" w:rsidRPr="45E69C77">
        <w:rPr>
          <w:rFonts w:ascii="Calibri Light" w:eastAsia="Times New Roman" w:hAnsi="Calibri Light" w:cs="Calibri Light"/>
          <w:lang w:eastAsia="en-AU"/>
        </w:rPr>
        <w:t>s enforcement action, by maintaining trust and integrity in the financial system and promoting consumer confidence.</w:t>
      </w:r>
      <w:r w:rsidR="00650D8F">
        <w:rPr>
          <w:rFonts w:ascii="Calibri Light" w:eastAsia="Times New Roman" w:hAnsi="Calibri Light" w:cs="Calibri Light"/>
          <w:lang w:eastAsia="en-AU"/>
        </w:rPr>
        <w:t xml:space="preserve"> </w:t>
      </w:r>
    </w:p>
    <w:p w14:paraId="09CACDAF" w14:textId="77777777" w:rsidR="00831854" w:rsidRPr="00A473C4" w:rsidRDefault="00831854" w:rsidP="00831854">
      <w:pPr>
        <w:pStyle w:val="numberedtext"/>
        <w:tabs>
          <w:tab w:val="left" w:pos="709"/>
        </w:tabs>
        <w:ind w:firstLine="0"/>
        <w:rPr>
          <w:rFonts w:ascii="Calibri Light" w:eastAsia="Times New Roman" w:hAnsi="Calibri Light" w:cs="Calibri Light"/>
          <w:szCs w:val="20"/>
          <w:lang w:eastAsia="en-AU"/>
        </w:rPr>
      </w:pPr>
    </w:p>
    <w:tbl>
      <w:tblPr>
        <w:tblStyle w:val="Style1"/>
        <w:tblW w:w="5000" w:type="pct"/>
        <w:tblLook w:val="04A0" w:firstRow="1" w:lastRow="0" w:firstColumn="1" w:lastColumn="0" w:noHBand="0" w:noVBand="1"/>
      </w:tblPr>
      <w:tblGrid>
        <w:gridCol w:w="9072"/>
      </w:tblGrid>
      <w:tr w:rsidR="000E3CAD" w14:paraId="75D0E539" w14:textId="77777777" w:rsidTr="003A78C4">
        <w:tc>
          <w:tcPr>
            <w:tcW w:w="5000" w:type="pct"/>
          </w:tcPr>
          <w:p w14:paraId="1DB1A4AA" w14:textId="1CC17C11" w:rsidR="000E3CAD" w:rsidRPr="00CC3279" w:rsidRDefault="000E3CAD" w:rsidP="00A848E0">
            <w:pPr>
              <w:pStyle w:val="BoxHeading"/>
            </w:pPr>
            <w:r w:rsidRPr="00CC3279">
              <w:t>Key finding</w:t>
            </w:r>
          </w:p>
          <w:p w14:paraId="4306C56E" w14:textId="1AC8654B" w:rsidR="005166E3" w:rsidRPr="00D1365A" w:rsidRDefault="00FF1653" w:rsidP="005166E3">
            <w:pPr>
              <w:pStyle w:val="BoxText"/>
              <w:rPr>
                <w:bCs/>
                <w:szCs w:val="22"/>
              </w:rPr>
            </w:pPr>
            <w:r>
              <w:rPr>
                <w:bCs/>
                <w:szCs w:val="22"/>
              </w:rPr>
              <w:t>I</w:t>
            </w:r>
            <w:r w:rsidR="005166E3" w:rsidRPr="00057025">
              <w:rPr>
                <w:bCs/>
                <w:szCs w:val="22"/>
              </w:rPr>
              <w:t>t is appropriate that the costs of BAU and ESA enforcement matters are recovered from the sub</w:t>
            </w:r>
            <w:r w:rsidR="00BD190B">
              <w:rPr>
                <w:bCs/>
                <w:szCs w:val="22"/>
              </w:rPr>
              <w:noBreakHyphen/>
            </w:r>
            <w:r w:rsidR="005166E3" w:rsidRPr="00057025">
              <w:rPr>
                <w:bCs/>
                <w:szCs w:val="22"/>
              </w:rPr>
              <w:t>sectors to which the enforcement action relates</w:t>
            </w:r>
            <w:r w:rsidR="004A6E23">
              <w:rPr>
                <w:bCs/>
                <w:szCs w:val="22"/>
              </w:rPr>
              <w:t xml:space="preserve"> and aligns with the principles of the IFM</w:t>
            </w:r>
            <w:r w:rsidR="005166E3" w:rsidRPr="00057025">
              <w:rPr>
                <w:bCs/>
                <w:szCs w:val="22"/>
              </w:rPr>
              <w:t xml:space="preserve">. </w:t>
            </w:r>
          </w:p>
        </w:tc>
      </w:tr>
    </w:tbl>
    <w:p w14:paraId="6055D84D" w14:textId="77777777" w:rsidR="00B26313" w:rsidRPr="00B26313" w:rsidRDefault="00B26313" w:rsidP="00B26313"/>
    <w:tbl>
      <w:tblPr>
        <w:tblStyle w:val="Style1"/>
        <w:tblW w:w="5000" w:type="pct"/>
        <w:tblLook w:val="04A0" w:firstRow="1" w:lastRow="0" w:firstColumn="1" w:lastColumn="0" w:noHBand="0" w:noVBand="1"/>
      </w:tblPr>
      <w:tblGrid>
        <w:gridCol w:w="9072"/>
      </w:tblGrid>
      <w:tr w:rsidR="00100AAE" w14:paraId="432F271F" w14:textId="77777777">
        <w:tc>
          <w:tcPr>
            <w:tcW w:w="5000" w:type="pct"/>
          </w:tcPr>
          <w:p w14:paraId="3A796187" w14:textId="77777777" w:rsidR="00100AAE" w:rsidRPr="00CC3279" w:rsidRDefault="00100AAE">
            <w:pPr>
              <w:pStyle w:val="BoxHeading"/>
            </w:pPr>
            <w:r w:rsidRPr="00CC3279">
              <w:t>Key finding</w:t>
            </w:r>
          </w:p>
          <w:p w14:paraId="5D9F4BE3" w14:textId="527776C9" w:rsidR="00100AAE" w:rsidRPr="00D1365A" w:rsidRDefault="00100AAE">
            <w:pPr>
              <w:pStyle w:val="BoxText"/>
              <w:rPr>
                <w:bCs/>
                <w:szCs w:val="22"/>
              </w:rPr>
            </w:pPr>
            <w:r w:rsidRPr="00100AAE">
              <w:rPr>
                <w:bCs/>
                <w:szCs w:val="22"/>
              </w:rPr>
              <w:t>Recovering ESA costs via a 3</w:t>
            </w:r>
            <w:r w:rsidR="00BD190B">
              <w:rPr>
                <w:bCs/>
                <w:szCs w:val="22"/>
              </w:rPr>
              <w:noBreakHyphen/>
            </w:r>
            <w:r w:rsidRPr="00100AAE">
              <w:rPr>
                <w:bCs/>
                <w:szCs w:val="22"/>
              </w:rPr>
              <w:t>year rolling average has reduced levy volatility at a sub</w:t>
            </w:r>
            <w:r w:rsidR="00BD190B">
              <w:rPr>
                <w:bCs/>
                <w:szCs w:val="22"/>
              </w:rPr>
              <w:noBreakHyphen/>
            </w:r>
            <w:r w:rsidRPr="00100AAE">
              <w:rPr>
                <w:bCs/>
                <w:szCs w:val="22"/>
              </w:rPr>
              <w:t>sector level compared to if the costs had been recovered in the year in which the enforcement expenses were incurred</w:t>
            </w:r>
            <w:r>
              <w:rPr>
                <w:bCs/>
                <w:szCs w:val="22"/>
              </w:rPr>
              <w:t xml:space="preserve">. </w:t>
            </w:r>
            <w:r w:rsidRPr="00100AAE">
              <w:rPr>
                <w:bCs/>
                <w:szCs w:val="22"/>
              </w:rPr>
              <w:t>It remains appropriate to maintain the 3</w:t>
            </w:r>
            <w:r w:rsidR="00BD190B">
              <w:rPr>
                <w:bCs/>
                <w:szCs w:val="22"/>
              </w:rPr>
              <w:noBreakHyphen/>
            </w:r>
            <w:r w:rsidRPr="00100AAE">
              <w:rPr>
                <w:bCs/>
                <w:szCs w:val="22"/>
              </w:rPr>
              <w:t>year rolling average approach for the ESA to lessen levy volatility for large enforcement matters.</w:t>
            </w:r>
          </w:p>
        </w:tc>
      </w:tr>
    </w:tbl>
    <w:p w14:paraId="265987F7" w14:textId="0F8A0669" w:rsidR="00B63AF4" w:rsidRDefault="00700F17" w:rsidP="00B63AF4">
      <w:pPr>
        <w:pStyle w:val="Heading3"/>
      </w:pPr>
      <w:bookmarkStart w:id="77" w:name="_Toc129270456"/>
      <w:r>
        <w:t>Unlicensed</w:t>
      </w:r>
      <w:r w:rsidR="00B63AF4">
        <w:t xml:space="preserve"> conduct</w:t>
      </w:r>
      <w:bookmarkEnd w:id="77"/>
    </w:p>
    <w:p w14:paraId="53C1C9A0" w14:textId="6B4A6CCB"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ASIC takes action in relation to unlicensed conduct within the financial system. Unlicensed operators are not registered with ASIC and generally have not paid registration fees, nor do they pay annual levies. </w:t>
      </w:r>
    </w:p>
    <w:p w14:paraId="4C60D01F" w14:textId="7DFBD75A" w:rsidR="00B63AF4" w:rsidRPr="00D92DDD"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Nevertheless, ASIC incurs costs in identifying, preventing and sanctioning unlicensed conduct. These costs are allocated (and recovered) from the most </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relevant</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via levies</w:t>
      </w:r>
      <w:r w:rsidR="00106FCE">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w:t>
      </w:r>
      <w:r w:rsidR="00106FCE">
        <w:rPr>
          <w:rFonts w:ascii="Calibri Light" w:eastAsia="Times New Roman" w:hAnsi="Calibri Light" w:cs="Calibri Light"/>
          <w:lang w:eastAsia="en-AU"/>
        </w:rPr>
        <w:t>F</w:t>
      </w:r>
      <w:r w:rsidRPr="45E69C77">
        <w:rPr>
          <w:rFonts w:ascii="Calibri Light" w:eastAsia="Times New Roman" w:hAnsi="Calibri Light" w:cs="Calibri Light"/>
          <w:lang w:eastAsia="en-AU"/>
        </w:rPr>
        <w:t>or</w:t>
      </w:r>
      <w:r w:rsidR="00106FCE">
        <w:rPr>
          <w:rFonts w:ascii="Calibri Light" w:eastAsia="Times New Roman" w:hAnsi="Calibri Light" w:cs="Calibri Light"/>
          <w:lang w:eastAsia="en-AU"/>
        </w:rPr>
        <w:t> </w:t>
      </w:r>
      <w:r w:rsidRPr="45E69C77">
        <w:rPr>
          <w:rFonts w:ascii="Calibri Light" w:eastAsia="Times New Roman" w:hAnsi="Calibri Light" w:cs="Calibri Light"/>
          <w:lang w:eastAsia="en-AU"/>
        </w:rPr>
        <w:t>example, regulatory activity relating to an unlicensed individual providing personal advice to retail clients on relevant financial products would be recovered from the personal financial advice licensee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It is the responsibility of ASIC to determine the most relevant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w:t>
      </w:r>
      <w:r w:rsidR="00B46CEF">
        <w:rPr>
          <w:rFonts w:ascii="Calibri Light" w:eastAsia="Times New Roman" w:hAnsi="Calibri Light" w:cs="Calibri Light"/>
          <w:lang w:eastAsia="en-AU"/>
        </w:rPr>
        <w:t>(</w:t>
      </w:r>
      <w:r w:rsidRPr="45E69C77">
        <w:rPr>
          <w:rFonts w:ascii="Calibri Light" w:eastAsia="Times New Roman" w:hAnsi="Calibri Light" w:cs="Calibri Light"/>
          <w:lang w:eastAsia="en-AU"/>
        </w:rPr>
        <w:t>s</w:t>
      </w:r>
      <w:r w:rsidR="00B46CEF">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to apportion these costs.</w:t>
      </w:r>
    </w:p>
    <w:p w14:paraId="4AB2D153" w14:textId="5F8962DC" w:rsidR="006B63C3"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This type of activity </w:t>
      </w:r>
      <w:r w:rsidR="00B16DA9" w:rsidRPr="45E69C77">
        <w:rPr>
          <w:rFonts w:ascii="Calibri Light" w:eastAsia="Times New Roman" w:hAnsi="Calibri Light" w:cs="Calibri Light"/>
          <w:lang w:eastAsia="en-AU"/>
        </w:rPr>
        <w:t>tends to</w:t>
      </w:r>
      <w:r w:rsidRPr="45E69C77">
        <w:rPr>
          <w:rFonts w:ascii="Calibri Light" w:eastAsia="Times New Roman" w:hAnsi="Calibri Light" w:cs="Calibri Light"/>
          <w:lang w:eastAsia="en-AU"/>
        </w:rPr>
        <w:t xml:space="preserve"> </w:t>
      </w:r>
      <w:r w:rsidR="008A7364" w:rsidRPr="45E69C77">
        <w:rPr>
          <w:rFonts w:ascii="Calibri Light" w:eastAsia="Times New Roman" w:hAnsi="Calibri Light" w:cs="Calibri Light"/>
          <w:lang w:eastAsia="en-AU"/>
        </w:rPr>
        <w:t>be limited</w:t>
      </w:r>
      <w:r w:rsidRPr="45E69C77">
        <w:rPr>
          <w:rFonts w:ascii="Calibri Light" w:eastAsia="Times New Roman" w:hAnsi="Calibri Light" w:cs="Calibri Light"/>
          <w:lang w:eastAsia="en-AU"/>
        </w:rPr>
        <w:t xml:space="preserve"> to </w:t>
      </w:r>
      <w:r w:rsidR="00B16DA9" w:rsidRPr="45E69C77">
        <w:rPr>
          <w:rFonts w:ascii="Calibri Light" w:eastAsia="Times New Roman" w:hAnsi="Calibri Light" w:cs="Calibri Light"/>
          <w:lang w:eastAsia="en-AU"/>
        </w:rPr>
        <w:t>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which involve the provision of services to consumers that requires a license and is generally concentrated to the financial advice, insurance and deposit</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taking and credit sectors. That is, this type of </w:t>
      </w:r>
      <w:r w:rsidR="00E074E3" w:rsidRPr="45E69C77">
        <w:rPr>
          <w:rFonts w:ascii="Calibri Light" w:eastAsia="Times New Roman" w:hAnsi="Calibri Light" w:cs="Calibri Light"/>
          <w:lang w:eastAsia="en-AU"/>
        </w:rPr>
        <w:t>mis</w:t>
      </w:r>
      <w:r w:rsidRPr="45E69C77">
        <w:rPr>
          <w:rFonts w:ascii="Calibri Light" w:eastAsia="Times New Roman" w:hAnsi="Calibri Light" w:cs="Calibri Light"/>
          <w:lang w:eastAsia="en-AU"/>
        </w:rPr>
        <w:t xml:space="preserve">conduct does not </w:t>
      </w:r>
      <w:r w:rsidR="007337F4">
        <w:rPr>
          <w:rFonts w:ascii="Calibri Light" w:eastAsia="Times New Roman" w:hAnsi="Calibri Light" w:cs="Calibri Light"/>
          <w:lang w:eastAsia="en-AU"/>
        </w:rPr>
        <w:t xml:space="preserve">generally </w:t>
      </w:r>
      <w:r w:rsidRPr="45E69C77">
        <w:rPr>
          <w:rFonts w:ascii="Calibri Light" w:eastAsia="Times New Roman" w:hAnsi="Calibri Light" w:cs="Calibri Light"/>
          <w:lang w:eastAsia="en-AU"/>
        </w:rPr>
        <w:t xml:space="preserve">occur in </w:t>
      </w:r>
      <w:r w:rsidR="00367526" w:rsidRPr="45E69C77">
        <w:rPr>
          <w:rFonts w:ascii="Calibri Light" w:eastAsia="Times New Roman" w:hAnsi="Calibri Light" w:cs="Calibri Light"/>
          <w:lang w:eastAsia="en-AU"/>
        </w:rPr>
        <w:t xml:space="preserve">all the </w:t>
      </w:r>
      <w:r w:rsidRPr="45E69C77">
        <w:rPr>
          <w:rFonts w:ascii="Calibri Light" w:eastAsia="Times New Roman" w:hAnsi="Calibri Light" w:cs="Calibri Light"/>
          <w:lang w:eastAsia="en-AU"/>
        </w:rPr>
        <w:t>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w:t>
      </w:r>
      <w:r w:rsidR="00367526" w:rsidRPr="45E69C77">
        <w:rPr>
          <w:rFonts w:ascii="Calibri Light" w:eastAsia="Times New Roman" w:hAnsi="Calibri Light" w:cs="Calibri Light"/>
          <w:lang w:eastAsia="en-AU"/>
        </w:rPr>
        <w:t>s</w:t>
      </w:r>
      <w:r w:rsidRPr="45E69C77">
        <w:rPr>
          <w:rFonts w:ascii="Calibri Light" w:eastAsia="Times New Roman" w:hAnsi="Calibri Light" w:cs="Calibri Light"/>
          <w:lang w:eastAsia="en-AU"/>
        </w:rPr>
        <w:t xml:space="preserve"> ASIC regulates</w:t>
      </w:r>
      <w:r w:rsidR="006B63C3" w:rsidRPr="45E69C77">
        <w:rPr>
          <w:rFonts w:ascii="Calibri Light" w:eastAsia="Times New Roman" w:hAnsi="Calibri Light" w:cs="Calibri Light"/>
          <w:lang w:eastAsia="en-AU"/>
        </w:rPr>
        <w:t xml:space="preserve">. </w:t>
      </w:r>
    </w:p>
    <w:p w14:paraId="391D1CAA" w14:textId="227F51F5" w:rsidR="00B63AF4" w:rsidRDefault="00E15FDB" w:rsidP="0037599B">
      <w:pPr>
        <w:pStyle w:val="numberedtext"/>
        <w:numPr>
          <w:ilvl w:val="0"/>
          <w:numId w:val="14"/>
        </w:numPr>
        <w:tabs>
          <w:tab w:val="left" w:pos="709"/>
        </w:tabs>
        <w:ind w:hanging="720"/>
        <w:rPr>
          <w:rFonts w:ascii="Calibri Light" w:eastAsia="Times New Roman" w:hAnsi="Calibri Light" w:cs="Calibri Light"/>
          <w:lang w:eastAsia="en-AU"/>
        </w:rPr>
      </w:pPr>
      <w:r>
        <w:rPr>
          <w:rFonts w:ascii="Calibri Light" w:eastAsia="Times New Roman" w:hAnsi="Calibri Light" w:cs="Calibri Light"/>
          <w:lang w:eastAsia="en-AU"/>
        </w:rPr>
        <w:t>I</w:t>
      </w:r>
      <w:r w:rsidR="00DE44F8" w:rsidRPr="77191390">
        <w:rPr>
          <w:rFonts w:ascii="Calibri Light" w:eastAsia="Times New Roman" w:hAnsi="Calibri Light" w:cs="Calibri Light"/>
          <w:lang w:eastAsia="en-AU"/>
        </w:rPr>
        <w:t xml:space="preserve">n </w:t>
      </w:r>
      <w:r w:rsidR="009C7ED2">
        <w:rPr>
          <w:rFonts w:ascii="Calibri Light" w:eastAsia="Times New Roman" w:hAnsi="Calibri Light" w:cs="Calibri Light"/>
          <w:lang w:eastAsia="en-AU"/>
        </w:rPr>
        <w:t>2021–22</w:t>
      </w:r>
      <w:r w:rsidR="006B63C3" w:rsidRPr="77191390">
        <w:rPr>
          <w:rFonts w:ascii="Calibri Light" w:eastAsia="Times New Roman" w:hAnsi="Calibri Light" w:cs="Calibri Light"/>
          <w:lang w:eastAsia="en-AU"/>
        </w:rPr>
        <w:t xml:space="preserve">, enforcement action relating to </w:t>
      </w:r>
      <w:r w:rsidR="00700F17">
        <w:rPr>
          <w:rFonts w:ascii="Calibri Light" w:eastAsia="Times New Roman" w:hAnsi="Calibri Light" w:cs="Calibri Light"/>
          <w:lang w:eastAsia="en-AU"/>
        </w:rPr>
        <w:t>unlicensed</w:t>
      </w:r>
      <w:r w:rsidR="006B63C3" w:rsidRPr="77191390">
        <w:rPr>
          <w:rFonts w:ascii="Calibri Light" w:eastAsia="Times New Roman" w:hAnsi="Calibri Light" w:cs="Calibri Light"/>
          <w:lang w:eastAsia="en-AU"/>
        </w:rPr>
        <w:t xml:space="preserve"> conduct</w:t>
      </w:r>
      <w:r w:rsidR="00EF7CAC" w:rsidRPr="77191390">
        <w:rPr>
          <w:rFonts w:ascii="Calibri Light" w:eastAsia="Times New Roman" w:hAnsi="Calibri Light" w:cs="Calibri Light"/>
          <w:lang w:eastAsia="en-AU"/>
        </w:rPr>
        <w:t xml:space="preserve"> represented approximately 15</w:t>
      </w:r>
      <w:r w:rsidR="00E56049">
        <w:rPr>
          <w:rFonts w:ascii="Calibri Light" w:eastAsia="Times New Roman" w:hAnsi="Calibri Light" w:cs="Calibri Light"/>
          <w:lang w:eastAsia="en-AU"/>
        </w:rPr>
        <w:t> </w:t>
      </w:r>
      <w:r w:rsidR="00EF7CAC" w:rsidRPr="77191390">
        <w:rPr>
          <w:rFonts w:ascii="Calibri Light" w:eastAsia="Times New Roman" w:hAnsi="Calibri Light" w:cs="Calibri Light"/>
          <w:lang w:eastAsia="en-AU"/>
        </w:rPr>
        <w:t>per cent ASIC</w:t>
      </w:r>
      <w:r w:rsidR="00BD190B">
        <w:rPr>
          <w:rFonts w:ascii="Calibri Light" w:eastAsia="Times New Roman" w:hAnsi="Calibri Light" w:cs="Calibri Light"/>
          <w:lang w:eastAsia="en-AU"/>
        </w:rPr>
        <w:t>’</w:t>
      </w:r>
      <w:r w:rsidR="00EF7CAC" w:rsidRPr="77191390">
        <w:rPr>
          <w:rFonts w:ascii="Calibri Light" w:eastAsia="Times New Roman" w:hAnsi="Calibri Light" w:cs="Calibri Light"/>
          <w:lang w:eastAsia="en-AU"/>
        </w:rPr>
        <w:t xml:space="preserve">s total enforcement </w:t>
      </w:r>
      <w:r w:rsidR="00E820BB" w:rsidRPr="77191390">
        <w:rPr>
          <w:rFonts w:ascii="Calibri Light" w:eastAsia="Times New Roman" w:hAnsi="Calibri Light" w:cs="Calibri Light"/>
          <w:lang w:eastAsia="en-AU"/>
        </w:rPr>
        <w:t>costs (including both direct and indirect costs)</w:t>
      </w:r>
      <w:r w:rsidR="00B63AF4" w:rsidRPr="77191390">
        <w:rPr>
          <w:rFonts w:ascii="Calibri Light" w:eastAsia="Times New Roman" w:hAnsi="Calibri Light" w:cs="Calibri Light"/>
          <w:lang w:eastAsia="en-AU"/>
        </w:rPr>
        <w:t>.</w:t>
      </w:r>
      <w:r w:rsidR="00E820BB" w:rsidRPr="77191390">
        <w:rPr>
          <w:rFonts w:ascii="Calibri Light" w:eastAsia="Times New Roman" w:hAnsi="Calibri Light" w:cs="Calibri Light"/>
          <w:lang w:eastAsia="en-AU"/>
        </w:rPr>
        <w:t xml:space="preserve"> Of this, </w:t>
      </w:r>
      <w:r w:rsidR="00E640B1" w:rsidRPr="77191390">
        <w:rPr>
          <w:rFonts w:ascii="Calibri Light" w:eastAsia="Times New Roman" w:hAnsi="Calibri Light" w:cs="Calibri Light"/>
          <w:lang w:eastAsia="en-AU"/>
        </w:rPr>
        <w:t xml:space="preserve">30 per cent related to </w:t>
      </w:r>
      <w:r w:rsidR="00700F17">
        <w:rPr>
          <w:rFonts w:ascii="Calibri Light" w:eastAsia="Times New Roman" w:hAnsi="Calibri Light" w:cs="Calibri Light"/>
          <w:lang w:eastAsia="en-AU"/>
        </w:rPr>
        <w:t>unlicensed</w:t>
      </w:r>
      <w:r w:rsidR="00E640B1" w:rsidRPr="77191390">
        <w:rPr>
          <w:rFonts w:ascii="Calibri Light" w:eastAsia="Times New Roman" w:hAnsi="Calibri Light" w:cs="Calibri Light"/>
          <w:lang w:eastAsia="en-AU"/>
        </w:rPr>
        <w:t xml:space="preserve"> conduct </w:t>
      </w:r>
      <w:r w:rsidR="00246ABE" w:rsidRPr="77191390">
        <w:rPr>
          <w:rFonts w:ascii="Calibri Light" w:eastAsia="Times New Roman" w:hAnsi="Calibri Light" w:cs="Calibri Light"/>
          <w:lang w:eastAsia="en-AU"/>
        </w:rPr>
        <w:t>that was recovered from</w:t>
      </w:r>
      <w:r w:rsidR="00E640B1" w:rsidRPr="77191390">
        <w:rPr>
          <w:rFonts w:ascii="Calibri Light" w:eastAsia="Times New Roman" w:hAnsi="Calibri Light" w:cs="Calibri Light"/>
          <w:lang w:eastAsia="en-AU"/>
        </w:rPr>
        <w:t xml:space="preserve"> the personal financial advice licensee sub</w:t>
      </w:r>
      <w:r w:rsidR="00BD190B">
        <w:rPr>
          <w:rFonts w:ascii="Calibri Light" w:eastAsia="Times New Roman" w:hAnsi="Calibri Light" w:cs="Calibri Light"/>
          <w:lang w:eastAsia="en-AU"/>
        </w:rPr>
        <w:noBreakHyphen/>
      </w:r>
      <w:r w:rsidR="00E640B1" w:rsidRPr="77191390">
        <w:rPr>
          <w:rFonts w:ascii="Calibri Light" w:eastAsia="Times New Roman" w:hAnsi="Calibri Light" w:cs="Calibri Light"/>
          <w:lang w:eastAsia="en-AU"/>
        </w:rPr>
        <w:t xml:space="preserve">sector and </w:t>
      </w:r>
      <w:r w:rsidR="00E820BB" w:rsidRPr="77191390">
        <w:rPr>
          <w:rFonts w:ascii="Calibri Light" w:eastAsia="Times New Roman" w:hAnsi="Calibri Light" w:cs="Calibri Light"/>
          <w:lang w:eastAsia="en-AU"/>
        </w:rPr>
        <w:t xml:space="preserve">25 per cent </w:t>
      </w:r>
      <w:r w:rsidR="00C95A22" w:rsidRPr="77191390">
        <w:rPr>
          <w:rFonts w:ascii="Calibri Light" w:eastAsia="Times New Roman" w:hAnsi="Calibri Light" w:cs="Calibri Light"/>
          <w:lang w:eastAsia="en-AU"/>
        </w:rPr>
        <w:t xml:space="preserve">related to </w:t>
      </w:r>
      <w:r w:rsidR="12861D08" w:rsidRPr="77191390">
        <w:rPr>
          <w:rFonts w:ascii="Calibri Light" w:eastAsia="Times New Roman" w:hAnsi="Calibri Light" w:cs="Calibri Light"/>
          <w:lang w:eastAsia="en-AU"/>
        </w:rPr>
        <w:t>unlicensed</w:t>
      </w:r>
      <w:r w:rsidR="00C95A22" w:rsidRPr="77191390">
        <w:rPr>
          <w:rFonts w:ascii="Calibri Light" w:eastAsia="Times New Roman" w:hAnsi="Calibri Light" w:cs="Calibri Light"/>
          <w:lang w:eastAsia="en-AU"/>
        </w:rPr>
        <w:t xml:space="preserve"> conduct </w:t>
      </w:r>
      <w:r w:rsidR="00BF0C01" w:rsidRPr="77191390">
        <w:rPr>
          <w:rFonts w:ascii="Calibri Light" w:eastAsia="Times New Roman" w:hAnsi="Calibri Light" w:cs="Calibri Light"/>
          <w:lang w:eastAsia="en-AU"/>
        </w:rPr>
        <w:t>that was recovered from</w:t>
      </w:r>
      <w:r w:rsidR="00C95A22" w:rsidRPr="77191390">
        <w:rPr>
          <w:rFonts w:ascii="Calibri Light" w:eastAsia="Times New Roman" w:hAnsi="Calibri Light" w:cs="Calibri Light"/>
          <w:lang w:eastAsia="en-AU"/>
        </w:rPr>
        <w:t xml:space="preserve"> the over</w:t>
      </w:r>
      <w:r w:rsidR="00BD190B">
        <w:rPr>
          <w:rFonts w:ascii="Calibri Light" w:eastAsia="Times New Roman" w:hAnsi="Calibri Light" w:cs="Calibri Light"/>
          <w:lang w:eastAsia="en-AU"/>
        </w:rPr>
        <w:noBreakHyphen/>
      </w:r>
      <w:r w:rsidR="00C95A22" w:rsidRPr="77191390">
        <w:rPr>
          <w:rFonts w:ascii="Calibri Light" w:eastAsia="Times New Roman" w:hAnsi="Calibri Light" w:cs="Calibri Light"/>
          <w:lang w:eastAsia="en-AU"/>
        </w:rPr>
        <w:t>the</w:t>
      </w:r>
      <w:r w:rsidR="00BD190B">
        <w:rPr>
          <w:rFonts w:ascii="Calibri Light" w:eastAsia="Times New Roman" w:hAnsi="Calibri Light" w:cs="Calibri Light"/>
          <w:lang w:eastAsia="en-AU"/>
        </w:rPr>
        <w:noBreakHyphen/>
      </w:r>
      <w:r w:rsidR="00C95A22" w:rsidRPr="77191390">
        <w:rPr>
          <w:rFonts w:ascii="Calibri Light" w:eastAsia="Times New Roman" w:hAnsi="Calibri Light" w:cs="Calibri Light"/>
          <w:lang w:eastAsia="en-AU"/>
        </w:rPr>
        <w:t>counter deriv</w:t>
      </w:r>
      <w:r w:rsidR="00017BE0" w:rsidRPr="77191390">
        <w:rPr>
          <w:rFonts w:ascii="Calibri Light" w:eastAsia="Times New Roman" w:hAnsi="Calibri Light" w:cs="Calibri Light"/>
          <w:lang w:eastAsia="en-AU"/>
        </w:rPr>
        <w:t>at</w:t>
      </w:r>
      <w:r w:rsidR="007D6566" w:rsidRPr="77191390">
        <w:rPr>
          <w:rFonts w:ascii="Calibri Light" w:eastAsia="Times New Roman" w:hAnsi="Calibri Light" w:cs="Calibri Light"/>
          <w:lang w:eastAsia="en-AU"/>
        </w:rPr>
        <w:t>i</w:t>
      </w:r>
      <w:r w:rsidR="00C95A22" w:rsidRPr="77191390">
        <w:rPr>
          <w:rFonts w:ascii="Calibri Light" w:eastAsia="Times New Roman" w:hAnsi="Calibri Light" w:cs="Calibri Light"/>
          <w:lang w:eastAsia="en-AU"/>
        </w:rPr>
        <w:t>ve</w:t>
      </w:r>
      <w:r w:rsidR="007D6566" w:rsidRPr="77191390">
        <w:rPr>
          <w:rFonts w:ascii="Calibri Light" w:eastAsia="Times New Roman" w:hAnsi="Calibri Light" w:cs="Calibri Light"/>
          <w:lang w:eastAsia="en-AU"/>
        </w:rPr>
        <w:t xml:space="preserve"> issuers</w:t>
      </w:r>
      <w:r w:rsidR="00E640B1" w:rsidRPr="77191390">
        <w:rPr>
          <w:rFonts w:ascii="Calibri Light" w:eastAsia="Times New Roman" w:hAnsi="Calibri Light" w:cs="Calibri Light"/>
          <w:lang w:eastAsia="en-AU"/>
        </w:rPr>
        <w:t xml:space="preserve"> sub</w:t>
      </w:r>
      <w:r w:rsidR="00BD190B">
        <w:rPr>
          <w:rFonts w:ascii="Calibri Light" w:eastAsia="Times New Roman" w:hAnsi="Calibri Light" w:cs="Calibri Light"/>
          <w:lang w:eastAsia="en-AU"/>
        </w:rPr>
        <w:noBreakHyphen/>
      </w:r>
      <w:r w:rsidR="00E640B1" w:rsidRPr="77191390">
        <w:rPr>
          <w:rFonts w:ascii="Calibri Light" w:eastAsia="Times New Roman" w:hAnsi="Calibri Light" w:cs="Calibri Light"/>
          <w:lang w:eastAsia="en-AU"/>
        </w:rPr>
        <w:t>sector</w:t>
      </w:r>
      <w:r w:rsidR="0047601F">
        <w:rPr>
          <w:rFonts w:ascii="Calibri Light" w:eastAsia="Times New Roman" w:hAnsi="Calibri Light" w:cs="Calibri Light"/>
          <w:lang w:eastAsia="en-AU"/>
        </w:rPr>
        <w:t xml:space="preserve">. </w:t>
      </w:r>
    </w:p>
    <w:p w14:paraId="2CE172B6" w14:textId="77777777" w:rsidR="00B63AF4" w:rsidRDefault="00B63AF4" w:rsidP="007A385D">
      <w:pPr>
        <w:pStyle w:val="Heading4"/>
      </w:pPr>
      <w:r>
        <w:t>Analysis and findings</w:t>
      </w:r>
    </w:p>
    <w:p w14:paraId="5FFA787F" w14:textId="2D2D30A8"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 Review finds that the current approach of allocating costs to the </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relevant</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does not align with the principle that those entities in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who cause the need for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regulatory effort should be charged for it. </w:t>
      </w:r>
    </w:p>
    <w:p w14:paraId="02195EB7" w14:textId="3E1FECC8" w:rsidR="00B63AF4" w:rsidRPr="00E90C6E"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lastRenderedPageBreak/>
        <w:t>Where costs do not align with this principle, costs should be recovered from the population that benefits from the activity. ASIC action in relation to unlicensed conduct is in the interests of the licensed participants because it maintains integrity and trust in the industry and deters competition from unlicensed and unregulated competitors.</w:t>
      </w:r>
    </w:p>
    <w:p w14:paraId="22535625" w14:textId="756F914A"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Where an enforcement matter relates to unlicensed conduct, costs of that enforcement matter should be allocated to the relevant licensed population that benefits from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regulatory effort. The Review finds that benefits extend beyond a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and to the whole sector itself. This population benefits from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action to ensure that only licensed participants are providing services. </w:t>
      </w:r>
    </w:p>
    <w:p w14:paraId="721C7DBE" w14:textId="51C746FC" w:rsidR="00B63AF4" w:rsidRPr="00741D59"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For example, if ASIC takes enforcement action against an unlicensed individual providing personal advice to retail clients on relevant financial products, this benefits the financial advice sector as a whole. Consumers do not generally differentiate between the different types of financial advice being provided, just that </w:t>
      </w:r>
      <w:r w:rsidR="00700F17">
        <w:rPr>
          <w:rFonts w:ascii="Calibri Light" w:eastAsia="Times New Roman" w:hAnsi="Calibri Light" w:cs="Calibri Light"/>
          <w:lang w:eastAsia="en-AU"/>
        </w:rPr>
        <w:t>unlicensed</w:t>
      </w:r>
      <w:r w:rsidRPr="45E69C77">
        <w:rPr>
          <w:rFonts w:ascii="Calibri Light" w:eastAsia="Times New Roman" w:hAnsi="Calibri Light" w:cs="Calibri Light"/>
          <w:lang w:eastAsia="en-AU"/>
        </w:rPr>
        <w:t xml:space="preserve"> financial advice is being provided and should be prevented. </w:t>
      </w:r>
    </w:p>
    <w:p w14:paraId="10422AB2" w14:textId="4667C29B" w:rsidR="0007406A" w:rsidRPr="0092282D" w:rsidRDefault="00B63AF4" w:rsidP="00C03367">
      <w:pPr>
        <w:pStyle w:val="numberedtext"/>
        <w:numPr>
          <w:ilvl w:val="0"/>
          <w:numId w:val="14"/>
        </w:numPr>
        <w:tabs>
          <w:tab w:val="left" w:pos="709"/>
        </w:tabs>
        <w:ind w:hanging="720"/>
        <w:rPr>
          <w:rFonts w:ascii="Calibri Light" w:eastAsia="Times New Roman" w:hAnsi="Calibri Light" w:cs="Calibri Light"/>
          <w:lang w:eastAsia="en-AU"/>
        </w:rPr>
      </w:pPr>
      <w:r w:rsidRPr="45E69C77">
        <w:rPr>
          <w:rFonts w:ascii="Calibri Light" w:eastAsia="Times New Roman" w:hAnsi="Calibri Light" w:cs="Calibri Light"/>
          <w:lang w:eastAsia="en-AU"/>
        </w:rPr>
        <w:t xml:space="preserve">Therefore, the Review finds that costs relating to </w:t>
      </w:r>
      <w:r w:rsidR="00700F17">
        <w:rPr>
          <w:rFonts w:ascii="Calibri Light" w:eastAsia="Times New Roman" w:hAnsi="Calibri Light" w:cs="Calibri Light"/>
          <w:lang w:eastAsia="en-AU"/>
        </w:rPr>
        <w:t>unlicensed</w:t>
      </w:r>
      <w:r w:rsidRPr="45E69C77">
        <w:rPr>
          <w:rFonts w:ascii="Calibri Light" w:eastAsia="Times New Roman" w:hAnsi="Calibri Light" w:cs="Calibri Light"/>
          <w:lang w:eastAsia="en-AU"/>
        </w:rPr>
        <w:t xml:space="preserve"> conduct should be allocated</w:t>
      </w:r>
      <w:r w:rsidR="00E16465">
        <w:rPr>
          <w:rFonts w:ascii="Calibri Light" w:eastAsia="Times New Roman" w:hAnsi="Calibri Light" w:cs="Calibri Light"/>
          <w:lang w:eastAsia="en-AU"/>
        </w:rPr>
        <w:t xml:space="preserve"> and recovered from</w:t>
      </w:r>
      <w:r w:rsidRPr="45E69C77">
        <w:rPr>
          <w:rFonts w:ascii="Calibri Light" w:eastAsia="Times New Roman" w:hAnsi="Calibri Light" w:cs="Calibri Light"/>
          <w:lang w:eastAsia="en-AU"/>
        </w:rPr>
        <w:t xml:space="preserve"> </w:t>
      </w:r>
      <w:r w:rsidR="004D3004" w:rsidRPr="45E69C77">
        <w:rPr>
          <w:rFonts w:ascii="Calibri Light" w:eastAsia="Times New Roman" w:hAnsi="Calibri Light" w:cs="Calibri Light"/>
          <w:lang w:eastAsia="en-AU"/>
        </w:rPr>
        <w:t xml:space="preserve">the </w:t>
      </w:r>
      <w:r w:rsidR="00CA5694" w:rsidRPr="45E69C77">
        <w:rPr>
          <w:rFonts w:ascii="Calibri Light" w:eastAsia="Times New Roman" w:hAnsi="Calibri Light" w:cs="Calibri Light"/>
          <w:lang w:eastAsia="en-AU"/>
        </w:rPr>
        <w:t>relevant sector</w:t>
      </w:r>
      <w:r w:rsidR="00AA5362">
        <w:rPr>
          <w:rFonts w:ascii="Calibri Light" w:eastAsia="Times New Roman" w:hAnsi="Calibri Light" w:cs="Calibri Light"/>
          <w:lang w:eastAsia="en-AU"/>
        </w:rPr>
        <w:t>(s)</w:t>
      </w:r>
      <w:r w:rsidR="008D10DB">
        <w:rPr>
          <w:rFonts w:ascii="Calibri Light" w:eastAsia="Times New Roman" w:hAnsi="Calibri Light" w:cs="Calibri Light"/>
          <w:lang w:eastAsia="en-AU"/>
        </w:rPr>
        <w:t xml:space="preserve"> that benefit from </w:t>
      </w:r>
      <w:r w:rsidR="0077340C">
        <w:rPr>
          <w:rFonts w:ascii="Calibri Light" w:eastAsia="Times New Roman" w:hAnsi="Calibri Light" w:cs="Calibri Light"/>
          <w:lang w:eastAsia="en-AU"/>
        </w:rPr>
        <w:t xml:space="preserve">ASIC action against </w:t>
      </w:r>
      <w:r w:rsidR="00700F17">
        <w:rPr>
          <w:rFonts w:ascii="Calibri Light" w:eastAsia="Times New Roman" w:hAnsi="Calibri Light" w:cs="Calibri Light"/>
          <w:lang w:eastAsia="en-AU"/>
        </w:rPr>
        <w:t>unlicensed</w:t>
      </w:r>
      <w:r w:rsidR="0077340C">
        <w:rPr>
          <w:rFonts w:ascii="Calibri Light" w:eastAsia="Times New Roman" w:hAnsi="Calibri Light" w:cs="Calibri Light"/>
          <w:lang w:eastAsia="en-AU"/>
        </w:rPr>
        <w:t xml:space="preserve"> operators</w:t>
      </w:r>
      <w:r w:rsidR="00702356" w:rsidRPr="45E69C77">
        <w:rPr>
          <w:rFonts w:ascii="Calibri Light" w:eastAsia="Times New Roman" w:hAnsi="Calibri Light" w:cs="Calibri Light"/>
          <w:lang w:eastAsia="en-AU"/>
        </w:rPr>
        <w:t>.</w:t>
      </w:r>
      <w:r w:rsidR="00C03367">
        <w:rPr>
          <w:rFonts w:ascii="Calibri Light" w:eastAsia="Times New Roman" w:hAnsi="Calibri Light" w:cs="Calibri Light"/>
          <w:lang w:eastAsia="en-AU"/>
        </w:rPr>
        <w:t xml:space="preserve"> </w:t>
      </w:r>
      <w:r w:rsidRPr="00C03367">
        <w:rPr>
          <w:rFonts w:ascii="Calibri Light" w:eastAsia="Times New Roman" w:hAnsi="Calibri Light" w:cs="Calibri Light"/>
          <w:lang w:eastAsia="en-AU"/>
        </w:rPr>
        <w:t xml:space="preserve">This </w:t>
      </w:r>
      <w:r w:rsidR="00A05B88" w:rsidRPr="00C03367">
        <w:rPr>
          <w:rFonts w:ascii="Calibri Light" w:eastAsia="Times New Roman" w:hAnsi="Calibri Light" w:cs="Calibri Light"/>
          <w:lang w:eastAsia="en-AU"/>
        </w:rPr>
        <w:t xml:space="preserve">may </w:t>
      </w:r>
      <w:r w:rsidRPr="00C03367">
        <w:rPr>
          <w:rFonts w:ascii="Calibri Light" w:eastAsia="Times New Roman" w:hAnsi="Calibri Light" w:cs="Calibri Light"/>
          <w:lang w:eastAsia="en-AU"/>
        </w:rPr>
        <w:t>require changes to</w:t>
      </w:r>
      <w:r w:rsidR="00F86EFF" w:rsidRPr="00C03367">
        <w:rPr>
          <w:rFonts w:ascii="Calibri Light" w:eastAsia="Times New Roman" w:hAnsi="Calibri Light" w:cs="Calibri Light"/>
          <w:lang w:eastAsia="en-AU"/>
        </w:rPr>
        <w:t xml:space="preserve"> the principles set out in sub</w:t>
      </w:r>
      <w:r w:rsidR="00BD190B">
        <w:rPr>
          <w:rFonts w:ascii="Calibri Light" w:eastAsia="Times New Roman" w:hAnsi="Calibri Light" w:cs="Calibri Light"/>
          <w:lang w:eastAsia="en-AU"/>
        </w:rPr>
        <w:noBreakHyphen/>
      </w:r>
      <w:r w:rsidR="00F86EFF" w:rsidRPr="00C03367">
        <w:rPr>
          <w:rFonts w:ascii="Calibri Light" w:eastAsia="Times New Roman" w:hAnsi="Calibri Light" w:cs="Calibri Light"/>
          <w:lang w:eastAsia="en-AU"/>
        </w:rPr>
        <w:t>section 10(7)</w:t>
      </w:r>
      <w:r w:rsidR="0070297C" w:rsidRPr="00C03367">
        <w:rPr>
          <w:rFonts w:ascii="Calibri Light" w:eastAsia="Times New Roman" w:hAnsi="Calibri Light" w:cs="Calibri Light"/>
          <w:lang w:eastAsia="en-AU"/>
        </w:rPr>
        <w:t xml:space="preserve"> of the Cost Recovery Levy Act </w:t>
      </w:r>
      <w:r w:rsidRPr="00C03367">
        <w:rPr>
          <w:rFonts w:ascii="Calibri Light" w:eastAsia="Times New Roman" w:hAnsi="Calibri Light" w:cs="Calibri Light"/>
          <w:lang w:eastAsia="en-AU"/>
        </w:rPr>
        <w:t xml:space="preserve">to be implemented. </w:t>
      </w:r>
      <w:r w:rsidR="0070297C" w:rsidRPr="00C03367">
        <w:rPr>
          <w:rFonts w:ascii="Calibri Light" w:eastAsia="Times New Roman" w:hAnsi="Calibri Light" w:cs="Calibri Light"/>
          <w:lang w:eastAsia="en-AU"/>
        </w:rPr>
        <w:t>I</w:t>
      </w:r>
      <w:r w:rsidR="00AC77B4" w:rsidRPr="00C03367">
        <w:rPr>
          <w:rFonts w:ascii="Calibri Light" w:eastAsia="Times New Roman" w:hAnsi="Calibri Light" w:cs="Calibri Light"/>
          <w:lang w:eastAsia="en-AU"/>
        </w:rPr>
        <w:t>t</w:t>
      </w:r>
      <w:r w:rsidRPr="00C03367">
        <w:rPr>
          <w:rFonts w:ascii="Calibri Light" w:eastAsia="Times New Roman" w:hAnsi="Calibri Light" w:cs="Calibri Light"/>
          <w:lang w:eastAsia="en-AU"/>
        </w:rPr>
        <w:t xml:space="preserve"> may</w:t>
      </w:r>
      <w:r w:rsidR="0070297C" w:rsidRPr="00C03367">
        <w:rPr>
          <w:rFonts w:ascii="Calibri Light" w:eastAsia="Times New Roman" w:hAnsi="Calibri Light" w:cs="Calibri Light"/>
          <w:lang w:eastAsia="en-AU"/>
        </w:rPr>
        <w:t xml:space="preserve"> also</w:t>
      </w:r>
      <w:r w:rsidRPr="00C03367">
        <w:rPr>
          <w:rFonts w:ascii="Calibri Light" w:eastAsia="Times New Roman" w:hAnsi="Calibri Light" w:cs="Calibri Light"/>
          <w:lang w:eastAsia="en-AU"/>
        </w:rPr>
        <w:t xml:space="preserve"> require changes to ASIC</w:t>
      </w:r>
      <w:r w:rsidR="00BD190B">
        <w:rPr>
          <w:rFonts w:ascii="Calibri Light" w:eastAsia="Times New Roman" w:hAnsi="Calibri Light" w:cs="Calibri Light"/>
          <w:lang w:eastAsia="en-AU"/>
        </w:rPr>
        <w:t>’</w:t>
      </w:r>
      <w:r w:rsidRPr="00C03367">
        <w:rPr>
          <w:rFonts w:ascii="Calibri Light" w:eastAsia="Times New Roman" w:hAnsi="Calibri Light" w:cs="Calibri Light"/>
          <w:lang w:eastAsia="en-AU"/>
        </w:rPr>
        <w:t xml:space="preserve">s time measurement system as ASIC does not currently track this at an activity level. </w:t>
      </w:r>
    </w:p>
    <w:p w14:paraId="5550D9B9" w14:textId="77777777" w:rsidR="00C03367" w:rsidRPr="00C03367" w:rsidRDefault="00C03367" w:rsidP="00C03367">
      <w:pPr>
        <w:pStyle w:val="numberedtext"/>
        <w:tabs>
          <w:tab w:val="left" w:pos="709"/>
        </w:tabs>
        <w:ind w:firstLine="0"/>
        <w:rPr>
          <w:rFonts w:ascii="Calibri Light" w:eastAsia="Times New Roman" w:hAnsi="Calibri Light" w:cs="Calibri Light"/>
          <w:szCs w:val="20"/>
          <w:lang w:eastAsia="en-AU"/>
        </w:rPr>
      </w:pPr>
    </w:p>
    <w:tbl>
      <w:tblPr>
        <w:tblStyle w:val="Style1"/>
        <w:tblW w:w="5000" w:type="pct"/>
        <w:tblLook w:val="04A0" w:firstRow="1" w:lastRow="0" w:firstColumn="1" w:lastColumn="0" w:noHBand="0" w:noVBand="1"/>
      </w:tblPr>
      <w:tblGrid>
        <w:gridCol w:w="9072"/>
      </w:tblGrid>
      <w:tr w:rsidR="00E074E3" w14:paraId="791B01E5" w14:textId="77777777" w:rsidTr="003A78C4">
        <w:tc>
          <w:tcPr>
            <w:tcW w:w="5000" w:type="pct"/>
          </w:tcPr>
          <w:p w14:paraId="6EE7A355" w14:textId="10687B92" w:rsidR="00E074E3" w:rsidRPr="00A848E0" w:rsidRDefault="00E074E3" w:rsidP="00A848E0">
            <w:pPr>
              <w:pStyle w:val="BoxHeading"/>
            </w:pPr>
            <w:r w:rsidRPr="00A848E0">
              <w:t>Key finding</w:t>
            </w:r>
          </w:p>
          <w:p w14:paraId="4771F042" w14:textId="72303577" w:rsidR="00E074E3" w:rsidRPr="00791B86" w:rsidRDefault="00537D4D" w:rsidP="0056482E">
            <w:pPr>
              <w:pStyle w:val="BoxText"/>
              <w:rPr>
                <w:bCs/>
                <w:szCs w:val="22"/>
              </w:rPr>
            </w:pPr>
            <w:r>
              <w:rPr>
                <w:bCs/>
                <w:szCs w:val="22"/>
              </w:rPr>
              <w:t xml:space="preserve">The recovery of costs relating to </w:t>
            </w:r>
            <w:r w:rsidR="00700F17">
              <w:rPr>
                <w:bCs/>
                <w:szCs w:val="22"/>
              </w:rPr>
              <w:t>unlicensed</w:t>
            </w:r>
            <w:r>
              <w:rPr>
                <w:bCs/>
                <w:szCs w:val="22"/>
              </w:rPr>
              <w:t xml:space="preserve"> con</w:t>
            </w:r>
            <w:r w:rsidR="0052673F">
              <w:rPr>
                <w:bCs/>
                <w:szCs w:val="22"/>
              </w:rPr>
              <w:t xml:space="preserve">duct does not align with the principle </w:t>
            </w:r>
            <w:r w:rsidR="00611EAB" w:rsidRPr="00611EAB">
              <w:rPr>
                <w:bCs/>
                <w:szCs w:val="22"/>
              </w:rPr>
              <w:t>that those entities in sub</w:t>
            </w:r>
            <w:r w:rsidR="00BD190B">
              <w:rPr>
                <w:bCs/>
                <w:szCs w:val="22"/>
              </w:rPr>
              <w:noBreakHyphen/>
            </w:r>
            <w:r w:rsidR="00611EAB" w:rsidRPr="00611EAB">
              <w:rPr>
                <w:bCs/>
                <w:szCs w:val="22"/>
              </w:rPr>
              <w:t>sectors who cause the need for ASIC</w:t>
            </w:r>
            <w:r w:rsidR="00BD190B">
              <w:rPr>
                <w:bCs/>
                <w:szCs w:val="22"/>
              </w:rPr>
              <w:t>’</w:t>
            </w:r>
            <w:r w:rsidR="00611EAB" w:rsidRPr="00611EAB">
              <w:rPr>
                <w:bCs/>
                <w:szCs w:val="22"/>
              </w:rPr>
              <w:t>s regulatory effort should be charged for it</w:t>
            </w:r>
            <w:r w:rsidR="00A662DD">
              <w:rPr>
                <w:bCs/>
                <w:szCs w:val="22"/>
              </w:rPr>
              <w:t xml:space="preserve"> and should be recovered based on the regulated population that benefits from this regulatory activity. </w:t>
            </w:r>
            <w:r w:rsidR="008E3EA6" w:rsidRPr="45E69C77">
              <w:rPr>
                <w:rFonts w:cs="Calibri Light"/>
              </w:rPr>
              <w:t xml:space="preserve">The Review finds that </w:t>
            </w:r>
            <w:r w:rsidR="002F45C1">
              <w:rPr>
                <w:rFonts w:cs="Calibri Light"/>
              </w:rPr>
              <w:t xml:space="preserve">the </w:t>
            </w:r>
            <w:r w:rsidR="008E3EA6" w:rsidRPr="45E69C77">
              <w:rPr>
                <w:rFonts w:cs="Calibri Light"/>
              </w:rPr>
              <w:t>benefits</w:t>
            </w:r>
            <w:r w:rsidR="002F45C1">
              <w:rPr>
                <w:rFonts w:cs="Calibri Light"/>
              </w:rPr>
              <w:t xml:space="preserve"> of this regulatory activity</w:t>
            </w:r>
            <w:r w:rsidR="008E3EA6" w:rsidRPr="45E69C77">
              <w:rPr>
                <w:rFonts w:cs="Calibri Light"/>
              </w:rPr>
              <w:t xml:space="preserve"> extend beyond </w:t>
            </w:r>
            <w:r w:rsidR="002F45C1">
              <w:rPr>
                <w:rFonts w:cs="Calibri Light"/>
              </w:rPr>
              <w:t>the</w:t>
            </w:r>
            <w:r w:rsidR="008E3EA6" w:rsidRPr="45E69C77">
              <w:rPr>
                <w:rFonts w:cs="Calibri Light"/>
              </w:rPr>
              <w:t xml:space="preserve"> sub</w:t>
            </w:r>
            <w:r w:rsidR="00BD190B">
              <w:rPr>
                <w:rFonts w:cs="Calibri Light"/>
              </w:rPr>
              <w:noBreakHyphen/>
            </w:r>
            <w:r w:rsidR="008E3EA6" w:rsidRPr="45E69C77">
              <w:rPr>
                <w:rFonts w:cs="Calibri Light"/>
              </w:rPr>
              <w:t>sector and to the whole sector itself</w:t>
            </w:r>
            <w:r w:rsidR="002F45C1">
              <w:rPr>
                <w:rFonts w:cs="Calibri Light"/>
              </w:rPr>
              <w:t xml:space="preserve"> and should be recovered accordingly</w:t>
            </w:r>
            <w:r w:rsidR="0047601F">
              <w:rPr>
                <w:rFonts w:cs="Calibri Light"/>
              </w:rPr>
              <w:t xml:space="preserve">. </w:t>
            </w:r>
          </w:p>
        </w:tc>
      </w:tr>
    </w:tbl>
    <w:p w14:paraId="7E40DF55" w14:textId="77777777" w:rsidR="00E074E3" w:rsidRDefault="00E074E3" w:rsidP="009653BB"/>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E074E3" w14:paraId="255D3EF1" w14:textId="77777777" w:rsidTr="4FC503B7">
        <w:tc>
          <w:tcPr>
            <w:tcW w:w="5000" w:type="pct"/>
            <w:shd w:val="clear" w:color="auto" w:fill="F2F9FC"/>
            <w:hideMark/>
          </w:tcPr>
          <w:p w14:paraId="19C4C10F" w14:textId="4A0C6EA3" w:rsidR="00E074E3" w:rsidRPr="00A848E0" w:rsidRDefault="00E074E3" w:rsidP="00A848E0">
            <w:pPr>
              <w:pStyle w:val="BoxHeading"/>
            </w:pPr>
            <w:r w:rsidRPr="00A848E0">
              <w:t>Recommendation 1</w:t>
            </w:r>
          </w:p>
          <w:p w14:paraId="2C2F159F" w14:textId="50F268A1" w:rsidR="00E074E3" w:rsidRPr="00DC3CE9" w:rsidRDefault="009F76DA" w:rsidP="009F75E0">
            <w:pPr>
              <w:pStyle w:val="BoxText"/>
              <w:rPr>
                <w:sz w:val="20"/>
                <w:lang w:eastAsia="en-US"/>
              </w:rPr>
            </w:pPr>
            <w:r w:rsidRPr="009F76DA">
              <w:t xml:space="preserve">Spread the recovery of regulatory costs relating to </w:t>
            </w:r>
            <w:r w:rsidR="00700F17">
              <w:t>unlicensed</w:t>
            </w:r>
            <w:r w:rsidRPr="009F76DA">
              <w:t xml:space="preserve"> activity across the relevant sector</w:t>
            </w:r>
            <w:r w:rsidR="004F2F2E">
              <w:t>(</w:t>
            </w:r>
            <w:r w:rsidRPr="009F76DA">
              <w:t>s</w:t>
            </w:r>
            <w:r w:rsidR="004F2F2E">
              <w:t>)</w:t>
            </w:r>
            <w:r w:rsidRPr="009F76DA">
              <w:t xml:space="preserve"> based on ASIC</w:t>
            </w:r>
            <w:r w:rsidR="00BD190B">
              <w:t>’</w:t>
            </w:r>
            <w:r w:rsidRPr="009F76DA">
              <w:t>s total regulatory effort for each sub</w:t>
            </w:r>
            <w:r w:rsidR="00BD190B">
              <w:noBreakHyphen/>
            </w:r>
            <w:r w:rsidRPr="009F76DA">
              <w:t>sector (within the relevant sector</w:t>
            </w:r>
            <w:r w:rsidR="004F2F2E">
              <w:t>(s)</w:t>
            </w:r>
            <w:r w:rsidRPr="009F76DA">
              <w:t>).</w:t>
            </w:r>
          </w:p>
        </w:tc>
      </w:tr>
    </w:tbl>
    <w:p w14:paraId="7C6835C3" w14:textId="7A5E0D93" w:rsidR="4FC503B7" w:rsidRDefault="4FC503B7" w:rsidP="00A848E0">
      <w:pPr>
        <w:pStyle w:val="SingleParagraph"/>
      </w:pPr>
    </w:p>
    <w:p w14:paraId="50E91F8C" w14:textId="77777777" w:rsidR="00B63AF4" w:rsidRDefault="00B63AF4" w:rsidP="00B63AF4">
      <w:pPr>
        <w:pStyle w:val="Heading3"/>
      </w:pPr>
      <w:bookmarkStart w:id="78" w:name="_Toc129270457"/>
      <w:r>
        <w:t>Emerging industry sectors and providers</w:t>
      </w:r>
      <w:bookmarkEnd w:id="78"/>
    </w:p>
    <w:p w14:paraId="1A6C0BCA" w14:textId="1086904A"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Over the life of the ASIC IFM, the Government has made changes to introduce new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in response to changes in the regulated population. This is an issue considered by the Government when considering any change to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regulatory responsibilities.</w:t>
      </w:r>
    </w:p>
    <w:p w14:paraId="2628A1AE" w14:textId="3373602C" w:rsidR="00770B19" w:rsidRPr="00770B19"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lastRenderedPageBreak/>
        <w:t xml:space="preserve">However, as part of its regulatory function, ASIC must necessarily undertake regulatory activities in respect of products and providers that are subject to a regulatory exemption or are at the </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regulatory perimeter</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w:t>
      </w:r>
    </w:p>
    <w:p w14:paraId="3E0CF443" w14:textId="6D567DCF" w:rsidR="00B63AF4" w:rsidRPr="00132326"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132326">
        <w:rPr>
          <w:rFonts w:ascii="Calibri Light" w:eastAsia="Times New Roman" w:hAnsi="Calibri Light" w:cs="Calibri Light"/>
          <w:lang w:eastAsia="en-AU"/>
        </w:rPr>
        <w:t>This perimeter refers to activities, which are often novel, for example, crypto assets and buy now pay later (BNPL), that do not sit within the existing system of licensing, registration, and supervision – and therefore, do not form part of or are not explicitly captured by the existing IFM sub</w:t>
      </w:r>
      <w:r w:rsidR="00BD190B">
        <w:rPr>
          <w:rFonts w:ascii="Calibri Light" w:eastAsia="Times New Roman" w:hAnsi="Calibri Light" w:cs="Calibri Light"/>
          <w:lang w:eastAsia="en-AU"/>
        </w:rPr>
        <w:noBreakHyphen/>
      </w:r>
      <w:r w:rsidRPr="00132326">
        <w:rPr>
          <w:rFonts w:ascii="Calibri Light" w:eastAsia="Times New Roman" w:hAnsi="Calibri Light" w:cs="Calibri Light"/>
          <w:lang w:eastAsia="en-AU"/>
        </w:rPr>
        <w:t xml:space="preserve">sectors. </w:t>
      </w:r>
      <w:bookmarkStart w:id="79" w:name="_Hlk128565252"/>
      <w:r w:rsidR="00132326" w:rsidRPr="00132326">
        <w:rPr>
          <w:rFonts w:ascii="Calibri Light" w:eastAsia="Times New Roman" w:hAnsi="Calibri Light" w:cs="Calibri Light"/>
          <w:lang w:eastAsia="en-AU"/>
        </w:rPr>
        <w:t>The Government is currently considering options for regulating BNPL products, including the introduction of licensing obligations.</w:t>
      </w:r>
      <w:bookmarkEnd w:id="79"/>
    </w:p>
    <w:p w14:paraId="12038ACE" w14:textId="2B08B4CC" w:rsidR="00B63AF4" w:rsidRPr="00293B59"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These costs are allocated </w:t>
      </w:r>
      <w:r w:rsidR="00042A11" w:rsidRPr="45E69C77">
        <w:rPr>
          <w:rFonts w:ascii="Calibri Light" w:eastAsia="Times New Roman" w:hAnsi="Calibri Light" w:cs="Calibri Light"/>
          <w:lang w:eastAsia="en-AU"/>
        </w:rPr>
        <w:t xml:space="preserve">to </w:t>
      </w:r>
      <w:r w:rsidRPr="45E69C77">
        <w:rPr>
          <w:rFonts w:ascii="Calibri Light" w:eastAsia="Times New Roman" w:hAnsi="Calibri Light" w:cs="Calibri Light"/>
          <w:lang w:eastAsia="en-AU"/>
        </w:rPr>
        <w:t>(and recovered from</w:t>
      </w:r>
      <w:r w:rsidR="00042A11" w:rsidRPr="45E69C77">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adjacent</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and existing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which are already licenced and regulated via levies</w:t>
      </w:r>
      <w:r w:rsidR="007566DC">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w:t>
      </w:r>
      <w:r w:rsidR="007566DC">
        <w:rPr>
          <w:rFonts w:ascii="Calibri Light" w:eastAsia="Times New Roman" w:hAnsi="Calibri Light" w:cs="Calibri Light"/>
          <w:lang w:eastAsia="en-AU"/>
        </w:rPr>
        <w:t>F</w:t>
      </w:r>
      <w:r w:rsidRPr="45E69C77">
        <w:rPr>
          <w:rFonts w:ascii="Calibri Light" w:eastAsia="Times New Roman" w:hAnsi="Calibri Light" w:cs="Calibri Light"/>
          <w:lang w:eastAsia="en-AU"/>
        </w:rPr>
        <w:t xml:space="preserve">or example, regulatory activity relating to BNPL is recovered from the credit </w:t>
      </w:r>
      <w:r w:rsidR="00042A11" w:rsidRPr="45E69C77">
        <w:rPr>
          <w:rFonts w:ascii="Calibri Light" w:eastAsia="Times New Roman" w:hAnsi="Calibri Light" w:cs="Calibri Light"/>
          <w:lang w:eastAsia="en-AU"/>
        </w:rPr>
        <w:t xml:space="preserve">providers </w:t>
      </w:r>
      <w:r w:rsidRPr="45E69C77">
        <w:rPr>
          <w:rFonts w:ascii="Calibri Light" w:eastAsia="Times New Roman" w:hAnsi="Calibri Light" w:cs="Calibri Light"/>
          <w:lang w:eastAsia="en-AU"/>
        </w:rPr>
        <w:t>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It is the responsibility of ASIC to determine the adjacent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w:t>
      </w:r>
      <w:r w:rsidR="00592FBC">
        <w:rPr>
          <w:rFonts w:ascii="Calibri Light" w:eastAsia="Times New Roman" w:hAnsi="Calibri Light" w:cs="Calibri Light"/>
          <w:lang w:eastAsia="en-AU"/>
        </w:rPr>
        <w:t>(</w:t>
      </w:r>
      <w:r w:rsidRPr="45E69C77">
        <w:rPr>
          <w:rFonts w:ascii="Calibri Light" w:eastAsia="Times New Roman" w:hAnsi="Calibri Light" w:cs="Calibri Light"/>
          <w:lang w:eastAsia="en-AU"/>
        </w:rPr>
        <w:t>s</w:t>
      </w:r>
      <w:r w:rsidR="00592FBC">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to apportion these types of costs.</w:t>
      </w:r>
    </w:p>
    <w:p w14:paraId="2CF0B9DC" w14:textId="77777777" w:rsidR="00B63AF4" w:rsidRDefault="00B63AF4" w:rsidP="00B63AF4">
      <w:pPr>
        <w:pStyle w:val="Heading4"/>
      </w:pPr>
      <w:r>
        <w:t>Analysis and findings</w:t>
      </w:r>
    </w:p>
    <w:p w14:paraId="2A16E92A" w14:textId="45B8404F"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 Review finds that the current approach of allocating costs to </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adjacent</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existing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w:t>
      </w:r>
      <w:r w:rsidR="002A447C">
        <w:rPr>
          <w:rFonts w:ascii="Calibri Light" w:eastAsia="Times New Roman" w:hAnsi="Calibri Light" w:cs="Calibri Light"/>
          <w:lang w:eastAsia="en-AU"/>
        </w:rPr>
        <w:t>(s)</w:t>
      </w:r>
      <w:r w:rsidRPr="45E69C77">
        <w:rPr>
          <w:rFonts w:ascii="Calibri Light" w:eastAsia="Times New Roman" w:hAnsi="Calibri Light" w:cs="Calibri Light"/>
          <w:lang w:eastAsia="en-AU"/>
        </w:rPr>
        <w:t xml:space="preserve"> does not align with the principle that those entities in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who cause the need for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regulatory effort should be charged for it. </w:t>
      </w:r>
    </w:p>
    <w:p w14:paraId="15BE702C" w14:textId="1A14A52C"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This regulatory work supports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responsibility, alongside Government, to maintain Australia</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regulatory framework for financial services and ensure the integrity of the system overall. </w:t>
      </w:r>
    </w:p>
    <w:p w14:paraId="088CFA26" w14:textId="70DC6963" w:rsidR="00B63AF4" w:rsidRPr="001F7E53"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Therefore, the Review finds that costs relating to regulating emerging sectors and providers should be allocated across </w:t>
      </w:r>
      <w:r w:rsidR="00EB53AE">
        <w:rPr>
          <w:rFonts w:ascii="Calibri Light" w:eastAsia="Times New Roman" w:hAnsi="Calibri Light" w:cs="Calibri Light"/>
          <w:lang w:eastAsia="en-AU"/>
        </w:rPr>
        <w:t xml:space="preserve">and recovered from </w:t>
      </w:r>
      <w:r w:rsidRPr="45E69C77">
        <w:rPr>
          <w:rFonts w:ascii="Calibri Light" w:eastAsia="Times New Roman" w:hAnsi="Calibri Light" w:cs="Calibri Light"/>
          <w:lang w:eastAsia="en-AU"/>
        </w:rPr>
        <w:t>all of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regulated population in recognition of the wider industry benefits of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regulatory activity. </w:t>
      </w:r>
    </w:p>
    <w:p w14:paraId="3A96CE17" w14:textId="418209A6" w:rsidR="00EC2115" w:rsidRDefault="00EC2115" w:rsidP="00EC2115">
      <w:pPr>
        <w:pStyle w:val="numberedtext"/>
        <w:numPr>
          <w:ilvl w:val="0"/>
          <w:numId w:val="14"/>
        </w:numPr>
        <w:tabs>
          <w:tab w:val="left" w:pos="709"/>
        </w:tabs>
        <w:ind w:hanging="720"/>
        <w:rPr>
          <w:rFonts w:ascii="Calibri Light" w:eastAsia="Times New Roman" w:hAnsi="Calibri Light" w:cs="Calibri Light"/>
          <w:lang w:eastAsia="en-AU"/>
        </w:rPr>
      </w:pPr>
      <w:r w:rsidRPr="0092282D">
        <w:rPr>
          <w:rFonts w:ascii="Calibri Light" w:eastAsia="Times New Roman" w:hAnsi="Calibri Light" w:cs="Calibri Light"/>
          <w:lang w:eastAsia="en-AU"/>
        </w:rPr>
        <w:t xml:space="preserve">This </w:t>
      </w:r>
      <w:r>
        <w:rPr>
          <w:rFonts w:ascii="Calibri Light" w:eastAsia="Times New Roman" w:hAnsi="Calibri Light" w:cs="Calibri Light"/>
          <w:lang w:eastAsia="en-AU"/>
        </w:rPr>
        <w:t xml:space="preserve">may </w:t>
      </w:r>
      <w:r w:rsidRPr="0092282D">
        <w:rPr>
          <w:rFonts w:ascii="Calibri Light" w:eastAsia="Times New Roman" w:hAnsi="Calibri Light" w:cs="Calibri Light"/>
          <w:lang w:eastAsia="en-AU"/>
        </w:rPr>
        <w:t>require changes to</w:t>
      </w:r>
      <w:r>
        <w:rPr>
          <w:rFonts w:ascii="Calibri Light" w:eastAsia="Times New Roman" w:hAnsi="Calibri Light" w:cs="Calibri Light"/>
          <w:lang w:eastAsia="en-AU"/>
        </w:rPr>
        <w:t xml:space="preserve"> the principles set out in sub</w:t>
      </w:r>
      <w:r w:rsidR="00BD190B">
        <w:rPr>
          <w:rFonts w:ascii="Calibri Light" w:eastAsia="Times New Roman" w:hAnsi="Calibri Light" w:cs="Calibri Light"/>
          <w:lang w:eastAsia="en-AU"/>
        </w:rPr>
        <w:noBreakHyphen/>
      </w:r>
      <w:r>
        <w:rPr>
          <w:rFonts w:ascii="Calibri Light" w:eastAsia="Times New Roman" w:hAnsi="Calibri Light" w:cs="Calibri Light"/>
          <w:lang w:eastAsia="en-AU"/>
        </w:rPr>
        <w:t xml:space="preserve">section 10(7) of the </w:t>
      </w:r>
      <w:r w:rsidRPr="0070297C">
        <w:rPr>
          <w:rFonts w:ascii="Calibri Light" w:eastAsia="Times New Roman" w:hAnsi="Calibri Light" w:cs="Calibri Light"/>
          <w:lang w:eastAsia="en-AU"/>
        </w:rPr>
        <w:t>Cost Recovery Levy Act</w:t>
      </w:r>
      <w:r>
        <w:rPr>
          <w:rFonts w:ascii="Calibri Light" w:eastAsia="Times New Roman" w:hAnsi="Calibri Light" w:cs="Calibri Light"/>
          <w:lang w:eastAsia="en-AU"/>
        </w:rPr>
        <w:t xml:space="preserve"> </w:t>
      </w:r>
      <w:r w:rsidRPr="0092282D">
        <w:rPr>
          <w:rFonts w:ascii="Calibri Light" w:eastAsia="Times New Roman" w:hAnsi="Calibri Light" w:cs="Calibri Light"/>
          <w:lang w:eastAsia="en-AU"/>
        </w:rPr>
        <w:t xml:space="preserve">to be implemented. </w:t>
      </w:r>
      <w:r>
        <w:rPr>
          <w:rFonts w:ascii="Calibri Light" w:eastAsia="Times New Roman" w:hAnsi="Calibri Light" w:cs="Calibri Light"/>
          <w:lang w:eastAsia="en-AU"/>
        </w:rPr>
        <w:t>I</w:t>
      </w:r>
      <w:r w:rsidRPr="0092282D">
        <w:rPr>
          <w:rFonts w:ascii="Calibri Light" w:eastAsia="Times New Roman" w:hAnsi="Calibri Light" w:cs="Calibri Light"/>
          <w:lang w:eastAsia="en-AU"/>
        </w:rPr>
        <w:t>t may</w:t>
      </w:r>
      <w:r>
        <w:rPr>
          <w:rFonts w:ascii="Calibri Light" w:eastAsia="Times New Roman" w:hAnsi="Calibri Light" w:cs="Calibri Light"/>
          <w:lang w:eastAsia="en-AU"/>
        </w:rPr>
        <w:t xml:space="preserve"> also</w:t>
      </w:r>
      <w:r w:rsidRPr="0092282D">
        <w:rPr>
          <w:rFonts w:ascii="Calibri Light" w:eastAsia="Times New Roman" w:hAnsi="Calibri Light" w:cs="Calibri Light"/>
          <w:lang w:eastAsia="en-AU"/>
        </w:rPr>
        <w:t xml:space="preserve"> require changes to ASIC</w:t>
      </w:r>
      <w:r w:rsidR="00BD190B">
        <w:rPr>
          <w:rFonts w:ascii="Calibri Light" w:eastAsia="Times New Roman" w:hAnsi="Calibri Light" w:cs="Calibri Light"/>
          <w:lang w:eastAsia="en-AU"/>
        </w:rPr>
        <w:t>’</w:t>
      </w:r>
      <w:r w:rsidRPr="0092282D">
        <w:rPr>
          <w:rFonts w:ascii="Calibri Light" w:eastAsia="Times New Roman" w:hAnsi="Calibri Light" w:cs="Calibri Light"/>
          <w:lang w:eastAsia="en-AU"/>
        </w:rPr>
        <w:t xml:space="preserve">s time measurement system as ASIC does not currently track this at an activity level. </w:t>
      </w:r>
    </w:p>
    <w:p w14:paraId="6E367932" w14:textId="77777777" w:rsidR="00395290" w:rsidRPr="0092282D" w:rsidRDefault="00395290" w:rsidP="00395290">
      <w:pPr>
        <w:pStyle w:val="numberedtext"/>
        <w:tabs>
          <w:tab w:val="left" w:pos="709"/>
        </w:tabs>
        <w:ind w:firstLine="0"/>
        <w:rPr>
          <w:rFonts w:ascii="Calibri Light" w:eastAsia="Times New Roman" w:hAnsi="Calibri Light" w:cs="Calibri Light"/>
          <w:lang w:eastAsia="en-AU"/>
        </w:rPr>
      </w:pPr>
    </w:p>
    <w:tbl>
      <w:tblPr>
        <w:tblStyle w:val="Style1"/>
        <w:tblW w:w="5000" w:type="pct"/>
        <w:tblLook w:val="04A0" w:firstRow="1" w:lastRow="0" w:firstColumn="1" w:lastColumn="0" w:noHBand="0" w:noVBand="1"/>
      </w:tblPr>
      <w:tblGrid>
        <w:gridCol w:w="9072"/>
      </w:tblGrid>
      <w:tr w:rsidR="0038142E" w14:paraId="47289F84" w14:textId="77777777" w:rsidTr="008D7B9C">
        <w:tc>
          <w:tcPr>
            <w:tcW w:w="5000" w:type="pct"/>
          </w:tcPr>
          <w:p w14:paraId="7D4C6818" w14:textId="34F69C76" w:rsidR="0038142E" w:rsidRPr="00DC3CE9" w:rsidRDefault="0038142E" w:rsidP="00A848E0">
            <w:pPr>
              <w:pStyle w:val="BoxHeading"/>
            </w:pPr>
            <w:r w:rsidRPr="00DC3CE9">
              <w:t xml:space="preserve">Key finding </w:t>
            </w:r>
          </w:p>
          <w:p w14:paraId="774257A0" w14:textId="2A32DC06" w:rsidR="0038142E" w:rsidRPr="00A93864" w:rsidRDefault="0060139D" w:rsidP="0038142E">
            <w:pPr>
              <w:pStyle w:val="BoxText"/>
              <w:rPr>
                <w:bCs/>
                <w:szCs w:val="22"/>
              </w:rPr>
            </w:pPr>
            <w:r w:rsidRPr="0060139D">
              <w:rPr>
                <w:bCs/>
                <w:szCs w:val="22"/>
              </w:rPr>
              <w:t xml:space="preserve">The recovery of costs relating to </w:t>
            </w:r>
            <w:r>
              <w:rPr>
                <w:bCs/>
                <w:szCs w:val="22"/>
              </w:rPr>
              <w:t>regulating emerging sector</w:t>
            </w:r>
            <w:r w:rsidRPr="0060139D">
              <w:rPr>
                <w:bCs/>
                <w:szCs w:val="22"/>
              </w:rPr>
              <w:t xml:space="preserve"> does not align with the principle that those entities in sub</w:t>
            </w:r>
            <w:r w:rsidR="00BD190B">
              <w:rPr>
                <w:bCs/>
                <w:szCs w:val="22"/>
              </w:rPr>
              <w:noBreakHyphen/>
            </w:r>
            <w:r w:rsidRPr="0060139D">
              <w:rPr>
                <w:bCs/>
                <w:szCs w:val="22"/>
              </w:rPr>
              <w:t>sectors who cause the need for ASIC</w:t>
            </w:r>
            <w:r w:rsidR="00BD190B">
              <w:rPr>
                <w:bCs/>
                <w:szCs w:val="22"/>
              </w:rPr>
              <w:t>’</w:t>
            </w:r>
            <w:r w:rsidRPr="0060139D">
              <w:rPr>
                <w:bCs/>
                <w:szCs w:val="22"/>
              </w:rPr>
              <w:t>s regulatory effort should be charged for it</w:t>
            </w:r>
            <w:r w:rsidR="008F1E3E">
              <w:rPr>
                <w:bCs/>
                <w:szCs w:val="22"/>
              </w:rPr>
              <w:t xml:space="preserve">. Costs </w:t>
            </w:r>
            <w:r w:rsidRPr="0060139D">
              <w:rPr>
                <w:bCs/>
                <w:szCs w:val="22"/>
              </w:rPr>
              <w:t xml:space="preserve">should be recovered based on the regulated population that benefits from this regulatory activity. The Review finds that the benefits of this regulatory activity extend </w:t>
            </w:r>
            <w:r w:rsidR="00A93864">
              <w:rPr>
                <w:bCs/>
                <w:szCs w:val="22"/>
              </w:rPr>
              <w:t>to all of ASIC</w:t>
            </w:r>
            <w:r w:rsidR="00BD190B">
              <w:rPr>
                <w:bCs/>
                <w:szCs w:val="22"/>
              </w:rPr>
              <w:t>’</w:t>
            </w:r>
            <w:r w:rsidR="00A93864">
              <w:rPr>
                <w:bCs/>
                <w:szCs w:val="22"/>
              </w:rPr>
              <w:t>s regulated population</w:t>
            </w:r>
            <w:r w:rsidR="00264966">
              <w:rPr>
                <w:bCs/>
                <w:szCs w:val="22"/>
              </w:rPr>
              <w:t xml:space="preserve"> (as it is difficult to assign benefits</w:t>
            </w:r>
            <w:r w:rsidR="00647C5E">
              <w:rPr>
                <w:bCs/>
                <w:szCs w:val="22"/>
              </w:rPr>
              <w:t xml:space="preserve"> of this activity</w:t>
            </w:r>
            <w:r w:rsidR="00264966">
              <w:rPr>
                <w:bCs/>
                <w:szCs w:val="22"/>
              </w:rPr>
              <w:t xml:space="preserve"> to specific sub</w:t>
            </w:r>
            <w:r w:rsidR="00BD190B">
              <w:rPr>
                <w:bCs/>
                <w:szCs w:val="22"/>
              </w:rPr>
              <w:noBreakHyphen/>
            </w:r>
            <w:r w:rsidR="00264966">
              <w:rPr>
                <w:bCs/>
                <w:szCs w:val="22"/>
              </w:rPr>
              <w:t>sectors)</w:t>
            </w:r>
            <w:r w:rsidR="00A93864">
              <w:rPr>
                <w:bCs/>
                <w:szCs w:val="22"/>
              </w:rPr>
              <w:t xml:space="preserve"> and</w:t>
            </w:r>
            <w:r w:rsidRPr="0060139D">
              <w:rPr>
                <w:bCs/>
                <w:szCs w:val="22"/>
              </w:rPr>
              <w:t xml:space="preserve"> should be recovered accordingly</w:t>
            </w:r>
            <w:r w:rsidR="0047601F">
              <w:rPr>
                <w:bCs/>
                <w:szCs w:val="22"/>
              </w:rPr>
              <w:t xml:space="preserve">. </w:t>
            </w:r>
          </w:p>
        </w:tc>
      </w:tr>
    </w:tbl>
    <w:p w14:paraId="69635ED1" w14:textId="77777777" w:rsidR="0038142E" w:rsidRDefault="0038142E" w:rsidP="009653BB"/>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38142E" w14:paraId="7EEACFA8" w14:textId="77777777" w:rsidTr="4FC503B7">
        <w:tc>
          <w:tcPr>
            <w:tcW w:w="5000" w:type="pct"/>
            <w:shd w:val="clear" w:color="auto" w:fill="F2F9FC"/>
            <w:hideMark/>
          </w:tcPr>
          <w:p w14:paraId="24395B6F" w14:textId="155D7A13" w:rsidR="0038142E" w:rsidRPr="00DC3CE9" w:rsidRDefault="0038142E" w:rsidP="00A848E0">
            <w:pPr>
              <w:pStyle w:val="BoxHeading"/>
            </w:pPr>
            <w:r w:rsidRPr="0032739E">
              <w:lastRenderedPageBreak/>
              <w:t>Recommendation 2</w:t>
            </w:r>
          </w:p>
          <w:p w14:paraId="47756D31" w14:textId="14DE80C5" w:rsidR="0038142E" w:rsidRPr="00DC3CE9" w:rsidRDefault="008D1B6D" w:rsidP="009F75E0">
            <w:pPr>
              <w:pStyle w:val="BoxText"/>
              <w:rPr>
                <w:sz w:val="20"/>
                <w:lang w:eastAsia="en-US"/>
              </w:rPr>
            </w:pPr>
            <w:r w:rsidRPr="008D1B6D">
              <w:t>Spread the recovery of regulatory costs relating to emerging sectors outside the existing regulatory framework across ASIC</w:t>
            </w:r>
            <w:r w:rsidR="00BD190B">
              <w:t>’</w:t>
            </w:r>
            <w:r w:rsidRPr="008D1B6D">
              <w:t>s entire regulated population based on ASIC</w:t>
            </w:r>
            <w:r w:rsidR="00BD190B">
              <w:t>’</w:t>
            </w:r>
            <w:r w:rsidRPr="008D1B6D">
              <w:t>s total regulatory effort for each sub</w:t>
            </w:r>
            <w:r w:rsidR="00BD190B">
              <w:noBreakHyphen/>
            </w:r>
            <w:r w:rsidRPr="008D1B6D">
              <w:t>sector.</w:t>
            </w:r>
          </w:p>
        </w:tc>
      </w:tr>
    </w:tbl>
    <w:p w14:paraId="4E77D5C3" w14:textId="77777777" w:rsidR="00B63AF4" w:rsidRDefault="00B63AF4" w:rsidP="00B63AF4">
      <w:pPr>
        <w:pStyle w:val="Heading3"/>
      </w:pPr>
      <w:bookmarkStart w:id="80" w:name="_Toc129270458"/>
      <w:r>
        <w:t>Capital expenditure</w:t>
      </w:r>
      <w:bookmarkEnd w:id="80"/>
    </w:p>
    <w:p w14:paraId="665072A1" w14:textId="522DFD97" w:rsidR="00B63AF4" w:rsidRPr="00293B59"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ASIC allocates its capital expenditure to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on a case</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by</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case basis determined by how many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the investment impacts. Certain projects will be recovered from the entire regulated population, with others recovered from a specific subset of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w:t>
      </w:r>
    </w:p>
    <w:p w14:paraId="374A6DB2" w14:textId="6DE2B7D2" w:rsidR="00B63AF4" w:rsidRDefault="009F1C4D"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Generally, t</w:t>
      </w:r>
      <w:r w:rsidR="00B63AF4" w:rsidRPr="45E69C77">
        <w:rPr>
          <w:rFonts w:ascii="Calibri Light" w:eastAsia="Times New Roman" w:hAnsi="Calibri Light" w:cs="Calibri Light"/>
          <w:lang w:eastAsia="en-AU"/>
        </w:rPr>
        <w:t xml:space="preserve">he recovery of capital expenditure occurs in the year in which the investment is made which means the regulated population in that year bears the cost of investment. </w:t>
      </w:r>
    </w:p>
    <w:p w14:paraId="3D5F0C06" w14:textId="77777777" w:rsidR="00B63AF4" w:rsidRDefault="00B63AF4" w:rsidP="00B63AF4">
      <w:pPr>
        <w:pStyle w:val="Heading4"/>
      </w:pPr>
      <w:r>
        <w:t xml:space="preserve">Analysis and findings </w:t>
      </w:r>
    </w:p>
    <w:p w14:paraId="025D0B2A" w14:textId="67ABC6CA" w:rsidR="00B63AF4"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 Review finds that the current approach of allocating capital expenditure costs may not always align with the principle that those who cause the need for regulation, should pay for it. </w:t>
      </w:r>
    </w:p>
    <w:p w14:paraId="4681FA96" w14:textId="2DB2E149" w:rsidR="00B63AF4" w:rsidRDefault="00D80BFA"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w:t>
      </w:r>
      <w:r w:rsidR="00B63AF4" w:rsidRPr="45E69C77">
        <w:rPr>
          <w:rFonts w:ascii="Calibri Light" w:eastAsia="Times New Roman" w:hAnsi="Calibri Light" w:cs="Calibri Light"/>
          <w:lang w:eastAsia="en-AU"/>
        </w:rPr>
        <w:t xml:space="preserve">he recovery of capital expenditure in the year in which the investment is made (which means the regulated population in that year bears the cost of investment) does not recognise that capital assets have a useful life over multiple years and benefits future regulated populations. </w:t>
      </w:r>
    </w:p>
    <w:p w14:paraId="10D44F67" w14:textId="7BFC67F0" w:rsidR="00B63AF4" w:rsidRPr="006F099E"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Therefore, the Review finds that for all capital expenditure projects, the Government consider whether to prescribe capital </w:t>
      </w:r>
      <w:r w:rsidR="00F10F1E" w:rsidRPr="45E69C77">
        <w:rPr>
          <w:rFonts w:ascii="Calibri Light" w:eastAsia="Times New Roman" w:hAnsi="Calibri Light" w:cs="Calibri Light"/>
          <w:lang w:eastAsia="en-AU"/>
        </w:rPr>
        <w:t>expenditure</w:t>
      </w:r>
      <w:r w:rsidRPr="45E69C77">
        <w:rPr>
          <w:rFonts w:ascii="Calibri Light" w:eastAsia="Times New Roman" w:hAnsi="Calibri Light" w:cs="Calibri Light"/>
          <w:lang w:eastAsia="en-AU"/>
        </w:rPr>
        <w:t xml:space="preserve"> costs to be recovered over time either based on the useful life of the asset or another time</w:t>
      </w:r>
      <w:r w:rsidR="00771A8A" w:rsidRPr="45E69C77">
        <w:rPr>
          <w:rFonts w:ascii="Calibri Light" w:eastAsia="Times New Roman" w:hAnsi="Calibri Light" w:cs="Calibri Light"/>
          <w:lang w:eastAsia="en-AU"/>
        </w:rPr>
        <w:t xml:space="preserve"> period</w:t>
      </w:r>
      <w:r w:rsidRPr="45E69C77">
        <w:rPr>
          <w:rFonts w:ascii="Calibri Light" w:eastAsia="Times New Roman" w:hAnsi="Calibri Light" w:cs="Calibri Light"/>
          <w:lang w:eastAsia="en-AU"/>
        </w:rPr>
        <w:t xml:space="preserve">. </w:t>
      </w:r>
      <w:r w:rsidRPr="00CF70A1">
        <w:rPr>
          <w:rFonts w:ascii="Calibri Light" w:eastAsia="Times New Roman" w:hAnsi="Calibri Light" w:cs="Calibri Light"/>
          <w:lang w:eastAsia="en-AU"/>
        </w:rPr>
        <w:t>In making this decision, the Government should consider</w:t>
      </w:r>
      <w:r w:rsidR="00CF70A1">
        <w:rPr>
          <w:rFonts w:ascii="Calibri Light" w:eastAsia="Times New Roman" w:hAnsi="Calibri Light" w:cs="Calibri Light"/>
          <w:lang w:eastAsia="en-AU"/>
        </w:rPr>
        <w:t xml:space="preserve"> </w:t>
      </w:r>
      <w:r w:rsidRPr="00CF70A1">
        <w:rPr>
          <w:rFonts w:ascii="Calibri Light" w:eastAsia="Times New Roman" w:hAnsi="Calibri Light" w:cs="Calibri Light"/>
          <w:lang w:eastAsia="en-AU"/>
        </w:rPr>
        <w:t xml:space="preserve">the size of the capital project and </w:t>
      </w:r>
      <w:r w:rsidR="00CF70A1">
        <w:rPr>
          <w:rFonts w:ascii="Calibri Light" w:eastAsia="Times New Roman" w:hAnsi="Calibri Light" w:cs="Calibri Light"/>
          <w:lang w:eastAsia="en-AU"/>
        </w:rPr>
        <w:t>the impact it will have on the sub</w:t>
      </w:r>
      <w:r w:rsidR="00BD190B">
        <w:rPr>
          <w:rFonts w:ascii="Calibri Light" w:eastAsia="Times New Roman" w:hAnsi="Calibri Light" w:cs="Calibri Light"/>
          <w:lang w:eastAsia="en-AU"/>
        </w:rPr>
        <w:noBreakHyphen/>
      </w:r>
      <w:r w:rsidR="00CF70A1">
        <w:rPr>
          <w:rFonts w:ascii="Calibri Light" w:eastAsia="Times New Roman" w:hAnsi="Calibri Light" w:cs="Calibri Light"/>
          <w:lang w:eastAsia="en-AU"/>
        </w:rPr>
        <w:t>sector if c</w:t>
      </w:r>
      <w:r w:rsidR="006F099E">
        <w:rPr>
          <w:rFonts w:ascii="Calibri Light" w:eastAsia="Times New Roman" w:hAnsi="Calibri Light" w:cs="Calibri Light"/>
          <w:lang w:eastAsia="en-AU"/>
        </w:rPr>
        <w:t xml:space="preserve">osts are recovered in the year in which the investment is made. </w:t>
      </w:r>
    </w:p>
    <w:p w14:paraId="133062EF" w14:textId="49453D5F" w:rsidR="00CA0303" w:rsidRPr="00C2268A" w:rsidRDefault="00B63AF4"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This approach is consistent with other cost recovery models that recover capital expenditure over the life of an asset and is consistent with the requirements of the Charging Framework.</w:t>
      </w:r>
    </w:p>
    <w:p w14:paraId="671E4A81" w14:textId="77777777" w:rsidR="00C2268A" w:rsidRDefault="00C2268A" w:rsidP="00C2268A">
      <w:pPr>
        <w:pStyle w:val="numberedtext"/>
        <w:tabs>
          <w:tab w:val="left" w:pos="709"/>
        </w:tabs>
        <w:ind w:firstLine="0"/>
        <w:rPr>
          <w:rFonts w:ascii="Calibri Light" w:eastAsia="Times New Roman" w:hAnsi="Calibri Light" w:cs="Calibri Light"/>
          <w:szCs w:val="20"/>
          <w:lang w:eastAsia="en-AU"/>
        </w:rPr>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10166F" w14:paraId="3C5DC74E" w14:textId="77777777" w:rsidTr="009653BB">
        <w:tc>
          <w:tcPr>
            <w:tcW w:w="5000" w:type="pct"/>
            <w:shd w:val="clear" w:color="auto" w:fill="F2F9FC"/>
            <w:hideMark/>
          </w:tcPr>
          <w:p w14:paraId="51AD133A" w14:textId="13575A02" w:rsidR="0010166F" w:rsidRPr="00DC3CE9" w:rsidRDefault="0010166F" w:rsidP="00A848E0">
            <w:pPr>
              <w:pStyle w:val="BoxHeading"/>
            </w:pPr>
            <w:r w:rsidRPr="0032739E">
              <w:t>Recommendation 3</w:t>
            </w:r>
          </w:p>
          <w:p w14:paraId="77C7859D" w14:textId="440C9B25" w:rsidR="0010166F" w:rsidRDefault="00333691" w:rsidP="009F75E0">
            <w:pPr>
              <w:pStyle w:val="BoxText"/>
              <w:rPr>
                <w:lang w:eastAsia="en-US"/>
              </w:rPr>
            </w:pPr>
            <w:r>
              <w:t xml:space="preserve">The </w:t>
            </w:r>
            <w:r w:rsidR="0010166F" w:rsidRPr="00976F5C">
              <w:t xml:space="preserve">Government </w:t>
            </w:r>
            <w:r>
              <w:t>should</w:t>
            </w:r>
            <w:r w:rsidR="0010166F" w:rsidRPr="00976F5C">
              <w:t xml:space="preserve"> consider (at the time of approving a new policy proposal) whether to prescribe capital expen</w:t>
            </w:r>
            <w:r w:rsidR="00DD4053" w:rsidRPr="00976F5C">
              <w:t>d</w:t>
            </w:r>
            <w:r w:rsidR="0010166F" w:rsidRPr="00976F5C">
              <w:t>iture costs to be recovered over time either based on the useful life of the asset or another time</w:t>
            </w:r>
            <w:r w:rsidR="00E81EA6" w:rsidRPr="00976F5C">
              <w:t xml:space="preserve"> period</w:t>
            </w:r>
            <w:r w:rsidR="0010166F" w:rsidRPr="00976F5C">
              <w:t>.</w:t>
            </w:r>
          </w:p>
        </w:tc>
      </w:tr>
    </w:tbl>
    <w:p w14:paraId="6AFFC23B" w14:textId="107DF353" w:rsidR="003A2927" w:rsidRPr="00504621" w:rsidRDefault="0090745D" w:rsidP="0090745D">
      <w:pPr>
        <w:pStyle w:val="Heading2"/>
      </w:pPr>
      <w:bookmarkStart w:id="81" w:name="_Toc129270459"/>
      <w:r w:rsidRPr="005F5D43">
        <w:t xml:space="preserve">Other </w:t>
      </w:r>
      <w:r w:rsidR="00904731" w:rsidRPr="005F5D43">
        <w:t xml:space="preserve">cost recovery </w:t>
      </w:r>
      <w:r w:rsidR="007B0326" w:rsidRPr="005F5D43">
        <w:t>mechanisms</w:t>
      </w:r>
      <w:bookmarkEnd w:id="81"/>
    </w:p>
    <w:p w14:paraId="74C76414" w14:textId="665B1DAA" w:rsidR="0090745D" w:rsidRPr="00504621" w:rsidRDefault="0090745D"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While the majority of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enforcement activity costs are recovered from relevant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sectors through levies, ASIC actively seeks to recover investigation and litigation costs directly from the entity involved when it is successful in a matter before the courts. </w:t>
      </w:r>
    </w:p>
    <w:p w14:paraId="20575917" w14:textId="3B8EB4F4" w:rsidR="0090745D" w:rsidRPr="00A848E0" w:rsidRDefault="0090745D" w:rsidP="00A848E0">
      <w:pPr>
        <w:pStyle w:val="Bullet"/>
        <w:ind w:left="1004"/>
        <w:rPr>
          <w:rFonts w:eastAsia="Calibri"/>
          <w:lang w:eastAsia="en-US"/>
        </w:rPr>
      </w:pPr>
      <w:r w:rsidRPr="00A848E0">
        <w:rPr>
          <w:rFonts w:eastAsia="Calibri"/>
          <w:lang w:eastAsia="en-US"/>
        </w:rPr>
        <w:lastRenderedPageBreak/>
        <w:t xml:space="preserve">In some instances, investigation costs may be recovered from the entity involved via section 91 of the </w:t>
      </w:r>
      <w:r w:rsidR="00263542" w:rsidRPr="00A848E0">
        <w:rPr>
          <w:rFonts w:eastAsia="Calibri"/>
          <w:lang w:eastAsia="en-US"/>
        </w:rPr>
        <w:t>ASIC Act</w:t>
      </w:r>
      <w:r w:rsidRPr="00A848E0">
        <w:rPr>
          <w:rFonts w:eastAsia="Calibri"/>
          <w:lang w:eastAsia="en-US"/>
        </w:rPr>
        <w:t xml:space="preserve"> and section 319 of the </w:t>
      </w:r>
      <w:r w:rsidRPr="00A848E0">
        <w:rPr>
          <w:rFonts w:eastAsia="Calibri"/>
          <w:i/>
          <w:iCs/>
          <w:lang w:eastAsia="en-US"/>
        </w:rPr>
        <w:t xml:space="preserve">National Consumer Credit Protection Act </w:t>
      </w:r>
      <w:r w:rsidR="00052714" w:rsidRPr="00A848E0">
        <w:rPr>
          <w:rFonts w:eastAsia="Calibri"/>
          <w:i/>
          <w:iCs/>
          <w:lang w:eastAsia="en-US"/>
        </w:rPr>
        <w:t>2009</w:t>
      </w:r>
      <w:r w:rsidRPr="00A848E0">
        <w:rPr>
          <w:rFonts w:eastAsia="Calibri"/>
          <w:lang w:eastAsia="en-US"/>
        </w:rPr>
        <w:t>. All recovered costs are applied back to relevant sub</w:t>
      </w:r>
      <w:r w:rsidR="00BD190B">
        <w:rPr>
          <w:rFonts w:eastAsia="Calibri"/>
          <w:lang w:eastAsia="en-US"/>
        </w:rPr>
        <w:noBreakHyphen/>
      </w:r>
      <w:r w:rsidRPr="00A848E0">
        <w:rPr>
          <w:rFonts w:eastAsia="Calibri"/>
          <w:lang w:eastAsia="en-US"/>
        </w:rPr>
        <w:t>sectors, to offset levy amounts and are recorded as own source revenue.</w:t>
      </w:r>
    </w:p>
    <w:p w14:paraId="52018AB7" w14:textId="3D986104" w:rsidR="0090745D" w:rsidRPr="00A848E0" w:rsidRDefault="0090745D" w:rsidP="00A848E0">
      <w:pPr>
        <w:pStyle w:val="Bullet"/>
        <w:ind w:left="1004"/>
        <w:rPr>
          <w:rFonts w:eastAsia="Calibri"/>
          <w:lang w:eastAsia="en-US"/>
        </w:rPr>
      </w:pPr>
      <w:r w:rsidRPr="00A848E0">
        <w:rPr>
          <w:rFonts w:eastAsia="Calibri"/>
          <w:lang w:eastAsia="en-US"/>
        </w:rPr>
        <w:t>When ASIC pursues a matter in the courts, it seeks to have litigation costs awarded by the court if it is successful. All recovered litigation costs are applied back to relevant sub</w:t>
      </w:r>
      <w:r w:rsidR="00BD190B">
        <w:rPr>
          <w:rFonts w:eastAsia="Calibri"/>
          <w:lang w:eastAsia="en-US"/>
        </w:rPr>
        <w:noBreakHyphen/>
      </w:r>
      <w:r w:rsidRPr="00A848E0">
        <w:rPr>
          <w:rFonts w:eastAsia="Calibri"/>
          <w:lang w:eastAsia="en-US"/>
        </w:rPr>
        <w:t>sectors, to offset levy amounts and are also recorded as own source revenue.</w:t>
      </w:r>
    </w:p>
    <w:p w14:paraId="235BAD61" w14:textId="705CC855" w:rsidR="0090745D" w:rsidRPr="00504621" w:rsidRDefault="0090745D"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There is likely to be a delay between when costs are incurred and when costs are recovered under these mechanisms, which means levies for one financial year will include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enforcement costs, but with any crediting of costs likely to occur in another financial year. </w:t>
      </w:r>
    </w:p>
    <w:p w14:paraId="1539D1B7" w14:textId="3AF216FE" w:rsidR="0090745D" w:rsidRPr="0090745D" w:rsidRDefault="0090745D" w:rsidP="00904731">
      <w:pPr>
        <w:pStyle w:val="Heading3"/>
      </w:pPr>
      <w:bookmarkStart w:id="82" w:name="_Toc129270460"/>
      <w:r>
        <w:t>Analysis and findings</w:t>
      </w:r>
      <w:bookmarkEnd w:id="82"/>
    </w:p>
    <w:p w14:paraId="2C21C9BB" w14:textId="2AD4ED55" w:rsidR="0090745D" w:rsidRDefault="0090745D"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Own source revenue (which includes the recovery of investigation and litigation costs) recovers only a fraction of total enforcement costs – recovering between $4</w:t>
      </w:r>
      <w:r w:rsidRPr="45E69C77" w:rsidDel="00E16E91">
        <w:rPr>
          <w:rFonts w:ascii="Calibri Light" w:eastAsia="Times New Roman" w:hAnsi="Calibri Light" w:cs="Calibri Light"/>
          <w:lang w:eastAsia="en-AU"/>
        </w:rPr>
        <w:t xml:space="preserve"> and </w:t>
      </w:r>
      <w:r w:rsidRPr="45E69C77">
        <w:rPr>
          <w:rFonts w:ascii="Calibri Light" w:eastAsia="Times New Roman" w:hAnsi="Calibri Light" w:cs="Calibri Light"/>
          <w:lang w:eastAsia="en-AU"/>
        </w:rPr>
        <w:t>$23 million per year over</w:t>
      </w:r>
      <w:r w:rsidRPr="45E69C77" w:rsidDel="00E16E91">
        <w:rPr>
          <w:rFonts w:ascii="Calibri Light" w:eastAsia="Times New Roman" w:hAnsi="Calibri Light" w:cs="Calibri Light"/>
          <w:lang w:eastAsia="en-AU"/>
        </w:rPr>
        <w:t xml:space="preserve"> the </w:t>
      </w:r>
      <w:r w:rsidRPr="45E69C77">
        <w:rPr>
          <w:rFonts w:ascii="Calibri Light" w:eastAsia="Times New Roman" w:hAnsi="Calibri Light" w:cs="Calibri Light"/>
          <w:lang w:eastAsia="en-AU"/>
        </w:rPr>
        <w:t>life</w:t>
      </w:r>
      <w:r w:rsidRPr="45E69C77" w:rsidDel="00E16E91">
        <w:rPr>
          <w:rFonts w:ascii="Calibri Light" w:eastAsia="Times New Roman" w:hAnsi="Calibri Light" w:cs="Calibri Light"/>
          <w:lang w:eastAsia="en-AU"/>
        </w:rPr>
        <w:t xml:space="preserve"> of the IFM</w:t>
      </w:r>
      <w:r w:rsidRPr="45E69C77">
        <w:rPr>
          <w:rFonts w:ascii="Calibri Light" w:eastAsia="Times New Roman" w:hAnsi="Calibri Light" w:cs="Calibri Light"/>
          <w:lang w:eastAsia="en-AU"/>
        </w:rPr>
        <w:t xml:space="preserve"> (see Table 2.4). This means the majority of enforcement costs are recovered from the relevant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 not the individual entity that is the subject of the enforcement activity. </w:t>
      </w:r>
    </w:p>
    <w:p w14:paraId="203373A3" w14:textId="35E1A969" w:rsidR="0090745D" w:rsidRPr="007A0B14" w:rsidRDefault="0090745D"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actual amount recovered via these mechanisms will vary on a case</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by</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case basis because not all expenditure </w:t>
      </w:r>
      <w:r w:rsidR="00E200FD" w:rsidRPr="45E69C77">
        <w:rPr>
          <w:rFonts w:ascii="Calibri Light" w:eastAsia="Times New Roman" w:hAnsi="Calibri Light" w:cs="Calibri Light"/>
          <w:lang w:eastAsia="en-AU"/>
        </w:rPr>
        <w:t>will be</w:t>
      </w:r>
      <w:r w:rsidRPr="45E69C77">
        <w:rPr>
          <w:rFonts w:ascii="Calibri Light" w:eastAsia="Times New Roman" w:hAnsi="Calibri Light" w:cs="Calibri Light"/>
          <w:lang w:eastAsia="en-AU"/>
        </w:rPr>
        <w:t xml:space="preserve"> recoverable and in some instances the entity or person ASIC takes action against has insufficient assets to cover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cost</w:t>
      </w:r>
      <w:r w:rsidR="00E200FD" w:rsidRPr="45E69C77">
        <w:rPr>
          <w:rFonts w:ascii="Calibri Light" w:eastAsia="Times New Roman" w:hAnsi="Calibri Light" w:cs="Calibri Light"/>
          <w:lang w:eastAsia="en-AU"/>
        </w:rPr>
        <w:t>, despite being awarded by the courts.</w:t>
      </w:r>
    </w:p>
    <w:p w14:paraId="5218A53D" w14:textId="0D4F94B5" w:rsidR="004B50D4" w:rsidRPr="004B50D4" w:rsidRDefault="004B50D4" w:rsidP="00A848E0">
      <w:pPr>
        <w:pStyle w:val="TableMainHeading"/>
      </w:pPr>
      <w:bookmarkStart w:id="83" w:name="_Toc129270461"/>
      <w:r w:rsidRPr="004B50D4">
        <w:t>Table 2.4: ASIC own source revenue compared to total enforcement costs</w:t>
      </w:r>
      <w:bookmarkEnd w:id="83"/>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23"/>
        <w:gridCol w:w="1124"/>
        <w:gridCol w:w="1124"/>
        <w:gridCol w:w="1124"/>
        <w:gridCol w:w="1124"/>
      </w:tblGrid>
      <w:tr w:rsidR="004B50D4" w:rsidRPr="00A848E0" w14:paraId="43E886EA" w14:textId="77777777" w:rsidTr="009653BB">
        <w:trPr>
          <w:cnfStyle w:val="100000000000" w:firstRow="1" w:lastRow="0" w:firstColumn="0" w:lastColumn="0" w:oddVBand="0" w:evenVBand="0" w:oddHBand="0" w:evenHBand="0" w:firstRowFirstColumn="0" w:firstRowLastColumn="0" w:lastRowFirstColumn="0" w:lastRowLastColumn="0"/>
          <w:jc w:val="center"/>
        </w:trPr>
        <w:tc>
          <w:tcPr>
            <w:tcW w:w="3397" w:type="dxa"/>
          </w:tcPr>
          <w:p w14:paraId="066D2596" w14:textId="77777777" w:rsidR="004B50D4" w:rsidRPr="00A848E0" w:rsidRDefault="004B50D4" w:rsidP="00A848E0">
            <w:pPr>
              <w:pStyle w:val="TableColumnHeadingRight"/>
              <w:rPr>
                <w:b/>
              </w:rPr>
            </w:pPr>
          </w:p>
        </w:tc>
        <w:tc>
          <w:tcPr>
            <w:tcW w:w="1123" w:type="dxa"/>
          </w:tcPr>
          <w:p w14:paraId="2447B1DA" w14:textId="60F06BC3" w:rsidR="004B50D4" w:rsidRPr="008F2119" w:rsidRDefault="009C7ED2" w:rsidP="008F2119">
            <w:pPr>
              <w:pStyle w:val="TableColumnHeadingRight"/>
              <w:rPr>
                <w:b/>
                <w:bCs/>
              </w:rPr>
            </w:pPr>
            <w:r>
              <w:rPr>
                <w:b/>
                <w:bCs/>
              </w:rPr>
              <w:t>2017–18</w:t>
            </w:r>
          </w:p>
        </w:tc>
        <w:tc>
          <w:tcPr>
            <w:tcW w:w="1124" w:type="dxa"/>
          </w:tcPr>
          <w:p w14:paraId="6D7EC12C" w14:textId="6FD7CEDE" w:rsidR="004B50D4" w:rsidRPr="008F2119" w:rsidRDefault="009C7ED2" w:rsidP="008F2119">
            <w:pPr>
              <w:pStyle w:val="TableColumnHeadingRight"/>
              <w:rPr>
                <w:b/>
                <w:bCs/>
              </w:rPr>
            </w:pPr>
            <w:r>
              <w:rPr>
                <w:b/>
                <w:bCs/>
              </w:rPr>
              <w:t>2018–19</w:t>
            </w:r>
          </w:p>
        </w:tc>
        <w:tc>
          <w:tcPr>
            <w:tcW w:w="1124" w:type="dxa"/>
          </w:tcPr>
          <w:p w14:paraId="32C5B20A" w14:textId="32FB6D8A" w:rsidR="004B50D4" w:rsidRPr="008F2119" w:rsidRDefault="009C7ED2" w:rsidP="008F2119">
            <w:pPr>
              <w:pStyle w:val="TableColumnHeadingRight"/>
              <w:rPr>
                <w:b/>
                <w:bCs/>
              </w:rPr>
            </w:pPr>
            <w:r>
              <w:rPr>
                <w:b/>
                <w:bCs/>
              </w:rPr>
              <w:t>2019–20</w:t>
            </w:r>
          </w:p>
        </w:tc>
        <w:tc>
          <w:tcPr>
            <w:tcW w:w="1124" w:type="dxa"/>
          </w:tcPr>
          <w:p w14:paraId="654C099D" w14:textId="1E43A39B" w:rsidR="004B50D4" w:rsidRPr="008F2119" w:rsidRDefault="009C7ED2" w:rsidP="008F2119">
            <w:pPr>
              <w:pStyle w:val="TableColumnHeadingRight"/>
              <w:rPr>
                <w:b/>
                <w:bCs/>
              </w:rPr>
            </w:pPr>
            <w:r>
              <w:rPr>
                <w:b/>
                <w:bCs/>
              </w:rPr>
              <w:t>2020–21</w:t>
            </w:r>
          </w:p>
        </w:tc>
        <w:tc>
          <w:tcPr>
            <w:tcW w:w="1124" w:type="dxa"/>
          </w:tcPr>
          <w:p w14:paraId="3119C006" w14:textId="0FCCBCC3" w:rsidR="004B50D4" w:rsidRPr="008F2119" w:rsidRDefault="009C7ED2" w:rsidP="008F2119">
            <w:pPr>
              <w:pStyle w:val="TableColumnHeadingRight"/>
              <w:rPr>
                <w:b/>
                <w:bCs/>
              </w:rPr>
            </w:pPr>
            <w:r>
              <w:rPr>
                <w:b/>
                <w:bCs/>
              </w:rPr>
              <w:t>2021–22</w:t>
            </w:r>
          </w:p>
        </w:tc>
      </w:tr>
      <w:tr w:rsidR="004B50D4" w:rsidRPr="000F5316" w14:paraId="0405118E" w14:textId="77777777" w:rsidTr="009653BB">
        <w:trPr>
          <w:jc w:val="center"/>
        </w:trPr>
        <w:tc>
          <w:tcPr>
            <w:tcW w:w="3397" w:type="dxa"/>
          </w:tcPr>
          <w:p w14:paraId="26F3B96F" w14:textId="77777777" w:rsidR="004B50D4" w:rsidRPr="004B50D4" w:rsidRDefault="004B50D4" w:rsidP="00A848E0">
            <w:pPr>
              <w:pStyle w:val="TableTextLeft"/>
            </w:pPr>
            <w:r w:rsidRPr="004B50D4">
              <w:t>Total ASIC enforcement costs</w:t>
            </w:r>
          </w:p>
          <w:p w14:paraId="6F1DA82B" w14:textId="77777777" w:rsidR="004B50D4" w:rsidRPr="004B50D4" w:rsidRDefault="004B50D4" w:rsidP="00A848E0">
            <w:pPr>
              <w:pStyle w:val="TableTextLeft"/>
            </w:pPr>
            <w:r w:rsidRPr="004B50D4">
              <w:t xml:space="preserve">($ million) </w:t>
            </w:r>
          </w:p>
        </w:tc>
        <w:tc>
          <w:tcPr>
            <w:tcW w:w="1123" w:type="dxa"/>
            <w:vAlign w:val="center"/>
          </w:tcPr>
          <w:p w14:paraId="5FC97972" w14:textId="77777777" w:rsidR="004B50D4" w:rsidRPr="000F5316" w:rsidRDefault="004B50D4" w:rsidP="00A848E0">
            <w:pPr>
              <w:pStyle w:val="TableTextRight"/>
            </w:pPr>
            <w:r w:rsidRPr="000F5316">
              <w:t>67.5</w:t>
            </w:r>
          </w:p>
        </w:tc>
        <w:tc>
          <w:tcPr>
            <w:tcW w:w="1124" w:type="dxa"/>
            <w:vAlign w:val="center"/>
          </w:tcPr>
          <w:p w14:paraId="4F45061F" w14:textId="77777777" w:rsidR="004B50D4" w:rsidRPr="000F5316" w:rsidRDefault="004B50D4" w:rsidP="00A848E0">
            <w:pPr>
              <w:pStyle w:val="TableTextRight"/>
            </w:pPr>
            <w:r w:rsidRPr="000F5316">
              <w:t>75.6</w:t>
            </w:r>
          </w:p>
        </w:tc>
        <w:tc>
          <w:tcPr>
            <w:tcW w:w="1124" w:type="dxa"/>
            <w:vAlign w:val="center"/>
          </w:tcPr>
          <w:p w14:paraId="2608A8D5" w14:textId="77777777" w:rsidR="004B50D4" w:rsidRPr="000F5316" w:rsidRDefault="004B50D4" w:rsidP="00A848E0">
            <w:pPr>
              <w:pStyle w:val="TableTextRight"/>
            </w:pPr>
            <w:r w:rsidRPr="000F5316">
              <w:t>83.6</w:t>
            </w:r>
          </w:p>
        </w:tc>
        <w:tc>
          <w:tcPr>
            <w:tcW w:w="1124" w:type="dxa"/>
            <w:vAlign w:val="center"/>
          </w:tcPr>
          <w:p w14:paraId="3541B77D" w14:textId="441FE979" w:rsidR="004B50D4" w:rsidRPr="000F5316" w:rsidRDefault="004B50D4" w:rsidP="00A848E0">
            <w:pPr>
              <w:pStyle w:val="TableTextRight"/>
            </w:pPr>
            <w:r w:rsidRPr="000F5316">
              <w:t>110</w:t>
            </w:r>
            <w:r w:rsidR="008701C7">
              <w:t>.0</w:t>
            </w:r>
            <w:r w:rsidRPr="000F5316">
              <w:t>*</w:t>
            </w:r>
          </w:p>
        </w:tc>
        <w:tc>
          <w:tcPr>
            <w:tcW w:w="1124" w:type="dxa"/>
            <w:vAlign w:val="center"/>
          </w:tcPr>
          <w:p w14:paraId="35291485" w14:textId="77777777" w:rsidR="004B50D4" w:rsidRPr="000F5316" w:rsidRDefault="004B50D4" w:rsidP="00A848E0">
            <w:pPr>
              <w:pStyle w:val="TableTextRight"/>
            </w:pPr>
            <w:r w:rsidRPr="000F5316">
              <w:t>130.5*</w:t>
            </w:r>
          </w:p>
        </w:tc>
      </w:tr>
      <w:tr w:rsidR="004B50D4" w:rsidRPr="000F5316" w14:paraId="2381CB07" w14:textId="77777777" w:rsidTr="009653BB">
        <w:trPr>
          <w:jc w:val="center"/>
        </w:trPr>
        <w:tc>
          <w:tcPr>
            <w:tcW w:w="3397" w:type="dxa"/>
          </w:tcPr>
          <w:p w14:paraId="517F22E4" w14:textId="77777777" w:rsidR="004B50D4" w:rsidRPr="004B50D4" w:rsidRDefault="004B50D4" w:rsidP="00A848E0">
            <w:pPr>
              <w:pStyle w:val="TableTextLeft"/>
            </w:pPr>
            <w:r w:rsidRPr="004B50D4">
              <w:t>Total own source revenue</w:t>
            </w:r>
          </w:p>
          <w:p w14:paraId="156A6869" w14:textId="77777777" w:rsidR="004B50D4" w:rsidRPr="004B50D4" w:rsidRDefault="004B50D4" w:rsidP="00A848E0">
            <w:pPr>
              <w:pStyle w:val="TableTextLeft"/>
            </w:pPr>
            <w:r w:rsidRPr="004B50D4">
              <w:t>($ million)</w:t>
            </w:r>
          </w:p>
        </w:tc>
        <w:tc>
          <w:tcPr>
            <w:tcW w:w="1123" w:type="dxa"/>
            <w:vAlign w:val="center"/>
          </w:tcPr>
          <w:p w14:paraId="2E3446FB" w14:textId="77777777" w:rsidR="004B50D4" w:rsidRPr="000F5316" w:rsidRDefault="004B50D4" w:rsidP="00A848E0">
            <w:pPr>
              <w:pStyle w:val="TableTextRight"/>
            </w:pPr>
            <w:r w:rsidRPr="000F5316">
              <w:t>16.1</w:t>
            </w:r>
          </w:p>
        </w:tc>
        <w:tc>
          <w:tcPr>
            <w:tcW w:w="1124" w:type="dxa"/>
            <w:vAlign w:val="center"/>
          </w:tcPr>
          <w:p w14:paraId="2693E5EC" w14:textId="77777777" w:rsidR="004B50D4" w:rsidRPr="000F5316" w:rsidRDefault="004B50D4" w:rsidP="00A848E0">
            <w:pPr>
              <w:pStyle w:val="TableTextRight"/>
            </w:pPr>
            <w:r w:rsidRPr="000F5316">
              <w:t>7.2</w:t>
            </w:r>
          </w:p>
        </w:tc>
        <w:tc>
          <w:tcPr>
            <w:tcW w:w="1124" w:type="dxa"/>
            <w:vAlign w:val="center"/>
          </w:tcPr>
          <w:p w14:paraId="12E8674D" w14:textId="77777777" w:rsidR="004B50D4" w:rsidRPr="000F5316" w:rsidRDefault="004B50D4" w:rsidP="00A848E0">
            <w:pPr>
              <w:pStyle w:val="TableTextRight"/>
            </w:pPr>
            <w:r w:rsidRPr="000F5316">
              <w:t>4.6</w:t>
            </w:r>
          </w:p>
        </w:tc>
        <w:tc>
          <w:tcPr>
            <w:tcW w:w="1124" w:type="dxa"/>
            <w:vAlign w:val="center"/>
          </w:tcPr>
          <w:p w14:paraId="78CFC345" w14:textId="77777777" w:rsidR="004B50D4" w:rsidRPr="000F5316" w:rsidRDefault="004B50D4" w:rsidP="00A848E0">
            <w:pPr>
              <w:pStyle w:val="TableTextRight"/>
            </w:pPr>
            <w:r w:rsidRPr="000F5316">
              <w:t>6.5*</w:t>
            </w:r>
          </w:p>
        </w:tc>
        <w:tc>
          <w:tcPr>
            <w:tcW w:w="1124" w:type="dxa"/>
            <w:vAlign w:val="center"/>
          </w:tcPr>
          <w:p w14:paraId="55832726" w14:textId="77777777" w:rsidR="004B50D4" w:rsidRPr="000F5316" w:rsidRDefault="004B50D4" w:rsidP="00A848E0">
            <w:pPr>
              <w:pStyle w:val="TableTextRight"/>
            </w:pPr>
            <w:r w:rsidRPr="000F5316">
              <w:t>23.3*</w:t>
            </w:r>
          </w:p>
        </w:tc>
      </w:tr>
      <w:tr w:rsidR="004B50D4" w:rsidRPr="000F5316" w14:paraId="4B1E8ED7" w14:textId="77777777" w:rsidTr="009653BB">
        <w:trPr>
          <w:jc w:val="center"/>
        </w:trPr>
        <w:tc>
          <w:tcPr>
            <w:tcW w:w="3397" w:type="dxa"/>
          </w:tcPr>
          <w:p w14:paraId="45568670" w14:textId="77777777" w:rsidR="004B50D4" w:rsidRPr="004B50D4" w:rsidRDefault="004B50D4" w:rsidP="00A848E0">
            <w:pPr>
              <w:pStyle w:val="TableTextLeft"/>
            </w:pPr>
            <w:r w:rsidRPr="004B50D4">
              <w:t>Own source revenue as a percentage of enforcement costs (%)</w:t>
            </w:r>
          </w:p>
        </w:tc>
        <w:tc>
          <w:tcPr>
            <w:tcW w:w="1123" w:type="dxa"/>
            <w:vAlign w:val="center"/>
          </w:tcPr>
          <w:p w14:paraId="237047B0" w14:textId="77777777" w:rsidR="004B50D4" w:rsidRPr="000F5316" w:rsidRDefault="004B50D4" w:rsidP="00A848E0">
            <w:pPr>
              <w:pStyle w:val="TableTextRight"/>
            </w:pPr>
            <w:r w:rsidRPr="000F5316">
              <w:t>23.8</w:t>
            </w:r>
          </w:p>
        </w:tc>
        <w:tc>
          <w:tcPr>
            <w:tcW w:w="1124" w:type="dxa"/>
            <w:vAlign w:val="center"/>
          </w:tcPr>
          <w:p w14:paraId="257AEBFA" w14:textId="77777777" w:rsidR="004B50D4" w:rsidRPr="000F5316" w:rsidRDefault="004B50D4" w:rsidP="00A848E0">
            <w:pPr>
              <w:pStyle w:val="TableTextRight"/>
            </w:pPr>
            <w:r w:rsidRPr="000F5316">
              <w:t>9.5</w:t>
            </w:r>
          </w:p>
        </w:tc>
        <w:tc>
          <w:tcPr>
            <w:tcW w:w="1124" w:type="dxa"/>
            <w:vAlign w:val="center"/>
          </w:tcPr>
          <w:p w14:paraId="77BBA2C5" w14:textId="77777777" w:rsidR="004B50D4" w:rsidRPr="000F5316" w:rsidRDefault="004B50D4" w:rsidP="00A848E0">
            <w:pPr>
              <w:pStyle w:val="TableTextRight"/>
            </w:pPr>
            <w:r w:rsidRPr="000F5316">
              <w:t>5.5</w:t>
            </w:r>
          </w:p>
        </w:tc>
        <w:tc>
          <w:tcPr>
            <w:tcW w:w="1124" w:type="dxa"/>
            <w:vAlign w:val="center"/>
          </w:tcPr>
          <w:p w14:paraId="74604E4F" w14:textId="77777777" w:rsidR="004B50D4" w:rsidRPr="000F5316" w:rsidRDefault="004B50D4" w:rsidP="00A848E0">
            <w:pPr>
              <w:pStyle w:val="TableTextRight"/>
            </w:pPr>
            <w:r w:rsidRPr="000F5316">
              <w:t>5.9</w:t>
            </w:r>
          </w:p>
        </w:tc>
        <w:tc>
          <w:tcPr>
            <w:tcW w:w="1124" w:type="dxa"/>
            <w:vAlign w:val="center"/>
          </w:tcPr>
          <w:p w14:paraId="2DA91886" w14:textId="77777777" w:rsidR="004B50D4" w:rsidRPr="000F5316" w:rsidRDefault="004B50D4" w:rsidP="00A848E0">
            <w:pPr>
              <w:pStyle w:val="TableTextRight"/>
            </w:pPr>
            <w:r w:rsidRPr="000F5316">
              <w:t>17.8</w:t>
            </w:r>
          </w:p>
        </w:tc>
      </w:tr>
    </w:tbl>
    <w:p w14:paraId="0BE8E307" w14:textId="491FA61A" w:rsidR="0090745D" w:rsidRDefault="0090745D" w:rsidP="00A848E0">
      <w:pPr>
        <w:pStyle w:val="ChartorTableNote"/>
      </w:pPr>
      <w:r w:rsidRPr="000F5316">
        <w:t>*The figures presented reflect amounts before levy relief was applied to the financial advice sub</w:t>
      </w:r>
      <w:r w:rsidR="00BD190B">
        <w:noBreakHyphen/>
      </w:r>
      <w:r w:rsidRPr="000F5316">
        <w:t>sector.</w:t>
      </w:r>
    </w:p>
    <w:p w14:paraId="32F86C1D" w14:textId="77777777" w:rsidR="00A848E0" w:rsidRPr="00A848E0" w:rsidRDefault="00A848E0" w:rsidP="00A848E0">
      <w:pPr>
        <w:pStyle w:val="SingleParagraph"/>
      </w:pPr>
    </w:p>
    <w:p w14:paraId="23F5C28A" w14:textId="0BF491F5" w:rsidR="005418D4" w:rsidRPr="005418D4" w:rsidRDefault="000F5316" w:rsidP="000F7448">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During consultation, s</w:t>
      </w:r>
      <w:r w:rsidR="0090745D" w:rsidRPr="45E69C77">
        <w:rPr>
          <w:rFonts w:ascii="Calibri Light" w:eastAsia="Times New Roman" w:hAnsi="Calibri Light" w:cs="Calibri Light"/>
          <w:lang w:eastAsia="en-AU"/>
        </w:rPr>
        <w:t xml:space="preserve">takeholders </w:t>
      </w:r>
      <w:r w:rsidRPr="45E69C77">
        <w:rPr>
          <w:rFonts w:ascii="Calibri Light" w:eastAsia="Times New Roman" w:hAnsi="Calibri Light" w:cs="Calibri Light"/>
          <w:lang w:eastAsia="en-AU"/>
        </w:rPr>
        <w:t xml:space="preserve">suggested that entities subject to enforcement should pay for those costs rather than </w:t>
      </w:r>
      <w:r w:rsidR="004B50D4" w:rsidRPr="45E69C77">
        <w:rPr>
          <w:rFonts w:ascii="Calibri Light" w:eastAsia="Times New Roman" w:hAnsi="Calibri Light" w:cs="Calibri Light"/>
          <w:lang w:eastAsia="en-AU"/>
        </w:rPr>
        <w:t>being subsidised by other entities in the sub</w:t>
      </w:r>
      <w:r w:rsidR="00BD190B">
        <w:rPr>
          <w:rFonts w:ascii="Calibri Light" w:eastAsia="Times New Roman" w:hAnsi="Calibri Light" w:cs="Calibri Light"/>
          <w:lang w:eastAsia="en-AU"/>
        </w:rPr>
        <w:noBreakHyphen/>
      </w:r>
      <w:r w:rsidR="004B50D4" w:rsidRPr="45E69C77">
        <w:rPr>
          <w:rFonts w:ascii="Calibri Light" w:eastAsia="Times New Roman" w:hAnsi="Calibri Light" w:cs="Calibri Light"/>
          <w:lang w:eastAsia="en-AU"/>
        </w:rPr>
        <w:t xml:space="preserve">sector. </w:t>
      </w:r>
    </w:p>
    <w:p w14:paraId="01A9C2F9" w14:textId="464734E7" w:rsidR="00904731" w:rsidRPr="000F7448" w:rsidRDefault="00904731" w:rsidP="000F7448">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recovery of enforcement costs solely from entities subject to enforcement activity would introduce additional complexity and administrative costs into the model that would likely outweigh the benefits of more targeted recovery</w:t>
      </w:r>
      <w:r w:rsidR="00935222">
        <w:rPr>
          <w:rFonts w:ascii="Calibri Light" w:eastAsia="Times New Roman" w:hAnsi="Calibri Light" w:cs="Calibri Light"/>
          <w:lang w:eastAsia="en-AU"/>
        </w:rPr>
        <w:t>,</w:t>
      </w:r>
      <w:r w:rsidRPr="000F7448">
        <w:rPr>
          <w:rFonts w:ascii="Calibri Light" w:eastAsia="Times New Roman" w:hAnsi="Calibri Light" w:cs="Calibri Light"/>
          <w:lang w:eastAsia="en-AU"/>
        </w:rPr>
        <w:t xml:space="preserve"> noting there would be circumstances in which the entity involved cannot pay the costs. </w:t>
      </w:r>
    </w:p>
    <w:p w14:paraId="5CA43357" w14:textId="72466256" w:rsidR="00904731" w:rsidRPr="00904731"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Stakeholders have also</w:t>
      </w:r>
      <w:r w:rsidR="0090745D" w:rsidRPr="45E69C77">
        <w:rPr>
          <w:rFonts w:ascii="Calibri Light" w:eastAsia="Times New Roman" w:hAnsi="Calibri Light" w:cs="Calibri Light"/>
          <w:lang w:eastAsia="en-AU"/>
        </w:rPr>
        <w:t xml:space="preserve"> frequently suggested that court</w:t>
      </w:r>
      <w:r w:rsidR="00BD190B">
        <w:rPr>
          <w:rFonts w:ascii="Calibri Light" w:eastAsia="Times New Roman" w:hAnsi="Calibri Light" w:cs="Calibri Light"/>
          <w:lang w:eastAsia="en-AU"/>
        </w:rPr>
        <w:noBreakHyphen/>
      </w:r>
      <w:r w:rsidR="0090745D" w:rsidRPr="45E69C77">
        <w:rPr>
          <w:rFonts w:ascii="Calibri Light" w:eastAsia="Times New Roman" w:hAnsi="Calibri Light" w:cs="Calibri Light"/>
          <w:lang w:eastAsia="en-AU"/>
        </w:rPr>
        <w:t xml:space="preserve">awarded penalties and fines should also be used to offset industry levies in the same manner as own source revenue. </w:t>
      </w:r>
    </w:p>
    <w:p w14:paraId="174D18EA" w14:textId="31D08548" w:rsidR="00904731" w:rsidRPr="0046539B"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Penalties are imposed as a deterrent for misconduct and </w:t>
      </w:r>
      <w:r w:rsidR="00E80177">
        <w:rPr>
          <w:rFonts w:ascii="Calibri Light" w:eastAsia="Times New Roman" w:hAnsi="Calibri Light" w:cs="Calibri Light"/>
          <w:lang w:eastAsia="en-AU"/>
        </w:rPr>
        <w:t>are not calculate with reference</w:t>
      </w:r>
      <w:r w:rsidRPr="45E69C77">
        <w:rPr>
          <w:rFonts w:ascii="Calibri Light" w:eastAsia="Times New Roman" w:hAnsi="Calibri Light" w:cs="Calibri Light"/>
          <w:lang w:eastAsia="en-AU"/>
        </w:rPr>
        <w:t xml:space="preserve"> to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regulatory costs. This is consistent with the treatment of penalties and fines across the Commonwealth</w:t>
      </w:r>
      <w:r w:rsidR="00353A70">
        <w:rPr>
          <w:rFonts w:ascii="Calibri Light" w:eastAsia="Times New Roman" w:hAnsi="Calibri Light" w:cs="Calibri Light"/>
          <w:lang w:eastAsia="en-AU"/>
        </w:rPr>
        <w:t>, which are returned to the CRF.</w:t>
      </w:r>
      <w:r w:rsidRPr="45E69C77">
        <w:rPr>
          <w:rFonts w:ascii="Calibri Light" w:eastAsia="Times New Roman" w:hAnsi="Calibri Light" w:cs="Calibri Light"/>
          <w:lang w:eastAsia="en-AU"/>
        </w:rPr>
        <w:t xml:space="preserve"> </w:t>
      </w:r>
    </w:p>
    <w:p w14:paraId="0A0B8930" w14:textId="3B4FB590" w:rsidR="00904731" w:rsidRPr="00550277"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lastRenderedPageBreak/>
        <w:t>The use of fines and penalties to offset ASIC</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s regulatory costs has not been considered as part of this Review.</w:t>
      </w:r>
    </w:p>
    <w:p w14:paraId="65C52376" w14:textId="77777777" w:rsidR="00550277" w:rsidRPr="0046539B" w:rsidRDefault="00550277" w:rsidP="00232046">
      <w:pPr>
        <w:pStyle w:val="numberedtext"/>
        <w:tabs>
          <w:tab w:val="left" w:pos="709"/>
        </w:tabs>
        <w:ind w:firstLine="0"/>
        <w:rPr>
          <w:rFonts w:ascii="Calibri Light" w:eastAsia="Times New Roman" w:hAnsi="Calibri Light" w:cs="Calibri Light"/>
          <w:szCs w:val="20"/>
          <w:lang w:eastAsia="en-AU"/>
        </w:rPr>
      </w:pPr>
    </w:p>
    <w:tbl>
      <w:tblPr>
        <w:tblStyle w:val="Style1"/>
        <w:tblW w:w="5000" w:type="pct"/>
        <w:tblLook w:val="04A0" w:firstRow="1" w:lastRow="0" w:firstColumn="1" w:lastColumn="0" w:noHBand="0" w:noVBand="1"/>
      </w:tblPr>
      <w:tblGrid>
        <w:gridCol w:w="9072"/>
      </w:tblGrid>
      <w:tr w:rsidR="00904731" w14:paraId="10E845FC" w14:textId="77777777" w:rsidTr="007D3412">
        <w:tc>
          <w:tcPr>
            <w:tcW w:w="5000" w:type="pct"/>
          </w:tcPr>
          <w:p w14:paraId="3717C21F" w14:textId="2A1C7B4F" w:rsidR="00904731" w:rsidRPr="006A120E" w:rsidRDefault="00904731" w:rsidP="00A848E0">
            <w:pPr>
              <w:pStyle w:val="BoxHeading"/>
            </w:pPr>
            <w:r w:rsidRPr="006A120E">
              <w:t>Key finding</w:t>
            </w:r>
          </w:p>
          <w:p w14:paraId="257EEA1E" w14:textId="15656512" w:rsidR="00904731" w:rsidRPr="00224338" w:rsidRDefault="00904731" w:rsidP="009653BB">
            <w:pPr>
              <w:pStyle w:val="BoxText"/>
              <w:rPr>
                <w:b/>
                <w:bCs/>
                <w:szCs w:val="22"/>
              </w:rPr>
            </w:pPr>
            <w:r w:rsidRPr="006A120E">
              <w:rPr>
                <w:bCs/>
                <w:szCs w:val="22"/>
              </w:rPr>
              <w:t xml:space="preserve">ASIC is effectively using available mechanisms to recover </w:t>
            </w:r>
            <w:r w:rsidR="003471F4">
              <w:rPr>
                <w:bCs/>
                <w:szCs w:val="22"/>
              </w:rPr>
              <w:t xml:space="preserve">investigation </w:t>
            </w:r>
            <w:r w:rsidR="007A6CFC">
              <w:rPr>
                <w:bCs/>
                <w:szCs w:val="22"/>
              </w:rPr>
              <w:t xml:space="preserve">and litigation </w:t>
            </w:r>
            <w:r w:rsidRPr="006A120E">
              <w:rPr>
                <w:bCs/>
                <w:szCs w:val="22"/>
              </w:rPr>
              <w:t>costs directly from individual entities where possible. ASIC should continue to u</w:t>
            </w:r>
            <w:r w:rsidR="00D4143F">
              <w:rPr>
                <w:bCs/>
                <w:szCs w:val="22"/>
              </w:rPr>
              <w:t xml:space="preserve">se the </w:t>
            </w:r>
            <w:r w:rsidRPr="006A120E">
              <w:rPr>
                <w:bCs/>
                <w:szCs w:val="22"/>
              </w:rPr>
              <w:t>cost recovery mechanisms</w:t>
            </w:r>
            <w:r w:rsidR="00D4143F">
              <w:rPr>
                <w:bCs/>
                <w:szCs w:val="22"/>
              </w:rPr>
              <w:t>, to the fullest extent possible,</w:t>
            </w:r>
            <w:r w:rsidRPr="006A120E">
              <w:rPr>
                <w:bCs/>
                <w:szCs w:val="22"/>
              </w:rPr>
              <w:t xml:space="preserve"> to directly recover </w:t>
            </w:r>
            <w:r w:rsidR="00F10F1E" w:rsidRPr="006A120E">
              <w:rPr>
                <w:bCs/>
                <w:szCs w:val="22"/>
              </w:rPr>
              <w:t>investigation</w:t>
            </w:r>
            <w:r w:rsidRPr="006A120E">
              <w:rPr>
                <w:bCs/>
                <w:szCs w:val="22"/>
              </w:rPr>
              <w:t xml:space="preserve"> and litigation costs from those entities subject to enforcement.</w:t>
            </w:r>
          </w:p>
        </w:tc>
      </w:tr>
    </w:tbl>
    <w:p w14:paraId="2D5960A9" w14:textId="77777777" w:rsidR="005A7ECD" w:rsidRPr="00293B59" w:rsidRDefault="005A7ECD" w:rsidP="005A7ECD">
      <w:pPr>
        <w:pStyle w:val="Heading2"/>
      </w:pPr>
      <w:bookmarkStart w:id="84" w:name="_Toc129270462"/>
      <w:bookmarkStart w:id="85" w:name="_Toc125305181"/>
      <w:r w:rsidRPr="00293B59">
        <w:t>Calculation of levies</w:t>
      </w:r>
      <w:bookmarkEnd w:id="84"/>
    </w:p>
    <w:p w14:paraId="58DE073D" w14:textId="179DDE21" w:rsidR="005A7ECD" w:rsidRPr="0046539B" w:rsidRDefault="005A7ECD"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levy payable by an individual entity is determined using formulas and metrics for the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prescribed in the Cost Recovery Levy Regulations.</w:t>
      </w:r>
    </w:p>
    <w:p w14:paraId="37D44A37" w14:textId="3969487E" w:rsidR="00144C6E" w:rsidRDefault="00144C6E" w:rsidP="00144C6E">
      <w:pPr>
        <w:pStyle w:val="Heading3"/>
      </w:pPr>
      <w:bookmarkStart w:id="86" w:name="_Toc129270463"/>
      <w:bookmarkEnd w:id="85"/>
      <w:r>
        <w:t>Analysis and findings</w:t>
      </w:r>
      <w:bookmarkEnd w:id="86"/>
    </w:p>
    <w:p w14:paraId="7AD36778" w14:textId="79EBA6A2" w:rsidR="00144C6E" w:rsidRDefault="00144C6E"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type of levy and the metric for calculating the amount of levy payable is different for each industry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w:t>
      </w:r>
      <w:r w:rsidR="00C11EF4" w:rsidRPr="45E69C77">
        <w:rPr>
          <w:rFonts w:ascii="Calibri Light" w:eastAsia="Times New Roman" w:hAnsi="Calibri Light" w:cs="Calibri Light"/>
          <w:lang w:eastAsia="en-AU"/>
        </w:rPr>
        <w:t>. The type of levy and metric</w:t>
      </w:r>
      <w:r w:rsidRPr="45E69C77">
        <w:rPr>
          <w:rFonts w:ascii="Calibri Light" w:eastAsia="Times New Roman" w:hAnsi="Calibri Light" w:cs="Calibri Light"/>
          <w:lang w:eastAsia="en-AU"/>
        </w:rPr>
        <w:t xml:space="preserve"> </w:t>
      </w:r>
      <w:r w:rsidR="00DF21BB" w:rsidRPr="45E69C77">
        <w:rPr>
          <w:rFonts w:ascii="Calibri Light" w:eastAsia="Times New Roman" w:hAnsi="Calibri Light" w:cs="Calibri Light"/>
          <w:lang w:eastAsia="en-AU"/>
        </w:rPr>
        <w:t>considers</w:t>
      </w:r>
      <w:r w:rsidRPr="45E69C77">
        <w:rPr>
          <w:rFonts w:ascii="Calibri Light" w:eastAsia="Times New Roman" w:hAnsi="Calibri Light" w:cs="Calibri Light"/>
          <w:lang w:eastAsia="en-AU"/>
        </w:rPr>
        <w:t xml:space="preserve"> the different types, sizes and levels of activity undertaken by regulated entities. </w:t>
      </w:r>
    </w:p>
    <w:p w14:paraId="31FB113D" w14:textId="09974BE7" w:rsidR="00144C6E" w:rsidRPr="00FB5DA4" w:rsidRDefault="00144C6E"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Therefore, larger entities or entities undertaking</w:t>
      </w:r>
      <w:r w:rsidR="00840748" w:rsidRPr="45E69C77">
        <w:rPr>
          <w:rFonts w:ascii="Calibri Light" w:eastAsia="Times New Roman" w:hAnsi="Calibri Light" w:cs="Calibri Light"/>
          <w:lang w:eastAsia="en-AU"/>
        </w:rPr>
        <w:t xml:space="preserve"> a higher volume of activities</w:t>
      </w:r>
      <w:r w:rsidR="008770F5" w:rsidRPr="45E69C77">
        <w:rPr>
          <w:rFonts w:ascii="Calibri Light" w:eastAsia="Times New Roman" w:hAnsi="Calibri Light" w:cs="Calibri Light"/>
          <w:lang w:eastAsia="en-AU"/>
        </w:rPr>
        <w:t xml:space="preserve"> that are in a sub</w:t>
      </w:r>
      <w:r w:rsidR="00BD190B">
        <w:rPr>
          <w:rFonts w:ascii="Calibri Light" w:eastAsia="Times New Roman" w:hAnsi="Calibri Light" w:cs="Calibri Light"/>
          <w:lang w:eastAsia="en-AU"/>
        </w:rPr>
        <w:noBreakHyphen/>
      </w:r>
      <w:r w:rsidR="008770F5" w:rsidRPr="45E69C77">
        <w:rPr>
          <w:rFonts w:ascii="Calibri Light" w:eastAsia="Times New Roman" w:hAnsi="Calibri Light" w:cs="Calibri Light"/>
          <w:lang w:eastAsia="en-AU"/>
        </w:rPr>
        <w:t>sector subject to a graduated levy,</w:t>
      </w:r>
      <w:r w:rsidR="00840748" w:rsidRPr="45E69C77">
        <w:rPr>
          <w:rFonts w:ascii="Calibri Light" w:eastAsia="Times New Roman" w:hAnsi="Calibri Light" w:cs="Calibri Light"/>
          <w:lang w:eastAsia="en-AU"/>
        </w:rPr>
        <w:t xml:space="preserve"> would generally pay higher levies in their sub</w:t>
      </w:r>
      <w:r w:rsidR="00BD190B">
        <w:rPr>
          <w:rFonts w:ascii="Calibri Light" w:eastAsia="Times New Roman" w:hAnsi="Calibri Light" w:cs="Calibri Light"/>
          <w:lang w:eastAsia="en-AU"/>
        </w:rPr>
        <w:noBreakHyphen/>
      </w:r>
      <w:r w:rsidR="00840748" w:rsidRPr="45E69C77">
        <w:rPr>
          <w:rFonts w:ascii="Calibri Light" w:eastAsia="Times New Roman" w:hAnsi="Calibri Light" w:cs="Calibri Light"/>
          <w:lang w:eastAsia="en-AU"/>
        </w:rPr>
        <w:t xml:space="preserve">sector. </w:t>
      </w:r>
      <w:r w:rsidR="00737C86" w:rsidRPr="45E69C77">
        <w:rPr>
          <w:rFonts w:ascii="Calibri Light" w:eastAsia="Times New Roman" w:hAnsi="Calibri Light" w:cs="Calibri Light"/>
          <w:lang w:eastAsia="en-AU"/>
        </w:rPr>
        <w:t xml:space="preserve">This reflects the principle that entities that undertake </w:t>
      </w:r>
      <w:r w:rsidR="008770F5" w:rsidRPr="45E69C77">
        <w:rPr>
          <w:rFonts w:ascii="Calibri Light" w:eastAsia="Times New Roman" w:hAnsi="Calibri Light" w:cs="Calibri Light"/>
          <w:lang w:eastAsia="en-AU"/>
        </w:rPr>
        <w:t>higher levels</w:t>
      </w:r>
      <w:r w:rsidR="00737C86" w:rsidRPr="45E69C77">
        <w:rPr>
          <w:rFonts w:ascii="Calibri Light" w:eastAsia="Times New Roman" w:hAnsi="Calibri Light" w:cs="Calibri Light"/>
          <w:lang w:eastAsia="en-AU"/>
        </w:rPr>
        <w:t xml:space="preserve"> of activity</w:t>
      </w:r>
      <w:r w:rsidR="008770F5" w:rsidRPr="45E69C77">
        <w:rPr>
          <w:rFonts w:ascii="Calibri Light" w:eastAsia="Times New Roman" w:hAnsi="Calibri Light" w:cs="Calibri Light"/>
          <w:lang w:eastAsia="en-AU"/>
        </w:rPr>
        <w:t>, generally</w:t>
      </w:r>
      <w:r w:rsidR="00737C86" w:rsidRPr="45E69C77">
        <w:rPr>
          <w:rFonts w:ascii="Calibri Light" w:eastAsia="Times New Roman" w:hAnsi="Calibri Light" w:cs="Calibri Light"/>
          <w:lang w:eastAsia="en-AU"/>
        </w:rPr>
        <w:t xml:space="preserve"> require more of ASIC</w:t>
      </w:r>
      <w:r w:rsidR="00BD190B">
        <w:rPr>
          <w:rFonts w:ascii="Calibri Light" w:eastAsia="Times New Roman" w:hAnsi="Calibri Light" w:cs="Calibri Light"/>
          <w:lang w:eastAsia="en-AU"/>
        </w:rPr>
        <w:t>’</w:t>
      </w:r>
      <w:r w:rsidR="00737C86" w:rsidRPr="45E69C77">
        <w:rPr>
          <w:rFonts w:ascii="Calibri Light" w:eastAsia="Times New Roman" w:hAnsi="Calibri Light" w:cs="Calibri Light"/>
          <w:lang w:eastAsia="en-AU"/>
        </w:rPr>
        <w:t>s regulatory effort</w:t>
      </w:r>
      <w:r w:rsidR="008770F5" w:rsidRPr="45E69C77">
        <w:rPr>
          <w:rFonts w:ascii="Calibri Light" w:eastAsia="Times New Roman" w:hAnsi="Calibri Light" w:cs="Calibri Light"/>
          <w:lang w:eastAsia="en-AU"/>
        </w:rPr>
        <w:t xml:space="preserve">. </w:t>
      </w:r>
    </w:p>
    <w:p w14:paraId="530ADD41" w14:textId="48B10F6E" w:rsidR="00737C86" w:rsidRPr="00FB5DA4" w:rsidRDefault="00737C86"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In </w:t>
      </w:r>
      <w:r w:rsidR="009C7ED2">
        <w:rPr>
          <w:rFonts w:ascii="Calibri Light" w:eastAsia="Times New Roman" w:hAnsi="Calibri Light" w:cs="Calibri Light"/>
          <w:lang w:eastAsia="en-AU"/>
        </w:rPr>
        <w:t>2021–22</w:t>
      </w:r>
      <w:r w:rsidRPr="45E69C77">
        <w:rPr>
          <w:rFonts w:ascii="Calibri Light" w:eastAsia="Times New Roman" w:hAnsi="Calibri Light" w:cs="Calibri Light"/>
          <w:lang w:eastAsia="en-AU"/>
        </w:rPr>
        <w:t>, of the 43,508 total leviable entities</w:t>
      </w:r>
      <w:r w:rsidR="008770F5" w:rsidRPr="45E69C77">
        <w:rPr>
          <w:rFonts w:ascii="Calibri Light" w:eastAsia="Times New Roman" w:hAnsi="Calibri Light" w:cs="Calibri Light"/>
          <w:lang w:eastAsia="en-AU"/>
        </w:rPr>
        <w:t>, the top 10 entities</w:t>
      </w:r>
      <w:r w:rsidRPr="45E69C77">
        <w:rPr>
          <w:rFonts w:ascii="Calibri Light" w:eastAsia="Times New Roman" w:hAnsi="Calibri Light" w:cs="Calibri Light"/>
          <w:lang w:eastAsia="en-AU"/>
        </w:rPr>
        <w:t xml:space="preserve"> paid around </w:t>
      </w:r>
      <w:r w:rsidR="00817695">
        <w:rPr>
          <w:rFonts w:ascii="Calibri Light" w:eastAsia="Times New Roman" w:hAnsi="Calibri Light" w:cs="Calibri Light"/>
          <w:lang w:eastAsia="en-AU"/>
        </w:rPr>
        <w:t>20</w:t>
      </w:r>
      <w:r w:rsidRPr="45E69C77">
        <w:rPr>
          <w:rFonts w:ascii="Calibri Light" w:eastAsia="Times New Roman" w:hAnsi="Calibri Light" w:cs="Calibri Light"/>
          <w:lang w:eastAsia="en-AU"/>
        </w:rPr>
        <w:t xml:space="preserve"> per cent (or around $</w:t>
      </w:r>
      <w:r w:rsidR="00F01706">
        <w:rPr>
          <w:rFonts w:ascii="Calibri Light" w:eastAsia="Times New Roman" w:hAnsi="Calibri Light" w:cs="Calibri Light"/>
          <w:lang w:eastAsia="en-AU"/>
        </w:rPr>
        <w:t>65</w:t>
      </w:r>
      <w:r w:rsidRPr="45E69C77">
        <w:rPr>
          <w:rFonts w:ascii="Calibri Light" w:eastAsia="Times New Roman" w:hAnsi="Calibri Light" w:cs="Calibri Light"/>
          <w:lang w:eastAsia="en-AU"/>
        </w:rPr>
        <w:t xml:space="preserve"> million) of </w:t>
      </w:r>
      <w:r w:rsidR="008770F5" w:rsidRPr="45E69C77">
        <w:rPr>
          <w:rFonts w:ascii="Calibri Light" w:eastAsia="Times New Roman" w:hAnsi="Calibri Light" w:cs="Calibri Light"/>
          <w:lang w:eastAsia="en-AU"/>
        </w:rPr>
        <w:t>total levies</w:t>
      </w:r>
      <w:r w:rsidRPr="45E69C77">
        <w:rPr>
          <w:rFonts w:ascii="Calibri Light" w:eastAsia="Times New Roman" w:hAnsi="Calibri Light" w:cs="Calibri Light"/>
          <w:lang w:eastAsia="en-AU"/>
        </w:rPr>
        <w:t xml:space="preserve">. </w:t>
      </w:r>
      <w:r w:rsidR="002259C9" w:rsidRPr="45E69C77">
        <w:rPr>
          <w:rFonts w:ascii="Calibri Light" w:eastAsia="Times New Roman" w:hAnsi="Calibri Light" w:cs="Calibri Light"/>
          <w:lang w:eastAsia="en-AU"/>
        </w:rPr>
        <w:t>These entities were generally larger corporations operating across multiple sub</w:t>
      </w:r>
      <w:r w:rsidR="00BD190B">
        <w:rPr>
          <w:rFonts w:ascii="Calibri Light" w:eastAsia="Times New Roman" w:hAnsi="Calibri Light" w:cs="Calibri Light"/>
          <w:lang w:eastAsia="en-AU"/>
        </w:rPr>
        <w:noBreakHyphen/>
      </w:r>
      <w:r w:rsidR="002259C9" w:rsidRPr="45E69C77">
        <w:rPr>
          <w:rFonts w:ascii="Calibri Light" w:eastAsia="Times New Roman" w:hAnsi="Calibri Light" w:cs="Calibri Light"/>
          <w:lang w:eastAsia="en-AU"/>
        </w:rPr>
        <w:t xml:space="preserve">sectors. </w:t>
      </w:r>
    </w:p>
    <w:p w14:paraId="51CFFAC5" w14:textId="4A7DDE2C" w:rsidR="00F71288" w:rsidRPr="00FB5DA4" w:rsidRDefault="00737C86"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This concentration of costs is also evident at a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 level. For example, in </w:t>
      </w:r>
      <w:r w:rsidR="009C7ED2">
        <w:rPr>
          <w:rFonts w:ascii="Calibri Light" w:eastAsia="Times New Roman" w:hAnsi="Calibri Light" w:cs="Calibri Light"/>
          <w:lang w:eastAsia="en-AU"/>
        </w:rPr>
        <w:t>2021–22</w:t>
      </w:r>
      <w:r w:rsidR="00F71288" w:rsidRPr="45E69C77">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 </w:t>
      </w:r>
    </w:p>
    <w:p w14:paraId="3DB4D12A" w14:textId="5431187D" w:rsidR="0055227A" w:rsidRPr="00A848E0" w:rsidRDefault="00737C86" w:rsidP="00A848E0">
      <w:pPr>
        <w:pStyle w:val="Bullet"/>
        <w:ind w:left="1004"/>
        <w:rPr>
          <w:rFonts w:eastAsia="Calibri"/>
          <w:lang w:eastAsia="en-US"/>
        </w:rPr>
      </w:pPr>
      <w:r w:rsidRPr="00A848E0">
        <w:rPr>
          <w:rFonts w:eastAsia="Calibri"/>
          <w:lang w:eastAsia="en-US"/>
        </w:rPr>
        <w:t>of the 4,</w:t>
      </w:r>
      <w:r w:rsidR="003B0267" w:rsidRPr="00A848E0">
        <w:rPr>
          <w:rFonts w:eastAsia="Calibri"/>
          <w:lang w:eastAsia="en-US"/>
        </w:rPr>
        <w:t xml:space="preserve">281 </w:t>
      </w:r>
      <w:r w:rsidR="008770F5" w:rsidRPr="00A848E0">
        <w:rPr>
          <w:rFonts w:eastAsia="Calibri"/>
          <w:lang w:eastAsia="en-US"/>
        </w:rPr>
        <w:t>total leviable</w:t>
      </w:r>
      <w:r w:rsidRPr="00A848E0">
        <w:rPr>
          <w:rFonts w:eastAsia="Calibri"/>
          <w:lang w:eastAsia="en-US"/>
        </w:rPr>
        <w:t xml:space="preserve"> entities</w:t>
      </w:r>
      <w:r w:rsidR="008770F5" w:rsidRPr="00A848E0">
        <w:rPr>
          <w:rFonts w:eastAsia="Calibri"/>
          <w:lang w:eastAsia="en-US"/>
        </w:rPr>
        <w:t xml:space="preserve"> in the credit intermediaries sub</w:t>
      </w:r>
      <w:r w:rsidR="00BD190B">
        <w:rPr>
          <w:rFonts w:eastAsia="Calibri"/>
          <w:lang w:eastAsia="en-US"/>
        </w:rPr>
        <w:noBreakHyphen/>
      </w:r>
      <w:r w:rsidR="008770F5" w:rsidRPr="00A848E0">
        <w:rPr>
          <w:rFonts w:eastAsia="Calibri"/>
          <w:lang w:eastAsia="en-US"/>
        </w:rPr>
        <w:t>sector</w:t>
      </w:r>
      <w:r w:rsidRPr="00A848E0">
        <w:rPr>
          <w:rFonts w:eastAsia="Calibri"/>
          <w:lang w:eastAsia="en-US"/>
        </w:rPr>
        <w:t xml:space="preserve">, the top 10 entities paid around </w:t>
      </w:r>
      <w:r w:rsidR="003B0267" w:rsidRPr="00A848E0">
        <w:rPr>
          <w:rFonts w:eastAsia="Calibri"/>
          <w:lang w:eastAsia="en-US"/>
        </w:rPr>
        <w:t xml:space="preserve">28 </w:t>
      </w:r>
      <w:r w:rsidR="00F71288" w:rsidRPr="00A848E0">
        <w:rPr>
          <w:rFonts w:eastAsia="Calibri"/>
          <w:lang w:eastAsia="en-US"/>
        </w:rPr>
        <w:t>per cent of total regulatory costs for the sub</w:t>
      </w:r>
      <w:r w:rsidR="00BD190B">
        <w:rPr>
          <w:rFonts w:eastAsia="Calibri"/>
          <w:lang w:eastAsia="en-US"/>
        </w:rPr>
        <w:noBreakHyphen/>
      </w:r>
      <w:r w:rsidR="00F71288" w:rsidRPr="00A848E0">
        <w:rPr>
          <w:rFonts w:eastAsia="Calibri"/>
          <w:lang w:eastAsia="en-US"/>
        </w:rPr>
        <w:t>sector</w:t>
      </w:r>
    </w:p>
    <w:p w14:paraId="1BF80473" w14:textId="47F7B06E" w:rsidR="00F71288" w:rsidRPr="00A848E0" w:rsidRDefault="00794189" w:rsidP="00A848E0">
      <w:pPr>
        <w:pStyle w:val="Bullet"/>
        <w:ind w:left="1004"/>
        <w:rPr>
          <w:rFonts w:eastAsia="Calibri"/>
          <w:lang w:eastAsia="en-US"/>
        </w:rPr>
      </w:pPr>
      <w:r w:rsidRPr="00A848E0">
        <w:rPr>
          <w:rFonts w:eastAsia="Calibri"/>
          <w:lang w:eastAsia="en-US"/>
        </w:rPr>
        <w:t xml:space="preserve">of the </w:t>
      </w:r>
      <w:r w:rsidR="00A57A65" w:rsidRPr="00A848E0">
        <w:rPr>
          <w:rFonts w:eastAsia="Calibri"/>
          <w:lang w:eastAsia="en-US"/>
        </w:rPr>
        <w:t xml:space="preserve">197 </w:t>
      </w:r>
      <w:r w:rsidR="008770F5" w:rsidRPr="00A848E0">
        <w:rPr>
          <w:rFonts w:eastAsia="Calibri"/>
          <w:lang w:eastAsia="en-US"/>
        </w:rPr>
        <w:t xml:space="preserve">total leviable </w:t>
      </w:r>
      <w:r w:rsidRPr="00A848E0">
        <w:rPr>
          <w:rFonts w:eastAsia="Calibri"/>
          <w:lang w:eastAsia="en-US"/>
        </w:rPr>
        <w:t>entities</w:t>
      </w:r>
      <w:r w:rsidR="008770F5" w:rsidRPr="00A848E0">
        <w:rPr>
          <w:rFonts w:eastAsia="Calibri"/>
          <w:lang w:eastAsia="en-US"/>
        </w:rPr>
        <w:t xml:space="preserve"> in the </w:t>
      </w:r>
      <w:r w:rsidR="00A57A65" w:rsidRPr="00A848E0">
        <w:rPr>
          <w:rFonts w:eastAsia="Calibri"/>
          <w:lang w:eastAsia="en-US"/>
        </w:rPr>
        <w:t>deposit product providers</w:t>
      </w:r>
      <w:r w:rsidR="008770F5" w:rsidRPr="00A848E0">
        <w:rPr>
          <w:rFonts w:eastAsia="Calibri"/>
          <w:lang w:eastAsia="en-US"/>
        </w:rPr>
        <w:t xml:space="preserve"> sub</w:t>
      </w:r>
      <w:r w:rsidR="00BD190B">
        <w:rPr>
          <w:rFonts w:eastAsia="Calibri"/>
          <w:lang w:eastAsia="en-US"/>
        </w:rPr>
        <w:noBreakHyphen/>
      </w:r>
      <w:r w:rsidR="008770F5" w:rsidRPr="00A848E0">
        <w:rPr>
          <w:rFonts w:eastAsia="Calibri"/>
          <w:lang w:eastAsia="en-US"/>
        </w:rPr>
        <w:t>sector</w:t>
      </w:r>
      <w:r w:rsidRPr="00A848E0">
        <w:rPr>
          <w:rFonts w:eastAsia="Calibri"/>
          <w:lang w:eastAsia="en-US"/>
        </w:rPr>
        <w:t xml:space="preserve">, the top 10 entities paid around </w:t>
      </w:r>
      <w:r w:rsidR="00A57A65" w:rsidRPr="00A848E0">
        <w:rPr>
          <w:rFonts w:eastAsia="Calibri"/>
          <w:lang w:eastAsia="en-US"/>
        </w:rPr>
        <w:t>86</w:t>
      </w:r>
      <w:r w:rsidRPr="00A848E0">
        <w:rPr>
          <w:rFonts w:eastAsia="Calibri"/>
          <w:lang w:eastAsia="en-US"/>
        </w:rPr>
        <w:t xml:space="preserve"> per cent of total regulatory costs for the sub</w:t>
      </w:r>
      <w:r w:rsidR="00BD190B">
        <w:rPr>
          <w:rFonts w:eastAsia="Calibri"/>
          <w:lang w:eastAsia="en-US"/>
        </w:rPr>
        <w:noBreakHyphen/>
      </w:r>
      <w:r w:rsidRPr="00A848E0">
        <w:rPr>
          <w:rFonts w:eastAsia="Calibri"/>
          <w:lang w:eastAsia="en-US"/>
        </w:rPr>
        <w:t xml:space="preserve">sector </w:t>
      </w:r>
    </w:p>
    <w:p w14:paraId="170EDE5F" w14:textId="300289CC" w:rsidR="00144C6E" w:rsidRPr="0055227A" w:rsidRDefault="008770F5"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 review finds that </w:t>
      </w:r>
      <w:r w:rsidR="0055227A" w:rsidRPr="45E69C77">
        <w:rPr>
          <w:rFonts w:ascii="Calibri Light" w:eastAsia="Times New Roman" w:hAnsi="Calibri Light" w:cs="Calibri Light"/>
          <w:lang w:eastAsia="en-AU"/>
        </w:rPr>
        <w:t>this approach is appropriate and equitable because of the range of industry sub</w:t>
      </w:r>
      <w:r w:rsidR="00BD190B">
        <w:rPr>
          <w:rFonts w:ascii="Calibri Light" w:eastAsia="Times New Roman" w:hAnsi="Calibri Light" w:cs="Calibri Light"/>
          <w:lang w:eastAsia="en-AU"/>
        </w:rPr>
        <w:noBreakHyphen/>
      </w:r>
      <w:r w:rsidR="0055227A" w:rsidRPr="45E69C77">
        <w:rPr>
          <w:rFonts w:ascii="Calibri Light" w:eastAsia="Times New Roman" w:hAnsi="Calibri Light" w:cs="Calibri Light"/>
          <w:lang w:eastAsia="en-AU"/>
        </w:rPr>
        <w:t>sectors regulated by ASIC, variations in ASIC</w:t>
      </w:r>
      <w:r w:rsidR="00BD190B">
        <w:rPr>
          <w:rFonts w:ascii="Calibri Light" w:eastAsia="Times New Roman" w:hAnsi="Calibri Light" w:cs="Calibri Light"/>
          <w:lang w:eastAsia="en-AU"/>
        </w:rPr>
        <w:t>’</w:t>
      </w:r>
      <w:r w:rsidR="0055227A" w:rsidRPr="45E69C77">
        <w:rPr>
          <w:rFonts w:ascii="Calibri Light" w:eastAsia="Times New Roman" w:hAnsi="Calibri Light" w:cs="Calibri Light"/>
          <w:lang w:eastAsia="en-AU"/>
        </w:rPr>
        <w:t>s regulatory costs for each industry sub</w:t>
      </w:r>
      <w:r w:rsidR="00BD190B">
        <w:rPr>
          <w:rFonts w:ascii="Calibri Light" w:eastAsia="Times New Roman" w:hAnsi="Calibri Light" w:cs="Calibri Light"/>
          <w:lang w:eastAsia="en-AU"/>
        </w:rPr>
        <w:noBreakHyphen/>
      </w:r>
      <w:r w:rsidR="0055227A" w:rsidRPr="45E69C77">
        <w:rPr>
          <w:rFonts w:ascii="Calibri Light" w:eastAsia="Times New Roman" w:hAnsi="Calibri Light" w:cs="Calibri Light"/>
          <w:lang w:eastAsia="en-AU"/>
        </w:rPr>
        <w:t>sector and the differences in size and levels of activity undertaken by each entity in each industry sub</w:t>
      </w:r>
      <w:r w:rsidR="00BD190B">
        <w:rPr>
          <w:rFonts w:ascii="Calibri Light" w:eastAsia="Times New Roman" w:hAnsi="Calibri Light" w:cs="Calibri Light"/>
          <w:lang w:eastAsia="en-AU"/>
        </w:rPr>
        <w:noBreakHyphen/>
      </w:r>
      <w:r w:rsidR="0055227A" w:rsidRPr="45E69C77">
        <w:rPr>
          <w:rFonts w:ascii="Calibri Light" w:eastAsia="Times New Roman" w:hAnsi="Calibri Light" w:cs="Calibri Light"/>
          <w:lang w:eastAsia="en-AU"/>
        </w:rPr>
        <w:t xml:space="preserve">sector. </w:t>
      </w:r>
    </w:p>
    <w:p w14:paraId="54987140" w14:textId="311BCD0F" w:rsidR="0055227A" w:rsidRDefault="0055227A"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As part of the Review</w:t>
      </w:r>
      <w:r w:rsidR="00BD190B">
        <w:rPr>
          <w:rFonts w:ascii="Calibri Light" w:eastAsia="Times New Roman" w:hAnsi="Calibri Light" w:cs="Calibri Light"/>
          <w:lang w:eastAsia="en-AU"/>
        </w:rPr>
        <w:t>’</w:t>
      </w:r>
      <w:r w:rsidRPr="45E69C77">
        <w:rPr>
          <w:rFonts w:ascii="Calibri Light" w:eastAsia="Times New Roman" w:hAnsi="Calibri Light" w:cs="Calibri Light"/>
          <w:lang w:eastAsia="en-AU"/>
        </w:rPr>
        <w:t xml:space="preserve">s consultation process, the Review sought views from </w:t>
      </w:r>
      <w:r w:rsidR="004A6FAB">
        <w:rPr>
          <w:rFonts w:ascii="Calibri Light" w:eastAsia="Times New Roman" w:hAnsi="Calibri Light" w:cs="Calibri Light"/>
          <w:lang w:eastAsia="en-AU"/>
        </w:rPr>
        <w:t>stakeholders</w:t>
      </w:r>
      <w:r w:rsidRPr="45E69C77">
        <w:rPr>
          <w:rFonts w:ascii="Calibri Light" w:eastAsia="Times New Roman" w:hAnsi="Calibri Light" w:cs="Calibri Light"/>
          <w:lang w:eastAsia="en-AU"/>
        </w:rPr>
        <w:t xml:space="preserve"> and ASIC on suggested changes to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 definitions, formulas </w:t>
      </w:r>
      <w:r w:rsidR="004D5639">
        <w:rPr>
          <w:rFonts w:ascii="Calibri Light" w:eastAsia="Times New Roman" w:hAnsi="Calibri Light" w:cs="Calibri Light"/>
          <w:lang w:eastAsia="en-AU"/>
        </w:rPr>
        <w:t>and</w:t>
      </w:r>
      <w:r w:rsidRPr="45E69C77">
        <w:rPr>
          <w:rFonts w:ascii="Calibri Light" w:eastAsia="Times New Roman" w:hAnsi="Calibri Light" w:cs="Calibri Light"/>
          <w:lang w:eastAsia="en-AU"/>
        </w:rPr>
        <w:t xml:space="preserve"> metrics set in the Cost Recovery Levy Regulations. </w:t>
      </w:r>
      <w:r w:rsidR="00E46FA0">
        <w:rPr>
          <w:rFonts w:ascii="Calibri Light" w:eastAsia="Times New Roman" w:hAnsi="Calibri Light" w:cs="Calibri Light"/>
          <w:lang w:eastAsia="en-AU"/>
        </w:rPr>
        <w:t>Stakeholders</w:t>
      </w:r>
      <w:r w:rsidRPr="45E69C77">
        <w:rPr>
          <w:rFonts w:ascii="Calibri Light" w:eastAsia="Times New Roman" w:hAnsi="Calibri Light" w:cs="Calibri Light"/>
          <w:lang w:eastAsia="en-AU"/>
        </w:rPr>
        <w:t xml:space="preserve"> have </w:t>
      </w:r>
      <w:r w:rsidR="003D3C59">
        <w:rPr>
          <w:rFonts w:ascii="Calibri Light" w:eastAsia="Times New Roman" w:hAnsi="Calibri Light" w:cs="Calibri Light"/>
          <w:lang w:eastAsia="en-AU"/>
        </w:rPr>
        <w:t xml:space="preserve">also </w:t>
      </w:r>
      <w:r w:rsidRPr="45E69C77">
        <w:rPr>
          <w:rFonts w:ascii="Calibri Light" w:eastAsia="Times New Roman" w:hAnsi="Calibri Light" w:cs="Calibri Light"/>
          <w:lang w:eastAsia="en-AU"/>
        </w:rPr>
        <w:t>frequently suggested amendments to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sectors via other consultation mechanisms (such as through the CRIS process). </w:t>
      </w:r>
    </w:p>
    <w:p w14:paraId="35DE335B" w14:textId="6A33379B" w:rsidR="00FB32D6" w:rsidRDefault="00FB32D6" w:rsidP="0037599B">
      <w:pPr>
        <w:pStyle w:val="numberedtext"/>
        <w:keepN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lastRenderedPageBreak/>
        <w:t xml:space="preserve">The types of changes that </w:t>
      </w:r>
      <w:r w:rsidR="00253870">
        <w:rPr>
          <w:rFonts w:ascii="Calibri Light" w:eastAsia="Times New Roman" w:hAnsi="Calibri Light" w:cs="Calibri Light"/>
          <w:lang w:eastAsia="en-AU"/>
        </w:rPr>
        <w:t xml:space="preserve">stakeholders and ASIC </w:t>
      </w:r>
      <w:r w:rsidRPr="45E69C77">
        <w:rPr>
          <w:rFonts w:ascii="Calibri Light" w:eastAsia="Times New Roman" w:hAnsi="Calibri Light" w:cs="Calibri Light"/>
          <w:lang w:eastAsia="en-AU"/>
        </w:rPr>
        <w:t>have</w:t>
      </w:r>
      <w:r w:rsidR="00253870">
        <w:rPr>
          <w:rFonts w:ascii="Calibri Light" w:eastAsia="Times New Roman" w:hAnsi="Calibri Light" w:cs="Calibri Light"/>
          <w:lang w:eastAsia="en-AU"/>
        </w:rPr>
        <w:t xml:space="preserve"> </w:t>
      </w:r>
      <w:r w:rsidRPr="45E69C77">
        <w:rPr>
          <w:rFonts w:ascii="Calibri Light" w:eastAsia="Times New Roman" w:hAnsi="Calibri Light" w:cs="Calibri Light"/>
          <w:lang w:eastAsia="en-AU"/>
        </w:rPr>
        <w:t>proposed include:</w:t>
      </w:r>
    </w:p>
    <w:p w14:paraId="1EC3C41A" w14:textId="354400EA" w:rsidR="00FB32D6" w:rsidRPr="00A848E0" w:rsidRDefault="00FB32D6" w:rsidP="00A848E0">
      <w:pPr>
        <w:pStyle w:val="Bullet"/>
        <w:ind w:left="1004"/>
        <w:rPr>
          <w:rFonts w:eastAsia="Calibri"/>
          <w:lang w:eastAsia="en-US"/>
        </w:rPr>
      </w:pPr>
      <w:r w:rsidRPr="00A848E0">
        <w:rPr>
          <w:rFonts w:eastAsia="Calibri"/>
          <w:lang w:eastAsia="en-US"/>
        </w:rPr>
        <w:t>combining sub</w:t>
      </w:r>
      <w:r w:rsidR="00BD190B">
        <w:rPr>
          <w:rFonts w:eastAsia="Calibri"/>
          <w:lang w:eastAsia="en-US"/>
        </w:rPr>
        <w:noBreakHyphen/>
      </w:r>
      <w:r w:rsidRPr="00A848E0">
        <w:rPr>
          <w:rFonts w:eastAsia="Calibri"/>
          <w:lang w:eastAsia="en-US"/>
        </w:rPr>
        <w:t xml:space="preserve">sectors that have similar types of entities and undertake similar types of regulated </w:t>
      </w:r>
      <w:r w:rsidR="005E44BE">
        <w:rPr>
          <w:rFonts w:eastAsia="Calibri"/>
          <w:lang w:eastAsia="en-US"/>
        </w:rPr>
        <w:t>activity</w:t>
      </w:r>
      <w:r w:rsidRPr="00A848E0">
        <w:rPr>
          <w:rFonts w:eastAsia="Calibri"/>
          <w:lang w:eastAsia="en-US"/>
        </w:rPr>
        <w:t xml:space="preserve"> to reduce ambiguity and instances of entities undertaking similar activities that fall within multiple sub</w:t>
      </w:r>
      <w:r w:rsidR="00BD190B">
        <w:rPr>
          <w:rFonts w:eastAsia="Calibri"/>
          <w:lang w:eastAsia="en-US"/>
        </w:rPr>
        <w:noBreakHyphen/>
      </w:r>
      <w:r w:rsidRPr="00A848E0">
        <w:rPr>
          <w:rFonts w:eastAsia="Calibri"/>
          <w:lang w:eastAsia="en-US"/>
        </w:rPr>
        <w:t>sectors</w:t>
      </w:r>
    </w:p>
    <w:p w14:paraId="22B0630D" w14:textId="328B942E" w:rsidR="00FB32D6" w:rsidRPr="00A848E0" w:rsidRDefault="00FB32D6" w:rsidP="00A848E0">
      <w:pPr>
        <w:pStyle w:val="Bullet"/>
        <w:ind w:left="1004"/>
        <w:rPr>
          <w:rFonts w:eastAsia="Calibri"/>
          <w:lang w:eastAsia="en-US"/>
        </w:rPr>
      </w:pPr>
      <w:r w:rsidRPr="00A848E0">
        <w:rPr>
          <w:rFonts w:eastAsia="Calibri"/>
          <w:lang w:eastAsia="en-US"/>
        </w:rPr>
        <w:t>introducing graduated levies and pro</w:t>
      </w:r>
      <w:r w:rsidR="00BD190B">
        <w:rPr>
          <w:rFonts w:eastAsia="Calibri"/>
          <w:lang w:eastAsia="en-US"/>
        </w:rPr>
        <w:noBreakHyphen/>
      </w:r>
      <w:r w:rsidRPr="00A848E0">
        <w:rPr>
          <w:rFonts w:eastAsia="Calibri"/>
          <w:lang w:eastAsia="en-US"/>
        </w:rPr>
        <w:t>rated components to better reflect ASIC</w:t>
      </w:r>
      <w:r w:rsidR="00BD190B">
        <w:rPr>
          <w:rFonts w:eastAsia="Calibri"/>
          <w:lang w:eastAsia="en-US"/>
        </w:rPr>
        <w:t>’</w:t>
      </w:r>
      <w:r w:rsidRPr="00A848E0">
        <w:rPr>
          <w:rFonts w:eastAsia="Calibri"/>
          <w:lang w:eastAsia="en-US"/>
        </w:rPr>
        <w:t>s regulatory effort in certain sub</w:t>
      </w:r>
      <w:r w:rsidR="00BD190B">
        <w:rPr>
          <w:rFonts w:eastAsia="Calibri"/>
          <w:lang w:eastAsia="en-US"/>
        </w:rPr>
        <w:noBreakHyphen/>
      </w:r>
      <w:r w:rsidRPr="00A848E0">
        <w:rPr>
          <w:rFonts w:eastAsia="Calibri"/>
          <w:lang w:eastAsia="en-US"/>
        </w:rPr>
        <w:t>sectors currently subject to flat levies</w:t>
      </w:r>
    </w:p>
    <w:p w14:paraId="014D8264" w14:textId="6E8A105C" w:rsidR="00FB32D6" w:rsidRPr="00A848E0" w:rsidRDefault="00FB32D6" w:rsidP="00A848E0">
      <w:pPr>
        <w:pStyle w:val="Bullet"/>
        <w:ind w:left="1004"/>
        <w:rPr>
          <w:rFonts w:eastAsia="Calibri"/>
          <w:lang w:eastAsia="en-US"/>
        </w:rPr>
      </w:pPr>
      <w:r w:rsidRPr="00A848E0">
        <w:rPr>
          <w:rFonts w:eastAsia="Calibri"/>
          <w:lang w:eastAsia="en-US"/>
        </w:rPr>
        <w:t>adjusting entity metrics to better apportion costs to entities within a sub</w:t>
      </w:r>
      <w:r w:rsidR="00BD190B">
        <w:rPr>
          <w:rFonts w:eastAsia="Calibri"/>
          <w:lang w:eastAsia="en-US"/>
        </w:rPr>
        <w:noBreakHyphen/>
      </w:r>
      <w:r w:rsidRPr="00A848E0">
        <w:rPr>
          <w:rFonts w:eastAsia="Calibri"/>
          <w:lang w:eastAsia="en-US"/>
        </w:rPr>
        <w:t xml:space="preserve">sector </w:t>
      </w:r>
    </w:p>
    <w:p w14:paraId="5B7F9CE9" w14:textId="08B68C26" w:rsidR="00FF0DD6" w:rsidRPr="00FF0DD6" w:rsidRDefault="00322E25"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 Review has not considered in detail the merits of </w:t>
      </w:r>
      <w:r w:rsidR="000963E9">
        <w:rPr>
          <w:rFonts w:ascii="Calibri Light" w:eastAsia="Times New Roman" w:hAnsi="Calibri Light" w:cs="Calibri Light"/>
          <w:lang w:eastAsia="en-AU"/>
        </w:rPr>
        <w:t>changes</w:t>
      </w:r>
      <w:r w:rsidR="00FF0DD6">
        <w:rPr>
          <w:rFonts w:ascii="Calibri Light" w:eastAsia="Times New Roman" w:hAnsi="Calibri Light" w:cs="Calibri Light"/>
          <w:lang w:eastAsia="en-AU"/>
        </w:rPr>
        <w:t xml:space="preserve"> that have been suggested by stakeholders and ASIC.</w:t>
      </w:r>
      <w:r w:rsidR="00F12669">
        <w:rPr>
          <w:rFonts w:ascii="Calibri Light" w:eastAsia="Times New Roman" w:hAnsi="Calibri Light" w:cs="Calibri Light"/>
          <w:lang w:eastAsia="en-AU"/>
        </w:rPr>
        <w:t xml:space="preserve"> </w:t>
      </w:r>
      <w:r w:rsidR="00FF0DD6">
        <w:rPr>
          <w:rFonts w:ascii="Calibri Light" w:eastAsia="Times New Roman" w:hAnsi="Calibri Light" w:cs="Calibri Light"/>
          <w:lang w:eastAsia="en-AU"/>
        </w:rPr>
        <w:t xml:space="preserve">However, the Review recognises that changes should be made to ensure </w:t>
      </w:r>
      <w:r w:rsidR="00586662">
        <w:rPr>
          <w:rFonts w:ascii="Calibri Light" w:eastAsia="Times New Roman" w:hAnsi="Calibri Light" w:cs="Calibri Light"/>
          <w:lang w:eastAsia="en-AU"/>
        </w:rPr>
        <w:t>that sub</w:t>
      </w:r>
      <w:r w:rsidR="00BD190B">
        <w:rPr>
          <w:rFonts w:ascii="Calibri Light" w:eastAsia="Times New Roman" w:hAnsi="Calibri Light" w:cs="Calibri Light"/>
          <w:lang w:eastAsia="en-AU"/>
        </w:rPr>
        <w:noBreakHyphen/>
      </w:r>
      <w:r w:rsidR="00586662">
        <w:rPr>
          <w:rFonts w:ascii="Calibri Light" w:eastAsia="Times New Roman" w:hAnsi="Calibri Light" w:cs="Calibri Light"/>
          <w:lang w:eastAsia="en-AU"/>
        </w:rPr>
        <w:t>sector definitions,</w:t>
      </w:r>
      <w:r w:rsidR="00374C16">
        <w:rPr>
          <w:rFonts w:ascii="Calibri Light" w:eastAsia="Times New Roman" w:hAnsi="Calibri Light" w:cs="Calibri Light"/>
          <w:lang w:eastAsia="en-AU"/>
        </w:rPr>
        <w:t xml:space="preserve"> metrics and formulas remai</w:t>
      </w:r>
      <w:r w:rsidR="000B2A27">
        <w:rPr>
          <w:rFonts w:ascii="Calibri Light" w:eastAsia="Times New Roman" w:hAnsi="Calibri Light" w:cs="Calibri Light"/>
          <w:lang w:eastAsia="en-AU"/>
        </w:rPr>
        <w:t>n fit</w:t>
      </w:r>
      <w:r w:rsidR="00BD190B">
        <w:rPr>
          <w:rFonts w:ascii="Calibri Light" w:eastAsia="Times New Roman" w:hAnsi="Calibri Light" w:cs="Calibri Light"/>
          <w:lang w:eastAsia="en-AU"/>
        </w:rPr>
        <w:noBreakHyphen/>
      </w:r>
      <w:r w:rsidR="000B2A27">
        <w:rPr>
          <w:rFonts w:ascii="Calibri Light" w:eastAsia="Times New Roman" w:hAnsi="Calibri Light" w:cs="Calibri Light"/>
          <w:lang w:eastAsia="en-AU"/>
        </w:rPr>
        <w:t>for</w:t>
      </w:r>
      <w:r w:rsidR="00BD190B">
        <w:rPr>
          <w:rFonts w:ascii="Calibri Light" w:eastAsia="Times New Roman" w:hAnsi="Calibri Light" w:cs="Calibri Light"/>
          <w:lang w:eastAsia="en-AU"/>
        </w:rPr>
        <w:noBreakHyphen/>
      </w:r>
      <w:r w:rsidR="000B2A27">
        <w:rPr>
          <w:rFonts w:ascii="Calibri Light" w:eastAsia="Times New Roman" w:hAnsi="Calibri Light" w:cs="Calibri Light"/>
          <w:lang w:eastAsia="en-AU"/>
        </w:rPr>
        <w:t>purpose.</w:t>
      </w:r>
      <w:r w:rsidR="00512E2C">
        <w:rPr>
          <w:rFonts w:ascii="Calibri Light" w:eastAsia="Times New Roman" w:hAnsi="Calibri Light" w:cs="Calibri Light"/>
          <w:lang w:eastAsia="en-AU"/>
        </w:rPr>
        <w:t xml:space="preserve"> W</w:t>
      </w:r>
      <w:r w:rsidR="00512E2C" w:rsidRPr="00512E2C">
        <w:rPr>
          <w:rFonts w:ascii="Calibri Light" w:eastAsia="Times New Roman" w:hAnsi="Calibri Light" w:cs="Calibri Light"/>
          <w:lang w:eastAsia="en-AU"/>
        </w:rPr>
        <w:t xml:space="preserve">hile ad hoc </w:t>
      </w:r>
      <w:r w:rsidR="00512E2C">
        <w:rPr>
          <w:rFonts w:ascii="Calibri Light" w:eastAsia="Times New Roman" w:hAnsi="Calibri Light" w:cs="Calibri Light"/>
          <w:lang w:eastAsia="en-AU"/>
        </w:rPr>
        <w:t>changes</w:t>
      </w:r>
      <w:r w:rsidR="00512E2C" w:rsidRPr="00512E2C">
        <w:rPr>
          <w:rFonts w:ascii="Calibri Light" w:eastAsia="Times New Roman" w:hAnsi="Calibri Light" w:cs="Calibri Light"/>
          <w:lang w:eastAsia="en-AU"/>
        </w:rPr>
        <w:t xml:space="preserve"> have been made</w:t>
      </w:r>
      <w:r w:rsidR="00512E2C">
        <w:rPr>
          <w:rFonts w:ascii="Calibri Light" w:eastAsia="Times New Roman" w:hAnsi="Calibri Light" w:cs="Calibri Light"/>
          <w:lang w:eastAsia="en-AU"/>
        </w:rPr>
        <w:t xml:space="preserve"> to sub</w:t>
      </w:r>
      <w:r w:rsidR="00BD190B">
        <w:rPr>
          <w:rFonts w:ascii="Calibri Light" w:eastAsia="Times New Roman" w:hAnsi="Calibri Light" w:cs="Calibri Light"/>
          <w:lang w:eastAsia="en-AU"/>
        </w:rPr>
        <w:noBreakHyphen/>
      </w:r>
      <w:r w:rsidR="00512E2C">
        <w:rPr>
          <w:rFonts w:ascii="Calibri Light" w:eastAsia="Times New Roman" w:hAnsi="Calibri Light" w:cs="Calibri Light"/>
          <w:lang w:eastAsia="en-AU"/>
        </w:rPr>
        <w:t>sectors</w:t>
      </w:r>
      <w:r w:rsidR="00512E2C" w:rsidRPr="00512E2C">
        <w:rPr>
          <w:rFonts w:ascii="Calibri Light" w:eastAsia="Times New Roman" w:hAnsi="Calibri Light" w:cs="Calibri Light"/>
          <w:lang w:eastAsia="en-AU"/>
        </w:rPr>
        <w:t>, there ha</w:t>
      </w:r>
      <w:r w:rsidR="00512E2C">
        <w:rPr>
          <w:rFonts w:ascii="Calibri Light" w:eastAsia="Times New Roman" w:hAnsi="Calibri Light" w:cs="Calibri Light"/>
          <w:lang w:eastAsia="en-AU"/>
        </w:rPr>
        <w:t>s</w:t>
      </w:r>
      <w:r w:rsidR="00512E2C" w:rsidRPr="00512E2C">
        <w:rPr>
          <w:rFonts w:ascii="Calibri Light" w:eastAsia="Times New Roman" w:hAnsi="Calibri Light" w:cs="Calibri Light"/>
          <w:lang w:eastAsia="en-AU"/>
        </w:rPr>
        <w:t xml:space="preserve"> been no wholesale changes</w:t>
      </w:r>
      <w:r w:rsidR="00512E2C">
        <w:rPr>
          <w:rFonts w:ascii="Calibri Light" w:eastAsia="Times New Roman" w:hAnsi="Calibri Light" w:cs="Calibri Light"/>
          <w:lang w:eastAsia="en-AU"/>
        </w:rPr>
        <w:t xml:space="preserve"> to sub</w:t>
      </w:r>
      <w:r w:rsidR="00BD190B">
        <w:rPr>
          <w:rFonts w:ascii="Calibri Light" w:eastAsia="Times New Roman" w:hAnsi="Calibri Light" w:cs="Calibri Light"/>
          <w:lang w:eastAsia="en-AU"/>
        </w:rPr>
        <w:noBreakHyphen/>
      </w:r>
      <w:r w:rsidR="00512E2C">
        <w:rPr>
          <w:rFonts w:ascii="Calibri Light" w:eastAsia="Times New Roman" w:hAnsi="Calibri Light" w:cs="Calibri Light"/>
          <w:lang w:eastAsia="en-AU"/>
        </w:rPr>
        <w:t xml:space="preserve">sectors since the commencement of the IFM. </w:t>
      </w:r>
    </w:p>
    <w:p w14:paraId="2EF68556" w14:textId="3CEFD345" w:rsidR="00322E25" w:rsidRDefault="00512E2C"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lang w:eastAsia="en-AU"/>
        </w:rPr>
        <w:t>T</w:t>
      </w:r>
      <w:r w:rsidR="00322E25" w:rsidRPr="45E69C77">
        <w:rPr>
          <w:rFonts w:ascii="Calibri Light" w:eastAsia="Times New Roman" w:hAnsi="Calibri Light" w:cs="Calibri Light"/>
          <w:lang w:eastAsia="en-AU"/>
        </w:rPr>
        <w:t>herefore, the Government</w:t>
      </w:r>
      <w:r>
        <w:rPr>
          <w:rFonts w:ascii="Calibri Light" w:eastAsia="Times New Roman" w:hAnsi="Calibri Light" w:cs="Calibri Light"/>
          <w:lang w:eastAsia="en-AU"/>
        </w:rPr>
        <w:t xml:space="preserve"> should identify</w:t>
      </w:r>
      <w:r w:rsidR="000D6FE4">
        <w:rPr>
          <w:rFonts w:ascii="Calibri Light" w:eastAsia="Times New Roman" w:hAnsi="Calibri Light" w:cs="Calibri Light"/>
          <w:lang w:eastAsia="en-AU"/>
        </w:rPr>
        <w:t xml:space="preserve"> proposed</w:t>
      </w:r>
      <w:r w:rsidR="001012B2">
        <w:rPr>
          <w:rFonts w:ascii="Calibri Light" w:eastAsia="Times New Roman" w:hAnsi="Calibri Light" w:cs="Calibri Light"/>
          <w:lang w:eastAsia="en-AU"/>
        </w:rPr>
        <w:t xml:space="preserve"> changes to sub</w:t>
      </w:r>
      <w:r w:rsidR="00BD190B">
        <w:rPr>
          <w:rFonts w:ascii="Calibri Light" w:eastAsia="Times New Roman" w:hAnsi="Calibri Light" w:cs="Calibri Light"/>
          <w:lang w:eastAsia="en-AU"/>
        </w:rPr>
        <w:noBreakHyphen/>
      </w:r>
      <w:r w:rsidR="001012B2">
        <w:rPr>
          <w:rFonts w:ascii="Calibri Light" w:eastAsia="Times New Roman" w:hAnsi="Calibri Light" w:cs="Calibri Light"/>
          <w:lang w:eastAsia="en-AU"/>
        </w:rPr>
        <w:t xml:space="preserve">sectors (using </w:t>
      </w:r>
      <w:r w:rsidR="00332422">
        <w:rPr>
          <w:rFonts w:ascii="Calibri Light" w:eastAsia="Times New Roman" w:hAnsi="Calibri Light" w:cs="Calibri Light"/>
          <w:lang w:eastAsia="en-AU"/>
        </w:rPr>
        <w:t>feedback received as part of this Review process and other consultation mechanisms)</w:t>
      </w:r>
      <w:r>
        <w:rPr>
          <w:rFonts w:ascii="Calibri Light" w:eastAsia="Times New Roman" w:hAnsi="Calibri Light" w:cs="Calibri Light"/>
          <w:lang w:eastAsia="en-AU"/>
        </w:rPr>
        <w:t xml:space="preserve"> and</w:t>
      </w:r>
      <w:r w:rsidR="00322E25" w:rsidRPr="45E69C77">
        <w:rPr>
          <w:rFonts w:ascii="Calibri Light" w:eastAsia="Times New Roman" w:hAnsi="Calibri Light" w:cs="Calibri Light"/>
          <w:lang w:eastAsia="en-AU"/>
        </w:rPr>
        <w:t xml:space="preserve"> further consult with</w:t>
      </w:r>
      <w:r w:rsidR="0075522F">
        <w:rPr>
          <w:rFonts w:ascii="Calibri Light" w:eastAsia="Times New Roman" w:hAnsi="Calibri Light" w:cs="Calibri Light"/>
          <w:lang w:eastAsia="en-AU"/>
        </w:rPr>
        <w:t xml:space="preserve"> stakeholders on the merits of the proposed changes</w:t>
      </w:r>
      <w:r w:rsidR="00322E25" w:rsidRPr="45E69C77">
        <w:rPr>
          <w:rFonts w:ascii="Calibri Light" w:eastAsia="Times New Roman" w:hAnsi="Calibri Light" w:cs="Calibri Light"/>
          <w:lang w:eastAsia="en-AU"/>
        </w:rPr>
        <w:t xml:space="preserve"> before implementing any changes</w:t>
      </w:r>
      <w:r w:rsidR="00322E25">
        <w:rPr>
          <w:rFonts w:ascii="Calibri Light" w:eastAsia="Times New Roman" w:hAnsi="Calibri Light" w:cs="Calibri Light"/>
          <w:lang w:eastAsia="en-AU"/>
        </w:rPr>
        <w:t xml:space="preserve"> in Regulations</w:t>
      </w:r>
      <w:r w:rsidR="00322E25" w:rsidRPr="45E69C77">
        <w:rPr>
          <w:rFonts w:ascii="Calibri Light" w:eastAsia="Times New Roman" w:hAnsi="Calibri Light" w:cs="Calibri Light"/>
          <w:lang w:eastAsia="en-AU"/>
        </w:rPr>
        <w:t>.</w:t>
      </w:r>
      <w:r w:rsidR="00322E25">
        <w:rPr>
          <w:rFonts w:ascii="Calibri Light" w:eastAsia="Times New Roman" w:hAnsi="Calibri Light" w:cs="Calibri Light"/>
          <w:lang w:eastAsia="en-AU"/>
        </w:rPr>
        <w:t xml:space="preserve"> </w:t>
      </w:r>
    </w:p>
    <w:p w14:paraId="31C25218" w14:textId="342F3ABA" w:rsidR="00D20D39" w:rsidRDefault="00D20D39"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In considering </w:t>
      </w:r>
      <w:r w:rsidR="00766E4E">
        <w:rPr>
          <w:rFonts w:ascii="Calibri Light" w:eastAsia="Times New Roman" w:hAnsi="Calibri Light" w:cs="Calibri Light"/>
          <w:szCs w:val="20"/>
          <w:lang w:eastAsia="en-AU"/>
        </w:rPr>
        <w:t>changes to sub</w:t>
      </w:r>
      <w:r w:rsidR="00BD190B">
        <w:rPr>
          <w:rFonts w:ascii="Calibri Light" w:eastAsia="Times New Roman" w:hAnsi="Calibri Light" w:cs="Calibri Light"/>
          <w:szCs w:val="20"/>
          <w:lang w:eastAsia="en-AU"/>
        </w:rPr>
        <w:noBreakHyphen/>
      </w:r>
      <w:r w:rsidR="00766E4E">
        <w:rPr>
          <w:rFonts w:ascii="Calibri Light" w:eastAsia="Times New Roman" w:hAnsi="Calibri Light" w:cs="Calibri Light"/>
          <w:szCs w:val="20"/>
          <w:lang w:eastAsia="en-AU"/>
        </w:rPr>
        <w:t>sectors</w:t>
      </w:r>
      <w:r>
        <w:rPr>
          <w:rFonts w:ascii="Calibri Light" w:eastAsia="Times New Roman" w:hAnsi="Calibri Light" w:cs="Calibri Light"/>
          <w:szCs w:val="20"/>
          <w:lang w:eastAsia="en-AU"/>
        </w:rPr>
        <w:t xml:space="preserve">, the Government </w:t>
      </w:r>
      <w:r w:rsidR="0052582B">
        <w:rPr>
          <w:rFonts w:ascii="Calibri Light" w:eastAsia="Times New Roman" w:hAnsi="Calibri Light" w:cs="Calibri Light"/>
          <w:szCs w:val="20"/>
          <w:lang w:eastAsia="en-AU"/>
        </w:rPr>
        <w:t>should have regard to the following principles</w:t>
      </w:r>
      <w:r w:rsidR="008D34AF">
        <w:rPr>
          <w:rFonts w:ascii="Calibri Light" w:eastAsia="Times New Roman" w:hAnsi="Calibri Light" w:cs="Calibri Light"/>
          <w:szCs w:val="20"/>
          <w:lang w:eastAsia="en-AU"/>
        </w:rPr>
        <w:t xml:space="preserve"> and guidelines</w:t>
      </w:r>
      <w:r w:rsidR="00146D83">
        <w:rPr>
          <w:rFonts w:ascii="Calibri Light" w:eastAsia="Times New Roman" w:hAnsi="Calibri Light" w:cs="Calibri Light"/>
          <w:szCs w:val="20"/>
          <w:lang w:eastAsia="en-AU"/>
        </w:rPr>
        <w:t>.</w:t>
      </w:r>
    </w:p>
    <w:p w14:paraId="59FFD96B" w14:textId="3443CC02" w:rsidR="009A74AB" w:rsidRDefault="00146D83" w:rsidP="009A74AB">
      <w:pPr>
        <w:pStyle w:val="Bullet"/>
        <w:ind w:left="1004"/>
        <w:rPr>
          <w:rFonts w:eastAsia="Calibri"/>
          <w:lang w:eastAsia="en-US"/>
        </w:rPr>
      </w:pPr>
      <w:r>
        <w:rPr>
          <w:rFonts w:eastAsia="Calibri"/>
          <w:lang w:eastAsia="en-US"/>
        </w:rPr>
        <w:t xml:space="preserve">A presumption against increasing complexity and administrative </w:t>
      </w:r>
      <w:r w:rsidR="00B60A0E">
        <w:rPr>
          <w:rFonts w:eastAsia="Calibri"/>
          <w:lang w:eastAsia="en-US"/>
        </w:rPr>
        <w:t>costs fo</w:t>
      </w:r>
      <w:r w:rsidR="006B62F5">
        <w:rPr>
          <w:rFonts w:eastAsia="Calibri"/>
          <w:lang w:eastAsia="en-US"/>
        </w:rPr>
        <w:t>r ASIC and regulated entities</w:t>
      </w:r>
      <w:r w:rsidR="00237559">
        <w:rPr>
          <w:rFonts w:eastAsia="Calibri"/>
          <w:lang w:eastAsia="en-US"/>
        </w:rPr>
        <w:t xml:space="preserve">. This includes a presumption against </w:t>
      </w:r>
      <w:r w:rsidR="00197A97" w:rsidRPr="00237559">
        <w:rPr>
          <w:rFonts w:eastAsia="Calibri"/>
          <w:lang w:eastAsia="en-US"/>
        </w:rPr>
        <w:t>disaggregating existing sub</w:t>
      </w:r>
      <w:r w:rsidR="00BD190B">
        <w:rPr>
          <w:rFonts w:eastAsia="Calibri"/>
          <w:lang w:eastAsia="en-US"/>
        </w:rPr>
        <w:noBreakHyphen/>
      </w:r>
      <w:r w:rsidR="00197A97" w:rsidRPr="00237559">
        <w:rPr>
          <w:rFonts w:eastAsia="Calibri"/>
          <w:lang w:eastAsia="en-US"/>
        </w:rPr>
        <w:t>sectors into smaller sub</w:t>
      </w:r>
      <w:r w:rsidR="00BD190B">
        <w:rPr>
          <w:rFonts w:eastAsia="Calibri"/>
          <w:lang w:eastAsia="en-US"/>
        </w:rPr>
        <w:noBreakHyphen/>
      </w:r>
      <w:r w:rsidR="00197A97" w:rsidRPr="00237559">
        <w:rPr>
          <w:rFonts w:eastAsia="Calibri"/>
          <w:lang w:eastAsia="en-US"/>
        </w:rPr>
        <w:t>sector</w:t>
      </w:r>
      <w:r w:rsidR="00EB37ED">
        <w:rPr>
          <w:rFonts w:eastAsia="Calibri"/>
          <w:lang w:eastAsia="en-US"/>
        </w:rPr>
        <w:t>s</w:t>
      </w:r>
      <w:r w:rsidR="0047601F">
        <w:rPr>
          <w:rFonts w:eastAsia="Calibri"/>
          <w:lang w:eastAsia="en-US"/>
        </w:rPr>
        <w:t xml:space="preserve">. </w:t>
      </w:r>
    </w:p>
    <w:p w14:paraId="3A499D08" w14:textId="06E47254" w:rsidR="009A74AB" w:rsidRPr="009A74AB" w:rsidRDefault="00E40C39" w:rsidP="009A74AB">
      <w:pPr>
        <w:pStyle w:val="Bullet"/>
        <w:numPr>
          <w:ilvl w:val="0"/>
          <w:numId w:val="37"/>
        </w:numPr>
        <w:rPr>
          <w:rFonts w:eastAsia="Calibri"/>
          <w:lang w:eastAsia="en-US"/>
        </w:rPr>
      </w:pPr>
      <w:r>
        <w:rPr>
          <w:rFonts w:eastAsia="Calibri"/>
          <w:lang w:eastAsia="en-US"/>
        </w:rPr>
        <w:t>Smaller sub</w:t>
      </w:r>
      <w:r w:rsidR="00BD190B">
        <w:rPr>
          <w:rFonts w:eastAsia="Calibri"/>
          <w:lang w:eastAsia="en-US"/>
        </w:rPr>
        <w:noBreakHyphen/>
      </w:r>
      <w:r>
        <w:rPr>
          <w:rFonts w:eastAsia="Calibri"/>
          <w:lang w:eastAsia="en-US"/>
        </w:rPr>
        <w:t xml:space="preserve">sectors would </w:t>
      </w:r>
      <w:r w:rsidR="00DC318E">
        <w:rPr>
          <w:rFonts w:eastAsia="Calibri"/>
          <w:lang w:eastAsia="en-US"/>
        </w:rPr>
        <w:t>generally</w:t>
      </w:r>
      <w:r>
        <w:rPr>
          <w:rFonts w:eastAsia="Calibri"/>
          <w:lang w:eastAsia="en-US"/>
        </w:rPr>
        <w:t xml:space="preserve"> be </w:t>
      </w:r>
      <w:r w:rsidR="00397B19">
        <w:rPr>
          <w:rFonts w:eastAsia="Calibri"/>
          <w:lang w:eastAsia="en-US"/>
        </w:rPr>
        <w:t xml:space="preserve">more </w:t>
      </w:r>
      <w:r w:rsidR="003D183B">
        <w:rPr>
          <w:rFonts w:eastAsia="Calibri"/>
          <w:lang w:eastAsia="en-US"/>
        </w:rPr>
        <w:t xml:space="preserve">sensitive to </w:t>
      </w:r>
      <w:r w:rsidR="009267AA">
        <w:rPr>
          <w:rFonts w:eastAsia="Calibri"/>
          <w:lang w:eastAsia="en-US"/>
        </w:rPr>
        <w:t>increases in ASIC</w:t>
      </w:r>
      <w:r w:rsidR="00BD190B">
        <w:rPr>
          <w:rFonts w:eastAsia="Calibri"/>
          <w:lang w:eastAsia="en-US"/>
        </w:rPr>
        <w:t>’</w:t>
      </w:r>
      <w:r w:rsidR="009267AA">
        <w:rPr>
          <w:rFonts w:eastAsia="Calibri"/>
          <w:lang w:eastAsia="en-US"/>
        </w:rPr>
        <w:t>s costs</w:t>
      </w:r>
      <w:r w:rsidR="00BF0C98">
        <w:rPr>
          <w:rFonts w:eastAsia="Calibri"/>
          <w:lang w:eastAsia="en-US"/>
        </w:rPr>
        <w:t xml:space="preserve">, which </w:t>
      </w:r>
      <w:r w:rsidR="00BF0C98" w:rsidRPr="00BF0C98">
        <w:rPr>
          <w:rFonts w:eastAsia="Calibri"/>
          <w:lang w:eastAsia="en-US"/>
        </w:rPr>
        <w:t>increases the scope for greater volatility and variance in levies as costs are being recovered from a smaller number of entities</w:t>
      </w:r>
      <w:r w:rsidR="0047601F">
        <w:rPr>
          <w:rFonts w:eastAsia="Calibri"/>
          <w:lang w:eastAsia="en-US"/>
        </w:rPr>
        <w:t xml:space="preserve">. </w:t>
      </w:r>
    </w:p>
    <w:p w14:paraId="3729495D" w14:textId="2ACFBD72" w:rsidR="00FE4632" w:rsidRPr="00FE4632" w:rsidRDefault="00732E8E" w:rsidP="002F2129">
      <w:pPr>
        <w:pStyle w:val="Bullet"/>
        <w:ind w:left="1004"/>
        <w:rPr>
          <w:rFonts w:eastAsia="Calibri"/>
          <w:lang w:eastAsia="en-US"/>
        </w:rPr>
      </w:pPr>
      <w:r>
        <w:rPr>
          <w:rFonts w:eastAsia="Calibri"/>
          <w:lang w:eastAsia="en-US"/>
        </w:rPr>
        <w:t>Consistent with the</w:t>
      </w:r>
      <w:r w:rsidR="00FE4632">
        <w:rPr>
          <w:rFonts w:eastAsia="Calibri"/>
          <w:lang w:eastAsia="en-US"/>
        </w:rPr>
        <w:t xml:space="preserve"> above principle, </w:t>
      </w:r>
      <w:r w:rsidR="00FE4632" w:rsidRPr="00FE4632">
        <w:rPr>
          <w:rFonts w:eastAsia="Calibri"/>
          <w:lang w:eastAsia="en-US"/>
        </w:rPr>
        <w:t>reducing instances of sub</w:t>
      </w:r>
      <w:r w:rsidR="00BD190B">
        <w:rPr>
          <w:rFonts w:eastAsia="Calibri"/>
          <w:lang w:eastAsia="en-US"/>
        </w:rPr>
        <w:noBreakHyphen/>
      </w:r>
      <w:r w:rsidR="00FE4632" w:rsidRPr="00FE4632">
        <w:rPr>
          <w:rFonts w:eastAsia="Calibri"/>
          <w:lang w:eastAsia="en-US"/>
        </w:rPr>
        <w:t>sectors with one or very few entities unless the entity</w:t>
      </w:r>
      <w:r w:rsidR="009E4F1E">
        <w:rPr>
          <w:rFonts w:eastAsia="Calibri"/>
          <w:lang w:eastAsia="en-US"/>
        </w:rPr>
        <w:t xml:space="preserve"> or entities in the sub</w:t>
      </w:r>
      <w:r w:rsidR="00BD190B">
        <w:rPr>
          <w:rFonts w:eastAsia="Calibri"/>
          <w:lang w:eastAsia="en-US"/>
        </w:rPr>
        <w:noBreakHyphen/>
      </w:r>
      <w:r w:rsidR="009E4F1E">
        <w:rPr>
          <w:rFonts w:eastAsia="Calibri"/>
          <w:lang w:eastAsia="en-US"/>
        </w:rPr>
        <w:t>sector</w:t>
      </w:r>
      <w:r w:rsidR="00FE4632" w:rsidRPr="00FE4632">
        <w:rPr>
          <w:rFonts w:eastAsia="Calibri"/>
          <w:lang w:eastAsia="en-US"/>
        </w:rPr>
        <w:t xml:space="preserve"> </w:t>
      </w:r>
      <w:r w:rsidR="00B47735">
        <w:rPr>
          <w:rFonts w:eastAsia="Calibri"/>
          <w:lang w:eastAsia="en-US"/>
        </w:rPr>
        <w:t>provide a</w:t>
      </w:r>
      <w:r w:rsidR="00FE4632" w:rsidRPr="00FE4632">
        <w:rPr>
          <w:rFonts w:eastAsia="Calibri"/>
          <w:lang w:eastAsia="en-US"/>
        </w:rPr>
        <w:t xml:space="preserve"> monopoly</w:t>
      </w:r>
      <w:r w:rsidR="00B47735">
        <w:rPr>
          <w:rFonts w:eastAsia="Calibri"/>
          <w:lang w:eastAsia="en-US"/>
        </w:rPr>
        <w:t xml:space="preserve"> or </w:t>
      </w:r>
      <w:r w:rsidR="00FE4632" w:rsidRPr="00FE4632">
        <w:rPr>
          <w:rFonts w:eastAsia="Calibri"/>
          <w:lang w:eastAsia="en-US"/>
        </w:rPr>
        <w:t>quasi</w:t>
      </w:r>
      <w:r w:rsidR="00BD190B">
        <w:rPr>
          <w:rFonts w:eastAsia="Calibri"/>
          <w:lang w:eastAsia="en-US"/>
        </w:rPr>
        <w:noBreakHyphen/>
      </w:r>
      <w:r w:rsidR="00FE4632" w:rsidRPr="00FE4632">
        <w:rPr>
          <w:rFonts w:eastAsia="Calibri"/>
          <w:lang w:eastAsia="en-US"/>
        </w:rPr>
        <w:t>monopoly</w:t>
      </w:r>
      <w:r w:rsidR="00B47735">
        <w:rPr>
          <w:rFonts w:eastAsia="Calibri"/>
          <w:lang w:eastAsia="en-US"/>
        </w:rPr>
        <w:t xml:space="preserve"> </w:t>
      </w:r>
      <w:r w:rsidR="005F370A">
        <w:rPr>
          <w:rFonts w:eastAsia="Calibri"/>
          <w:lang w:eastAsia="en-US"/>
        </w:rPr>
        <w:t>service</w:t>
      </w:r>
      <w:r w:rsidR="009854A7">
        <w:rPr>
          <w:rFonts w:eastAsia="Calibri"/>
          <w:lang w:eastAsia="en-US"/>
        </w:rPr>
        <w:t xml:space="preserve">. </w:t>
      </w:r>
    </w:p>
    <w:p w14:paraId="409FB02F" w14:textId="6AA9915D" w:rsidR="001D6992" w:rsidRDefault="00072B5B" w:rsidP="00996EA0">
      <w:pPr>
        <w:pStyle w:val="Bullet"/>
        <w:ind w:left="1004"/>
        <w:rPr>
          <w:rFonts w:eastAsia="Calibri"/>
          <w:lang w:eastAsia="en-US"/>
        </w:rPr>
      </w:pPr>
      <w:r>
        <w:rPr>
          <w:rFonts w:eastAsia="Calibri"/>
          <w:lang w:eastAsia="en-US"/>
        </w:rPr>
        <w:t>E</w:t>
      </w:r>
      <w:r w:rsidR="00FE44BF">
        <w:rPr>
          <w:rFonts w:eastAsia="Calibri"/>
          <w:lang w:eastAsia="en-US"/>
        </w:rPr>
        <w:t>nsuring the sub</w:t>
      </w:r>
      <w:r w:rsidR="00BD190B">
        <w:rPr>
          <w:rFonts w:eastAsia="Calibri"/>
          <w:lang w:eastAsia="en-US"/>
        </w:rPr>
        <w:noBreakHyphen/>
      </w:r>
      <w:r w:rsidR="00FE44BF">
        <w:rPr>
          <w:rFonts w:eastAsia="Calibri"/>
          <w:lang w:eastAsia="en-US"/>
        </w:rPr>
        <w:t xml:space="preserve">sector </w:t>
      </w:r>
      <w:r w:rsidR="00863A1F">
        <w:rPr>
          <w:rFonts w:eastAsia="Calibri"/>
          <w:lang w:eastAsia="en-US"/>
        </w:rPr>
        <w:t xml:space="preserve">is </w:t>
      </w:r>
      <w:r w:rsidR="00AE27AF">
        <w:rPr>
          <w:rFonts w:eastAsia="Calibri"/>
          <w:lang w:eastAsia="en-US"/>
        </w:rPr>
        <w:t xml:space="preserve">mature and financially viable </w:t>
      </w:r>
      <w:r w:rsidR="00922F6A">
        <w:rPr>
          <w:rFonts w:eastAsia="Calibri"/>
          <w:lang w:eastAsia="en-US"/>
        </w:rPr>
        <w:t xml:space="preserve">so that entities </w:t>
      </w:r>
      <w:r w:rsidR="0019479B">
        <w:rPr>
          <w:rFonts w:eastAsia="Calibri"/>
          <w:lang w:eastAsia="en-US"/>
        </w:rPr>
        <w:t xml:space="preserve">can </w:t>
      </w:r>
      <w:r w:rsidR="00903D4C">
        <w:rPr>
          <w:rFonts w:eastAsia="Calibri"/>
          <w:lang w:eastAsia="en-US"/>
        </w:rPr>
        <w:t>pay</w:t>
      </w:r>
      <w:r w:rsidR="001440EC">
        <w:rPr>
          <w:rFonts w:eastAsia="Calibri"/>
          <w:lang w:eastAsia="en-US"/>
        </w:rPr>
        <w:t xml:space="preserve"> </w:t>
      </w:r>
      <w:r w:rsidR="001D6992">
        <w:rPr>
          <w:rFonts w:eastAsia="Calibri"/>
          <w:lang w:eastAsia="en-US"/>
        </w:rPr>
        <w:t>the cost of ASIC regulating the sub</w:t>
      </w:r>
      <w:r w:rsidR="00BD190B">
        <w:rPr>
          <w:rFonts w:eastAsia="Calibri"/>
          <w:lang w:eastAsia="en-US"/>
        </w:rPr>
        <w:noBreakHyphen/>
      </w:r>
      <w:r w:rsidR="001D6992">
        <w:rPr>
          <w:rFonts w:eastAsia="Calibri"/>
          <w:lang w:eastAsia="en-US"/>
        </w:rPr>
        <w:t>sector</w:t>
      </w:r>
      <w:r w:rsidR="00AE27AF">
        <w:rPr>
          <w:rFonts w:eastAsia="Calibri"/>
          <w:lang w:eastAsia="en-US"/>
        </w:rPr>
        <w:t xml:space="preserve"> (without hindering competition and innovation)</w:t>
      </w:r>
      <w:r w:rsidR="00AF553B">
        <w:rPr>
          <w:rFonts w:eastAsia="Calibri"/>
          <w:lang w:eastAsia="en-US"/>
        </w:rPr>
        <w:t xml:space="preserve">. </w:t>
      </w:r>
    </w:p>
    <w:p w14:paraId="7CD2315F" w14:textId="37F20734" w:rsidR="0055227A" w:rsidRPr="00B16FDE" w:rsidRDefault="00B77729" w:rsidP="00B16FDE">
      <w:pPr>
        <w:pStyle w:val="Bullet"/>
        <w:numPr>
          <w:ilvl w:val="0"/>
          <w:numId w:val="37"/>
        </w:numPr>
        <w:rPr>
          <w:rFonts w:cs="Calibri Light"/>
        </w:rPr>
      </w:pPr>
      <w:r>
        <w:rPr>
          <w:rFonts w:eastAsia="Calibri"/>
          <w:lang w:eastAsia="en-US"/>
        </w:rPr>
        <w:t xml:space="preserve">In some instances, it may be appropriate for the Government to consider </w:t>
      </w:r>
      <w:r w:rsidR="00154571">
        <w:rPr>
          <w:rFonts w:eastAsia="Calibri"/>
          <w:lang w:eastAsia="en-US"/>
        </w:rPr>
        <w:t>transitional arrangements for new en</w:t>
      </w:r>
      <w:r w:rsidR="00633E5F">
        <w:rPr>
          <w:rFonts w:eastAsia="Calibri"/>
          <w:lang w:eastAsia="en-US"/>
        </w:rPr>
        <w:t>tities that are brought into ASIC</w:t>
      </w:r>
      <w:r w:rsidR="00BD190B">
        <w:rPr>
          <w:rFonts w:eastAsia="Calibri"/>
          <w:lang w:eastAsia="en-US"/>
        </w:rPr>
        <w:t>’</w:t>
      </w:r>
      <w:r w:rsidR="00633E5F">
        <w:rPr>
          <w:rFonts w:eastAsia="Calibri"/>
          <w:lang w:eastAsia="en-US"/>
        </w:rPr>
        <w:t xml:space="preserve">s regulatory </w:t>
      </w:r>
      <w:r w:rsidR="0082769B">
        <w:rPr>
          <w:rFonts w:eastAsia="Calibri"/>
          <w:lang w:eastAsia="en-US"/>
        </w:rPr>
        <w:t xml:space="preserve">remit. </w:t>
      </w:r>
      <w:r w:rsidR="00255852" w:rsidRPr="00A96078">
        <w:rPr>
          <w:rFonts w:eastAsia="Calibri"/>
          <w:lang w:eastAsia="en-US"/>
        </w:rPr>
        <w:t>For example,</w:t>
      </w:r>
      <w:r w:rsidR="0082769B">
        <w:rPr>
          <w:rFonts w:eastAsia="Calibri"/>
          <w:lang w:eastAsia="en-US"/>
        </w:rPr>
        <w:t xml:space="preserve"> creating</w:t>
      </w:r>
      <w:r w:rsidR="00255852" w:rsidRPr="00A96078">
        <w:rPr>
          <w:rFonts w:eastAsia="Calibri"/>
          <w:lang w:eastAsia="en-US"/>
        </w:rPr>
        <w:t xml:space="preserve"> a </w:t>
      </w:r>
      <w:r w:rsidR="00BD190B">
        <w:rPr>
          <w:rFonts w:eastAsia="Calibri"/>
          <w:lang w:eastAsia="en-US"/>
        </w:rPr>
        <w:t>‘</w:t>
      </w:r>
      <w:r w:rsidR="00255852" w:rsidRPr="00A96078">
        <w:rPr>
          <w:rFonts w:eastAsia="Calibri"/>
          <w:lang w:eastAsia="en-US"/>
        </w:rPr>
        <w:t>time</w:t>
      </w:r>
      <w:r w:rsidR="00BD190B">
        <w:rPr>
          <w:rFonts w:eastAsia="Calibri"/>
          <w:lang w:eastAsia="en-US"/>
        </w:rPr>
        <w:noBreakHyphen/>
      </w:r>
      <w:r w:rsidR="00255852" w:rsidRPr="00A96078">
        <w:rPr>
          <w:rFonts w:eastAsia="Calibri"/>
          <w:lang w:eastAsia="en-US"/>
        </w:rPr>
        <w:t>limited</w:t>
      </w:r>
      <w:r w:rsidR="00BD190B">
        <w:rPr>
          <w:rFonts w:eastAsia="Calibri"/>
          <w:lang w:eastAsia="en-US"/>
        </w:rPr>
        <w:t>’</w:t>
      </w:r>
      <w:r w:rsidR="00255852" w:rsidRPr="00A96078">
        <w:rPr>
          <w:rFonts w:eastAsia="Calibri"/>
          <w:lang w:eastAsia="en-US"/>
        </w:rPr>
        <w:t xml:space="preserve"> sub</w:t>
      </w:r>
      <w:r w:rsidR="00BD190B">
        <w:rPr>
          <w:rFonts w:eastAsia="Calibri"/>
          <w:lang w:eastAsia="en-US"/>
        </w:rPr>
        <w:noBreakHyphen/>
      </w:r>
      <w:r w:rsidR="00255852" w:rsidRPr="00A96078">
        <w:rPr>
          <w:rFonts w:eastAsia="Calibri"/>
          <w:lang w:eastAsia="en-US"/>
        </w:rPr>
        <w:t xml:space="preserve">sector </w:t>
      </w:r>
      <w:r w:rsidR="0041033B">
        <w:rPr>
          <w:rFonts w:eastAsia="Calibri"/>
          <w:lang w:eastAsia="en-US"/>
        </w:rPr>
        <w:t xml:space="preserve">for structurally distinctive entities that are subject to implementation costs or </w:t>
      </w:r>
      <w:r w:rsidR="00661004">
        <w:rPr>
          <w:rFonts w:eastAsia="Calibri"/>
          <w:lang w:eastAsia="en-US"/>
        </w:rPr>
        <w:t>additional regulatory costs while the sub</w:t>
      </w:r>
      <w:r w:rsidR="00BD190B">
        <w:rPr>
          <w:rFonts w:eastAsia="Calibri"/>
          <w:lang w:eastAsia="en-US"/>
        </w:rPr>
        <w:noBreakHyphen/>
      </w:r>
      <w:r w:rsidR="00661004">
        <w:rPr>
          <w:rFonts w:eastAsia="Calibri"/>
          <w:lang w:eastAsia="en-US"/>
        </w:rPr>
        <w:t xml:space="preserve">sector </w:t>
      </w:r>
      <w:r w:rsidR="00970185">
        <w:rPr>
          <w:rFonts w:eastAsia="Calibri"/>
          <w:lang w:eastAsia="en-US"/>
        </w:rPr>
        <w:t>stabilises</w:t>
      </w:r>
      <w:r w:rsidR="001D5A81">
        <w:rPr>
          <w:rFonts w:eastAsia="Calibri"/>
          <w:lang w:eastAsia="en-US"/>
        </w:rPr>
        <w:t xml:space="preserve"> and can form part of another existing sub</w:t>
      </w:r>
      <w:r w:rsidR="00BD190B">
        <w:rPr>
          <w:rFonts w:eastAsia="Calibri"/>
          <w:lang w:eastAsia="en-US"/>
        </w:rPr>
        <w:noBreakHyphen/>
      </w:r>
      <w:r w:rsidR="001D5A81">
        <w:rPr>
          <w:rFonts w:eastAsia="Calibri"/>
          <w:lang w:eastAsia="en-US"/>
        </w:rPr>
        <w:t>sector.</w:t>
      </w:r>
    </w:p>
    <w:p w14:paraId="2F152DC7" w14:textId="608EBD97" w:rsidR="008C4E9A" w:rsidRDefault="008C4E9A"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Changes to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definitions, formulas and metrics would change the way levies are calculated and distributed amongst entities in a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and would impact the levy amounts for individual entities</w:t>
      </w:r>
      <w:r w:rsidR="001A7B6E" w:rsidRPr="45E69C77">
        <w:rPr>
          <w:rFonts w:ascii="Calibri Light" w:eastAsia="Times New Roman" w:hAnsi="Calibri Light" w:cs="Calibri Light"/>
          <w:lang w:eastAsia="en-AU"/>
        </w:rPr>
        <w:t xml:space="preserve"> </w:t>
      </w:r>
      <w:r w:rsidRPr="45E69C77">
        <w:rPr>
          <w:rFonts w:ascii="Calibri Light" w:eastAsia="Times New Roman" w:hAnsi="Calibri Light" w:cs="Calibri Light"/>
          <w:lang w:eastAsia="en-AU"/>
        </w:rPr>
        <w:t>but would not change the total amount recovered.</w:t>
      </w:r>
    </w:p>
    <w:p w14:paraId="16D47112" w14:textId="5F858167" w:rsidR="00AC27A7" w:rsidRPr="00AC27A7" w:rsidRDefault="00E64C0B"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lang w:eastAsia="en-AU"/>
        </w:rPr>
        <w:t xml:space="preserve">Currently, entities subject to a graduated levy must pay a </w:t>
      </w:r>
      <w:r w:rsidR="009F1A4F" w:rsidRPr="0031683A">
        <w:rPr>
          <w:rFonts w:ascii="Calibri Light" w:eastAsia="Times New Roman" w:hAnsi="Calibri Light" w:cs="Calibri Light"/>
          <w:lang w:eastAsia="en-AU"/>
        </w:rPr>
        <w:t>minimum component</w:t>
      </w:r>
      <w:r>
        <w:rPr>
          <w:rFonts w:ascii="Calibri Light" w:eastAsia="Times New Roman" w:hAnsi="Calibri Light" w:cs="Calibri Light"/>
          <w:lang w:eastAsia="en-AU"/>
        </w:rPr>
        <w:t xml:space="preserve"> irrespective of </w:t>
      </w:r>
      <w:r w:rsidR="009F1A4F" w:rsidRPr="0031683A">
        <w:rPr>
          <w:rFonts w:ascii="Calibri Light" w:eastAsia="Times New Roman" w:hAnsi="Calibri Light" w:cs="Calibri Light"/>
          <w:lang w:eastAsia="en-AU"/>
        </w:rPr>
        <w:t xml:space="preserve">the </w:t>
      </w:r>
      <w:r>
        <w:rPr>
          <w:rFonts w:ascii="Calibri Light" w:eastAsia="Times New Roman" w:hAnsi="Calibri Light" w:cs="Calibri Light"/>
          <w:lang w:eastAsia="en-AU"/>
        </w:rPr>
        <w:t>size of the entity or level of activity it undertakes.</w:t>
      </w:r>
      <w:r w:rsidR="009F1A4F" w:rsidRPr="0031683A">
        <w:rPr>
          <w:rFonts w:ascii="Calibri Light" w:eastAsia="Times New Roman" w:hAnsi="Calibri Light" w:cs="Calibri Light"/>
          <w:lang w:eastAsia="en-AU"/>
        </w:rPr>
        <w:t xml:space="preserve"> </w:t>
      </w:r>
      <w:r w:rsidR="00736BC8">
        <w:rPr>
          <w:rFonts w:ascii="Calibri Light" w:eastAsia="Times New Roman" w:hAnsi="Calibri Light" w:cs="Calibri Light"/>
          <w:lang w:eastAsia="en-AU"/>
        </w:rPr>
        <w:t>The minimum components (set out in the Cost Recovery Levy Regulations)</w:t>
      </w:r>
      <w:r w:rsidR="009F1A4F" w:rsidRPr="0031683A">
        <w:rPr>
          <w:rFonts w:ascii="Calibri Light" w:eastAsia="Times New Roman" w:hAnsi="Calibri Light" w:cs="Calibri Light"/>
          <w:lang w:eastAsia="en-AU"/>
        </w:rPr>
        <w:t xml:space="preserve"> </w:t>
      </w:r>
      <w:r w:rsidR="0049011B" w:rsidRPr="0031683A">
        <w:rPr>
          <w:rFonts w:ascii="Calibri Light" w:eastAsia="Times New Roman" w:hAnsi="Calibri Light" w:cs="Calibri Light"/>
          <w:lang w:eastAsia="en-AU"/>
        </w:rPr>
        <w:t>were originally</w:t>
      </w:r>
      <w:r w:rsidR="008E61E9" w:rsidRPr="0031683A">
        <w:rPr>
          <w:rFonts w:ascii="Calibri Light" w:eastAsia="Times New Roman" w:hAnsi="Calibri Light" w:cs="Calibri Light"/>
          <w:lang w:eastAsia="en-AU"/>
        </w:rPr>
        <w:t xml:space="preserve"> set </w:t>
      </w:r>
      <w:r w:rsidR="00FE7D60" w:rsidRPr="0031683A">
        <w:rPr>
          <w:rFonts w:ascii="Calibri Light" w:eastAsia="Times New Roman" w:hAnsi="Calibri Light" w:cs="Calibri Light"/>
          <w:lang w:eastAsia="en-AU"/>
        </w:rPr>
        <w:t xml:space="preserve">at a level </w:t>
      </w:r>
      <w:r w:rsidR="00BB2AD7" w:rsidRPr="0031683A">
        <w:rPr>
          <w:rFonts w:ascii="Calibri Light" w:eastAsia="Times New Roman" w:hAnsi="Calibri Light" w:cs="Calibri Light"/>
          <w:lang w:eastAsia="en-AU"/>
        </w:rPr>
        <w:t>which broadly</w:t>
      </w:r>
      <w:r w:rsidR="00863CA2" w:rsidRPr="0031683A">
        <w:rPr>
          <w:rFonts w:ascii="Calibri Light" w:eastAsia="Times New Roman" w:hAnsi="Calibri Light" w:cs="Calibri Light"/>
          <w:lang w:eastAsia="en-AU"/>
        </w:rPr>
        <w:t xml:space="preserve"> </w:t>
      </w:r>
      <w:r w:rsidR="008E61E9" w:rsidRPr="0031683A">
        <w:rPr>
          <w:rFonts w:ascii="Calibri Light" w:eastAsia="Times New Roman" w:hAnsi="Calibri Light" w:cs="Calibri Light"/>
          <w:lang w:eastAsia="en-AU"/>
        </w:rPr>
        <w:t>reflect</w:t>
      </w:r>
      <w:r w:rsidR="00542845" w:rsidRPr="0031683A">
        <w:rPr>
          <w:rFonts w:ascii="Calibri Light" w:eastAsia="Times New Roman" w:hAnsi="Calibri Light" w:cs="Calibri Light"/>
          <w:lang w:eastAsia="en-AU"/>
        </w:rPr>
        <w:t>ed</w:t>
      </w:r>
      <w:r w:rsidR="008E61E9" w:rsidRPr="0031683A">
        <w:rPr>
          <w:rFonts w:ascii="Calibri Light" w:eastAsia="Times New Roman" w:hAnsi="Calibri Light" w:cs="Calibri Light"/>
          <w:lang w:eastAsia="en-AU"/>
        </w:rPr>
        <w:t xml:space="preserve"> the costs of certain ASIC activities that are more stable over time and </w:t>
      </w:r>
      <w:r w:rsidR="00BD190B">
        <w:rPr>
          <w:rFonts w:ascii="Calibri Light" w:eastAsia="Times New Roman" w:hAnsi="Calibri Light" w:cs="Calibri Light"/>
          <w:lang w:eastAsia="en-AU"/>
        </w:rPr>
        <w:t>‘</w:t>
      </w:r>
      <w:r w:rsidR="008E61E9" w:rsidRPr="0031683A">
        <w:rPr>
          <w:rFonts w:ascii="Calibri Light" w:eastAsia="Times New Roman" w:hAnsi="Calibri Light" w:cs="Calibri Light"/>
          <w:lang w:eastAsia="en-AU"/>
        </w:rPr>
        <w:t>fixed</w:t>
      </w:r>
      <w:r w:rsidR="00BD190B">
        <w:rPr>
          <w:rFonts w:ascii="Calibri Light" w:eastAsia="Times New Roman" w:hAnsi="Calibri Light" w:cs="Calibri Light"/>
          <w:lang w:eastAsia="en-AU"/>
        </w:rPr>
        <w:t>’</w:t>
      </w:r>
      <w:r w:rsidR="00BB2AD7" w:rsidRPr="0031683A">
        <w:rPr>
          <w:rFonts w:ascii="Calibri Light" w:eastAsia="Times New Roman" w:hAnsi="Calibri Light" w:cs="Calibri Light"/>
          <w:lang w:eastAsia="en-AU"/>
        </w:rPr>
        <w:t xml:space="preserve"> for each sub</w:t>
      </w:r>
      <w:r w:rsidR="00BD190B">
        <w:rPr>
          <w:rFonts w:ascii="Calibri Light" w:eastAsia="Times New Roman" w:hAnsi="Calibri Light" w:cs="Calibri Light"/>
          <w:lang w:eastAsia="en-AU"/>
        </w:rPr>
        <w:noBreakHyphen/>
      </w:r>
      <w:r w:rsidR="00BB2AD7" w:rsidRPr="0031683A">
        <w:rPr>
          <w:rFonts w:ascii="Calibri Light" w:eastAsia="Times New Roman" w:hAnsi="Calibri Light" w:cs="Calibri Light"/>
          <w:lang w:eastAsia="en-AU"/>
        </w:rPr>
        <w:t>sector</w:t>
      </w:r>
      <w:r w:rsidR="008E61E9" w:rsidRPr="0031683A">
        <w:rPr>
          <w:rFonts w:ascii="Calibri Light" w:eastAsia="Times New Roman" w:hAnsi="Calibri Light" w:cs="Calibri Light"/>
          <w:lang w:eastAsia="en-AU"/>
        </w:rPr>
        <w:t>.</w:t>
      </w:r>
      <w:r w:rsidR="00BB2AD7" w:rsidRPr="0031683A">
        <w:rPr>
          <w:rFonts w:ascii="Calibri Light" w:eastAsia="Times New Roman" w:hAnsi="Calibri Light" w:cs="Calibri Light"/>
          <w:lang w:eastAsia="en-AU"/>
        </w:rPr>
        <w:t xml:space="preserve"> </w:t>
      </w:r>
    </w:p>
    <w:p w14:paraId="68252E84" w14:textId="162A5F48" w:rsidR="00B26710" w:rsidRPr="00B26710" w:rsidRDefault="008E61E9"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00B26710">
        <w:rPr>
          <w:rFonts w:ascii="Calibri Light" w:eastAsia="Times New Roman" w:hAnsi="Calibri Light" w:cs="Calibri Light"/>
          <w:lang w:eastAsia="en-AU"/>
        </w:rPr>
        <w:lastRenderedPageBreak/>
        <w:t>Since ASIC</w:t>
      </w:r>
      <w:r w:rsidR="00BD190B">
        <w:rPr>
          <w:rFonts w:ascii="Calibri Light" w:eastAsia="Times New Roman" w:hAnsi="Calibri Light" w:cs="Calibri Light"/>
          <w:lang w:eastAsia="en-AU"/>
        </w:rPr>
        <w:t>’</w:t>
      </w:r>
      <w:r w:rsidRPr="00B26710">
        <w:rPr>
          <w:rFonts w:ascii="Calibri Light" w:eastAsia="Times New Roman" w:hAnsi="Calibri Light" w:cs="Calibri Light"/>
          <w:lang w:eastAsia="en-AU"/>
        </w:rPr>
        <w:t xml:space="preserve">s total funding – and therefore the total amount recovered via levies – has increased substantially since the commencement of the IFM, the minimum components set in </w:t>
      </w:r>
      <w:r w:rsidR="009C7ED2">
        <w:rPr>
          <w:rFonts w:ascii="Calibri Light" w:eastAsia="Times New Roman" w:hAnsi="Calibri Light" w:cs="Calibri Light"/>
          <w:lang w:eastAsia="en-AU"/>
        </w:rPr>
        <w:t>2017–18</w:t>
      </w:r>
      <w:r w:rsidRPr="00B26710">
        <w:rPr>
          <w:rFonts w:ascii="Calibri Light" w:eastAsia="Times New Roman" w:hAnsi="Calibri Light" w:cs="Calibri Light"/>
          <w:lang w:eastAsia="en-AU"/>
        </w:rPr>
        <w:t xml:space="preserve"> do not reflect</w:t>
      </w:r>
      <w:r w:rsidR="007C1825" w:rsidRPr="00B26710">
        <w:rPr>
          <w:rFonts w:ascii="Calibri Light" w:eastAsia="Times New Roman" w:hAnsi="Calibri Light" w:cs="Calibri Light"/>
          <w:lang w:eastAsia="en-AU"/>
        </w:rPr>
        <w:t xml:space="preserve"> ASIC</w:t>
      </w:r>
      <w:r w:rsidR="00BD190B">
        <w:rPr>
          <w:rFonts w:ascii="Calibri Light" w:eastAsia="Times New Roman" w:hAnsi="Calibri Light" w:cs="Calibri Light"/>
          <w:lang w:eastAsia="en-AU"/>
        </w:rPr>
        <w:t>’</w:t>
      </w:r>
      <w:r w:rsidR="007C1825" w:rsidRPr="00B26710">
        <w:rPr>
          <w:rFonts w:ascii="Calibri Light" w:eastAsia="Times New Roman" w:hAnsi="Calibri Light" w:cs="Calibri Light"/>
          <w:lang w:eastAsia="en-AU"/>
        </w:rPr>
        <w:t>s fixed costs</w:t>
      </w:r>
      <w:r w:rsidR="00C51338" w:rsidRPr="00B26710">
        <w:rPr>
          <w:rFonts w:ascii="Calibri Light" w:eastAsia="Times New Roman" w:hAnsi="Calibri Light" w:cs="Calibri Light"/>
          <w:lang w:eastAsia="en-AU"/>
        </w:rPr>
        <w:t xml:space="preserve">. </w:t>
      </w:r>
    </w:p>
    <w:p w14:paraId="5EB83A27" w14:textId="3E1BAC39" w:rsidR="00B26710" w:rsidRPr="00B26710" w:rsidRDefault="00B26710"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lang w:eastAsia="en-AU"/>
        </w:rPr>
        <w:t>T</w:t>
      </w:r>
      <w:r w:rsidR="00C51338">
        <w:rPr>
          <w:rFonts w:ascii="Calibri Light" w:eastAsia="Times New Roman" w:hAnsi="Calibri Light" w:cs="Calibri Light"/>
          <w:lang w:eastAsia="en-AU"/>
        </w:rPr>
        <w:t xml:space="preserve">he Review </w:t>
      </w:r>
      <w:r>
        <w:rPr>
          <w:rFonts w:ascii="Calibri Light" w:eastAsia="Times New Roman" w:hAnsi="Calibri Light" w:cs="Calibri Light"/>
          <w:lang w:eastAsia="en-AU"/>
        </w:rPr>
        <w:t xml:space="preserve">finds that it is appropriate that entities subject to a graduated levy pay a minimum component. </w:t>
      </w:r>
      <w:r w:rsidRPr="00B26710">
        <w:rPr>
          <w:rFonts w:ascii="Calibri Light" w:eastAsia="Times New Roman" w:hAnsi="Calibri Light" w:cs="Calibri Light"/>
          <w:lang w:eastAsia="en-AU"/>
        </w:rPr>
        <w:t xml:space="preserve">A minimum component ensures all regulated entities contribute to </w:t>
      </w:r>
      <w:r w:rsidR="003E2615">
        <w:rPr>
          <w:rFonts w:ascii="Calibri Light" w:eastAsia="Times New Roman" w:hAnsi="Calibri Light" w:cs="Calibri Light"/>
          <w:lang w:eastAsia="en-AU"/>
        </w:rPr>
        <w:t>ASIC</w:t>
      </w:r>
      <w:r w:rsidR="00BD190B">
        <w:rPr>
          <w:rFonts w:ascii="Calibri Light" w:eastAsia="Times New Roman" w:hAnsi="Calibri Light" w:cs="Calibri Light"/>
          <w:lang w:eastAsia="en-AU"/>
        </w:rPr>
        <w:t>’</w:t>
      </w:r>
      <w:r w:rsidR="003E2615">
        <w:rPr>
          <w:rFonts w:ascii="Calibri Light" w:eastAsia="Times New Roman" w:hAnsi="Calibri Light" w:cs="Calibri Light"/>
          <w:lang w:eastAsia="en-AU"/>
        </w:rPr>
        <w:t>s costs to be</w:t>
      </w:r>
      <w:r w:rsidRPr="00B26710">
        <w:rPr>
          <w:rFonts w:ascii="Calibri Light" w:eastAsia="Times New Roman" w:hAnsi="Calibri Light" w:cs="Calibri Light"/>
          <w:lang w:eastAsia="en-AU"/>
        </w:rPr>
        <w:t xml:space="preserve"> an effective regulator</w:t>
      </w:r>
      <w:r w:rsidR="00A735E6">
        <w:rPr>
          <w:rFonts w:ascii="Calibri Light" w:eastAsia="Times New Roman" w:hAnsi="Calibri Light" w:cs="Calibri Light"/>
          <w:lang w:eastAsia="en-AU"/>
        </w:rPr>
        <w:t xml:space="preserve"> (</w:t>
      </w:r>
      <w:r w:rsidR="00557EBE">
        <w:rPr>
          <w:rFonts w:ascii="Calibri Light" w:eastAsia="Times New Roman" w:hAnsi="Calibri Light" w:cs="Calibri Light"/>
          <w:lang w:eastAsia="en-AU"/>
        </w:rPr>
        <w:t>that is, ASIC</w:t>
      </w:r>
      <w:r w:rsidR="00BD190B">
        <w:rPr>
          <w:rFonts w:ascii="Calibri Light" w:eastAsia="Times New Roman" w:hAnsi="Calibri Light" w:cs="Calibri Light"/>
          <w:lang w:eastAsia="en-AU"/>
        </w:rPr>
        <w:t>’</w:t>
      </w:r>
      <w:r w:rsidR="00557EBE">
        <w:rPr>
          <w:rFonts w:ascii="Calibri Light" w:eastAsia="Times New Roman" w:hAnsi="Calibri Light" w:cs="Calibri Light"/>
          <w:lang w:eastAsia="en-AU"/>
        </w:rPr>
        <w:t>s</w:t>
      </w:r>
      <w:r w:rsidR="00A735E6">
        <w:rPr>
          <w:rFonts w:ascii="Calibri Light" w:eastAsia="Times New Roman" w:hAnsi="Calibri Light" w:cs="Calibri Light"/>
          <w:lang w:eastAsia="en-AU"/>
        </w:rPr>
        <w:t xml:space="preserve"> enabling costs). </w:t>
      </w:r>
      <w:r w:rsidR="00557EBE">
        <w:rPr>
          <w:rFonts w:ascii="Calibri Light" w:eastAsia="Times New Roman" w:hAnsi="Calibri Light" w:cs="Calibri Light"/>
          <w:lang w:eastAsia="en-AU"/>
        </w:rPr>
        <w:t xml:space="preserve">Therefore, the Review finds that the minimum components that are currently set in the Cost Recovery Levy </w:t>
      </w:r>
      <w:r w:rsidR="00A37502">
        <w:rPr>
          <w:rFonts w:ascii="Calibri Light" w:eastAsia="Times New Roman" w:hAnsi="Calibri Light" w:cs="Calibri Light"/>
          <w:lang w:eastAsia="en-AU"/>
        </w:rPr>
        <w:t>Regulations</w:t>
      </w:r>
      <w:r w:rsidR="00557EBE">
        <w:rPr>
          <w:rFonts w:ascii="Calibri Light" w:eastAsia="Times New Roman" w:hAnsi="Calibri Light" w:cs="Calibri Light"/>
          <w:lang w:eastAsia="en-AU"/>
        </w:rPr>
        <w:t xml:space="preserve"> remain appropriate. </w:t>
      </w:r>
    </w:p>
    <w:tbl>
      <w:tblPr>
        <w:tblpPr w:leftFromText="180" w:rightFromText="180" w:vertAnchor="text" w:horzAnchor="margin" w:tblpY="1665"/>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9D4F6C" w14:paraId="70F7229B" w14:textId="77777777" w:rsidTr="009D4F6C">
        <w:tc>
          <w:tcPr>
            <w:tcW w:w="5000" w:type="pct"/>
            <w:shd w:val="clear" w:color="auto" w:fill="F2F9FC"/>
            <w:hideMark/>
          </w:tcPr>
          <w:p w14:paraId="67FACEA0" w14:textId="77777777" w:rsidR="009D4F6C" w:rsidRPr="006A120E" w:rsidRDefault="009D4F6C" w:rsidP="009D4F6C">
            <w:pPr>
              <w:pStyle w:val="BoxHeading"/>
            </w:pPr>
            <w:r w:rsidRPr="0032739E">
              <w:t>Recommendation 4</w:t>
            </w:r>
          </w:p>
          <w:p w14:paraId="1BD5B7C1" w14:textId="39C397C6" w:rsidR="009D4F6C" w:rsidRPr="00D400C2" w:rsidRDefault="009D4F6C" w:rsidP="009F75E0">
            <w:pPr>
              <w:pStyle w:val="BoxText"/>
              <w:rPr>
                <w:sz w:val="20"/>
                <w:lang w:eastAsia="en-US"/>
              </w:rPr>
            </w:pPr>
            <w:r w:rsidRPr="00976F5C">
              <w:t>Following public consultation, changes should be made to certain sub</w:t>
            </w:r>
            <w:r w:rsidR="00BD190B">
              <w:noBreakHyphen/>
            </w:r>
            <w:r w:rsidRPr="00976F5C">
              <w:t xml:space="preserve">sector definitions, entity metrics and levy formulas set out in Regulations to </w:t>
            </w:r>
            <w:r>
              <w:t>ensure they remain fit</w:t>
            </w:r>
            <w:r w:rsidR="00BD190B">
              <w:noBreakHyphen/>
            </w:r>
            <w:r>
              <w:t>for</w:t>
            </w:r>
            <w:r w:rsidR="00BD190B">
              <w:noBreakHyphen/>
            </w:r>
            <w:r>
              <w:t>purpose</w:t>
            </w:r>
            <w:r w:rsidRPr="00976F5C">
              <w:t>.</w:t>
            </w:r>
            <w:r w:rsidRPr="006A120E">
              <w:rPr>
                <w:sz w:val="20"/>
                <w:lang w:eastAsia="en-US"/>
              </w:rPr>
              <w:t xml:space="preserve"> </w:t>
            </w:r>
          </w:p>
        </w:tc>
      </w:tr>
    </w:tbl>
    <w:p w14:paraId="79B722C1" w14:textId="31FD0789" w:rsidR="00B2048E" w:rsidRPr="0055227A" w:rsidRDefault="00B2048E"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Review notes that any changes to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definitions, formulas and metrics will require legislative change and would need to go through usual Parliamentary and legislative process</w:t>
      </w:r>
      <w:r w:rsidR="0085101E">
        <w:rPr>
          <w:rFonts w:ascii="Calibri Light" w:eastAsia="Times New Roman" w:hAnsi="Calibri Light" w:cs="Calibri Light"/>
          <w:lang w:eastAsia="en-AU"/>
        </w:rPr>
        <w:t>es</w:t>
      </w:r>
      <w:r w:rsidRPr="45E69C77">
        <w:rPr>
          <w:rFonts w:ascii="Calibri Light" w:eastAsia="Times New Roman" w:hAnsi="Calibri Light" w:cs="Calibri Light"/>
          <w:lang w:eastAsia="en-AU"/>
        </w:rPr>
        <w:t xml:space="preserve"> including </w:t>
      </w:r>
      <w:r w:rsidR="001F783D">
        <w:rPr>
          <w:rFonts w:ascii="Calibri Light" w:eastAsia="Times New Roman" w:hAnsi="Calibri Light" w:cs="Calibri Light"/>
          <w:lang w:eastAsia="en-AU"/>
        </w:rPr>
        <w:t xml:space="preserve">public </w:t>
      </w:r>
      <w:r w:rsidRPr="45E69C77">
        <w:rPr>
          <w:rFonts w:ascii="Calibri Light" w:eastAsia="Times New Roman" w:hAnsi="Calibri Light" w:cs="Calibri Light"/>
          <w:lang w:eastAsia="en-AU"/>
        </w:rPr>
        <w:t xml:space="preserve">consultation. It will also require changes to ASIC systems to be able to calculate levies in line with the </w:t>
      </w:r>
      <w:r w:rsidR="008C0CA3" w:rsidRPr="45E69C77">
        <w:rPr>
          <w:rFonts w:ascii="Calibri Light" w:eastAsia="Times New Roman" w:hAnsi="Calibri Light" w:cs="Calibri Light"/>
          <w:lang w:eastAsia="en-AU"/>
        </w:rPr>
        <w:t>changes and</w:t>
      </w:r>
      <w:r w:rsidRPr="45E69C77">
        <w:rPr>
          <w:rFonts w:ascii="Calibri Light" w:eastAsia="Times New Roman" w:hAnsi="Calibri Light" w:cs="Calibri Light"/>
          <w:lang w:eastAsia="en-AU"/>
        </w:rPr>
        <w:t xml:space="preserve"> may also require</w:t>
      </w:r>
      <w:r w:rsidR="00E262D9" w:rsidRPr="45E69C77">
        <w:rPr>
          <w:rFonts w:ascii="Calibri Light" w:eastAsia="Times New Roman" w:hAnsi="Calibri Light" w:cs="Calibri Light"/>
          <w:lang w:eastAsia="en-AU"/>
        </w:rPr>
        <w:t xml:space="preserve"> adjusted reporting by regulated entities where there are changes to entity metrics</w:t>
      </w:r>
      <w:r w:rsidR="00901E80">
        <w:rPr>
          <w:rFonts w:ascii="Calibri Light" w:eastAsia="Times New Roman" w:hAnsi="Calibri Light" w:cs="Calibri Light"/>
          <w:lang w:eastAsia="en-AU"/>
        </w:rPr>
        <w:t xml:space="preserve">. </w:t>
      </w:r>
    </w:p>
    <w:p w14:paraId="73FE1C31" w14:textId="77777777" w:rsidR="00904731" w:rsidRPr="00D709B6" w:rsidRDefault="00904731" w:rsidP="00904731">
      <w:pPr>
        <w:pStyle w:val="Heading2"/>
      </w:pPr>
      <w:bookmarkStart w:id="87" w:name="_Toc125305186"/>
      <w:bookmarkStart w:id="88" w:name="_Toc129270464"/>
      <w:bookmarkStart w:id="89" w:name="_Hlk121836492"/>
      <w:r>
        <w:t>Flexibility of the l</w:t>
      </w:r>
      <w:r w:rsidRPr="00D709B6">
        <w:t>evies framework</w:t>
      </w:r>
      <w:bookmarkEnd w:id="87"/>
      <w:bookmarkEnd w:id="88"/>
    </w:p>
    <w:p w14:paraId="768C86D9" w14:textId="2EC28DE7" w:rsidR="00904731"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The legislative framework of the IFM is intended to be flexible. The Explanatory Memorandum to the ASIC Supervisory Cost Recovery Levy Bill 2017 noted that the power to set in regulations formulas and methods for determining levy amounts is broad and allows for significant flexibility in determining amounts of levy for different classes of entities. This flexibility is required because of the number of different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and the need to set different methods, formulas or amounts that are appropriate for each of them.</w:t>
      </w:r>
    </w:p>
    <w:p w14:paraId="081E2733" w14:textId="0BE7CC42" w:rsidR="00904731"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Since its commencement, there has been no wholesale change to the levy component of the IFM. However, notable changes made include establishing new industry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sectors, adjusting levy metrics for certain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 xml:space="preserve">sectors, and changes to levy amounts (such as the temporary </w:t>
      </w:r>
      <w:r w:rsidR="00887D33">
        <w:rPr>
          <w:rFonts w:ascii="Calibri Light" w:eastAsia="Times New Roman" w:hAnsi="Calibri Light" w:cs="Calibri Light"/>
          <w:lang w:eastAsia="en-AU"/>
        </w:rPr>
        <w:t xml:space="preserve">levy </w:t>
      </w:r>
      <w:r w:rsidRPr="45E69C77">
        <w:rPr>
          <w:rFonts w:ascii="Calibri Light" w:eastAsia="Times New Roman" w:hAnsi="Calibri Light" w:cs="Calibri Light"/>
          <w:lang w:eastAsia="en-AU"/>
        </w:rPr>
        <w:t xml:space="preserve">relief for </w:t>
      </w:r>
      <w:r w:rsidR="00887D33">
        <w:rPr>
          <w:rFonts w:ascii="Calibri Light" w:eastAsia="Times New Roman" w:hAnsi="Calibri Light" w:cs="Calibri Light"/>
          <w:lang w:eastAsia="en-AU"/>
        </w:rPr>
        <w:t>persona financial advice</w:t>
      </w:r>
      <w:r w:rsidR="005B57AF">
        <w:rPr>
          <w:rFonts w:ascii="Calibri Light" w:eastAsia="Times New Roman" w:hAnsi="Calibri Light" w:cs="Calibri Light"/>
          <w:lang w:eastAsia="en-AU"/>
        </w:rPr>
        <w:t xml:space="preserve"> licensees</w:t>
      </w:r>
      <w:r w:rsidRPr="45E69C77">
        <w:rPr>
          <w:rFonts w:ascii="Calibri Light" w:eastAsia="Times New Roman" w:hAnsi="Calibri Light" w:cs="Calibri Light"/>
          <w:lang w:eastAsia="en-AU"/>
        </w:rPr>
        <w:t xml:space="preserve"> in </w:t>
      </w:r>
      <w:r w:rsidR="009C7ED2">
        <w:rPr>
          <w:rFonts w:ascii="Calibri Light" w:eastAsia="Times New Roman" w:hAnsi="Calibri Light" w:cs="Calibri Light"/>
          <w:lang w:eastAsia="en-AU"/>
        </w:rPr>
        <w:t>2020–21</w:t>
      </w:r>
      <w:r w:rsidRPr="45E69C77">
        <w:rPr>
          <w:rFonts w:ascii="Calibri Light" w:eastAsia="Times New Roman" w:hAnsi="Calibri Light" w:cs="Calibri Light"/>
          <w:lang w:eastAsia="en-AU"/>
        </w:rPr>
        <w:t xml:space="preserve"> and </w:t>
      </w:r>
      <w:r w:rsidR="009C7ED2">
        <w:rPr>
          <w:rFonts w:ascii="Calibri Light" w:eastAsia="Times New Roman" w:hAnsi="Calibri Light" w:cs="Calibri Light"/>
          <w:lang w:eastAsia="en-AU"/>
        </w:rPr>
        <w:t>2021–22</w:t>
      </w:r>
      <w:r w:rsidRPr="45E69C77">
        <w:rPr>
          <w:rFonts w:ascii="Calibri Light" w:eastAsia="Times New Roman" w:hAnsi="Calibri Light" w:cs="Calibri Light"/>
          <w:lang w:eastAsia="en-AU"/>
        </w:rPr>
        <w:t>).</w:t>
      </w:r>
    </w:p>
    <w:p w14:paraId="07D28674" w14:textId="77777777" w:rsidR="00904731" w:rsidRDefault="00904731" w:rsidP="00232046">
      <w:pPr>
        <w:pStyle w:val="Heading3"/>
      </w:pPr>
      <w:bookmarkStart w:id="90" w:name="_Toc129270465"/>
      <w:r>
        <w:t>Analysis and findings</w:t>
      </w:r>
      <w:bookmarkEnd w:id="90"/>
      <w:r>
        <w:t xml:space="preserve"> </w:t>
      </w:r>
    </w:p>
    <w:p w14:paraId="24A5E90F" w14:textId="69AEED90" w:rsidR="00D957A8"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While the IFM is intended to be flexible, the process of making and amending primary legislation or regulations can be lengthy depending on the number and scope of changes required. </w:t>
      </w:r>
      <w:r w:rsidR="008F6154">
        <w:rPr>
          <w:rFonts w:ascii="Calibri Light" w:eastAsia="Times New Roman" w:hAnsi="Calibri Light" w:cs="Calibri Light"/>
          <w:lang w:eastAsia="en-AU"/>
        </w:rPr>
        <w:t xml:space="preserve">This includes the time taken to consult with stakeholders on the proposed changes. </w:t>
      </w:r>
    </w:p>
    <w:p w14:paraId="327CC916" w14:textId="51E16CB6" w:rsidR="00904731"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Some stakeholders have raised concerns about the flexibility of the IFM to respond to changes in industry in a timely manner, in particular to account for emerging industry sectors. However, flexibility needs to be balanced against appropriate Ministerial and Parliamentary oversight</w:t>
      </w:r>
      <w:r w:rsidR="00D957A8" w:rsidRPr="45E69C77">
        <w:rPr>
          <w:rFonts w:ascii="Calibri Light" w:eastAsia="Times New Roman" w:hAnsi="Calibri Light" w:cs="Calibri Light"/>
          <w:lang w:eastAsia="en-AU"/>
        </w:rPr>
        <w:t>.</w:t>
      </w:r>
    </w:p>
    <w:p w14:paraId="783B2CA0" w14:textId="7CE4E8F6" w:rsidR="00904731" w:rsidRDefault="0090473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 xml:space="preserve">The Review finds that it is appropriate for the Government to retain responsibility </w:t>
      </w:r>
      <w:r w:rsidR="001B100D">
        <w:rPr>
          <w:rFonts w:ascii="Calibri Light" w:eastAsia="Times New Roman" w:hAnsi="Calibri Light" w:cs="Calibri Light"/>
          <w:lang w:eastAsia="en-AU"/>
        </w:rPr>
        <w:t>for</w:t>
      </w:r>
      <w:r w:rsidRPr="45E69C77">
        <w:rPr>
          <w:rFonts w:ascii="Calibri Light" w:eastAsia="Times New Roman" w:hAnsi="Calibri Light" w:cs="Calibri Light"/>
          <w:lang w:eastAsia="en-AU"/>
        </w:rPr>
        <w:t xml:space="preserve"> determining sub</w:t>
      </w:r>
      <w:r w:rsidR="00BD190B">
        <w:rPr>
          <w:rFonts w:ascii="Calibri Light" w:eastAsia="Times New Roman" w:hAnsi="Calibri Light" w:cs="Calibri Light"/>
          <w:lang w:eastAsia="en-AU"/>
        </w:rPr>
        <w:noBreakHyphen/>
      </w:r>
      <w:r w:rsidRPr="45E69C77">
        <w:rPr>
          <w:rFonts w:ascii="Calibri Light" w:eastAsia="Times New Roman" w:hAnsi="Calibri Light" w:cs="Calibri Light"/>
          <w:lang w:eastAsia="en-AU"/>
        </w:rPr>
        <w:t>sector definitions, entity metrics and levy formulas, as these decisions relate to policy</w:t>
      </w:r>
      <w:r w:rsidR="00D957A8" w:rsidRPr="45E69C77">
        <w:rPr>
          <w:rFonts w:ascii="Calibri Light" w:eastAsia="Times New Roman" w:hAnsi="Calibri Light" w:cs="Calibri Light"/>
          <w:lang w:eastAsia="en-AU"/>
        </w:rPr>
        <w:t xml:space="preserve"> settings of the IFM</w:t>
      </w:r>
      <w:r w:rsidR="001B100D">
        <w:rPr>
          <w:rFonts w:ascii="Calibri Light" w:eastAsia="Times New Roman" w:hAnsi="Calibri Light" w:cs="Calibri Light"/>
          <w:lang w:eastAsia="en-AU"/>
        </w:rPr>
        <w:t xml:space="preserve"> and impact the levy payable by entities</w:t>
      </w:r>
      <w:r w:rsidR="0047601F">
        <w:rPr>
          <w:rFonts w:ascii="Calibri Light" w:eastAsia="Times New Roman" w:hAnsi="Calibri Light" w:cs="Calibri Light"/>
          <w:lang w:eastAsia="en-AU"/>
        </w:rPr>
        <w:t xml:space="preserve">. </w:t>
      </w:r>
    </w:p>
    <w:p w14:paraId="6DDB97D2" w14:textId="5E23A23E" w:rsidR="00D957A8" w:rsidRDefault="0051765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lastRenderedPageBreak/>
        <w:t>T</w:t>
      </w:r>
      <w:r w:rsidR="00740BF6" w:rsidRPr="45E69C77">
        <w:rPr>
          <w:rFonts w:ascii="Calibri Light" w:eastAsia="Times New Roman" w:hAnsi="Calibri Light" w:cs="Calibri Light"/>
          <w:lang w:eastAsia="en-AU"/>
        </w:rPr>
        <w:t xml:space="preserve">o improve flexibility, consideration could be given to setting </w:t>
      </w:r>
      <w:r w:rsidR="00B17739" w:rsidRPr="45E69C77">
        <w:rPr>
          <w:rFonts w:ascii="Calibri Light" w:eastAsia="Times New Roman" w:hAnsi="Calibri Light" w:cs="Calibri Light"/>
          <w:lang w:eastAsia="en-AU"/>
        </w:rPr>
        <w:t>sub</w:t>
      </w:r>
      <w:r w:rsidR="00BD190B">
        <w:rPr>
          <w:rFonts w:ascii="Calibri Light" w:eastAsia="Times New Roman" w:hAnsi="Calibri Light" w:cs="Calibri Light"/>
          <w:lang w:eastAsia="en-AU"/>
        </w:rPr>
        <w:noBreakHyphen/>
      </w:r>
      <w:r w:rsidR="00B17739" w:rsidRPr="45E69C77">
        <w:rPr>
          <w:rFonts w:ascii="Calibri Light" w:eastAsia="Times New Roman" w:hAnsi="Calibri Light" w:cs="Calibri Light"/>
          <w:lang w:eastAsia="en-AU"/>
        </w:rPr>
        <w:t xml:space="preserve">sector definitions, </w:t>
      </w:r>
      <w:r w:rsidR="00740BF6" w:rsidRPr="45E69C77">
        <w:rPr>
          <w:rFonts w:ascii="Calibri Light" w:eastAsia="Times New Roman" w:hAnsi="Calibri Light" w:cs="Calibri Light"/>
          <w:lang w:eastAsia="en-AU"/>
        </w:rPr>
        <w:t xml:space="preserve">metrics and formulas in a legislative instrument made by </w:t>
      </w:r>
      <w:r w:rsidR="00AC1D6E" w:rsidRPr="45E69C77">
        <w:rPr>
          <w:rFonts w:ascii="Calibri Light" w:eastAsia="Times New Roman" w:hAnsi="Calibri Light" w:cs="Calibri Light"/>
          <w:lang w:eastAsia="en-AU"/>
        </w:rPr>
        <w:t>the responsible Minister</w:t>
      </w:r>
      <w:r w:rsidR="00740BF6" w:rsidRPr="45E69C77">
        <w:rPr>
          <w:rFonts w:ascii="Calibri Light" w:eastAsia="Times New Roman" w:hAnsi="Calibri Light" w:cs="Calibri Light"/>
          <w:lang w:eastAsia="en-AU"/>
        </w:rPr>
        <w:t xml:space="preserve">. </w:t>
      </w:r>
      <w:r w:rsidR="00904731" w:rsidRPr="45E69C77">
        <w:rPr>
          <w:rFonts w:ascii="Calibri Light" w:eastAsia="Times New Roman" w:hAnsi="Calibri Light" w:cs="Calibri Light"/>
          <w:lang w:eastAsia="en-AU"/>
        </w:rPr>
        <w:t xml:space="preserve">While it would not reduce timeframes substantially, it would </w:t>
      </w:r>
      <w:r w:rsidR="00031EC5" w:rsidRPr="45E69C77">
        <w:rPr>
          <w:rFonts w:ascii="Calibri Light" w:eastAsia="Times New Roman" w:hAnsi="Calibri Light" w:cs="Calibri Light"/>
          <w:lang w:eastAsia="en-AU"/>
        </w:rPr>
        <w:t xml:space="preserve">not require </w:t>
      </w:r>
      <w:r w:rsidR="00904731" w:rsidRPr="45E69C77">
        <w:rPr>
          <w:rFonts w:ascii="Calibri Light" w:eastAsia="Times New Roman" w:hAnsi="Calibri Light" w:cs="Calibri Light"/>
          <w:lang w:eastAsia="en-AU"/>
        </w:rPr>
        <w:t>Governor</w:t>
      </w:r>
      <w:r w:rsidR="00BD190B">
        <w:rPr>
          <w:rFonts w:ascii="Calibri Light" w:eastAsia="Times New Roman" w:hAnsi="Calibri Light" w:cs="Calibri Light"/>
          <w:lang w:eastAsia="en-AU"/>
        </w:rPr>
        <w:noBreakHyphen/>
      </w:r>
      <w:r w:rsidR="00904731" w:rsidRPr="45E69C77">
        <w:rPr>
          <w:rFonts w:ascii="Calibri Light" w:eastAsia="Times New Roman" w:hAnsi="Calibri Light" w:cs="Calibri Light"/>
          <w:lang w:eastAsia="en-AU"/>
        </w:rPr>
        <w:t>General approval</w:t>
      </w:r>
      <w:r w:rsidR="00031EC5" w:rsidRPr="45E69C77">
        <w:rPr>
          <w:rFonts w:ascii="Calibri Light" w:eastAsia="Times New Roman" w:hAnsi="Calibri Light" w:cs="Calibri Light"/>
          <w:lang w:eastAsia="en-AU"/>
        </w:rPr>
        <w:t xml:space="preserve"> and may allow changes to be made on a more regular basis. This approach would retain</w:t>
      </w:r>
      <w:r w:rsidR="00904731" w:rsidRPr="45E69C77">
        <w:rPr>
          <w:rFonts w:ascii="Calibri Light" w:eastAsia="Times New Roman" w:hAnsi="Calibri Light" w:cs="Calibri Light"/>
          <w:lang w:eastAsia="en-AU"/>
        </w:rPr>
        <w:t xml:space="preserve"> parliamentary oversight </w:t>
      </w:r>
      <w:r w:rsidR="00F74E78" w:rsidRPr="45E69C77">
        <w:rPr>
          <w:rFonts w:ascii="Calibri Light" w:eastAsia="Times New Roman" w:hAnsi="Calibri Light" w:cs="Calibri Light"/>
          <w:lang w:eastAsia="en-AU"/>
        </w:rPr>
        <w:t>as the legislative instrument would be subject to disallowance</w:t>
      </w:r>
      <w:r w:rsidR="00901E80">
        <w:rPr>
          <w:rFonts w:ascii="Calibri Light" w:eastAsia="Times New Roman" w:hAnsi="Calibri Light" w:cs="Calibri Light"/>
          <w:lang w:eastAsia="en-AU"/>
        </w:rPr>
        <w:t xml:space="preserve">. </w:t>
      </w:r>
    </w:p>
    <w:p w14:paraId="22122DC8" w14:textId="56CF10E1" w:rsidR="00537042" w:rsidRDefault="00517651" w:rsidP="0037599B">
      <w:pPr>
        <w:pStyle w:val="numberedtext"/>
        <w:numPr>
          <w:ilvl w:val="0"/>
          <w:numId w:val="14"/>
        </w:numPr>
        <w:tabs>
          <w:tab w:val="left" w:pos="709"/>
        </w:tabs>
        <w:ind w:hanging="720"/>
        <w:rPr>
          <w:rFonts w:ascii="Calibri Light" w:eastAsia="Times New Roman" w:hAnsi="Calibri Light" w:cs="Calibri Light"/>
          <w:szCs w:val="20"/>
          <w:lang w:eastAsia="en-AU"/>
        </w:rPr>
      </w:pPr>
      <w:r w:rsidRPr="45E69C77">
        <w:rPr>
          <w:rFonts w:ascii="Calibri Light" w:eastAsia="Times New Roman" w:hAnsi="Calibri Light" w:cs="Calibri Light"/>
          <w:lang w:eastAsia="en-AU"/>
        </w:rPr>
        <w:t>However, t</w:t>
      </w:r>
      <w:r w:rsidR="00537042" w:rsidRPr="45E69C77">
        <w:rPr>
          <w:rFonts w:ascii="Calibri Light" w:eastAsia="Times New Roman" w:hAnsi="Calibri Light" w:cs="Calibri Light"/>
          <w:lang w:eastAsia="en-AU"/>
        </w:rPr>
        <w:t xml:space="preserve">he </w:t>
      </w:r>
      <w:r w:rsidR="00705485">
        <w:rPr>
          <w:rFonts w:ascii="Calibri Light" w:eastAsia="Times New Roman" w:hAnsi="Calibri Light" w:cs="Calibri Light"/>
          <w:lang w:eastAsia="en-AU"/>
        </w:rPr>
        <w:t>R</w:t>
      </w:r>
      <w:r w:rsidR="00537042" w:rsidRPr="45E69C77">
        <w:rPr>
          <w:rFonts w:ascii="Calibri Light" w:eastAsia="Times New Roman" w:hAnsi="Calibri Light" w:cs="Calibri Light"/>
          <w:lang w:eastAsia="en-AU"/>
        </w:rPr>
        <w:t>eview does not</w:t>
      </w:r>
      <w:r w:rsidRPr="45E69C77">
        <w:rPr>
          <w:rFonts w:ascii="Calibri Light" w:eastAsia="Times New Roman" w:hAnsi="Calibri Light" w:cs="Calibri Light"/>
          <w:lang w:eastAsia="en-AU"/>
        </w:rPr>
        <w:t xml:space="preserve"> recommend </w:t>
      </w:r>
      <w:r w:rsidR="00A5646D" w:rsidRPr="45E69C77">
        <w:rPr>
          <w:rFonts w:ascii="Calibri Light" w:eastAsia="Times New Roman" w:hAnsi="Calibri Light" w:cs="Calibri Light"/>
          <w:lang w:eastAsia="en-AU"/>
        </w:rPr>
        <w:t>this</w:t>
      </w:r>
      <w:r w:rsidR="005961C5" w:rsidRPr="45E69C77">
        <w:rPr>
          <w:rFonts w:ascii="Calibri Light" w:eastAsia="Times New Roman" w:hAnsi="Calibri Light" w:cs="Calibri Light"/>
          <w:lang w:eastAsia="en-AU"/>
        </w:rPr>
        <w:t xml:space="preserve"> adjustment </w:t>
      </w:r>
      <w:r w:rsidR="00A5646D" w:rsidRPr="45E69C77">
        <w:rPr>
          <w:rFonts w:ascii="Calibri Light" w:eastAsia="Times New Roman" w:hAnsi="Calibri Light" w:cs="Calibri Light"/>
          <w:lang w:eastAsia="en-AU"/>
        </w:rPr>
        <w:t xml:space="preserve">is </w:t>
      </w:r>
      <w:r w:rsidR="00C543D6" w:rsidRPr="45E69C77">
        <w:rPr>
          <w:rFonts w:ascii="Calibri Light" w:eastAsia="Times New Roman" w:hAnsi="Calibri Light" w:cs="Calibri Light"/>
          <w:lang w:eastAsia="en-AU"/>
        </w:rPr>
        <w:t>necessary</w:t>
      </w:r>
      <w:r w:rsidR="00A5646D" w:rsidRPr="45E69C77">
        <w:rPr>
          <w:rFonts w:ascii="Calibri Light" w:eastAsia="Times New Roman" w:hAnsi="Calibri Light" w:cs="Calibri Light"/>
          <w:lang w:eastAsia="en-AU"/>
        </w:rPr>
        <w:t xml:space="preserve"> </w:t>
      </w:r>
      <w:r w:rsidR="00D463F0" w:rsidRPr="45E69C77">
        <w:rPr>
          <w:rFonts w:ascii="Calibri Light" w:eastAsia="Times New Roman" w:hAnsi="Calibri Light" w:cs="Calibri Light"/>
          <w:lang w:eastAsia="en-AU"/>
        </w:rPr>
        <w:t>if the Government agrees to ASIC and Treasury undertaking five</w:t>
      </w:r>
      <w:r w:rsidR="00BD190B">
        <w:rPr>
          <w:rFonts w:ascii="Calibri Light" w:eastAsia="Times New Roman" w:hAnsi="Calibri Light" w:cs="Calibri Light"/>
          <w:lang w:eastAsia="en-AU"/>
        </w:rPr>
        <w:noBreakHyphen/>
      </w:r>
      <w:r w:rsidR="00D463F0" w:rsidRPr="45E69C77">
        <w:rPr>
          <w:rFonts w:ascii="Calibri Light" w:eastAsia="Times New Roman" w:hAnsi="Calibri Light" w:cs="Calibri Light"/>
          <w:lang w:eastAsia="en-AU"/>
        </w:rPr>
        <w:t xml:space="preserve">yearly </w:t>
      </w:r>
      <w:r w:rsidR="00AB18BD" w:rsidRPr="45E69C77">
        <w:rPr>
          <w:rFonts w:ascii="Calibri Light" w:eastAsia="Times New Roman" w:hAnsi="Calibri Light" w:cs="Calibri Light"/>
          <w:lang w:eastAsia="en-AU"/>
        </w:rPr>
        <w:t>substantive consultation with industry on the policy settings of the IFM – see Chapter 5.</w:t>
      </w:r>
      <w:r w:rsidR="00D93A04">
        <w:rPr>
          <w:rFonts w:ascii="Calibri Light" w:eastAsia="Times New Roman" w:hAnsi="Calibri Light" w:cs="Calibri Light"/>
          <w:lang w:eastAsia="en-AU"/>
        </w:rPr>
        <w:t xml:space="preserve"> </w:t>
      </w:r>
      <w:r w:rsidR="00D93A04" w:rsidRPr="0004433D">
        <w:rPr>
          <w:rFonts w:ascii="Calibri Light" w:eastAsia="Times New Roman" w:hAnsi="Calibri Light" w:cs="Calibri Light"/>
          <w:lang w:eastAsia="en-AU"/>
        </w:rPr>
        <w:t>This process would ensure</w:t>
      </w:r>
      <w:r w:rsidR="0031683A">
        <w:rPr>
          <w:rFonts w:ascii="Calibri Light" w:eastAsia="Times New Roman" w:hAnsi="Calibri Light" w:cs="Calibri Light"/>
          <w:lang w:eastAsia="en-AU"/>
        </w:rPr>
        <w:t xml:space="preserve"> regulated entities </w:t>
      </w:r>
      <w:r w:rsidR="0031221C">
        <w:rPr>
          <w:rFonts w:ascii="Calibri Light" w:eastAsia="Times New Roman" w:hAnsi="Calibri Light" w:cs="Calibri Light"/>
          <w:lang w:eastAsia="en-AU"/>
        </w:rPr>
        <w:t>can</w:t>
      </w:r>
      <w:r w:rsidR="0031683A">
        <w:rPr>
          <w:rFonts w:ascii="Calibri Light" w:eastAsia="Times New Roman" w:hAnsi="Calibri Light" w:cs="Calibri Light"/>
          <w:lang w:eastAsia="en-AU"/>
        </w:rPr>
        <w:t xml:space="preserve"> provide feedback on the suitability of the IFM framework and settings</w:t>
      </w:r>
      <w:r w:rsidR="0004433D">
        <w:rPr>
          <w:rFonts w:ascii="Calibri Light" w:eastAsia="Times New Roman" w:hAnsi="Calibri Light" w:cs="Calibri Light"/>
          <w:lang w:eastAsia="en-AU"/>
        </w:rPr>
        <w:t>, noting industry dynamics can change rapidly. This frequency will also allow Government to properly assess the impact of any related polices that have been implemented following this Review.</w:t>
      </w:r>
    </w:p>
    <w:p w14:paraId="60D2AF6A" w14:textId="77777777" w:rsidR="00EA001B" w:rsidRDefault="00EA001B" w:rsidP="008F2119">
      <w:pPr>
        <w:pStyle w:val="SingleParagraph"/>
      </w:pPr>
    </w:p>
    <w:tbl>
      <w:tblPr>
        <w:tblStyle w:val="Style1"/>
        <w:tblW w:w="5000" w:type="pct"/>
        <w:tblLook w:val="04A0" w:firstRow="1" w:lastRow="0" w:firstColumn="1" w:lastColumn="0" w:noHBand="0" w:noVBand="1"/>
      </w:tblPr>
      <w:tblGrid>
        <w:gridCol w:w="9072"/>
      </w:tblGrid>
      <w:tr w:rsidR="00886636" w14:paraId="5498853A" w14:textId="77777777" w:rsidTr="007D3412">
        <w:tc>
          <w:tcPr>
            <w:tcW w:w="5000" w:type="pct"/>
          </w:tcPr>
          <w:p w14:paraId="3F282E56" w14:textId="5A5199F3" w:rsidR="00886636" w:rsidRPr="006A120E" w:rsidRDefault="00886636" w:rsidP="008F2119">
            <w:pPr>
              <w:pStyle w:val="BoxHeading"/>
            </w:pPr>
            <w:r w:rsidRPr="006A120E">
              <w:t>Key finding</w:t>
            </w:r>
          </w:p>
          <w:p w14:paraId="03865C88" w14:textId="5FBD10FB" w:rsidR="00886636" w:rsidRPr="00263232" w:rsidRDefault="00886636" w:rsidP="008F2119">
            <w:pPr>
              <w:pStyle w:val="BoxText"/>
              <w:rPr>
                <w:b/>
                <w:bCs/>
                <w:szCs w:val="22"/>
              </w:rPr>
            </w:pPr>
            <w:r w:rsidRPr="00534081">
              <w:rPr>
                <w:bCs/>
                <w:szCs w:val="22"/>
              </w:rPr>
              <w:t>While the IFM is intended to be flexible, the process of making and amending primary legislation or regulations</w:t>
            </w:r>
            <w:r w:rsidR="00314DB1">
              <w:rPr>
                <w:bCs/>
                <w:szCs w:val="22"/>
              </w:rPr>
              <w:t xml:space="preserve"> (including </w:t>
            </w:r>
            <w:r w:rsidR="003E67F5">
              <w:rPr>
                <w:bCs/>
                <w:szCs w:val="22"/>
              </w:rPr>
              <w:t>stakeholder consultation)</w:t>
            </w:r>
            <w:r w:rsidRPr="00534081">
              <w:rPr>
                <w:bCs/>
                <w:szCs w:val="22"/>
              </w:rPr>
              <w:t xml:space="preserve"> does not facilitate the IFM to be </w:t>
            </w:r>
            <w:r w:rsidR="005961C5" w:rsidRPr="00534081">
              <w:rPr>
                <w:bCs/>
                <w:szCs w:val="22"/>
              </w:rPr>
              <w:t xml:space="preserve">highly </w:t>
            </w:r>
            <w:r w:rsidRPr="00534081">
              <w:rPr>
                <w:bCs/>
                <w:szCs w:val="22"/>
              </w:rPr>
              <w:t xml:space="preserve">responsive to changes in industry sectors it regulates. </w:t>
            </w:r>
            <w:r w:rsidR="006654B2" w:rsidRPr="00534081">
              <w:rPr>
                <w:bCs/>
                <w:szCs w:val="22"/>
              </w:rPr>
              <w:t>However, t</w:t>
            </w:r>
            <w:r w:rsidRPr="00534081">
              <w:rPr>
                <w:bCs/>
                <w:szCs w:val="22"/>
              </w:rPr>
              <w:t>he levy framework remains appropriate given the importance of Ministerial and Parliamentary oversight regarding the regulation of financial services</w:t>
            </w:r>
            <w:r w:rsidR="005961C5" w:rsidRPr="00534081">
              <w:rPr>
                <w:bCs/>
                <w:szCs w:val="22"/>
              </w:rPr>
              <w:t>.</w:t>
            </w:r>
            <w:r w:rsidR="005F479A" w:rsidRPr="00534081">
              <w:rPr>
                <w:bCs/>
                <w:szCs w:val="22"/>
              </w:rPr>
              <w:t xml:space="preserve"> It remains important that regulated entities ha</w:t>
            </w:r>
            <w:r w:rsidR="0020311E" w:rsidRPr="00534081">
              <w:rPr>
                <w:bCs/>
                <w:szCs w:val="22"/>
              </w:rPr>
              <w:t>ve an avenue to provide feedback and suggestions on changes to the IFM framework and settings</w:t>
            </w:r>
            <w:r w:rsidR="001A7594" w:rsidRPr="00534081">
              <w:rPr>
                <w:bCs/>
                <w:szCs w:val="22"/>
              </w:rPr>
              <w:t xml:space="preserve"> and that sub</w:t>
            </w:r>
            <w:r w:rsidR="00BD190B">
              <w:rPr>
                <w:bCs/>
                <w:szCs w:val="22"/>
              </w:rPr>
              <w:noBreakHyphen/>
            </w:r>
            <w:r w:rsidR="001A7594" w:rsidRPr="00534081">
              <w:rPr>
                <w:bCs/>
                <w:szCs w:val="22"/>
              </w:rPr>
              <w:t>sectors definitions, metrics and formulas are reviewed periodically.</w:t>
            </w:r>
          </w:p>
        </w:tc>
      </w:tr>
    </w:tbl>
    <w:p w14:paraId="293780A3" w14:textId="55464EBA" w:rsidR="007C4298" w:rsidRDefault="007C4298" w:rsidP="009653BB"/>
    <w:bookmarkEnd w:id="89"/>
    <w:p w14:paraId="72A31AC6" w14:textId="052E08E9" w:rsidR="007C4298" w:rsidRDefault="007C4298">
      <w:pPr>
        <w:spacing w:before="0" w:after="160" w:line="259" w:lineRule="auto"/>
      </w:pPr>
      <w:r>
        <w:br w:type="page"/>
      </w:r>
    </w:p>
    <w:p w14:paraId="1769CCCC" w14:textId="061AA5A4" w:rsidR="00665A86" w:rsidRPr="008F23A1" w:rsidRDefault="00665A86" w:rsidP="0037599B">
      <w:pPr>
        <w:pStyle w:val="Heading1"/>
      </w:pPr>
      <w:bookmarkStart w:id="91" w:name="_Toc125305188"/>
      <w:bookmarkStart w:id="92" w:name="_Toc129270466"/>
      <w:bookmarkStart w:id="93" w:name="_Toc115094948"/>
      <w:r w:rsidRPr="008F23A1">
        <w:lastRenderedPageBreak/>
        <w:t>Chapter 3: Levy volatility &amp; variance</w:t>
      </w:r>
      <w:bookmarkEnd w:id="91"/>
      <w:bookmarkEnd w:id="92"/>
      <w:r w:rsidRPr="008F23A1">
        <w:t xml:space="preserve">  </w:t>
      </w:r>
      <w:bookmarkEnd w:id="93"/>
    </w:p>
    <w:p w14:paraId="50E27D4F" w14:textId="77777777" w:rsidR="00665A86" w:rsidRPr="00E41D5A" w:rsidRDefault="00665A86" w:rsidP="003A78C4">
      <w:pPr>
        <w:pStyle w:val="Heading2"/>
      </w:pPr>
      <w:bookmarkStart w:id="94" w:name="_Toc125305189"/>
      <w:bookmarkStart w:id="95" w:name="_Toc129270467"/>
      <w:r w:rsidRPr="00E41D5A">
        <w:t>Introduction</w:t>
      </w:r>
      <w:bookmarkEnd w:id="94"/>
      <w:bookmarkEnd w:id="95"/>
    </w:p>
    <w:p w14:paraId="184DF532" w14:textId="2304E113" w:rsidR="00665A86" w:rsidRDefault="00665A86"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FA6EB3">
        <w:rPr>
          <w:rFonts w:ascii="Calibri Light" w:eastAsia="Times New Roman" w:hAnsi="Calibri Light" w:cs="Calibri Light"/>
          <w:szCs w:val="20"/>
          <w:lang w:eastAsia="en-AU"/>
        </w:rPr>
        <w:t>The Review</w:t>
      </w:r>
      <w:r w:rsidR="00BD190B">
        <w:rPr>
          <w:rFonts w:ascii="Calibri Light" w:eastAsia="Times New Roman" w:hAnsi="Calibri Light" w:cs="Calibri Light"/>
          <w:szCs w:val="20"/>
          <w:lang w:eastAsia="en-AU"/>
        </w:rPr>
        <w:t>’</w:t>
      </w:r>
      <w:r w:rsidRPr="00FA6EB3">
        <w:rPr>
          <w:rFonts w:ascii="Calibri Light" w:eastAsia="Times New Roman" w:hAnsi="Calibri Light" w:cs="Calibri Light"/>
          <w:szCs w:val="20"/>
          <w:lang w:eastAsia="en-AU"/>
        </w:rPr>
        <w:t>s Terms of Reference requires the Review to consider changes in levy amounts since the commencement of the IFM; with a focus on those sub</w:t>
      </w:r>
      <w:r w:rsidR="00BD190B">
        <w:rPr>
          <w:rFonts w:ascii="Calibri Light" w:eastAsia="Times New Roman" w:hAnsi="Calibri Light" w:cs="Calibri Light"/>
          <w:szCs w:val="20"/>
          <w:lang w:eastAsia="en-AU"/>
        </w:rPr>
        <w:noBreakHyphen/>
      </w:r>
      <w:r w:rsidRPr="00FA6EB3">
        <w:rPr>
          <w:rFonts w:ascii="Calibri Light" w:eastAsia="Times New Roman" w:hAnsi="Calibri Light" w:cs="Calibri Light"/>
          <w:szCs w:val="20"/>
          <w:lang w:eastAsia="en-AU"/>
        </w:rPr>
        <w:t>sectors that have faced significant increases in levies, volatility in levies between years, and variance between estimated and actual levies.</w:t>
      </w:r>
    </w:p>
    <w:p w14:paraId="01C43E8F" w14:textId="1CC9CCC2" w:rsidR="00665A86" w:rsidRPr="00B30F40" w:rsidRDefault="00665A86"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B30F40">
        <w:rPr>
          <w:rFonts w:ascii="Calibri Light" w:eastAsia="Times New Roman" w:hAnsi="Calibri Light" w:cs="Calibri Light"/>
          <w:szCs w:val="20"/>
          <w:lang w:eastAsia="en-AU"/>
        </w:rPr>
        <w:t>This chapter examine</w:t>
      </w:r>
      <w:r w:rsidR="00B30F40">
        <w:rPr>
          <w:rFonts w:ascii="Calibri Light" w:eastAsia="Times New Roman" w:hAnsi="Calibri Light" w:cs="Calibri Light"/>
          <w:szCs w:val="20"/>
          <w:lang w:eastAsia="en-AU"/>
        </w:rPr>
        <w:t>s</w:t>
      </w:r>
      <w:r w:rsidRPr="00B30F40">
        <w:rPr>
          <w:rFonts w:ascii="Calibri Light" w:eastAsia="Times New Roman" w:hAnsi="Calibri Light" w:cs="Calibri Light"/>
          <w:szCs w:val="20"/>
          <w:lang w:eastAsia="en-AU"/>
        </w:rPr>
        <w:t xml:space="preserve"> the causes of levy volatility and potential mitigations as well as the causes of levy variance and potential mitigations. </w:t>
      </w:r>
    </w:p>
    <w:p w14:paraId="60A09AAF" w14:textId="77777777" w:rsidR="00665A86" w:rsidRPr="00054D6C" w:rsidRDefault="00665A86" w:rsidP="003A78C4">
      <w:pPr>
        <w:pStyle w:val="Heading2"/>
      </w:pPr>
      <w:bookmarkStart w:id="96" w:name="_Toc115094949"/>
      <w:bookmarkStart w:id="97" w:name="_Toc125305190"/>
      <w:bookmarkStart w:id="98" w:name="_Toc129270468"/>
      <w:r w:rsidRPr="00054D6C">
        <w:t>ASIC funding profile</w:t>
      </w:r>
      <w:bookmarkEnd w:id="96"/>
      <w:bookmarkEnd w:id="97"/>
      <w:bookmarkEnd w:id="98"/>
      <w:r w:rsidRPr="00054D6C">
        <w:t xml:space="preserve">  </w:t>
      </w:r>
    </w:p>
    <w:p w14:paraId="0C5B2843" w14:textId="0CD6B09A" w:rsidR="00665A86" w:rsidRDefault="00665A86"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A163B2">
        <w:rPr>
          <w:rFonts w:ascii="Calibri Light" w:eastAsia="Times New Roman" w:hAnsi="Calibri Light" w:cs="Calibri Light"/>
          <w:szCs w:val="20"/>
          <w:lang w:eastAsia="en-AU"/>
        </w:rPr>
        <w:t>The total funding</w:t>
      </w:r>
      <w:r w:rsidR="00FB26BF">
        <w:rPr>
          <w:rFonts w:ascii="Calibri Light" w:eastAsia="Times New Roman" w:hAnsi="Calibri Light" w:cs="Calibri Light"/>
          <w:szCs w:val="20"/>
          <w:lang w:eastAsia="en-AU"/>
        </w:rPr>
        <w:t xml:space="preserve"> made</w:t>
      </w:r>
      <w:r w:rsidRPr="00A163B2">
        <w:rPr>
          <w:rFonts w:ascii="Calibri Light" w:eastAsia="Times New Roman" w:hAnsi="Calibri Light" w:cs="Calibri Light"/>
          <w:szCs w:val="20"/>
          <w:lang w:eastAsia="en-AU"/>
        </w:rPr>
        <w:t xml:space="preserve"> available to ASIC </w:t>
      </w:r>
      <w:r w:rsidR="00934F2B">
        <w:rPr>
          <w:rFonts w:ascii="Calibri Light" w:eastAsia="Times New Roman" w:hAnsi="Calibri Light" w:cs="Calibri Light"/>
          <w:szCs w:val="20"/>
          <w:lang w:eastAsia="en-AU"/>
        </w:rPr>
        <w:t xml:space="preserve">by the Government </w:t>
      </w:r>
      <w:r w:rsidRPr="00A163B2">
        <w:rPr>
          <w:rFonts w:ascii="Calibri Light" w:eastAsia="Times New Roman" w:hAnsi="Calibri Light" w:cs="Calibri Light"/>
          <w:szCs w:val="20"/>
          <w:lang w:eastAsia="en-AU"/>
        </w:rPr>
        <w:t xml:space="preserve">has increased since the commencement of the IFM. </w:t>
      </w:r>
      <w:r w:rsidR="00934F2B">
        <w:rPr>
          <w:rFonts w:ascii="Calibri Light" w:eastAsia="Times New Roman" w:hAnsi="Calibri Light" w:cs="Calibri Light"/>
          <w:szCs w:val="20"/>
          <w:lang w:eastAsia="en-AU"/>
        </w:rPr>
        <w:t>This has meant that the total amount recovered through levies under the IFM has also increased</w:t>
      </w:r>
      <w:r w:rsidR="00160C9A">
        <w:rPr>
          <w:rFonts w:ascii="Calibri Light" w:eastAsia="Times New Roman" w:hAnsi="Calibri Light" w:cs="Calibri Light"/>
          <w:szCs w:val="20"/>
          <w:lang w:eastAsia="en-AU"/>
        </w:rPr>
        <w:t xml:space="preserve">. </w:t>
      </w:r>
    </w:p>
    <w:p w14:paraId="5DBB24DD" w14:textId="7831EB7F" w:rsidR="00160C9A" w:rsidRDefault="00160C9A"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In </w:t>
      </w:r>
      <w:r w:rsidR="009C7ED2">
        <w:rPr>
          <w:rFonts w:ascii="Calibri Light" w:eastAsia="Times New Roman" w:hAnsi="Calibri Light" w:cs="Calibri Light"/>
          <w:szCs w:val="20"/>
          <w:lang w:eastAsia="en-AU"/>
        </w:rPr>
        <w:t>2017–18</w:t>
      </w:r>
      <w:r>
        <w:rPr>
          <w:rFonts w:ascii="Calibri Light" w:eastAsia="Times New Roman" w:hAnsi="Calibri Light" w:cs="Calibri Light"/>
          <w:szCs w:val="20"/>
          <w:lang w:eastAsia="en-AU"/>
        </w:rPr>
        <w:t xml:space="preserve"> (when the levy component of the IFM commenced), ASIC recovered $</w:t>
      </w:r>
      <w:r w:rsidR="00666724">
        <w:rPr>
          <w:rFonts w:ascii="Calibri Light" w:eastAsia="Times New Roman" w:hAnsi="Calibri Light" w:cs="Calibri Light"/>
          <w:szCs w:val="20"/>
          <w:lang w:eastAsia="en-AU"/>
        </w:rPr>
        <w:t xml:space="preserve">236.6 million in levies from 45,490 entities. </w:t>
      </w:r>
      <w:r w:rsidR="002A7567">
        <w:rPr>
          <w:rFonts w:ascii="Calibri Light" w:eastAsia="Times New Roman" w:hAnsi="Calibri Light" w:cs="Calibri Light"/>
          <w:szCs w:val="20"/>
          <w:lang w:eastAsia="en-AU"/>
        </w:rPr>
        <w:t xml:space="preserve">In </w:t>
      </w:r>
      <w:r w:rsidR="009C7ED2">
        <w:rPr>
          <w:rFonts w:ascii="Calibri Light" w:eastAsia="Times New Roman" w:hAnsi="Calibri Light" w:cs="Calibri Light"/>
          <w:szCs w:val="20"/>
          <w:lang w:eastAsia="en-AU"/>
        </w:rPr>
        <w:t>2021–22</w:t>
      </w:r>
      <w:r w:rsidR="002A7567">
        <w:rPr>
          <w:rFonts w:ascii="Calibri Light" w:eastAsia="Times New Roman" w:hAnsi="Calibri Light" w:cs="Calibri Light"/>
          <w:szCs w:val="20"/>
          <w:lang w:eastAsia="en-AU"/>
        </w:rPr>
        <w:t xml:space="preserve">, ASIC recovered $313.3 million in levies (an increase of </w:t>
      </w:r>
      <w:r w:rsidR="0065523C">
        <w:rPr>
          <w:rFonts w:ascii="Calibri Light" w:eastAsia="Times New Roman" w:hAnsi="Calibri Light" w:cs="Calibri Light"/>
          <w:szCs w:val="20"/>
          <w:lang w:eastAsia="en-AU"/>
        </w:rPr>
        <w:t>32</w:t>
      </w:r>
      <w:r w:rsidR="002A7567">
        <w:rPr>
          <w:rFonts w:ascii="Calibri Light" w:eastAsia="Times New Roman" w:hAnsi="Calibri Light" w:cs="Calibri Light"/>
          <w:szCs w:val="20"/>
          <w:lang w:eastAsia="en-AU"/>
        </w:rPr>
        <w:t xml:space="preserve"> per cent from </w:t>
      </w:r>
      <w:r w:rsidR="009C7ED2">
        <w:rPr>
          <w:rFonts w:ascii="Calibri Light" w:eastAsia="Times New Roman" w:hAnsi="Calibri Light" w:cs="Calibri Light"/>
          <w:szCs w:val="20"/>
          <w:lang w:eastAsia="en-AU"/>
        </w:rPr>
        <w:t>2017–18</w:t>
      </w:r>
      <w:r w:rsidR="002A7567">
        <w:rPr>
          <w:rFonts w:ascii="Calibri Light" w:eastAsia="Times New Roman" w:hAnsi="Calibri Light" w:cs="Calibri Light"/>
          <w:szCs w:val="20"/>
          <w:lang w:eastAsia="en-AU"/>
        </w:rPr>
        <w:t xml:space="preserve">) from 43,077 entities (a decrease of </w:t>
      </w:r>
      <w:r w:rsidR="000E5073">
        <w:rPr>
          <w:rFonts w:ascii="Calibri Light" w:eastAsia="Times New Roman" w:hAnsi="Calibri Light" w:cs="Calibri Light"/>
          <w:szCs w:val="20"/>
          <w:lang w:eastAsia="en-AU"/>
        </w:rPr>
        <w:t>5</w:t>
      </w:r>
      <w:r w:rsidR="002A7567">
        <w:rPr>
          <w:rFonts w:ascii="Calibri Light" w:eastAsia="Times New Roman" w:hAnsi="Calibri Light" w:cs="Calibri Light"/>
          <w:szCs w:val="20"/>
          <w:lang w:eastAsia="en-AU"/>
        </w:rPr>
        <w:t xml:space="preserve"> per cent from </w:t>
      </w:r>
      <w:r w:rsidR="009C7ED2">
        <w:rPr>
          <w:rFonts w:ascii="Calibri Light" w:eastAsia="Times New Roman" w:hAnsi="Calibri Light" w:cs="Calibri Light"/>
          <w:szCs w:val="20"/>
          <w:lang w:eastAsia="en-AU"/>
        </w:rPr>
        <w:t>2017–18</w:t>
      </w:r>
      <w:r w:rsidR="002A7567">
        <w:rPr>
          <w:rFonts w:ascii="Calibri Light" w:eastAsia="Times New Roman" w:hAnsi="Calibri Light" w:cs="Calibri Light"/>
          <w:szCs w:val="20"/>
          <w:lang w:eastAsia="en-AU"/>
        </w:rPr>
        <w:t>).</w:t>
      </w:r>
    </w:p>
    <w:p w14:paraId="2024400C" w14:textId="3A68F2A6" w:rsidR="00665A86" w:rsidRDefault="00665A86"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A163B2">
        <w:rPr>
          <w:rFonts w:ascii="Calibri Light" w:eastAsia="Times New Roman" w:hAnsi="Calibri Light" w:cs="Calibri Light"/>
          <w:szCs w:val="20"/>
          <w:lang w:eastAsia="en-AU"/>
        </w:rPr>
        <w:t>The increase in ASIC</w:t>
      </w:r>
      <w:r w:rsidR="00BD190B">
        <w:rPr>
          <w:rFonts w:ascii="Calibri Light" w:eastAsia="Times New Roman" w:hAnsi="Calibri Light" w:cs="Calibri Light"/>
          <w:szCs w:val="20"/>
          <w:lang w:eastAsia="en-AU"/>
        </w:rPr>
        <w:t>’</w:t>
      </w:r>
      <w:r w:rsidRPr="00A163B2">
        <w:rPr>
          <w:rFonts w:ascii="Calibri Light" w:eastAsia="Times New Roman" w:hAnsi="Calibri Light" w:cs="Calibri Light"/>
          <w:szCs w:val="20"/>
          <w:lang w:eastAsia="en-AU"/>
        </w:rPr>
        <w:t>s total regulatory costs recovered through levies is primarily due to the increase in funding provided by the Government to ASIC to regulate the financial sector, including to implement the recommendations of the Royal Commission into Misconduct in the Banking, Superannuation and Financial Services Industry</w:t>
      </w:r>
      <w:r w:rsidR="00010D94">
        <w:rPr>
          <w:rFonts w:ascii="Calibri Light" w:eastAsia="Times New Roman" w:hAnsi="Calibri Light" w:cs="Calibri Light"/>
          <w:szCs w:val="20"/>
          <w:lang w:eastAsia="en-AU"/>
        </w:rPr>
        <w:t xml:space="preserve"> (Financial Services Royal Commission)</w:t>
      </w:r>
      <w:r w:rsidRPr="00A163B2">
        <w:rPr>
          <w:rFonts w:ascii="Calibri Light" w:eastAsia="Times New Roman" w:hAnsi="Calibri Light" w:cs="Calibri Light"/>
          <w:szCs w:val="20"/>
          <w:lang w:eastAsia="en-AU"/>
        </w:rPr>
        <w:t>.</w:t>
      </w:r>
    </w:p>
    <w:p w14:paraId="60F62BF8" w14:textId="53683507" w:rsidR="00360C4E" w:rsidRPr="00360C4E" w:rsidRDefault="00E074BA"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2835F1">
        <w:rPr>
          <w:rFonts w:ascii="Calibri Light" w:eastAsia="Times New Roman" w:hAnsi="Calibri Light" w:cs="Calibri Light"/>
          <w:lang w:eastAsia="en-AU"/>
        </w:rPr>
        <w:t>The increase in funding is supporting ASIC to strengthen and intensify its approach to enforcement and take on expanded responsibilities to address misconduct. As a result, certain sectors have required greater supervision and surveillance and increased ASIC enforcement</w:t>
      </w:r>
      <w:r w:rsidR="00360C4E" w:rsidRPr="00360C4E">
        <w:rPr>
          <w:rFonts w:ascii="Calibri Light" w:eastAsia="Times New Roman" w:hAnsi="Calibri Light" w:cs="Calibri Light"/>
          <w:szCs w:val="20"/>
          <w:lang w:eastAsia="en-AU"/>
        </w:rPr>
        <w:t xml:space="preserve">. </w:t>
      </w:r>
    </w:p>
    <w:p w14:paraId="2FC67B3D" w14:textId="2D00C65D" w:rsidR="00E074BA" w:rsidRPr="00C341C3" w:rsidRDefault="00360C4E"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360C4E">
        <w:rPr>
          <w:rFonts w:ascii="Calibri Light" w:eastAsia="Times New Roman" w:hAnsi="Calibri Light" w:cs="Calibri Light"/>
          <w:szCs w:val="20"/>
          <w:lang w:eastAsia="en-AU"/>
        </w:rPr>
        <w:t>This has meant ASIC has dedicated greater resources to regulating these sub</w:t>
      </w:r>
      <w:r w:rsidR="00BD190B">
        <w:rPr>
          <w:rFonts w:ascii="Calibri Light" w:eastAsia="Times New Roman" w:hAnsi="Calibri Light" w:cs="Calibri Light"/>
          <w:szCs w:val="20"/>
          <w:lang w:eastAsia="en-AU"/>
        </w:rPr>
        <w:noBreakHyphen/>
      </w:r>
      <w:r w:rsidRPr="00360C4E">
        <w:rPr>
          <w:rFonts w:ascii="Calibri Light" w:eastAsia="Times New Roman" w:hAnsi="Calibri Light" w:cs="Calibri Light"/>
          <w:szCs w:val="20"/>
          <w:lang w:eastAsia="en-AU"/>
        </w:rPr>
        <w:t>sectors, and therefore has led to some sub</w:t>
      </w:r>
      <w:r w:rsidR="00BD190B">
        <w:rPr>
          <w:rFonts w:ascii="Calibri Light" w:eastAsia="Times New Roman" w:hAnsi="Calibri Light" w:cs="Calibri Light"/>
          <w:szCs w:val="20"/>
          <w:lang w:eastAsia="en-AU"/>
        </w:rPr>
        <w:noBreakHyphen/>
      </w:r>
      <w:r w:rsidRPr="00360C4E">
        <w:rPr>
          <w:rFonts w:ascii="Calibri Light" w:eastAsia="Times New Roman" w:hAnsi="Calibri Light" w:cs="Calibri Light"/>
          <w:szCs w:val="20"/>
          <w:lang w:eastAsia="en-AU"/>
        </w:rPr>
        <w:t>sectors facing significant increases in their actual levies</w:t>
      </w:r>
      <w:r w:rsidRPr="002B0054">
        <w:rPr>
          <w:rFonts w:ascii="Calibri Light" w:eastAsia="Times New Roman" w:hAnsi="Calibri Light" w:cs="Calibri Light"/>
          <w:szCs w:val="20"/>
          <w:lang w:eastAsia="en-AU"/>
        </w:rPr>
        <w:t>.</w:t>
      </w:r>
      <w:r w:rsidRPr="00360C4E">
        <w:rPr>
          <w:rFonts w:ascii="Calibri Light" w:eastAsia="Times New Roman" w:hAnsi="Calibri Light" w:cs="Calibri Light"/>
          <w:szCs w:val="20"/>
          <w:lang w:eastAsia="en-AU"/>
        </w:rPr>
        <w:t xml:space="preserve"> This has occurred alongside other increases in the overall cost burden for some industry sub</w:t>
      </w:r>
      <w:r w:rsidR="00BD190B">
        <w:rPr>
          <w:rFonts w:ascii="Calibri Light" w:eastAsia="Times New Roman" w:hAnsi="Calibri Light" w:cs="Calibri Light"/>
          <w:szCs w:val="20"/>
          <w:lang w:eastAsia="en-AU"/>
        </w:rPr>
        <w:noBreakHyphen/>
      </w:r>
      <w:r w:rsidRPr="00360C4E">
        <w:rPr>
          <w:rFonts w:ascii="Calibri Light" w:eastAsia="Times New Roman" w:hAnsi="Calibri Light" w:cs="Calibri Light"/>
          <w:szCs w:val="20"/>
          <w:lang w:eastAsia="en-AU"/>
        </w:rPr>
        <w:t xml:space="preserve">sectors, such as the costs associated with regulatory reforms. </w:t>
      </w:r>
    </w:p>
    <w:p w14:paraId="6DCA3BF1" w14:textId="23DF9923" w:rsidR="009814ED" w:rsidRDefault="00665A86"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CF1F81">
        <w:rPr>
          <w:rFonts w:ascii="Calibri Light" w:eastAsia="Times New Roman" w:hAnsi="Calibri Light" w:cs="Calibri Light"/>
          <w:szCs w:val="20"/>
          <w:lang w:eastAsia="en-AU"/>
        </w:rPr>
        <w:t>The Review</w:t>
      </w:r>
      <w:r w:rsidR="0017175B">
        <w:rPr>
          <w:rFonts w:ascii="Calibri Light" w:eastAsia="Times New Roman" w:hAnsi="Calibri Light" w:cs="Calibri Light"/>
          <w:szCs w:val="20"/>
          <w:lang w:eastAsia="en-AU"/>
        </w:rPr>
        <w:t xml:space="preserve"> has not</w:t>
      </w:r>
      <w:r w:rsidRPr="00CF1F81">
        <w:rPr>
          <w:rFonts w:ascii="Calibri Light" w:eastAsia="Times New Roman" w:hAnsi="Calibri Light" w:cs="Calibri Light"/>
          <w:szCs w:val="20"/>
          <w:lang w:eastAsia="en-AU"/>
        </w:rPr>
        <w:t xml:space="preserve"> </w:t>
      </w:r>
      <w:r>
        <w:rPr>
          <w:rFonts w:ascii="Calibri Light" w:eastAsia="Times New Roman" w:hAnsi="Calibri Light" w:cs="Calibri Light"/>
          <w:szCs w:val="20"/>
          <w:lang w:eastAsia="en-AU"/>
        </w:rPr>
        <w:t>examine</w:t>
      </w:r>
      <w:r w:rsidR="0017175B">
        <w:rPr>
          <w:rFonts w:ascii="Calibri Light" w:eastAsia="Times New Roman" w:hAnsi="Calibri Light" w:cs="Calibri Light"/>
          <w:szCs w:val="20"/>
          <w:lang w:eastAsia="en-AU"/>
        </w:rPr>
        <w:t>d</w:t>
      </w:r>
      <w:r w:rsidRPr="00CF1F81">
        <w:rPr>
          <w:rFonts w:ascii="Calibri Light" w:eastAsia="Times New Roman" w:hAnsi="Calibri Light" w:cs="Calibri Light"/>
          <w:szCs w:val="20"/>
          <w:lang w:eastAsia="en-AU"/>
        </w:rPr>
        <w:t xml:space="preserve"> or ma</w:t>
      </w:r>
      <w:r w:rsidR="0017175B">
        <w:rPr>
          <w:rFonts w:ascii="Calibri Light" w:eastAsia="Times New Roman" w:hAnsi="Calibri Light" w:cs="Calibri Light"/>
          <w:szCs w:val="20"/>
          <w:lang w:eastAsia="en-AU"/>
        </w:rPr>
        <w:t>d</w:t>
      </w:r>
      <w:r w:rsidRPr="00CF1F81">
        <w:rPr>
          <w:rFonts w:ascii="Calibri Light" w:eastAsia="Times New Roman" w:hAnsi="Calibri Light" w:cs="Calibri Light"/>
          <w:szCs w:val="20"/>
          <w:lang w:eastAsia="en-AU"/>
        </w:rPr>
        <w:t>e recommendations on the appropriate aggregate level of funding provided to ASIC</w:t>
      </w:r>
      <w:r w:rsidR="0017175B">
        <w:rPr>
          <w:rFonts w:ascii="Calibri Light" w:eastAsia="Times New Roman" w:hAnsi="Calibri Light" w:cs="Calibri Light"/>
          <w:szCs w:val="20"/>
          <w:lang w:eastAsia="en-AU"/>
        </w:rPr>
        <w:t xml:space="preserve">, which is out of scope for the Review. </w:t>
      </w:r>
      <w:r w:rsidR="00816615">
        <w:rPr>
          <w:rFonts w:ascii="Calibri Light" w:eastAsia="Times New Roman" w:hAnsi="Calibri Light" w:cs="Calibri Light"/>
          <w:szCs w:val="20"/>
          <w:lang w:eastAsia="en-AU"/>
        </w:rPr>
        <w:t>However, the Review notes that any increases in ASIC</w:t>
      </w:r>
      <w:r w:rsidR="00BD190B">
        <w:rPr>
          <w:rFonts w:ascii="Calibri Light" w:eastAsia="Times New Roman" w:hAnsi="Calibri Light" w:cs="Calibri Light"/>
          <w:szCs w:val="20"/>
          <w:lang w:eastAsia="en-AU"/>
        </w:rPr>
        <w:t>’</w:t>
      </w:r>
      <w:r w:rsidR="00816615">
        <w:rPr>
          <w:rFonts w:ascii="Calibri Light" w:eastAsia="Times New Roman" w:hAnsi="Calibri Light" w:cs="Calibri Light"/>
          <w:szCs w:val="20"/>
          <w:lang w:eastAsia="en-AU"/>
        </w:rPr>
        <w:t>s total funding would generally increase the amounts recovered from industry through the IFM</w:t>
      </w:r>
      <w:r w:rsidR="0037219D">
        <w:rPr>
          <w:rFonts w:ascii="Calibri Light" w:eastAsia="Times New Roman" w:hAnsi="Calibri Light" w:cs="Calibri Light"/>
          <w:szCs w:val="20"/>
          <w:lang w:eastAsia="en-AU"/>
        </w:rPr>
        <w:t xml:space="preserve">. </w:t>
      </w:r>
      <w:r w:rsidR="00257F98">
        <w:rPr>
          <w:rFonts w:ascii="Calibri Light" w:eastAsia="Times New Roman" w:hAnsi="Calibri Light" w:cs="Calibri Light"/>
          <w:szCs w:val="20"/>
          <w:lang w:eastAsia="en-AU"/>
        </w:rPr>
        <w:t>This increase would not be uniformly spread across all of ASIC</w:t>
      </w:r>
      <w:r w:rsidR="00BD190B">
        <w:rPr>
          <w:rFonts w:ascii="Calibri Light" w:eastAsia="Times New Roman" w:hAnsi="Calibri Light" w:cs="Calibri Light"/>
          <w:szCs w:val="20"/>
          <w:lang w:eastAsia="en-AU"/>
        </w:rPr>
        <w:t>’</w:t>
      </w:r>
      <w:r w:rsidR="00257F98">
        <w:rPr>
          <w:rFonts w:ascii="Calibri Light" w:eastAsia="Times New Roman" w:hAnsi="Calibri Light" w:cs="Calibri Light"/>
          <w:szCs w:val="20"/>
          <w:lang w:eastAsia="en-AU"/>
        </w:rPr>
        <w:t xml:space="preserve">s regulated </w:t>
      </w:r>
      <w:r w:rsidR="00B30219">
        <w:rPr>
          <w:rFonts w:ascii="Calibri Light" w:eastAsia="Times New Roman" w:hAnsi="Calibri Light" w:cs="Calibri Light"/>
          <w:szCs w:val="20"/>
          <w:lang w:eastAsia="en-AU"/>
        </w:rPr>
        <w:t>population but</w:t>
      </w:r>
      <w:r w:rsidR="00257F98">
        <w:rPr>
          <w:rFonts w:ascii="Calibri Light" w:eastAsia="Times New Roman" w:hAnsi="Calibri Light" w:cs="Calibri Light"/>
          <w:szCs w:val="20"/>
          <w:lang w:eastAsia="en-AU"/>
        </w:rPr>
        <w:t xml:space="preserve"> </w:t>
      </w:r>
      <w:r w:rsidR="007D1D23">
        <w:rPr>
          <w:rFonts w:ascii="Calibri Light" w:eastAsia="Times New Roman" w:hAnsi="Calibri Light" w:cs="Calibri Light"/>
          <w:szCs w:val="20"/>
          <w:lang w:eastAsia="en-AU"/>
        </w:rPr>
        <w:t xml:space="preserve">is </w:t>
      </w:r>
      <w:r w:rsidR="00257F98">
        <w:rPr>
          <w:rFonts w:ascii="Calibri Light" w:eastAsia="Times New Roman" w:hAnsi="Calibri Light" w:cs="Calibri Light"/>
          <w:szCs w:val="20"/>
          <w:lang w:eastAsia="en-AU"/>
        </w:rPr>
        <w:t>more likely to be directed to certain sub</w:t>
      </w:r>
      <w:r w:rsidR="00BD190B">
        <w:rPr>
          <w:rFonts w:ascii="Calibri Light" w:eastAsia="Times New Roman" w:hAnsi="Calibri Light" w:cs="Calibri Light"/>
          <w:szCs w:val="20"/>
          <w:lang w:eastAsia="en-AU"/>
        </w:rPr>
        <w:noBreakHyphen/>
      </w:r>
      <w:r w:rsidR="00257F98">
        <w:rPr>
          <w:rFonts w:ascii="Calibri Light" w:eastAsia="Times New Roman" w:hAnsi="Calibri Light" w:cs="Calibri Light"/>
          <w:szCs w:val="20"/>
          <w:lang w:eastAsia="en-AU"/>
        </w:rPr>
        <w:t xml:space="preserve">sectors that require increased regulation. </w:t>
      </w:r>
    </w:p>
    <w:p w14:paraId="77F503D6" w14:textId="77777777" w:rsidR="009814ED" w:rsidRDefault="009814ED">
      <w:pPr>
        <w:spacing w:before="0" w:after="160" w:line="259" w:lineRule="auto"/>
        <w:rPr>
          <w:rFonts w:cs="Calibri Light"/>
        </w:rPr>
      </w:pPr>
      <w:r>
        <w:rPr>
          <w:rFonts w:cs="Calibri Light"/>
        </w:rPr>
        <w:br w:type="page"/>
      </w:r>
    </w:p>
    <w:p w14:paraId="61FD830C" w14:textId="77777777" w:rsidR="00816615" w:rsidRDefault="00816615" w:rsidP="009814ED">
      <w:pPr>
        <w:pStyle w:val="numberedtext"/>
        <w:tabs>
          <w:tab w:val="left" w:pos="709"/>
        </w:tabs>
        <w:rPr>
          <w:rFonts w:ascii="Calibri Light" w:eastAsia="Times New Roman" w:hAnsi="Calibri Light" w:cs="Calibri Light"/>
          <w:szCs w:val="20"/>
          <w:lang w:eastAsia="en-AU"/>
        </w:rPr>
      </w:pPr>
    </w:p>
    <w:p w14:paraId="32479DEA" w14:textId="02A6F658" w:rsidR="00665A86" w:rsidRPr="004E75B4" w:rsidRDefault="00665A86" w:rsidP="008F2119">
      <w:pPr>
        <w:pStyle w:val="TableMainHeading"/>
      </w:pPr>
      <w:bookmarkStart w:id="99" w:name="_Toc129270469"/>
      <w:r w:rsidRPr="004E75B4">
        <w:t xml:space="preserve">Table </w:t>
      </w:r>
      <w:r>
        <w:t>3.1 ASIC</w:t>
      </w:r>
      <w:r w:rsidR="00BD190B">
        <w:t>’</w:t>
      </w:r>
      <w:r>
        <w:t>s funding profile relative to amounts recovered via levies and fees</w:t>
      </w:r>
      <w:bookmarkEnd w:id="99"/>
      <w:r>
        <w:t xml:space="preserve"> </w:t>
      </w:r>
    </w:p>
    <w:tbl>
      <w:tblPr>
        <w:tblStyle w:val="TableGrid"/>
        <w:tblW w:w="0" w:type="auto"/>
        <w:tblLook w:val="04A0" w:firstRow="1" w:lastRow="0" w:firstColumn="1" w:lastColumn="0" w:noHBand="0" w:noVBand="1"/>
      </w:tblPr>
      <w:tblGrid>
        <w:gridCol w:w="1930"/>
        <w:gridCol w:w="1416"/>
        <w:gridCol w:w="1416"/>
        <w:gridCol w:w="1416"/>
        <w:gridCol w:w="1416"/>
        <w:gridCol w:w="1416"/>
      </w:tblGrid>
      <w:tr w:rsidR="00665A86" w14:paraId="659CFFB3" w14:textId="77777777" w:rsidTr="008F2119">
        <w:trPr>
          <w:cnfStyle w:val="100000000000" w:firstRow="1" w:lastRow="0" w:firstColumn="0" w:lastColumn="0" w:oddVBand="0" w:evenVBand="0" w:oddHBand="0" w:evenHBand="0" w:firstRowFirstColumn="0" w:firstRowLastColumn="0" w:lastRowFirstColumn="0" w:lastRowLastColumn="0"/>
          <w:trHeight w:val="237"/>
        </w:trPr>
        <w:tc>
          <w:tcPr>
            <w:tcW w:w="1930" w:type="dxa"/>
          </w:tcPr>
          <w:p w14:paraId="0081F3B4" w14:textId="77777777" w:rsidR="00665A86" w:rsidRPr="00774A90" w:rsidRDefault="00665A86" w:rsidP="008F2119">
            <w:pPr>
              <w:pStyle w:val="TableColumnHeadingLeft"/>
              <w:rPr>
                <w:b/>
              </w:rPr>
            </w:pPr>
          </w:p>
        </w:tc>
        <w:tc>
          <w:tcPr>
            <w:tcW w:w="1416" w:type="dxa"/>
          </w:tcPr>
          <w:p w14:paraId="146EDDC4" w14:textId="5B3A1006" w:rsidR="00665A86" w:rsidRPr="008F2119" w:rsidRDefault="009C7ED2" w:rsidP="008F2119">
            <w:pPr>
              <w:pStyle w:val="TableColumnHeadingRight"/>
              <w:rPr>
                <w:b/>
                <w:bCs/>
              </w:rPr>
            </w:pPr>
            <w:r>
              <w:rPr>
                <w:b/>
                <w:bCs/>
              </w:rPr>
              <w:t>2017–18</w:t>
            </w:r>
          </w:p>
        </w:tc>
        <w:tc>
          <w:tcPr>
            <w:tcW w:w="1416" w:type="dxa"/>
          </w:tcPr>
          <w:p w14:paraId="7C3E6378" w14:textId="2D367EFB" w:rsidR="00665A86" w:rsidRPr="008F2119" w:rsidRDefault="009C7ED2" w:rsidP="008F2119">
            <w:pPr>
              <w:pStyle w:val="TableColumnHeadingRight"/>
              <w:rPr>
                <w:b/>
                <w:bCs/>
              </w:rPr>
            </w:pPr>
            <w:r>
              <w:rPr>
                <w:b/>
                <w:bCs/>
              </w:rPr>
              <w:t>2018–19</w:t>
            </w:r>
          </w:p>
        </w:tc>
        <w:tc>
          <w:tcPr>
            <w:tcW w:w="1416" w:type="dxa"/>
          </w:tcPr>
          <w:p w14:paraId="007AF1F0" w14:textId="6AA7BDFD" w:rsidR="00665A86" w:rsidRPr="008F2119" w:rsidRDefault="009C7ED2" w:rsidP="008F2119">
            <w:pPr>
              <w:pStyle w:val="TableColumnHeadingRight"/>
              <w:rPr>
                <w:b/>
                <w:bCs/>
              </w:rPr>
            </w:pPr>
            <w:r>
              <w:rPr>
                <w:b/>
                <w:bCs/>
              </w:rPr>
              <w:t>2019–20</w:t>
            </w:r>
          </w:p>
        </w:tc>
        <w:tc>
          <w:tcPr>
            <w:tcW w:w="1416" w:type="dxa"/>
          </w:tcPr>
          <w:p w14:paraId="07A03F4F" w14:textId="419566B5" w:rsidR="00665A86" w:rsidRPr="008F2119" w:rsidRDefault="009C7ED2" w:rsidP="008F2119">
            <w:pPr>
              <w:pStyle w:val="TableColumnHeadingRight"/>
              <w:rPr>
                <w:b/>
                <w:bCs/>
              </w:rPr>
            </w:pPr>
            <w:r>
              <w:rPr>
                <w:b/>
                <w:bCs/>
              </w:rPr>
              <w:t>2020–21</w:t>
            </w:r>
          </w:p>
        </w:tc>
        <w:tc>
          <w:tcPr>
            <w:tcW w:w="1416" w:type="dxa"/>
          </w:tcPr>
          <w:p w14:paraId="29A9793E" w14:textId="43054427" w:rsidR="00665A86" w:rsidRPr="008F2119" w:rsidRDefault="009C7ED2" w:rsidP="008F2119">
            <w:pPr>
              <w:pStyle w:val="TableColumnHeadingRight"/>
              <w:rPr>
                <w:b/>
                <w:bCs/>
              </w:rPr>
            </w:pPr>
            <w:r>
              <w:rPr>
                <w:b/>
                <w:bCs/>
              </w:rPr>
              <w:t>2021–22</w:t>
            </w:r>
          </w:p>
        </w:tc>
      </w:tr>
      <w:tr w:rsidR="00665A86" w14:paraId="21BF5E15" w14:textId="77777777" w:rsidTr="008F2119">
        <w:trPr>
          <w:trHeight w:val="580"/>
        </w:trPr>
        <w:tc>
          <w:tcPr>
            <w:tcW w:w="1930" w:type="dxa"/>
          </w:tcPr>
          <w:p w14:paraId="530A52C0" w14:textId="77777777" w:rsidR="00665A86" w:rsidRDefault="00665A86" w:rsidP="008F2119">
            <w:pPr>
              <w:pStyle w:val="TableColumnHeadingLeft"/>
            </w:pPr>
            <w:r>
              <w:t xml:space="preserve">Total ASIC funding </w:t>
            </w:r>
          </w:p>
          <w:p w14:paraId="4E15744E" w14:textId="77777777" w:rsidR="00665A86" w:rsidRPr="00774A90" w:rsidRDefault="00665A86" w:rsidP="008F2119">
            <w:pPr>
              <w:pStyle w:val="TableColumnHeadingLeft"/>
            </w:pPr>
            <w:r>
              <w:t xml:space="preserve">($ million) </w:t>
            </w:r>
          </w:p>
        </w:tc>
        <w:tc>
          <w:tcPr>
            <w:tcW w:w="1416" w:type="dxa"/>
          </w:tcPr>
          <w:p w14:paraId="281BA509" w14:textId="77777777" w:rsidR="00665A86" w:rsidRPr="00774A90" w:rsidRDefault="00665A86" w:rsidP="008F2119">
            <w:pPr>
              <w:pStyle w:val="TableTextRight"/>
            </w:pPr>
            <w:r>
              <w:t>387.5</w:t>
            </w:r>
          </w:p>
        </w:tc>
        <w:tc>
          <w:tcPr>
            <w:tcW w:w="1416" w:type="dxa"/>
          </w:tcPr>
          <w:p w14:paraId="479715CC" w14:textId="77777777" w:rsidR="00665A86" w:rsidRPr="00774A90" w:rsidRDefault="00665A86" w:rsidP="008F2119">
            <w:pPr>
              <w:pStyle w:val="TableTextRight"/>
            </w:pPr>
            <w:r>
              <w:t>406.0</w:t>
            </w:r>
          </w:p>
        </w:tc>
        <w:tc>
          <w:tcPr>
            <w:tcW w:w="1416" w:type="dxa"/>
          </w:tcPr>
          <w:p w14:paraId="0A2C108C" w14:textId="77777777" w:rsidR="00665A86" w:rsidRPr="00774A90" w:rsidRDefault="00665A86" w:rsidP="008F2119">
            <w:pPr>
              <w:pStyle w:val="TableTextRight"/>
            </w:pPr>
            <w:r>
              <w:t>441.8</w:t>
            </w:r>
          </w:p>
        </w:tc>
        <w:tc>
          <w:tcPr>
            <w:tcW w:w="1416" w:type="dxa"/>
          </w:tcPr>
          <w:p w14:paraId="578391BE" w14:textId="77777777" w:rsidR="00665A86" w:rsidRPr="00774A90" w:rsidRDefault="00665A86" w:rsidP="008F2119">
            <w:pPr>
              <w:pStyle w:val="TableTextRight"/>
            </w:pPr>
            <w:r>
              <w:t>463.2</w:t>
            </w:r>
          </w:p>
        </w:tc>
        <w:tc>
          <w:tcPr>
            <w:tcW w:w="1416" w:type="dxa"/>
          </w:tcPr>
          <w:p w14:paraId="6D7AF96B" w14:textId="77777777" w:rsidR="00665A86" w:rsidRPr="00774A90" w:rsidRDefault="00665A86" w:rsidP="008F2119">
            <w:pPr>
              <w:pStyle w:val="TableTextRight"/>
            </w:pPr>
            <w:r>
              <w:t>451.1</w:t>
            </w:r>
          </w:p>
        </w:tc>
      </w:tr>
      <w:tr w:rsidR="00665A86" w14:paraId="38868A71" w14:textId="77777777" w:rsidTr="008F2119">
        <w:trPr>
          <w:trHeight w:val="680"/>
        </w:trPr>
        <w:tc>
          <w:tcPr>
            <w:tcW w:w="1930" w:type="dxa"/>
          </w:tcPr>
          <w:p w14:paraId="458907CC" w14:textId="77777777" w:rsidR="00665A86" w:rsidRDefault="00665A86" w:rsidP="008F2119">
            <w:pPr>
              <w:pStyle w:val="TableColumnHeadingLeft"/>
            </w:pPr>
            <w:r>
              <w:t>Total amount recovered via levies</w:t>
            </w:r>
          </w:p>
          <w:p w14:paraId="34FCF17B" w14:textId="77777777" w:rsidR="00665A86" w:rsidRDefault="00665A86" w:rsidP="008F2119">
            <w:pPr>
              <w:pStyle w:val="TableColumnHeadingLeft"/>
            </w:pPr>
            <w:r>
              <w:t>($ million)</w:t>
            </w:r>
          </w:p>
        </w:tc>
        <w:tc>
          <w:tcPr>
            <w:tcW w:w="1416" w:type="dxa"/>
          </w:tcPr>
          <w:p w14:paraId="66C8C363" w14:textId="77777777" w:rsidR="00665A86" w:rsidRPr="00774A90" w:rsidRDefault="00665A86" w:rsidP="008F2119">
            <w:pPr>
              <w:pStyle w:val="TableTextRight"/>
            </w:pPr>
            <w:r>
              <w:t>236.6</w:t>
            </w:r>
          </w:p>
        </w:tc>
        <w:tc>
          <w:tcPr>
            <w:tcW w:w="1416" w:type="dxa"/>
          </w:tcPr>
          <w:p w14:paraId="3EFCA6A6" w14:textId="77777777" w:rsidR="00665A86" w:rsidRPr="00774A90" w:rsidRDefault="00665A86" w:rsidP="008F2119">
            <w:pPr>
              <w:pStyle w:val="TableTextRight"/>
            </w:pPr>
            <w:r>
              <w:t>276.7</w:t>
            </w:r>
          </w:p>
        </w:tc>
        <w:tc>
          <w:tcPr>
            <w:tcW w:w="1416" w:type="dxa"/>
          </w:tcPr>
          <w:p w14:paraId="7D92078A" w14:textId="77777777" w:rsidR="00665A86" w:rsidRPr="00774A90" w:rsidRDefault="00665A86" w:rsidP="008F2119">
            <w:pPr>
              <w:pStyle w:val="TableTextRight"/>
            </w:pPr>
            <w:r>
              <w:t>320.3</w:t>
            </w:r>
          </w:p>
        </w:tc>
        <w:tc>
          <w:tcPr>
            <w:tcW w:w="1416" w:type="dxa"/>
          </w:tcPr>
          <w:p w14:paraId="66384625" w14:textId="77777777" w:rsidR="00665A86" w:rsidRPr="00774A90" w:rsidRDefault="00665A86" w:rsidP="008F2119">
            <w:pPr>
              <w:pStyle w:val="TableTextRight"/>
            </w:pPr>
            <w:r>
              <w:t>314.1*</w:t>
            </w:r>
          </w:p>
        </w:tc>
        <w:tc>
          <w:tcPr>
            <w:tcW w:w="1416" w:type="dxa"/>
          </w:tcPr>
          <w:p w14:paraId="17E7F3F4" w14:textId="77777777" w:rsidR="00665A86" w:rsidRPr="00774A90" w:rsidRDefault="00665A86" w:rsidP="008F2119">
            <w:pPr>
              <w:pStyle w:val="TableTextRight"/>
            </w:pPr>
            <w:r>
              <w:t>313.3*</w:t>
            </w:r>
          </w:p>
        </w:tc>
      </w:tr>
      <w:tr w:rsidR="00665A86" w14:paraId="68D59B29" w14:textId="77777777" w:rsidTr="008F2119">
        <w:trPr>
          <w:trHeight w:val="840"/>
        </w:trPr>
        <w:tc>
          <w:tcPr>
            <w:tcW w:w="1930" w:type="dxa"/>
          </w:tcPr>
          <w:p w14:paraId="1C79F0BD" w14:textId="77777777" w:rsidR="00665A86" w:rsidRDefault="00665A86" w:rsidP="008F2119">
            <w:pPr>
              <w:pStyle w:val="TableColumnHeadingLeft"/>
            </w:pPr>
            <w:r>
              <w:t>Total amount recovered via fees</w:t>
            </w:r>
          </w:p>
          <w:p w14:paraId="0D15346A" w14:textId="77777777" w:rsidR="00665A86" w:rsidRDefault="00665A86" w:rsidP="008F2119">
            <w:pPr>
              <w:pStyle w:val="TableColumnHeadingLeft"/>
            </w:pPr>
            <w:r>
              <w:t>($ million)</w:t>
            </w:r>
          </w:p>
        </w:tc>
        <w:tc>
          <w:tcPr>
            <w:tcW w:w="1416" w:type="dxa"/>
          </w:tcPr>
          <w:p w14:paraId="0188915E" w14:textId="3F516713" w:rsidR="00665A86" w:rsidRPr="00774A90" w:rsidRDefault="007D47DF" w:rsidP="008F2119">
            <w:pPr>
              <w:pStyle w:val="TableTextRight"/>
            </w:pPr>
            <w:r>
              <w:t>N/A</w:t>
            </w:r>
          </w:p>
        </w:tc>
        <w:tc>
          <w:tcPr>
            <w:tcW w:w="1416" w:type="dxa"/>
          </w:tcPr>
          <w:p w14:paraId="6F3D61DE" w14:textId="77777777" w:rsidR="00665A86" w:rsidRPr="00774A90" w:rsidRDefault="00665A86" w:rsidP="008F2119">
            <w:pPr>
              <w:pStyle w:val="TableTextRight"/>
            </w:pPr>
            <w:r>
              <w:t>13.6</w:t>
            </w:r>
          </w:p>
        </w:tc>
        <w:tc>
          <w:tcPr>
            <w:tcW w:w="1416" w:type="dxa"/>
          </w:tcPr>
          <w:p w14:paraId="20E06DA0" w14:textId="77777777" w:rsidR="00665A86" w:rsidRPr="00774A90" w:rsidRDefault="00665A86" w:rsidP="008F2119">
            <w:pPr>
              <w:pStyle w:val="TableTextRight"/>
            </w:pPr>
            <w:r>
              <w:t>11.3</w:t>
            </w:r>
          </w:p>
        </w:tc>
        <w:tc>
          <w:tcPr>
            <w:tcW w:w="1416" w:type="dxa"/>
          </w:tcPr>
          <w:p w14:paraId="5CDA4866" w14:textId="77777777" w:rsidR="00665A86" w:rsidRPr="00774A90" w:rsidRDefault="00665A86" w:rsidP="008F2119">
            <w:pPr>
              <w:pStyle w:val="TableTextRight"/>
            </w:pPr>
            <w:r>
              <w:t>14.5</w:t>
            </w:r>
          </w:p>
        </w:tc>
        <w:tc>
          <w:tcPr>
            <w:tcW w:w="1416" w:type="dxa"/>
          </w:tcPr>
          <w:p w14:paraId="3D185084" w14:textId="77777777" w:rsidR="00665A86" w:rsidRPr="00774A90" w:rsidRDefault="00665A86" w:rsidP="008F2119">
            <w:pPr>
              <w:pStyle w:val="TableTextRight"/>
            </w:pPr>
            <w:r>
              <w:t>12.9</w:t>
            </w:r>
          </w:p>
        </w:tc>
      </w:tr>
      <w:tr w:rsidR="00665A86" w14:paraId="36367394" w14:textId="77777777" w:rsidTr="008F2119">
        <w:trPr>
          <w:trHeight w:val="589"/>
        </w:trPr>
        <w:tc>
          <w:tcPr>
            <w:tcW w:w="1930" w:type="dxa"/>
          </w:tcPr>
          <w:p w14:paraId="65AE7179" w14:textId="77777777" w:rsidR="00665A86" w:rsidRDefault="00665A86" w:rsidP="008F2119">
            <w:pPr>
              <w:pStyle w:val="TableColumnHeadingLeft"/>
            </w:pPr>
            <w:bookmarkStart w:id="100" w:name="_Hlk125539848"/>
            <w:r>
              <w:t>Total number of leviable entities</w:t>
            </w:r>
          </w:p>
        </w:tc>
        <w:tc>
          <w:tcPr>
            <w:tcW w:w="1416" w:type="dxa"/>
          </w:tcPr>
          <w:p w14:paraId="70441947" w14:textId="77777777" w:rsidR="00665A86" w:rsidRPr="00774A90" w:rsidRDefault="00665A86" w:rsidP="008F2119">
            <w:pPr>
              <w:pStyle w:val="TableTextRight"/>
            </w:pPr>
            <w:r>
              <w:t>45,490</w:t>
            </w:r>
          </w:p>
        </w:tc>
        <w:tc>
          <w:tcPr>
            <w:tcW w:w="1416" w:type="dxa"/>
          </w:tcPr>
          <w:p w14:paraId="7F8AAF53" w14:textId="77777777" w:rsidR="00665A86" w:rsidRPr="00774A90" w:rsidRDefault="00665A86" w:rsidP="008F2119">
            <w:pPr>
              <w:pStyle w:val="TableTextRight"/>
            </w:pPr>
            <w:r>
              <w:t>46,148</w:t>
            </w:r>
          </w:p>
        </w:tc>
        <w:tc>
          <w:tcPr>
            <w:tcW w:w="1416" w:type="dxa"/>
          </w:tcPr>
          <w:p w14:paraId="06751125" w14:textId="77777777" w:rsidR="00665A86" w:rsidRPr="00774A90" w:rsidRDefault="00665A86" w:rsidP="008F2119">
            <w:pPr>
              <w:pStyle w:val="TableTextRight"/>
            </w:pPr>
            <w:r>
              <w:t>43,804</w:t>
            </w:r>
          </w:p>
        </w:tc>
        <w:tc>
          <w:tcPr>
            <w:tcW w:w="1416" w:type="dxa"/>
          </w:tcPr>
          <w:p w14:paraId="541F7402" w14:textId="77777777" w:rsidR="00665A86" w:rsidRPr="00774A90" w:rsidRDefault="00665A86" w:rsidP="008F2119">
            <w:pPr>
              <w:pStyle w:val="TableTextRight"/>
            </w:pPr>
            <w:r>
              <w:t>43,508</w:t>
            </w:r>
          </w:p>
        </w:tc>
        <w:tc>
          <w:tcPr>
            <w:tcW w:w="1416" w:type="dxa"/>
          </w:tcPr>
          <w:p w14:paraId="55B25A13" w14:textId="77777777" w:rsidR="00665A86" w:rsidRPr="00774A90" w:rsidRDefault="00665A86" w:rsidP="008F2119">
            <w:pPr>
              <w:pStyle w:val="TableTextRight"/>
            </w:pPr>
            <w:r>
              <w:t>43,077</w:t>
            </w:r>
          </w:p>
        </w:tc>
      </w:tr>
    </w:tbl>
    <w:bookmarkEnd w:id="100"/>
    <w:p w14:paraId="61FCC516" w14:textId="5837D410" w:rsidR="00665A86" w:rsidRPr="001A34A4" w:rsidRDefault="00665A86" w:rsidP="008F2119">
      <w:pPr>
        <w:pStyle w:val="ChartorTableNote"/>
        <w:rPr>
          <w:rFonts w:ascii="Calibri Light" w:hAnsi="Calibri Light" w:cs="Calibri Light"/>
        </w:rPr>
      </w:pPr>
      <w:r w:rsidRPr="001A34A4">
        <w:rPr>
          <w:rFonts w:ascii="Calibri Light" w:hAnsi="Calibri Light" w:cs="Calibri Light"/>
        </w:rPr>
        <w:t>*</w:t>
      </w:r>
      <w:r w:rsidRPr="001A34A4">
        <w:t xml:space="preserve">The total levy amounts for </w:t>
      </w:r>
      <w:r w:rsidR="009C7ED2">
        <w:t>2020–21</w:t>
      </w:r>
      <w:r w:rsidRPr="001A34A4">
        <w:t xml:space="preserve"> and </w:t>
      </w:r>
      <w:r w:rsidR="009C7ED2">
        <w:t>2021–22</w:t>
      </w:r>
      <w:r w:rsidRPr="001A34A4">
        <w:t xml:space="preserve"> includes the levy relief for personal financial advice licensees. This has resulted in $</w:t>
      </w:r>
      <w:r w:rsidR="003060F1">
        <w:t>34.2</w:t>
      </w:r>
      <w:r w:rsidRPr="001A34A4">
        <w:t xml:space="preserve"> million and an estimated $</w:t>
      </w:r>
      <w:r>
        <w:t>33.9</w:t>
      </w:r>
      <w:r w:rsidRPr="001A34A4">
        <w:t xml:space="preserve"> million not being recovered from the personal financial advice licensee sub</w:t>
      </w:r>
      <w:r w:rsidR="00BD190B">
        <w:noBreakHyphen/>
      </w:r>
      <w:r w:rsidRPr="001A34A4">
        <w:t xml:space="preserve">sector for </w:t>
      </w:r>
      <w:r w:rsidR="009C7ED2">
        <w:t>2020–21</w:t>
      </w:r>
      <w:r w:rsidRPr="001A34A4">
        <w:t xml:space="preserve"> and </w:t>
      </w:r>
      <w:r w:rsidR="009C7ED2">
        <w:t>2021–22</w:t>
      </w:r>
      <w:r w:rsidRPr="001A34A4">
        <w:t xml:space="preserve"> respectively.</w:t>
      </w:r>
    </w:p>
    <w:p w14:paraId="7F300203" w14:textId="5EEF5AF6" w:rsidR="003C4A1B" w:rsidRDefault="000F3047" w:rsidP="00667215">
      <w:pPr>
        <w:pStyle w:val="Heading3"/>
      </w:pPr>
      <w:bookmarkStart w:id="101" w:name="_Toc129270470"/>
      <w:r>
        <w:t>Sub</w:t>
      </w:r>
      <w:r w:rsidR="00BD190B">
        <w:noBreakHyphen/>
      </w:r>
      <w:r>
        <w:t>sectors experiencing</w:t>
      </w:r>
      <w:r w:rsidR="00667215">
        <w:t xml:space="preserve"> increasing levies</w:t>
      </w:r>
      <w:bookmarkEnd w:id="101"/>
    </w:p>
    <w:p w14:paraId="3CC9D760" w14:textId="72C6315D" w:rsidR="00C341C3" w:rsidRPr="00B30F40" w:rsidRDefault="00C341C3"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B30F40">
        <w:rPr>
          <w:rFonts w:ascii="Calibri Light" w:eastAsia="Times New Roman" w:hAnsi="Calibri Light" w:cs="Times New Roman"/>
          <w:szCs w:val="20"/>
          <w:lang w:eastAsia="en-AU"/>
        </w:rPr>
        <w:t xml:space="preserve">Since </w:t>
      </w:r>
      <w:r w:rsidR="009C7ED2">
        <w:rPr>
          <w:rFonts w:ascii="Calibri Light" w:eastAsia="Times New Roman" w:hAnsi="Calibri Light" w:cs="Times New Roman"/>
          <w:szCs w:val="20"/>
          <w:lang w:eastAsia="en-AU"/>
        </w:rPr>
        <w:t>2017</w:t>
      </w:r>
      <w:r w:rsidR="0029601B">
        <w:rPr>
          <w:rFonts w:ascii="Calibri Light" w:eastAsia="Times New Roman" w:hAnsi="Calibri Light" w:cs="Times New Roman"/>
          <w:szCs w:val="20"/>
          <w:lang w:eastAsia="en-AU"/>
        </w:rPr>
        <w:t>–</w:t>
      </w:r>
      <w:r w:rsidR="009C7ED2">
        <w:rPr>
          <w:rFonts w:ascii="Calibri Light" w:eastAsia="Times New Roman" w:hAnsi="Calibri Light" w:cs="Times New Roman"/>
          <w:szCs w:val="20"/>
          <w:lang w:eastAsia="en-AU"/>
        </w:rPr>
        <w:t>18</w:t>
      </w:r>
      <w:r w:rsidRPr="00B30F40">
        <w:rPr>
          <w:rFonts w:ascii="Calibri Light" w:eastAsia="Times New Roman" w:hAnsi="Calibri Light" w:cs="Times New Roman"/>
          <w:szCs w:val="20"/>
          <w:lang w:eastAsia="en-AU"/>
        </w:rPr>
        <w:t xml:space="preserve">, </w:t>
      </w:r>
      <w:r w:rsidR="0057062F">
        <w:rPr>
          <w:rFonts w:ascii="Calibri Light" w:eastAsia="Times New Roman" w:hAnsi="Calibri Light" w:cs="Times New Roman"/>
          <w:szCs w:val="20"/>
          <w:lang w:eastAsia="en-AU"/>
        </w:rPr>
        <w:t>17</w:t>
      </w:r>
      <w:r w:rsidRPr="00B30F40">
        <w:rPr>
          <w:rFonts w:ascii="Calibri Light" w:eastAsia="Times New Roman" w:hAnsi="Calibri Light" w:cs="Times New Roman"/>
          <w:szCs w:val="20"/>
          <w:lang w:eastAsia="en-AU"/>
        </w:rPr>
        <w:t xml:space="preserve"> sub</w:t>
      </w:r>
      <w:r w:rsidR="00BD190B">
        <w:rPr>
          <w:rFonts w:ascii="Calibri Light" w:eastAsia="Times New Roman" w:hAnsi="Calibri Light" w:cs="Times New Roman"/>
          <w:szCs w:val="20"/>
          <w:lang w:eastAsia="en-AU"/>
        </w:rPr>
        <w:noBreakHyphen/>
      </w:r>
      <w:r w:rsidRPr="00B30F40">
        <w:rPr>
          <w:rFonts w:ascii="Calibri Light" w:eastAsia="Times New Roman" w:hAnsi="Calibri Light" w:cs="Times New Roman"/>
          <w:szCs w:val="20"/>
          <w:lang w:eastAsia="en-AU"/>
        </w:rPr>
        <w:t xml:space="preserve">sectors have seen their costs fall and </w:t>
      </w:r>
      <w:r w:rsidR="0057062F">
        <w:rPr>
          <w:rFonts w:ascii="Calibri Light" w:eastAsia="Times New Roman" w:hAnsi="Calibri Light" w:cs="Times New Roman"/>
          <w:szCs w:val="20"/>
          <w:lang w:eastAsia="en-AU"/>
        </w:rPr>
        <w:t>15</w:t>
      </w:r>
      <w:r w:rsidRPr="00B30F40">
        <w:rPr>
          <w:rFonts w:ascii="Calibri Light" w:eastAsia="Times New Roman" w:hAnsi="Calibri Light" w:cs="Times New Roman"/>
          <w:szCs w:val="20"/>
          <w:lang w:eastAsia="en-AU"/>
        </w:rPr>
        <w:t xml:space="preserve"> sub</w:t>
      </w:r>
      <w:r w:rsidR="00BD190B">
        <w:rPr>
          <w:rFonts w:ascii="Calibri Light" w:eastAsia="Times New Roman" w:hAnsi="Calibri Light" w:cs="Times New Roman"/>
          <w:szCs w:val="20"/>
          <w:lang w:eastAsia="en-AU"/>
        </w:rPr>
        <w:noBreakHyphen/>
      </w:r>
      <w:r w:rsidRPr="00B30F40">
        <w:rPr>
          <w:rFonts w:ascii="Calibri Light" w:eastAsia="Times New Roman" w:hAnsi="Calibri Light" w:cs="Times New Roman"/>
          <w:szCs w:val="20"/>
          <w:lang w:eastAsia="en-AU"/>
        </w:rPr>
        <w:t>sectors have seen their costs remain broadly steady. The remaining 2</w:t>
      </w:r>
      <w:r w:rsidR="0057062F">
        <w:rPr>
          <w:rFonts w:ascii="Calibri Light" w:eastAsia="Times New Roman" w:hAnsi="Calibri Light" w:cs="Times New Roman"/>
          <w:szCs w:val="20"/>
          <w:lang w:eastAsia="en-AU"/>
        </w:rPr>
        <w:t>0</w:t>
      </w:r>
      <w:r w:rsidRPr="00B30F40">
        <w:rPr>
          <w:rFonts w:ascii="Calibri Light" w:eastAsia="Times New Roman" w:hAnsi="Calibri Light" w:cs="Times New Roman"/>
          <w:szCs w:val="20"/>
          <w:lang w:eastAsia="en-AU"/>
        </w:rPr>
        <w:t xml:space="preserve"> sub</w:t>
      </w:r>
      <w:r w:rsidR="00BD190B">
        <w:rPr>
          <w:rFonts w:ascii="Calibri Light" w:eastAsia="Times New Roman" w:hAnsi="Calibri Light" w:cs="Times New Roman"/>
          <w:szCs w:val="20"/>
          <w:lang w:eastAsia="en-AU"/>
        </w:rPr>
        <w:noBreakHyphen/>
      </w:r>
      <w:r w:rsidRPr="00B30F40">
        <w:rPr>
          <w:rFonts w:ascii="Calibri Light" w:eastAsia="Times New Roman" w:hAnsi="Calibri Light" w:cs="Times New Roman"/>
          <w:szCs w:val="20"/>
          <w:lang w:eastAsia="en-AU"/>
        </w:rPr>
        <w:t>sectors have faced increases as a result of ASIC dedicating greater resources to regulating those sub</w:t>
      </w:r>
      <w:r w:rsidR="00BD190B">
        <w:rPr>
          <w:rFonts w:ascii="Calibri Light" w:eastAsia="Times New Roman" w:hAnsi="Calibri Light" w:cs="Times New Roman"/>
          <w:szCs w:val="20"/>
          <w:lang w:eastAsia="en-AU"/>
        </w:rPr>
        <w:noBreakHyphen/>
      </w:r>
      <w:r w:rsidRPr="00B30F40">
        <w:rPr>
          <w:rFonts w:ascii="Calibri Light" w:eastAsia="Times New Roman" w:hAnsi="Calibri Light" w:cs="Times New Roman"/>
          <w:szCs w:val="20"/>
          <w:lang w:eastAsia="en-AU"/>
        </w:rPr>
        <w:t xml:space="preserve">sectors. </w:t>
      </w:r>
    </w:p>
    <w:p w14:paraId="6B89FA66" w14:textId="00E68556" w:rsidR="000F3047" w:rsidRDefault="00C341C3"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The</w:t>
      </w:r>
      <w:r w:rsidR="00021532">
        <w:rPr>
          <w:rFonts w:ascii="Calibri Light" w:eastAsia="Times New Roman" w:hAnsi="Calibri Light" w:cs="Times New Roman"/>
          <w:szCs w:val="20"/>
          <w:lang w:eastAsia="en-AU"/>
        </w:rPr>
        <w:t xml:space="preserve"> former g</w:t>
      </w:r>
      <w:r w:rsidR="000F3047" w:rsidRPr="00212130">
        <w:rPr>
          <w:rFonts w:ascii="Calibri Light" w:eastAsia="Times New Roman" w:hAnsi="Calibri Light" w:cs="Times New Roman"/>
          <w:szCs w:val="20"/>
          <w:lang w:eastAsia="en-AU"/>
        </w:rPr>
        <w:t xml:space="preserve">overnment </w:t>
      </w:r>
      <w:r w:rsidR="00437AC9">
        <w:rPr>
          <w:rFonts w:ascii="Calibri Light" w:eastAsia="Times New Roman" w:hAnsi="Calibri Light" w:cs="Times New Roman"/>
          <w:szCs w:val="20"/>
          <w:lang w:eastAsia="en-AU"/>
        </w:rPr>
        <w:t>previously</w:t>
      </w:r>
      <w:r w:rsidR="000F3047" w:rsidRPr="00212130">
        <w:rPr>
          <w:rFonts w:ascii="Calibri Light" w:eastAsia="Times New Roman" w:hAnsi="Calibri Light" w:cs="Times New Roman"/>
          <w:szCs w:val="20"/>
          <w:lang w:eastAsia="en-AU"/>
        </w:rPr>
        <w:t xml:space="preserve"> intervened in response to significant increases in levies in the personal financial advice licensee sub</w:t>
      </w:r>
      <w:r w:rsidR="00BD190B">
        <w:rPr>
          <w:rFonts w:ascii="Calibri Light" w:eastAsia="Times New Roman" w:hAnsi="Calibri Light" w:cs="Times New Roman"/>
          <w:szCs w:val="20"/>
          <w:lang w:eastAsia="en-AU"/>
        </w:rPr>
        <w:noBreakHyphen/>
      </w:r>
      <w:r w:rsidR="000F3047" w:rsidRPr="00212130">
        <w:rPr>
          <w:rFonts w:ascii="Calibri Light" w:eastAsia="Times New Roman" w:hAnsi="Calibri Light" w:cs="Times New Roman"/>
          <w:szCs w:val="20"/>
          <w:lang w:eastAsia="en-AU"/>
        </w:rPr>
        <w:t>sector. The per adviser levy component for this sub</w:t>
      </w:r>
      <w:r w:rsidR="00BD190B">
        <w:rPr>
          <w:rFonts w:ascii="Calibri Light" w:eastAsia="Times New Roman" w:hAnsi="Calibri Light" w:cs="Times New Roman"/>
          <w:szCs w:val="20"/>
          <w:lang w:eastAsia="en-AU"/>
        </w:rPr>
        <w:noBreakHyphen/>
      </w:r>
      <w:r w:rsidR="000F3047" w:rsidRPr="00212130">
        <w:rPr>
          <w:rFonts w:ascii="Calibri Light" w:eastAsia="Times New Roman" w:hAnsi="Calibri Light" w:cs="Times New Roman"/>
          <w:szCs w:val="20"/>
          <w:lang w:eastAsia="en-AU"/>
        </w:rPr>
        <w:t xml:space="preserve">sector </w:t>
      </w:r>
      <w:r w:rsidR="00EF2606">
        <w:rPr>
          <w:rFonts w:ascii="Calibri Light" w:eastAsia="Times New Roman" w:hAnsi="Calibri Light" w:cs="Times New Roman"/>
          <w:szCs w:val="20"/>
          <w:lang w:eastAsia="en-AU"/>
        </w:rPr>
        <w:t>was</w:t>
      </w:r>
      <w:r w:rsidR="000F3047" w:rsidRPr="00212130">
        <w:rPr>
          <w:rFonts w:ascii="Calibri Light" w:eastAsia="Times New Roman" w:hAnsi="Calibri Light" w:cs="Times New Roman"/>
          <w:szCs w:val="20"/>
          <w:lang w:eastAsia="en-AU"/>
        </w:rPr>
        <w:t xml:space="preserve"> capped at </w:t>
      </w:r>
      <w:r w:rsidR="00EF2606">
        <w:rPr>
          <w:rFonts w:ascii="Calibri Light" w:eastAsia="Times New Roman" w:hAnsi="Calibri Light" w:cs="Times New Roman"/>
          <w:szCs w:val="20"/>
          <w:lang w:eastAsia="en-AU"/>
        </w:rPr>
        <w:t xml:space="preserve">the </w:t>
      </w:r>
      <w:r w:rsidR="009C7ED2">
        <w:rPr>
          <w:rFonts w:ascii="Calibri Light" w:eastAsia="Times New Roman" w:hAnsi="Calibri Light" w:cs="Times New Roman"/>
          <w:szCs w:val="20"/>
          <w:lang w:eastAsia="en-AU"/>
        </w:rPr>
        <w:t>2018–19</w:t>
      </w:r>
      <w:r w:rsidR="000F3047" w:rsidRPr="00212130">
        <w:rPr>
          <w:rFonts w:ascii="Calibri Light" w:eastAsia="Times New Roman" w:hAnsi="Calibri Light" w:cs="Times New Roman"/>
          <w:szCs w:val="20"/>
          <w:lang w:eastAsia="en-AU"/>
        </w:rPr>
        <w:t xml:space="preserve"> level</w:t>
      </w:r>
      <w:r w:rsidR="00155D06">
        <w:rPr>
          <w:rFonts w:ascii="Calibri Light" w:eastAsia="Times New Roman" w:hAnsi="Calibri Light" w:cs="Times New Roman"/>
          <w:szCs w:val="20"/>
          <w:lang w:eastAsia="en-AU"/>
        </w:rPr>
        <w:t xml:space="preserve"> of $1,142</w:t>
      </w:r>
      <w:r w:rsidR="000F3047" w:rsidRPr="00212130">
        <w:rPr>
          <w:rFonts w:ascii="Calibri Light" w:eastAsia="Times New Roman" w:hAnsi="Calibri Light" w:cs="Times New Roman"/>
          <w:szCs w:val="20"/>
          <w:lang w:eastAsia="en-AU"/>
        </w:rPr>
        <w:t xml:space="preserve"> in respect of </w:t>
      </w:r>
      <w:r w:rsidR="009C7ED2">
        <w:rPr>
          <w:rFonts w:ascii="Calibri Light" w:eastAsia="Times New Roman" w:hAnsi="Calibri Light" w:cs="Times New Roman"/>
          <w:szCs w:val="20"/>
          <w:lang w:eastAsia="en-AU"/>
        </w:rPr>
        <w:t>2020–21</w:t>
      </w:r>
      <w:r w:rsidR="000F3047" w:rsidRPr="00212130">
        <w:rPr>
          <w:rFonts w:ascii="Calibri Light" w:eastAsia="Times New Roman" w:hAnsi="Calibri Light" w:cs="Times New Roman"/>
          <w:szCs w:val="20"/>
          <w:lang w:eastAsia="en-AU"/>
        </w:rPr>
        <w:t xml:space="preserve"> and </w:t>
      </w:r>
      <w:r w:rsidR="009C7ED2">
        <w:rPr>
          <w:rFonts w:ascii="Calibri Light" w:eastAsia="Times New Roman" w:hAnsi="Calibri Light" w:cs="Times New Roman"/>
          <w:szCs w:val="20"/>
          <w:lang w:eastAsia="en-AU"/>
        </w:rPr>
        <w:t>2021–22</w:t>
      </w:r>
      <w:r w:rsidR="000F3047" w:rsidRPr="00212130">
        <w:rPr>
          <w:rFonts w:ascii="Calibri Light" w:eastAsia="Times New Roman" w:hAnsi="Calibri Light" w:cs="Times New Roman"/>
          <w:szCs w:val="20"/>
          <w:lang w:eastAsia="en-AU"/>
        </w:rPr>
        <w:t xml:space="preserve">. The cost of this relief </w:t>
      </w:r>
      <w:r w:rsidR="000F3047">
        <w:rPr>
          <w:rFonts w:ascii="Calibri Light" w:eastAsia="Times New Roman" w:hAnsi="Calibri Light" w:cs="Times New Roman"/>
          <w:szCs w:val="20"/>
          <w:lang w:eastAsia="en-AU"/>
        </w:rPr>
        <w:t>was</w:t>
      </w:r>
      <w:r w:rsidR="000F3047" w:rsidRPr="00212130">
        <w:rPr>
          <w:rFonts w:ascii="Calibri Light" w:eastAsia="Times New Roman" w:hAnsi="Calibri Light" w:cs="Times New Roman"/>
          <w:szCs w:val="20"/>
          <w:lang w:eastAsia="en-AU"/>
        </w:rPr>
        <w:t xml:space="preserve"> borne by the Government (through general taxpayers) and </w:t>
      </w:r>
      <w:r w:rsidR="000F3047">
        <w:rPr>
          <w:rFonts w:ascii="Calibri Light" w:eastAsia="Times New Roman" w:hAnsi="Calibri Light" w:cs="Times New Roman"/>
          <w:szCs w:val="20"/>
          <w:lang w:eastAsia="en-AU"/>
        </w:rPr>
        <w:t>was</w:t>
      </w:r>
      <w:r w:rsidR="000F3047" w:rsidRPr="00212130">
        <w:rPr>
          <w:rFonts w:ascii="Calibri Light" w:eastAsia="Times New Roman" w:hAnsi="Calibri Light" w:cs="Times New Roman"/>
          <w:szCs w:val="20"/>
          <w:lang w:eastAsia="en-AU"/>
        </w:rPr>
        <w:t xml:space="preserve"> not recovered through levies charged to other sub</w:t>
      </w:r>
      <w:r w:rsidR="00BD190B">
        <w:rPr>
          <w:rFonts w:ascii="Calibri Light" w:eastAsia="Times New Roman" w:hAnsi="Calibri Light" w:cs="Times New Roman"/>
          <w:szCs w:val="20"/>
          <w:lang w:eastAsia="en-AU"/>
        </w:rPr>
        <w:noBreakHyphen/>
      </w:r>
      <w:r w:rsidR="000F3047" w:rsidRPr="00212130">
        <w:rPr>
          <w:rFonts w:ascii="Calibri Light" w:eastAsia="Times New Roman" w:hAnsi="Calibri Light" w:cs="Times New Roman"/>
          <w:szCs w:val="20"/>
          <w:lang w:eastAsia="en-AU"/>
        </w:rPr>
        <w:t>sect</w:t>
      </w:r>
      <w:r w:rsidR="000F3047">
        <w:rPr>
          <w:rFonts w:ascii="Calibri Light" w:eastAsia="Times New Roman" w:hAnsi="Calibri Light" w:cs="Times New Roman"/>
          <w:szCs w:val="20"/>
          <w:lang w:eastAsia="en-AU"/>
        </w:rPr>
        <w:t>ors.</w:t>
      </w:r>
    </w:p>
    <w:p w14:paraId="275809BA" w14:textId="5DA2A9A4" w:rsidR="000F3047" w:rsidRPr="00DA5D9A" w:rsidRDefault="000F3047"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T</w:t>
      </w:r>
      <w:r w:rsidR="00DD6D8B">
        <w:rPr>
          <w:rFonts w:ascii="Calibri Light" w:eastAsia="Times New Roman" w:hAnsi="Calibri Light" w:cs="Times New Roman"/>
          <w:szCs w:val="20"/>
          <w:lang w:eastAsia="en-AU"/>
        </w:rPr>
        <w:t xml:space="preserve">here have been </w:t>
      </w:r>
      <w:r w:rsidR="004E5200">
        <w:rPr>
          <w:rFonts w:ascii="Calibri Light" w:eastAsia="Times New Roman" w:hAnsi="Calibri Light" w:cs="Times New Roman"/>
          <w:szCs w:val="20"/>
          <w:lang w:eastAsia="en-AU"/>
        </w:rPr>
        <w:t>some</w:t>
      </w:r>
      <w:r w:rsidR="00DD6D8B">
        <w:rPr>
          <w:rFonts w:ascii="Calibri Light" w:eastAsia="Times New Roman" w:hAnsi="Calibri Light" w:cs="Times New Roman"/>
          <w:szCs w:val="20"/>
          <w:lang w:eastAsia="en-AU"/>
        </w:rPr>
        <w:t xml:space="preserve"> key</w:t>
      </w:r>
      <w:r>
        <w:rPr>
          <w:rFonts w:ascii="Calibri Light" w:eastAsia="Times New Roman" w:hAnsi="Calibri Light" w:cs="Times New Roman"/>
          <w:szCs w:val="20"/>
          <w:lang w:eastAsia="en-AU"/>
        </w:rPr>
        <w:t xml:space="preserve"> factors </w:t>
      </w:r>
      <w:r w:rsidR="00DD6D8B">
        <w:rPr>
          <w:rFonts w:ascii="Calibri Light" w:eastAsia="Times New Roman" w:hAnsi="Calibri Light" w:cs="Times New Roman"/>
          <w:szCs w:val="20"/>
          <w:lang w:eastAsia="en-AU"/>
        </w:rPr>
        <w:t xml:space="preserve">that have </w:t>
      </w:r>
      <w:r>
        <w:rPr>
          <w:rFonts w:ascii="Calibri Light" w:eastAsia="Times New Roman" w:hAnsi="Calibri Light" w:cs="Times New Roman"/>
          <w:szCs w:val="20"/>
          <w:lang w:eastAsia="en-AU"/>
        </w:rPr>
        <w:t xml:space="preserve">contributed to the </w:t>
      </w:r>
      <w:r w:rsidR="00F77E9E">
        <w:rPr>
          <w:rFonts w:ascii="Calibri Light" w:eastAsia="Times New Roman" w:hAnsi="Calibri Light" w:cs="Times New Roman"/>
          <w:szCs w:val="20"/>
          <w:lang w:eastAsia="en-AU"/>
        </w:rPr>
        <w:t>increase in levies</w:t>
      </w:r>
      <w:r>
        <w:rPr>
          <w:rFonts w:ascii="Calibri Light" w:eastAsia="Times New Roman" w:hAnsi="Calibri Light" w:cs="Times New Roman"/>
          <w:szCs w:val="20"/>
          <w:lang w:eastAsia="en-AU"/>
        </w:rPr>
        <w:t xml:space="preserve"> for this sub</w:t>
      </w:r>
      <w:r w:rsidR="00BD190B">
        <w:rPr>
          <w:rFonts w:ascii="Calibri Light" w:eastAsia="Times New Roman" w:hAnsi="Calibri Light" w:cs="Times New Roman"/>
          <w:szCs w:val="20"/>
          <w:lang w:eastAsia="en-AU"/>
        </w:rPr>
        <w:noBreakHyphen/>
      </w:r>
      <w:r>
        <w:rPr>
          <w:rFonts w:ascii="Calibri Light" w:eastAsia="Times New Roman" w:hAnsi="Calibri Light" w:cs="Times New Roman"/>
          <w:szCs w:val="20"/>
          <w:lang w:eastAsia="en-AU"/>
        </w:rPr>
        <w:t>sector</w:t>
      </w:r>
      <w:r w:rsidR="00504984">
        <w:rPr>
          <w:rFonts w:ascii="Calibri Light" w:eastAsia="Times New Roman" w:hAnsi="Calibri Light" w:cs="Times New Roman"/>
          <w:szCs w:val="20"/>
          <w:lang w:eastAsia="en-AU"/>
        </w:rPr>
        <w:t xml:space="preserve"> such as</w:t>
      </w:r>
      <w:r w:rsidR="000A578C">
        <w:rPr>
          <w:rFonts w:ascii="Calibri Light" w:eastAsia="Times New Roman" w:hAnsi="Calibri Light" w:cs="Times New Roman"/>
          <w:szCs w:val="20"/>
          <w:lang w:eastAsia="en-AU"/>
        </w:rPr>
        <w:t xml:space="preserve"> increased regulatory focus by ASIC on this sector and</w:t>
      </w:r>
      <w:r w:rsidR="00504984">
        <w:rPr>
          <w:rFonts w:ascii="Calibri Light" w:eastAsia="Times New Roman" w:hAnsi="Calibri Light" w:cs="Times New Roman"/>
          <w:szCs w:val="20"/>
          <w:lang w:eastAsia="en-AU"/>
        </w:rPr>
        <w:t xml:space="preserve"> structural changes </w:t>
      </w:r>
      <w:r w:rsidR="00DF78E9">
        <w:rPr>
          <w:rFonts w:ascii="Calibri Light" w:eastAsia="Times New Roman" w:hAnsi="Calibri Light" w:cs="Times New Roman"/>
          <w:szCs w:val="20"/>
          <w:lang w:eastAsia="en-AU"/>
        </w:rPr>
        <w:t xml:space="preserve">in </w:t>
      </w:r>
      <w:r w:rsidR="000A578C">
        <w:rPr>
          <w:rFonts w:ascii="Calibri Light" w:eastAsia="Times New Roman" w:hAnsi="Calibri Light" w:cs="Times New Roman"/>
          <w:szCs w:val="20"/>
          <w:lang w:eastAsia="en-AU"/>
        </w:rPr>
        <w:t>light of the Financial Services Royal Commission</w:t>
      </w:r>
      <w:r>
        <w:rPr>
          <w:rFonts w:ascii="Calibri Light" w:eastAsia="Times New Roman" w:hAnsi="Calibri Light" w:cs="Times New Roman"/>
          <w:szCs w:val="20"/>
          <w:lang w:eastAsia="en-AU"/>
        </w:rPr>
        <w:t>.</w:t>
      </w:r>
    </w:p>
    <w:p w14:paraId="6F955812" w14:textId="3EEA51CD" w:rsidR="00043B6A" w:rsidRDefault="0094027A"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020E1A">
        <w:rPr>
          <w:rFonts w:ascii="Calibri Light" w:eastAsia="Times New Roman" w:hAnsi="Calibri Light" w:cs="Times New Roman"/>
          <w:szCs w:val="20"/>
          <w:lang w:eastAsia="en-AU"/>
        </w:rPr>
        <w:t>The Review note</w:t>
      </w:r>
      <w:r w:rsidR="00043B6A">
        <w:rPr>
          <w:rFonts w:ascii="Calibri Light" w:eastAsia="Times New Roman" w:hAnsi="Calibri Light" w:cs="Times New Roman"/>
          <w:szCs w:val="20"/>
          <w:lang w:eastAsia="en-AU"/>
        </w:rPr>
        <w:t>s</w:t>
      </w:r>
      <w:r w:rsidRPr="00020E1A">
        <w:rPr>
          <w:rFonts w:ascii="Calibri Light" w:eastAsia="Times New Roman" w:hAnsi="Calibri Light" w:cs="Times New Roman"/>
          <w:szCs w:val="20"/>
          <w:lang w:eastAsia="en-AU"/>
        </w:rPr>
        <w:t xml:space="preserve"> that these factors are out of ASIC</w:t>
      </w:r>
      <w:r w:rsidR="00BD190B">
        <w:rPr>
          <w:rFonts w:ascii="Calibri Light" w:eastAsia="Times New Roman" w:hAnsi="Calibri Light" w:cs="Times New Roman"/>
          <w:szCs w:val="20"/>
          <w:lang w:eastAsia="en-AU"/>
        </w:rPr>
        <w:t>’</w:t>
      </w:r>
      <w:r w:rsidRPr="00020E1A">
        <w:rPr>
          <w:rFonts w:ascii="Calibri Light" w:eastAsia="Times New Roman" w:hAnsi="Calibri Light" w:cs="Times New Roman"/>
          <w:szCs w:val="20"/>
          <w:lang w:eastAsia="en-AU"/>
        </w:rPr>
        <w:t>s control and</w:t>
      </w:r>
      <w:r w:rsidR="00577BD9">
        <w:rPr>
          <w:rFonts w:ascii="Calibri Light" w:eastAsia="Times New Roman" w:hAnsi="Calibri Light" w:cs="Times New Roman"/>
          <w:szCs w:val="20"/>
          <w:lang w:eastAsia="en-AU"/>
        </w:rPr>
        <w:t>,</w:t>
      </w:r>
      <w:r w:rsidRPr="00020E1A">
        <w:rPr>
          <w:rFonts w:ascii="Calibri Light" w:eastAsia="Times New Roman" w:hAnsi="Calibri Light" w:cs="Times New Roman"/>
          <w:szCs w:val="20"/>
          <w:lang w:eastAsia="en-AU"/>
        </w:rPr>
        <w:t xml:space="preserve"> given the legislative framework of the IFM, ASIC has limited power to adjust levy amounts once costs have been expended without </w:t>
      </w:r>
      <w:r w:rsidR="00021532">
        <w:rPr>
          <w:rFonts w:ascii="Calibri Light" w:eastAsia="Times New Roman" w:hAnsi="Calibri Light" w:cs="Times New Roman"/>
          <w:szCs w:val="20"/>
          <w:lang w:eastAsia="en-AU"/>
        </w:rPr>
        <w:t>g</w:t>
      </w:r>
      <w:r w:rsidRPr="00020E1A">
        <w:rPr>
          <w:rFonts w:ascii="Calibri Light" w:eastAsia="Times New Roman" w:hAnsi="Calibri Light" w:cs="Times New Roman"/>
          <w:szCs w:val="20"/>
          <w:lang w:eastAsia="en-AU"/>
        </w:rPr>
        <w:t>overnment intervention.</w:t>
      </w:r>
      <w:r w:rsidR="00043B6A" w:rsidRPr="00020E1A">
        <w:rPr>
          <w:rFonts w:ascii="Calibri Light" w:eastAsia="Times New Roman" w:hAnsi="Calibri Light" w:cs="Times New Roman"/>
          <w:szCs w:val="20"/>
          <w:lang w:eastAsia="en-AU"/>
        </w:rPr>
        <w:t xml:space="preserve"> The </w:t>
      </w:r>
      <w:r w:rsidR="00043B6A">
        <w:rPr>
          <w:rFonts w:ascii="Calibri Light" w:eastAsia="Times New Roman" w:hAnsi="Calibri Light" w:cs="Times New Roman"/>
          <w:szCs w:val="20"/>
          <w:lang w:eastAsia="en-AU"/>
        </w:rPr>
        <w:t>R</w:t>
      </w:r>
      <w:r w:rsidR="00043B6A" w:rsidRPr="00020E1A">
        <w:rPr>
          <w:rFonts w:ascii="Calibri Light" w:eastAsia="Times New Roman" w:hAnsi="Calibri Light" w:cs="Times New Roman"/>
          <w:szCs w:val="20"/>
          <w:lang w:eastAsia="en-AU"/>
        </w:rPr>
        <w:t xml:space="preserve">eview </w:t>
      </w:r>
      <w:r w:rsidR="00043B6A">
        <w:rPr>
          <w:rFonts w:ascii="Calibri Light" w:eastAsia="Times New Roman" w:hAnsi="Calibri Light" w:cs="Times New Roman"/>
          <w:szCs w:val="20"/>
          <w:lang w:eastAsia="en-AU"/>
        </w:rPr>
        <w:t>acknowledges</w:t>
      </w:r>
      <w:r w:rsidR="00043B6A" w:rsidRPr="00020E1A">
        <w:rPr>
          <w:rFonts w:ascii="Calibri Light" w:eastAsia="Times New Roman" w:hAnsi="Calibri Light" w:cs="Times New Roman"/>
          <w:szCs w:val="20"/>
          <w:lang w:eastAsia="en-AU"/>
        </w:rPr>
        <w:t xml:space="preserve"> this type o</w:t>
      </w:r>
      <w:r w:rsidR="00043B6A">
        <w:rPr>
          <w:rFonts w:ascii="Calibri Light" w:eastAsia="Times New Roman" w:hAnsi="Calibri Light" w:cs="Times New Roman"/>
          <w:szCs w:val="20"/>
          <w:lang w:eastAsia="en-AU"/>
        </w:rPr>
        <w:t>f</w:t>
      </w:r>
      <w:r w:rsidR="00043B6A" w:rsidRPr="00020E1A">
        <w:rPr>
          <w:rFonts w:ascii="Calibri Light" w:eastAsia="Times New Roman" w:hAnsi="Calibri Light" w:cs="Times New Roman"/>
          <w:szCs w:val="20"/>
          <w:lang w:eastAsia="en-AU"/>
        </w:rPr>
        <w:t xml:space="preserve"> intervention from </w:t>
      </w:r>
      <w:r w:rsidR="00021532">
        <w:rPr>
          <w:rFonts w:ascii="Calibri Light" w:eastAsia="Times New Roman" w:hAnsi="Calibri Light" w:cs="Times New Roman"/>
          <w:szCs w:val="20"/>
          <w:lang w:eastAsia="en-AU"/>
        </w:rPr>
        <w:t xml:space="preserve">the </w:t>
      </w:r>
      <w:r w:rsidR="00043B6A" w:rsidRPr="00020E1A">
        <w:rPr>
          <w:rFonts w:ascii="Calibri Light" w:eastAsia="Times New Roman" w:hAnsi="Calibri Light" w:cs="Times New Roman"/>
          <w:szCs w:val="20"/>
          <w:lang w:eastAsia="en-AU"/>
        </w:rPr>
        <w:t xml:space="preserve">Government </w:t>
      </w:r>
      <w:r w:rsidR="00043B6A">
        <w:rPr>
          <w:rFonts w:ascii="Calibri Light" w:eastAsia="Times New Roman" w:hAnsi="Calibri Light" w:cs="Times New Roman"/>
          <w:szCs w:val="20"/>
          <w:lang w:eastAsia="en-AU"/>
        </w:rPr>
        <w:t xml:space="preserve">is not common </w:t>
      </w:r>
      <w:r w:rsidR="00043B6A" w:rsidRPr="00020E1A">
        <w:rPr>
          <w:rFonts w:ascii="Calibri Light" w:eastAsia="Times New Roman" w:hAnsi="Calibri Light" w:cs="Times New Roman"/>
          <w:szCs w:val="20"/>
          <w:lang w:eastAsia="en-AU"/>
        </w:rPr>
        <w:t xml:space="preserve">and not a part of the normal operation of the </w:t>
      </w:r>
      <w:r w:rsidR="002A1FF4">
        <w:rPr>
          <w:rFonts w:ascii="Calibri Light" w:eastAsia="Times New Roman" w:hAnsi="Calibri Light" w:cs="Times New Roman"/>
          <w:szCs w:val="20"/>
          <w:lang w:eastAsia="en-AU"/>
        </w:rPr>
        <w:t xml:space="preserve">ASIC </w:t>
      </w:r>
      <w:r w:rsidR="00043B6A" w:rsidRPr="00020E1A">
        <w:rPr>
          <w:rFonts w:ascii="Calibri Light" w:eastAsia="Times New Roman" w:hAnsi="Calibri Light" w:cs="Times New Roman"/>
          <w:szCs w:val="20"/>
          <w:lang w:eastAsia="en-AU"/>
        </w:rPr>
        <w:t>IFM</w:t>
      </w:r>
      <w:r w:rsidR="002A1FF4">
        <w:rPr>
          <w:rFonts w:ascii="Calibri Light" w:eastAsia="Times New Roman" w:hAnsi="Calibri Light" w:cs="Times New Roman"/>
          <w:szCs w:val="20"/>
          <w:lang w:eastAsia="en-AU"/>
        </w:rPr>
        <w:t xml:space="preserve"> – see Chapter 2 </w:t>
      </w:r>
      <w:r w:rsidR="00BD190B">
        <w:rPr>
          <w:rFonts w:ascii="Calibri Light" w:eastAsia="Times New Roman" w:hAnsi="Calibri Light" w:cs="Times New Roman"/>
          <w:szCs w:val="20"/>
          <w:lang w:eastAsia="en-AU"/>
        </w:rPr>
        <w:t>‘</w:t>
      </w:r>
      <w:r w:rsidR="002A1FF4" w:rsidRPr="00441673">
        <w:rPr>
          <w:rFonts w:ascii="Calibri Light" w:eastAsia="Times New Roman" w:hAnsi="Calibri Light" w:cs="Times New Roman"/>
          <w:i/>
          <w:szCs w:val="20"/>
          <w:lang w:eastAsia="en-AU"/>
        </w:rPr>
        <w:t>Cost Recovery Policy</w:t>
      </w:r>
      <w:r w:rsidR="002A1FF4">
        <w:rPr>
          <w:rFonts w:ascii="Calibri Light" w:eastAsia="Times New Roman" w:hAnsi="Calibri Light" w:cs="Times New Roman"/>
          <w:szCs w:val="20"/>
          <w:lang w:eastAsia="en-AU"/>
        </w:rPr>
        <w:t xml:space="preserve">. </w:t>
      </w:r>
    </w:p>
    <w:p w14:paraId="5ED9669A" w14:textId="34131B52" w:rsidR="00787395" w:rsidRDefault="00787395"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 xml:space="preserve">While the total regulatory costs </w:t>
      </w:r>
      <w:r w:rsidR="00F256D1">
        <w:rPr>
          <w:rFonts w:ascii="Calibri Light" w:eastAsia="Times New Roman" w:hAnsi="Calibri Light" w:cs="Times New Roman"/>
          <w:szCs w:val="20"/>
          <w:lang w:eastAsia="en-AU"/>
        </w:rPr>
        <w:t>for the sub</w:t>
      </w:r>
      <w:r w:rsidR="00BD190B">
        <w:rPr>
          <w:rFonts w:ascii="Calibri Light" w:eastAsia="Times New Roman" w:hAnsi="Calibri Light" w:cs="Times New Roman"/>
          <w:szCs w:val="20"/>
          <w:lang w:eastAsia="en-AU"/>
        </w:rPr>
        <w:noBreakHyphen/>
      </w:r>
      <w:r w:rsidR="00F256D1">
        <w:rPr>
          <w:rFonts w:ascii="Calibri Light" w:eastAsia="Times New Roman" w:hAnsi="Calibri Light" w:cs="Times New Roman"/>
          <w:szCs w:val="20"/>
          <w:lang w:eastAsia="en-AU"/>
        </w:rPr>
        <w:t>sector have increased</w:t>
      </w:r>
      <w:r w:rsidR="00905251">
        <w:rPr>
          <w:rFonts w:ascii="Calibri Light" w:eastAsia="Times New Roman" w:hAnsi="Calibri Light" w:cs="Times New Roman"/>
          <w:szCs w:val="20"/>
          <w:lang w:eastAsia="en-AU"/>
        </w:rPr>
        <w:t xml:space="preserve"> since 2017</w:t>
      </w:r>
      <w:r w:rsidR="0029601B">
        <w:rPr>
          <w:rFonts w:ascii="Calibri Light" w:eastAsia="Times New Roman" w:hAnsi="Calibri Light" w:cs="Times New Roman"/>
          <w:szCs w:val="20"/>
          <w:lang w:eastAsia="en-AU"/>
        </w:rPr>
        <w:t>–</w:t>
      </w:r>
      <w:r w:rsidR="00905251">
        <w:rPr>
          <w:rFonts w:ascii="Calibri Light" w:eastAsia="Times New Roman" w:hAnsi="Calibri Light" w:cs="Times New Roman"/>
          <w:szCs w:val="20"/>
          <w:lang w:eastAsia="en-AU"/>
        </w:rPr>
        <w:t>18</w:t>
      </w:r>
      <w:r w:rsidR="001627F8">
        <w:rPr>
          <w:rFonts w:ascii="Calibri Light" w:eastAsia="Times New Roman" w:hAnsi="Calibri Light" w:cs="Times New Roman"/>
          <w:szCs w:val="20"/>
          <w:lang w:eastAsia="en-AU"/>
        </w:rPr>
        <w:t xml:space="preserve">, the Review notes that these costs have been </w:t>
      </w:r>
      <w:r w:rsidR="00905251">
        <w:rPr>
          <w:rFonts w:ascii="Calibri Light" w:eastAsia="Times New Roman" w:hAnsi="Calibri Light" w:cs="Times New Roman"/>
          <w:szCs w:val="20"/>
          <w:lang w:eastAsia="en-AU"/>
        </w:rPr>
        <w:t xml:space="preserve">relatively </w:t>
      </w:r>
      <w:r w:rsidR="00A453F1">
        <w:rPr>
          <w:rFonts w:ascii="Calibri Light" w:eastAsia="Times New Roman" w:hAnsi="Calibri Light" w:cs="Times New Roman"/>
          <w:szCs w:val="20"/>
          <w:lang w:eastAsia="en-AU"/>
        </w:rPr>
        <w:t>stable</w:t>
      </w:r>
      <w:r w:rsidR="001627F8">
        <w:rPr>
          <w:rFonts w:ascii="Calibri Light" w:eastAsia="Times New Roman" w:hAnsi="Calibri Light" w:cs="Times New Roman"/>
          <w:szCs w:val="20"/>
          <w:lang w:eastAsia="en-AU"/>
        </w:rPr>
        <w:t xml:space="preserve"> since </w:t>
      </w:r>
      <w:r w:rsidR="009C7ED2">
        <w:rPr>
          <w:rFonts w:ascii="Calibri Light" w:eastAsia="Times New Roman" w:hAnsi="Calibri Light" w:cs="Times New Roman"/>
          <w:szCs w:val="20"/>
          <w:lang w:eastAsia="en-AU"/>
        </w:rPr>
        <w:t>2019</w:t>
      </w:r>
      <w:r w:rsidR="00C4493B">
        <w:rPr>
          <w:rFonts w:ascii="Calibri Light" w:eastAsia="Times New Roman" w:hAnsi="Calibri Light" w:cs="Times New Roman"/>
          <w:szCs w:val="20"/>
          <w:lang w:eastAsia="en-AU"/>
        </w:rPr>
        <w:t>–</w:t>
      </w:r>
      <w:r w:rsidR="009C7ED2">
        <w:rPr>
          <w:rFonts w:ascii="Calibri Light" w:eastAsia="Times New Roman" w:hAnsi="Calibri Light" w:cs="Times New Roman"/>
          <w:szCs w:val="20"/>
          <w:lang w:eastAsia="en-AU"/>
        </w:rPr>
        <w:t>20</w:t>
      </w:r>
      <w:r w:rsidR="001627F8">
        <w:rPr>
          <w:rFonts w:ascii="Calibri Light" w:eastAsia="Times New Roman" w:hAnsi="Calibri Light" w:cs="Times New Roman"/>
          <w:szCs w:val="20"/>
          <w:lang w:eastAsia="en-AU"/>
        </w:rPr>
        <w:t xml:space="preserve"> and in the absence of the temporary levy relief, the per adviser levy for the sub</w:t>
      </w:r>
      <w:r w:rsidR="00BD190B">
        <w:rPr>
          <w:rFonts w:ascii="Calibri Light" w:eastAsia="Times New Roman" w:hAnsi="Calibri Light" w:cs="Times New Roman"/>
          <w:szCs w:val="20"/>
          <w:lang w:eastAsia="en-AU"/>
        </w:rPr>
        <w:noBreakHyphen/>
      </w:r>
      <w:r w:rsidR="001627F8">
        <w:rPr>
          <w:rFonts w:ascii="Calibri Light" w:eastAsia="Times New Roman" w:hAnsi="Calibri Light" w:cs="Times New Roman"/>
          <w:szCs w:val="20"/>
          <w:lang w:eastAsia="en-AU"/>
        </w:rPr>
        <w:t>sector would have been around $3,000 – see Table 3.2.</w:t>
      </w:r>
    </w:p>
    <w:p w14:paraId="47FFE809" w14:textId="77777777" w:rsidR="009814ED" w:rsidRDefault="009814ED">
      <w:pPr>
        <w:spacing w:before="0" w:after="160" w:line="259" w:lineRule="auto"/>
        <w:rPr>
          <w:rFonts w:ascii="Calibri" w:hAnsi="Calibri" w:cs="Arial"/>
          <w:color w:val="4D7861" w:themeColor="accent2"/>
          <w:kern w:val="32"/>
          <w:sz w:val="26"/>
          <w:szCs w:val="26"/>
        </w:rPr>
      </w:pPr>
      <w:bookmarkStart w:id="102" w:name="_Toc129270471"/>
      <w:r>
        <w:br w:type="page"/>
      </w:r>
    </w:p>
    <w:p w14:paraId="6A1C6E55" w14:textId="4D010EDB" w:rsidR="000F3047" w:rsidRPr="004E75B4" w:rsidRDefault="000F3047" w:rsidP="008F2119">
      <w:pPr>
        <w:pStyle w:val="TableMainHeading"/>
      </w:pPr>
      <w:r w:rsidRPr="004E75B4">
        <w:lastRenderedPageBreak/>
        <w:t xml:space="preserve">Table </w:t>
      </w:r>
      <w:r>
        <w:t xml:space="preserve">3.2: </w:t>
      </w:r>
      <w:r w:rsidRPr="00CE2FB3">
        <w:t>Levy amounts for the personal financial advice licensee sub</w:t>
      </w:r>
      <w:r w:rsidR="00BD190B">
        <w:noBreakHyphen/>
      </w:r>
      <w:r w:rsidRPr="00CE2FB3">
        <w:t>sector with and without the temporary levy relief</w:t>
      </w:r>
      <w:bookmarkEnd w:id="102"/>
      <w:r w:rsidRPr="00CE2FB3">
        <w:t> </w:t>
      </w:r>
    </w:p>
    <w:tbl>
      <w:tblPr>
        <w:tblStyle w:val="TableGrid"/>
        <w:tblW w:w="0" w:type="auto"/>
        <w:tblLook w:val="04A0" w:firstRow="1" w:lastRow="0" w:firstColumn="1" w:lastColumn="0" w:noHBand="0" w:noVBand="1"/>
      </w:tblPr>
      <w:tblGrid>
        <w:gridCol w:w="2405"/>
        <w:gridCol w:w="1311"/>
        <w:gridCol w:w="1312"/>
        <w:gridCol w:w="1311"/>
        <w:gridCol w:w="1312"/>
        <w:gridCol w:w="1312"/>
      </w:tblGrid>
      <w:tr w:rsidR="000F3047" w14:paraId="4DC28FF2" w14:textId="77777777" w:rsidTr="008F2119">
        <w:trPr>
          <w:cnfStyle w:val="100000000000" w:firstRow="1" w:lastRow="0" w:firstColumn="0" w:lastColumn="0" w:oddVBand="0" w:evenVBand="0" w:oddHBand="0" w:evenHBand="0" w:firstRowFirstColumn="0" w:firstRowLastColumn="0" w:lastRowFirstColumn="0" w:lastRowLastColumn="0"/>
          <w:trHeight w:val="269"/>
        </w:trPr>
        <w:tc>
          <w:tcPr>
            <w:tcW w:w="2405" w:type="dxa"/>
          </w:tcPr>
          <w:p w14:paraId="5FC19170" w14:textId="77777777" w:rsidR="000F3047" w:rsidRPr="00774A90" w:rsidRDefault="000F3047" w:rsidP="008F2119">
            <w:pPr>
              <w:pStyle w:val="TableColumnHeadingLeft"/>
              <w:rPr>
                <w:b/>
              </w:rPr>
            </w:pPr>
          </w:p>
        </w:tc>
        <w:tc>
          <w:tcPr>
            <w:tcW w:w="1311" w:type="dxa"/>
          </w:tcPr>
          <w:p w14:paraId="1FF5585F" w14:textId="04CA2C70" w:rsidR="000F3047" w:rsidRPr="008F2119" w:rsidRDefault="009C7ED2" w:rsidP="008F2119">
            <w:pPr>
              <w:pStyle w:val="TableColumnHeadingRight"/>
              <w:rPr>
                <w:b/>
                <w:bCs/>
              </w:rPr>
            </w:pPr>
            <w:r>
              <w:rPr>
                <w:b/>
                <w:bCs/>
              </w:rPr>
              <w:t>2017–18</w:t>
            </w:r>
          </w:p>
        </w:tc>
        <w:tc>
          <w:tcPr>
            <w:tcW w:w="1312" w:type="dxa"/>
          </w:tcPr>
          <w:p w14:paraId="224BF075" w14:textId="667957CB" w:rsidR="000F3047" w:rsidRPr="008F2119" w:rsidRDefault="009C7ED2" w:rsidP="008F2119">
            <w:pPr>
              <w:pStyle w:val="TableColumnHeadingRight"/>
              <w:rPr>
                <w:b/>
                <w:bCs/>
              </w:rPr>
            </w:pPr>
            <w:r>
              <w:rPr>
                <w:b/>
                <w:bCs/>
              </w:rPr>
              <w:t>2018–19</w:t>
            </w:r>
          </w:p>
        </w:tc>
        <w:tc>
          <w:tcPr>
            <w:tcW w:w="1311" w:type="dxa"/>
          </w:tcPr>
          <w:p w14:paraId="565477F8" w14:textId="36FE54F0" w:rsidR="000F3047" w:rsidRPr="008F2119" w:rsidRDefault="009C7ED2" w:rsidP="008F2119">
            <w:pPr>
              <w:pStyle w:val="TableColumnHeadingRight"/>
              <w:rPr>
                <w:b/>
                <w:bCs/>
              </w:rPr>
            </w:pPr>
            <w:r>
              <w:rPr>
                <w:b/>
                <w:bCs/>
              </w:rPr>
              <w:t>2019–20</w:t>
            </w:r>
          </w:p>
        </w:tc>
        <w:tc>
          <w:tcPr>
            <w:tcW w:w="1312" w:type="dxa"/>
          </w:tcPr>
          <w:p w14:paraId="018B392B" w14:textId="16CFAFF4" w:rsidR="000F3047" w:rsidRPr="008F2119" w:rsidRDefault="009C7ED2" w:rsidP="008F2119">
            <w:pPr>
              <w:pStyle w:val="TableColumnHeadingRight"/>
              <w:rPr>
                <w:b/>
                <w:bCs/>
              </w:rPr>
            </w:pPr>
            <w:r>
              <w:rPr>
                <w:b/>
                <w:bCs/>
              </w:rPr>
              <w:t>2020–21</w:t>
            </w:r>
          </w:p>
        </w:tc>
        <w:tc>
          <w:tcPr>
            <w:tcW w:w="1312" w:type="dxa"/>
          </w:tcPr>
          <w:p w14:paraId="551CD274" w14:textId="48E7F056" w:rsidR="000F3047" w:rsidRPr="008F2119" w:rsidRDefault="009C7ED2" w:rsidP="008F2119">
            <w:pPr>
              <w:pStyle w:val="TableColumnHeadingRight"/>
              <w:rPr>
                <w:b/>
                <w:bCs/>
              </w:rPr>
            </w:pPr>
            <w:r>
              <w:rPr>
                <w:b/>
                <w:bCs/>
              </w:rPr>
              <w:t>2021–22</w:t>
            </w:r>
          </w:p>
        </w:tc>
      </w:tr>
      <w:tr w:rsidR="000F3047" w14:paraId="01494E68" w14:textId="77777777" w:rsidTr="008F2119">
        <w:trPr>
          <w:trHeight w:val="229"/>
        </w:trPr>
        <w:tc>
          <w:tcPr>
            <w:tcW w:w="2405" w:type="dxa"/>
          </w:tcPr>
          <w:p w14:paraId="3C191A1F" w14:textId="183FE296" w:rsidR="000F3047" w:rsidRPr="00774A90" w:rsidRDefault="008F6BF6" w:rsidP="008F2119">
            <w:pPr>
              <w:pStyle w:val="TableColumnHeadingLeft"/>
            </w:pPr>
            <w:r>
              <w:t xml:space="preserve">Total regulatory costs </w:t>
            </w:r>
            <w:r w:rsidR="00E86D31">
              <w:t>for the sub</w:t>
            </w:r>
            <w:r w:rsidR="00BD190B">
              <w:noBreakHyphen/>
            </w:r>
            <w:r w:rsidR="00E86D31">
              <w:t xml:space="preserve">sector without levy relief </w:t>
            </w:r>
            <w:r w:rsidR="000F3047">
              <w:t>($</w:t>
            </w:r>
            <w:r w:rsidR="00CB2018">
              <w:t> </w:t>
            </w:r>
            <w:r w:rsidR="000F3047">
              <w:t>m</w:t>
            </w:r>
            <w:r w:rsidR="00CB2018">
              <w:t>illion</w:t>
            </w:r>
            <w:r w:rsidR="000F3047">
              <w:t>)</w:t>
            </w:r>
          </w:p>
        </w:tc>
        <w:tc>
          <w:tcPr>
            <w:tcW w:w="1311" w:type="dxa"/>
          </w:tcPr>
          <w:p w14:paraId="2A0BDD9F" w14:textId="77777777" w:rsidR="000F3047" w:rsidRPr="00774A90" w:rsidRDefault="000F3047" w:rsidP="008F2119">
            <w:pPr>
              <w:pStyle w:val="TableTextRight"/>
            </w:pPr>
            <w:r>
              <w:t>25.6</w:t>
            </w:r>
          </w:p>
        </w:tc>
        <w:tc>
          <w:tcPr>
            <w:tcW w:w="1312" w:type="dxa"/>
          </w:tcPr>
          <w:p w14:paraId="2441E5BE" w14:textId="77777777" w:rsidR="000F3047" w:rsidRPr="00774A90" w:rsidRDefault="000F3047" w:rsidP="008F2119">
            <w:pPr>
              <w:pStyle w:val="TableTextRight"/>
            </w:pPr>
            <w:r>
              <w:t>33.0</w:t>
            </w:r>
          </w:p>
        </w:tc>
        <w:tc>
          <w:tcPr>
            <w:tcW w:w="1311" w:type="dxa"/>
          </w:tcPr>
          <w:p w14:paraId="0F1780B8" w14:textId="77777777" w:rsidR="000F3047" w:rsidRPr="00774A90" w:rsidRDefault="000F3047" w:rsidP="008F2119">
            <w:pPr>
              <w:pStyle w:val="TableTextRight"/>
            </w:pPr>
            <w:r>
              <w:t>56.2</w:t>
            </w:r>
          </w:p>
        </w:tc>
        <w:tc>
          <w:tcPr>
            <w:tcW w:w="1312" w:type="dxa"/>
          </w:tcPr>
          <w:p w14:paraId="13B1CC64" w14:textId="77777777" w:rsidR="000F3047" w:rsidRPr="00774A90" w:rsidRDefault="000F3047" w:rsidP="008F2119">
            <w:pPr>
              <w:pStyle w:val="TableTextRight"/>
            </w:pPr>
            <w:r>
              <w:t>60.0*</w:t>
            </w:r>
          </w:p>
        </w:tc>
        <w:tc>
          <w:tcPr>
            <w:tcW w:w="1312" w:type="dxa"/>
          </w:tcPr>
          <w:p w14:paraId="26FADEFD" w14:textId="77777777" w:rsidR="000F3047" w:rsidRPr="00774A90" w:rsidRDefault="000F3047" w:rsidP="008F2119">
            <w:pPr>
              <w:pStyle w:val="TableTextRight"/>
            </w:pPr>
            <w:r>
              <w:t>56.7*</w:t>
            </w:r>
          </w:p>
        </w:tc>
      </w:tr>
      <w:tr w:rsidR="000F3047" w14:paraId="374C6C41" w14:textId="77777777" w:rsidTr="008F2119">
        <w:trPr>
          <w:trHeight w:val="517"/>
        </w:trPr>
        <w:tc>
          <w:tcPr>
            <w:tcW w:w="2405" w:type="dxa"/>
          </w:tcPr>
          <w:p w14:paraId="74518B9F" w14:textId="00CF5099" w:rsidR="000F3047" w:rsidRDefault="00E86D31" w:rsidP="008F2119">
            <w:pPr>
              <w:pStyle w:val="TableColumnHeadingLeft"/>
            </w:pPr>
            <w:r>
              <w:t>Total regulatory costs for the sub</w:t>
            </w:r>
            <w:r w:rsidR="00BD190B">
              <w:noBreakHyphen/>
            </w:r>
            <w:r>
              <w:t>sector</w:t>
            </w:r>
            <w:r w:rsidR="000F3047">
              <w:t xml:space="preserve"> with relief ($</w:t>
            </w:r>
            <w:r w:rsidR="00CB2018">
              <w:t xml:space="preserve"> </w:t>
            </w:r>
            <w:r w:rsidR="000F3047">
              <w:t>m</w:t>
            </w:r>
            <w:r w:rsidR="00CB2018">
              <w:t>illion</w:t>
            </w:r>
            <w:r w:rsidR="000F3047">
              <w:t>)</w:t>
            </w:r>
          </w:p>
        </w:tc>
        <w:tc>
          <w:tcPr>
            <w:tcW w:w="1311" w:type="dxa"/>
          </w:tcPr>
          <w:p w14:paraId="77665A88" w14:textId="67F2358E" w:rsidR="000F3047" w:rsidRDefault="002732DA" w:rsidP="008F2119">
            <w:pPr>
              <w:pStyle w:val="TableTextRight"/>
            </w:pPr>
            <w:r>
              <w:t>N/A</w:t>
            </w:r>
          </w:p>
        </w:tc>
        <w:tc>
          <w:tcPr>
            <w:tcW w:w="1312" w:type="dxa"/>
          </w:tcPr>
          <w:p w14:paraId="2CABFDE2" w14:textId="7E798CCC" w:rsidR="000F3047" w:rsidRDefault="002732DA" w:rsidP="008F2119">
            <w:pPr>
              <w:pStyle w:val="TableTextRight"/>
            </w:pPr>
            <w:r w:rsidRPr="004E2CC5">
              <w:t>N/A</w:t>
            </w:r>
          </w:p>
        </w:tc>
        <w:tc>
          <w:tcPr>
            <w:tcW w:w="1311" w:type="dxa"/>
          </w:tcPr>
          <w:p w14:paraId="5D377EEC" w14:textId="181B7AFA" w:rsidR="000F3047" w:rsidRDefault="002732DA" w:rsidP="008F2119">
            <w:pPr>
              <w:pStyle w:val="TableTextRight"/>
            </w:pPr>
            <w:r w:rsidRPr="004E2CC5">
              <w:t>N/A</w:t>
            </w:r>
          </w:p>
        </w:tc>
        <w:tc>
          <w:tcPr>
            <w:tcW w:w="1312" w:type="dxa"/>
          </w:tcPr>
          <w:p w14:paraId="350D09F0" w14:textId="77777777" w:rsidR="000F3047" w:rsidRDefault="000F3047" w:rsidP="008F2119">
            <w:pPr>
              <w:pStyle w:val="TableTextRight"/>
            </w:pPr>
            <w:r>
              <w:t>25.8</w:t>
            </w:r>
          </w:p>
        </w:tc>
        <w:tc>
          <w:tcPr>
            <w:tcW w:w="1312" w:type="dxa"/>
          </w:tcPr>
          <w:p w14:paraId="50430CBC" w14:textId="77777777" w:rsidR="000F3047" w:rsidRDefault="000F3047" w:rsidP="008F2119">
            <w:pPr>
              <w:pStyle w:val="TableTextRight"/>
            </w:pPr>
            <w:r>
              <w:t>22.8</w:t>
            </w:r>
          </w:p>
        </w:tc>
      </w:tr>
      <w:tr w:rsidR="000F3047" w14:paraId="374137E6" w14:textId="77777777" w:rsidTr="008F2119">
        <w:trPr>
          <w:trHeight w:val="269"/>
        </w:trPr>
        <w:tc>
          <w:tcPr>
            <w:tcW w:w="2405" w:type="dxa"/>
          </w:tcPr>
          <w:p w14:paraId="09E1B8EE" w14:textId="6A0BB82C" w:rsidR="000F3047" w:rsidRDefault="000F3047" w:rsidP="008F2119">
            <w:pPr>
              <w:pStyle w:val="TableColumnHeadingLeft"/>
            </w:pPr>
            <w:r>
              <w:t xml:space="preserve">Number of </w:t>
            </w:r>
            <w:r w:rsidR="00790BFD">
              <w:t>l</w:t>
            </w:r>
            <w:r>
              <w:t>icensees</w:t>
            </w:r>
          </w:p>
        </w:tc>
        <w:tc>
          <w:tcPr>
            <w:tcW w:w="1311" w:type="dxa"/>
          </w:tcPr>
          <w:p w14:paraId="33804898" w14:textId="77777777" w:rsidR="000F3047" w:rsidRPr="00774A90" w:rsidRDefault="000F3047" w:rsidP="008F2119">
            <w:pPr>
              <w:pStyle w:val="TableTextRight"/>
            </w:pPr>
            <w:r>
              <w:t>2,985</w:t>
            </w:r>
          </w:p>
        </w:tc>
        <w:tc>
          <w:tcPr>
            <w:tcW w:w="1312" w:type="dxa"/>
          </w:tcPr>
          <w:p w14:paraId="5B6DC9A8" w14:textId="77777777" w:rsidR="000F3047" w:rsidRPr="00774A90" w:rsidRDefault="000F3047" w:rsidP="008F2119">
            <w:pPr>
              <w:pStyle w:val="TableTextRight"/>
            </w:pPr>
            <w:r>
              <w:t>3,051</w:t>
            </w:r>
          </w:p>
        </w:tc>
        <w:tc>
          <w:tcPr>
            <w:tcW w:w="1311" w:type="dxa"/>
          </w:tcPr>
          <w:p w14:paraId="1DDE1517" w14:textId="77777777" w:rsidR="000F3047" w:rsidRPr="00774A90" w:rsidRDefault="000F3047" w:rsidP="008F2119">
            <w:pPr>
              <w:pStyle w:val="TableTextRight"/>
            </w:pPr>
            <w:r>
              <w:t>2,991</w:t>
            </w:r>
          </w:p>
        </w:tc>
        <w:tc>
          <w:tcPr>
            <w:tcW w:w="1312" w:type="dxa"/>
          </w:tcPr>
          <w:p w14:paraId="6BDBCBC6" w14:textId="77777777" w:rsidR="000F3047" w:rsidRPr="00774A90" w:rsidRDefault="000F3047" w:rsidP="008F2119">
            <w:pPr>
              <w:pStyle w:val="TableTextRight"/>
            </w:pPr>
            <w:r>
              <w:t>2,933</w:t>
            </w:r>
          </w:p>
        </w:tc>
        <w:tc>
          <w:tcPr>
            <w:tcW w:w="1312" w:type="dxa"/>
          </w:tcPr>
          <w:p w14:paraId="6A256283" w14:textId="77777777" w:rsidR="000F3047" w:rsidRPr="00774A90" w:rsidRDefault="000F3047" w:rsidP="008F2119">
            <w:pPr>
              <w:pStyle w:val="TableTextRight"/>
            </w:pPr>
            <w:r>
              <w:t>2,866</w:t>
            </w:r>
          </w:p>
        </w:tc>
      </w:tr>
      <w:tr w:rsidR="000F3047" w14:paraId="3080B658" w14:textId="77777777" w:rsidTr="008F2119">
        <w:trPr>
          <w:trHeight w:val="286"/>
        </w:trPr>
        <w:tc>
          <w:tcPr>
            <w:tcW w:w="2405" w:type="dxa"/>
          </w:tcPr>
          <w:p w14:paraId="5C0A3324" w14:textId="0B47E2E3" w:rsidR="000F3047" w:rsidRDefault="000F3047" w:rsidP="008F2119">
            <w:pPr>
              <w:pStyle w:val="TableColumnHeadingLeft"/>
            </w:pPr>
            <w:r>
              <w:t xml:space="preserve">Number of </w:t>
            </w:r>
            <w:r w:rsidR="00790BFD">
              <w:t>a</w:t>
            </w:r>
            <w:r>
              <w:t>dvis</w:t>
            </w:r>
            <w:r w:rsidR="00790BFD">
              <w:t>e</w:t>
            </w:r>
            <w:r>
              <w:t>rs</w:t>
            </w:r>
          </w:p>
        </w:tc>
        <w:tc>
          <w:tcPr>
            <w:tcW w:w="1311" w:type="dxa"/>
          </w:tcPr>
          <w:p w14:paraId="0E58DBF3" w14:textId="77777777" w:rsidR="000F3047" w:rsidRPr="00774A90" w:rsidRDefault="000F3047" w:rsidP="008F2119">
            <w:pPr>
              <w:pStyle w:val="TableTextRight"/>
            </w:pPr>
            <w:r>
              <w:t>22,652</w:t>
            </w:r>
          </w:p>
        </w:tc>
        <w:tc>
          <w:tcPr>
            <w:tcW w:w="1312" w:type="dxa"/>
          </w:tcPr>
          <w:p w14:paraId="01FAB406" w14:textId="77777777" w:rsidR="000F3047" w:rsidRPr="00774A90" w:rsidRDefault="000F3047" w:rsidP="008F2119">
            <w:pPr>
              <w:pStyle w:val="TableTextRight"/>
            </w:pPr>
            <w:r>
              <w:t>24,919</w:t>
            </w:r>
          </w:p>
        </w:tc>
        <w:tc>
          <w:tcPr>
            <w:tcW w:w="1311" w:type="dxa"/>
          </w:tcPr>
          <w:p w14:paraId="09D90D3F" w14:textId="77777777" w:rsidR="000F3047" w:rsidRPr="00774A90" w:rsidRDefault="000F3047" w:rsidP="008F2119">
            <w:pPr>
              <w:pStyle w:val="TableTextRight"/>
            </w:pPr>
            <w:r>
              <w:t>21,308</w:t>
            </w:r>
          </w:p>
        </w:tc>
        <w:tc>
          <w:tcPr>
            <w:tcW w:w="1312" w:type="dxa"/>
          </w:tcPr>
          <w:p w14:paraId="66DDCCCE" w14:textId="77777777" w:rsidR="000F3047" w:rsidRPr="00774A90" w:rsidRDefault="000F3047" w:rsidP="008F2119">
            <w:pPr>
              <w:pStyle w:val="TableTextRight"/>
            </w:pPr>
            <w:r>
              <w:t>18,704</w:t>
            </w:r>
          </w:p>
        </w:tc>
        <w:tc>
          <w:tcPr>
            <w:tcW w:w="1312" w:type="dxa"/>
          </w:tcPr>
          <w:p w14:paraId="6606DE08" w14:textId="77777777" w:rsidR="000F3047" w:rsidRPr="00774A90" w:rsidRDefault="000F3047" w:rsidP="008F2119">
            <w:pPr>
              <w:pStyle w:val="TableTextRight"/>
            </w:pPr>
            <w:r>
              <w:t>16,153</w:t>
            </w:r>
          </w:p>
        </w:tc>
      </w:tr>
      <w:tr w:rsidR="000F3047" w14:paraId="15183463" w14:textId="77777777" w:rsidTr="008F2119">
        <w:trPr>
          <w:trHeight w:val="561"/>
        </w:trPr>
        <w:tc>
          <w:tcPr>
            <w:tcW w:w="2405" w:type="dxa"/>
          </w:tcPr>
          <w:p w14:paraId="54E014DA" w14:textId="36343EC8" w:rsidR="000F3047" w:rsidRDefault="000F3047" w:rsidP="008F2119">
            <w:pPr>
              <w:pStyle w:val="TableColumnHeadingLeft"/>
            </w:pPr>
            <w:r>
              <w:t>Graduated levy amount</w:t>
            </w:r>
            <w:r w:rsidR="00155D06">
              <w:t xml:space="preserve"> without relief</w:t>
            </w:r>
            <w:r>
              <w:t xml:space="preserve"> (per advis</w:t>
            </w:r>
            <w:r w:rsidR="00790BFD">
              <w:t>e</w:t>
            </w:r>
            <w:r>
              <w:t xml:space="preserve">r) </w:t>
            </w:r>
          </w:p>
        </w:tc>
        <w:tc>
          <w:tcPr>
            <w:tcW w:w="1311" w:type="dxa"/>
          </w:tcPr>
          <w:p w14:paraId="338CC297" w14:textId="77777777" w:rsidR="000F3047" w:rsidRDefault="000F3047" w:rsidP="008F2119">
            <w:pPr>
              <w:pStyle w:val="TableTextRight"/>
            </w:pPr>
            <w:r>
              <w:t>934</w:t>
            </w:r>
          </w:p>
        </w:tc>
        <w:tc>
          <w:tcPr>
            <w:tcW w:w="1312" w:type="dxa"/>
          </w:tcPr>
          <w:p w14:paraId="3A11FB10" w14:textId="77777777" w:rsidR="000F3047" w:rsidRDefault="000F3047" w:rsidP="008F2119">
            <w:pPr>
              <w:pStyle w:val="TableTextRight"/>
            </w:pPr>
            <w:r>
              <w:t>1,142</w:t>
            </w:r>
          </w:p>
        </w:tc>
        <w:tc>
          <w:tcPr>
            <w:tcW w:w="1311" w:type="dxa"/>
          </w:tcPr>
          <w:p w14:paraId="5ED97757" w14:textId="77777777" w:rsidR="000F3047" w:rsidRDefault="000F3047" w:rsidP="008F2119">
            <w:pPr>
              <w:pStyle w:val="TableTextRight"/>
            </w:pPr>
            <w:r>
              <w:t>2,426</w:t>
            </w:r>
          </w:p>
        </w:tc>
        <w:tc>
          <w:tcPr>
            <w:tcW w:w="1312" w:type="dxa"/>
          </w:tcPr>
          <w:p w14:paraId="57C43F56" w14:textId="77777777" w:rsidR="000F3047" w:rsidRDefault="000F3047" w:rsidP="008F2119">
            <w:pPr>
              <w:pStyle w:val="TableTextRight"/>
            </w:pPr>
            <w:r>
              <w:t>2,971**</w:t>
            </w:r>
          </w:p>
        </w:tc>
        <w:tc>
          <w:tcPr>
            <w:tcW w:w="1312" w:type="dxa"/>
          </w:tcPr>
          <w:p w14:paraId="1EBEB450" w14:textId="5C9378EB" w:rsidR="000F3047" w:rsidRDefault="000F3047" w:rsidP="008F2119">
            <w:pPr>
              <w:pStyle w:val="TableTextRight"/>
            </w:pPr>
            <w:r>
              <w:t>3,</w:t>
            </w:r>
            <w:r w:rsidR="00FB738A">
              <w:t>021</w:t>
            </w:r>
            <w:r>
              <w:t>**</w:t>
            </w:r>
          </w:p>
        </w:tc>
      </w:tr>
    </w:tbl>
    <w:p w14:paraId="4FB79F4A" w14:textId="229C9409" w:rsidR="000F3047" w:rsidRPr="001560B2" w:rsidRDefault="000F3047" w:rsidP="008F2119">
      <w:pPr>
        <w:pStyle w:val="ChartorTableNote"/>
      </w:pPr>
      <w:r w:rsidRPr="001560B2">
        <w:t>* These amounts are what would be recovered from the sub</w:t>
      </w:r>
      <w:r w:rsidR="00BD190B">
        <w:noBreakHyphen/>
      </w:r>
      <w:r w:rsidRPr="001560B2">
        <w:t>sector if there was no levy relief.</w:t>
      </w:r>
    </w:p>
    <w:p w14:paraId="5266C21B" w14:textId="42C4643A" w:rsidR="000F3047" w:rsidRDefault="000F3047" w:rsidP="008F2119">
      <w:pPr>
        <w:pStyle w:val="ChartorTableNote"/>
      </w:pPr>
      <w:r w:rsidRPr="00DB7AE6">
        <w:t>**These per advis</w:t>
      </w:r>
      <w:r w:rsidR="00E464F1">
        <w:t>e</w:t>
      </w:r>
      <w:r w:rsidRPr="00DB7AE6">
        <w:t>r amounts reflect the amounts that would</w:t>
      </w:r>
      <w:r w:rsidR="00BD190B">
        <w:t>’</w:t>
      </w:r>
      <w:r w:rsidRPr="00DB7AE6">
        <w:t>ve been charged had the relief not been in effect</w:t>
      </w:r>
      <w:r>
        <w:t>.</w:t>
      </w:r>
    </w:p>
    <w:p w14:paraId="5CE56BB2" w14:textId="4D7BCDA7" w:rsidR="00DC266C" w:rsidRPr="00EA721C" w:rsidRDefault="00DC266C"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EA721C">
        <w:rPr>
          <w:rFonts w:ascii="Calibri Light" w:eastAsia="Times New Roman" w:hAnsi="Calibri Light" w:cs="Times New Roman"/>
          <w:szCs w:val="20"/>
          <w:lang w:eastAsia="en-AU"/>
        </w:rPr>
        <w:t>The personal financial advice licensee sub</w:t>
      </w:r>
      <w:r w:rsidR="00BD190B">
        <w:rPr>
          <w:rFonts w:ascii="Calibri Light" w:eastAsia="Times New Roman" w:hAnsi="Calibri Light" w:cs="Times New Roman"/>
          <w:szCs w:val="20"/>
          <w:lang w:eastAsia="en-AU"/>
        </w:rPr>
        <w:noBreakHyphen/>
      </w:r>
      <w:r w:rsidRPr="00EA721C">
        <w:rPr>
          <w:rFonts w:ascii="Calibri Light" w:eastAsia="Times New Roman" w:hAnsi="Calibri Light" w:cs="Times New Roman"/>
          <w:szCs w:val="20"/>
          <w:lang w:eastAsia="en-AU"/>
        </w:rPr>
        <w:t xml:space="preserve">sector </w:t>
      </w:r>
      <w:r w:rsidR="001D4232" w:rsidRPr="00EA721C">
        <w:rPr>
          <w:rFonts w:ascii="Calibri Light" w:eastAsia="Times New Roman" w:hAnsi="Calibri Light" w:cs="Times New Roman"/>
          <w:szCs w:val="20"/>
          <w:lang w:eastAsia="en-AU"/>
        </w:rPr>
        <w:t xml:space="preserve">is not unique in experiencing </w:t>
      </w:r>
      <w:r w:rsidR="00A511B5" w:rsidRPr="00EA721C">
        <w:rPr>
          <w:rFonts w:ascii="Calibri Light" w:eastAsia="Times New Roman" w:hAnsi="Calibri Light" w:cs="Times New Roman"/>
          <w:szCs w:val="20"/>
          <w:lang w:eastAsia="en-AU"/>
        </w:rPr>
        <w:t>these types of structural changes</w:t>
      </w:r>
      <w:r w:rsidR="001D4232" w:rsidRPr="00EA721C">
        <w:rPr>
          <w:rFonts w:ascii="Calibri Light" w:eastAsia="Times New Roman" w:hAnsi="Calibri Light" w:cs="Times New Roman"/>
          <w:szCs w:val="20"/>
          <w:lang w:eastAsia="en-AU"/>
        </w:rPr>
        <w:t xml:space="preserve"> that have led to </w:t>
      </w:r>
      <w:r w:rsidR="00A511B5" w:rsidRPr="00EA721C">
        <w:rPr>
          <w:rFonts w:ascii="Calibri Light" w:eastAsia="Times New Roman" w:hAnsi="Calibri Light" w:cs="Times New Roman"/>
          <w:szCs w:val="20"/>
          <w:lang w:eastAsia="en-AU"/>
        </w:rPr>
        <w:t>increasing levies. For example</w:t>
      </w:r>
      <w:r w:rsidR="00E30694">
        <w:rPr>
          <w:rFonts w:ascii="Calibri Light" w:eastAsia="Times New Roman" w:hAnsi="Calibri Light" w:cs="Times New Roman"/>
          <w:szCs w:val="20"/>
          <w:lang w:eastAsia="en-AU"/>
        </w:rPr>
        <w:t>,</w:t>
      </w:r>
      <w:r w:rsidR="002732DA">
        <w:rPr>
          <w:rFonts w:ascii="Calibri Light" w:eastAsia="Times New Roman" w:hAnsi="Calibri Light" w:cs="Times New Roman"/>
          <w:szCs w:val="20"/>
          <w:lang w:eastAsia="en-AU"/>
        </w:rPr>
        <w:t xml:space="preserve"> </w:t>
      </w:r>
      <w:r w:rsidR="008B7372">
        <w:rPr>
          <w:rFonts w:ascii="Calibri Light" w:eastAsia="Times New Roman" w:hAnsi="Calibri Light" w:cs="Times New Roman"/>
          <w:szCs w:val="20"/>
          <w:lang w:eastAsia="en-AU"/>
        </w:rPr>
        <w:t>the c</w:t>
      </w:r>
      <w:r w:rsidR="00AE27E1" w:rsidRPr="002732DA">
        <w:rPr>
          <w:rFonts w:ascii="Calibri Light" w:eastAsia="Times New Roman" w:hAnsi="Calibri Light" w:cs="Times New Roman"/>
          <w:szCs w:val="20"/>
          <w:lang w:eastAsia="en-AU"/>
        </w:rPr>
        <w:t>redit</w:t>
      </w:r>
      <w:r w:rsidR="00AE27E1" w:rsidRPr="00EA721C">
        <w:rPr>
          <w:rFonts w:ascii="Calibri Light" w:eastAsia="Times New Roman" w:hAnsi="Calibri Light" w:cs="Times New Roman"/>
          <w:szCs w:val="20"/>
          <w:lang w:eastAsia="en-AU"/>
        </w:rPr>
        <w:t xml:space="preserve"> intermediaries </w:t>
      </w:r>
      <w:r w:rsidR="00E30694">
        <w:rPr>
          <w:rFonts w:ascii="Calibri Light" w:eastAsia="Times New Roman" w:hAnsi="Calibri Light" w:cs="Times New Roman"/>
          <w:szCs w:val="20"/>
          <w:lang w:eastAsia="en-AU"/>
        </w:rPr>
        <w:t>sub</w:t>
      </w:r>
      <w:r w:rsidR="00BD190B">
        <w:rPr>
          <w:rFonts w:ascii="Calibri Light" w:eastAsia="Times New Roman" w:hAnsi="Calibri Light" w:cs="Times New Roman"/>
          <w:szCs w:val="20"/>
          <w:lang w:eastAsia="en-AU"/>
        </w:rPr>
        <w:noBreakHyphen/>
      </w:r>
      <w:r w:rsidR="00E30694">
        <w:rPr>
          <w:rFonts w:ascii="Calibri Light" w:eastAsia="Times New Roman" w:hAnsi="Calibri Light" w:cs="Times New Roman"/>
          <w:szCs w:val="20"/>
          <w:lang w:eastAsia="en-AU"/>
        </w:rPr>
        <w:t xml:space="preserve">sector have seen their costs rise </w:t>
      </w:r>
      <w:r w:rsidR="0080044A">
        <w:rPr>
          <w:rFonts w:ascii="Calibri Light" w:eastAsia="Times New Roman" w:hAnsi="Calibri Light" w:cs="Times New Roman"/>
          <w:szCs w:val="20"/>
          <w:lang w:eastAsia="en-AU"/>
        </w:rPr>
        <w:t xml:space="preserve">with the decrease in the number of credit representatives </w:t>
      </w:r>
      <w:r w:rsidR="00AE27E1" w:rsidRPr="002732DA">
        <w:rPr>
          <w:rFonts w:ascii="Calibri Light" w:eastAsia="Times New Roman" w:hAnsi="Calibri Light" w:cs="Times New Roman"/>
          <w:szCs w:val="20"/>
          <w:lang w:eastAsia="en-AU"/>
        </w:rPr>
        <w:t>(</w:t>
      </w:r>
      <w:r w:rsidR="00F95F0E" w:rsidRPr="00EA721C">
        <w:rPr>
          <w:rFonts w:ascii="Calibri Light" w:eastAsia="Times New Roman" w:hAnsi="Calibri Light" w:cs="Times New Roman"/>
          <w:szCs w:val="20"/>
          <w:lang w:eastAsia="en-AU"/>
        </w:rPr>
        <w:t xml:space="preserve">16 per cent </w:t>
      </w:r>
      <w:r w:rsidR="00DC639D" w:rsidRPr="00EA721C">
        <w:rPr>
          <w:rFonts w:ascii="Calibri Light" w:eastAsia="Times New Roman" w:hAnsi="Calibri Light" w:cs="Times New Roman"/>
          <w:szCs w:val="20"/>
          <w:lang w:eastAsia="en-AU"/>
        </w:rPr>
        <w:t xml:space="preserve">since </w:t>
      </w:r>
      <w:r w:rsidR="009C7ED2">
        <w:rPr>
          <w:rFonts w:ascii="Calibri Light" w:eastAsia="Times New Roman" w:hAnsi="Calibri Light" w:cs="Times New Roman"/>
          <w:szCs w:val="20"/>
          <w:lang w:eastAsia="en-AU"/>
        </w:rPr>
        <w:t>2017–18</w:t>
      </w:r>
      <w:r w:rsidR="009B33EC">
        <w:rPr>
          <w:rFonts w:ascii="Calibri Light" w:eastAsia="Times New Roman" w:hAnsi="Calibri Light" w:cs="Times New Roman"/>
          <w:szCs w:val="20"/>
          <w:lang w:eastAsia="en-AU"/>
        </w:rPr>
        <w:t>)</w:t>
      </w:r>
      <w:r w:rsidR="00DC639D" w:rsidRPr="00EA721C">
        <w:rPr>
          <w:rFonts w:ascii="Calibri Light" w:eastAsia="Times New Roman" w:hAnsi="Calibri Light" w:cs="Times New Roman"/>
          <w:szCs w:val="20"/>
          <w:lang w:eastAsia="en-AU"/>
        </w:rPr>
        <w:t xml:space="preserve"> </w:t>
      </w:r>
      <w:r w:rsidR="00F95F0E" w:rsidRPr="00EA721C">
        <w:rPr>
          <w:rFonts w:ascii="Calibri Light" w:eastAsia="Times New Roman" w:hAnsi="Calibri Light" w:cs="Times New Roman"/>
          <w:szCs w:val="20"/>
          <w:lang w:eastAsia="en-AU"/>
        </w:rPr>
        <w:t>coupled with increasing levies</w:t>
      </w:r>
      <w:r w:rsidR="00EA721C" w:rsidRPr="00EA721C">
        <w:rPr>
          <w:rFonts w:ascii="Calibri Light" w:eastAsia="Times New Roman" w:hAnsi="Calibri Light" w:cs="Times New Roman"/>
          <w:szCs w:val="20"/>
          <w:lang w:eastAsia="en-AU"/>
        </w:rPr>
        <w:t xml:space="preserve"> (58 per cent since </w:t>
      </w:r>
      <w:r w:rsidR="009C7ED2">
        <w:rPr>
          <w:rFonts w:ascii="Calibri Light" w:eastAsia="Times New Roman" w:hAnsi="Calibri Light" w:cs="Times New Roman"/>
          <w:szCs w:val="20"/>
          <w:lang w:eastAsia="en-AU"/>
        </w:rPr>
        <w:t>2017–18</w:t>
      </w:r>
      <w:r w:rsidR="00EA721C" w:rsidRPr="00EA721C">
        <w:rPr>
          <w:rFonts w:ascii="Calibri Light" w:eastAsia="Times New Roman" w:hAnsi="Calibri Light" w:cs="Times New Roman"/>
          <w:szCs w:val="20"/>
          <w:lang w:eastAsia="en-AU"/>
        </w:rPr>
        <w:t>)</w:t>
      </w:r>
      <w:r w:rsidR="001F4D00">
        <w:rPr>
          <w:rFonts w:ascii="Calibri Light" w:eastAsia="Times New Roman" w:hAnsi="Calibri Light" w:cs="Times New Roman"/>
          <w:szCs w:val="20"/>
          <w:lang w:eastAsia="en-AU"/>
        </w:rPr>
        <w:t xml:space="preserve">. </w:t>
      </w:r>
    </w:p>
    <w:p w14:paraId="6D544E18" w14:textId="2C87EB2B" w:rsidR="00981B61" w:rsidRDefault="00981B61"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7B706E">
        <w:rPr>
          <w:rFonts w:ascii="Calibri Light" w:eastAsia="Times New Roman" w:hAnsi="Calibri Light" w:cs="Times New Roman"/>
          <w:szCs w:val="20"/>
          <w:lang w:eastAsia="en-AU"/>
        </w:rPr>
        <w:t xml:space="preserve">The Review notes that </w:t>
      </w:r>
      <w:r>
        <w:rPr>
          <w:rFonts w:ascii="Calibri Light" w:eastAsia="Times New Roman" w:hAnsi="Calibri Light" w:cs="Times New Roman"/>
          <w:szCs w:val="20"/>
          <w:lang w:eastAsia="en-AU"/>
        </w:rPr>
        <w:t>w</w:t>
      </w:r>
      <w:r w:rsidRPr="00981B61">
        <w:rPr>
          <w:rFonts w:ascii="Calibri Light" w:eastAsia="Times New Roman" w:hAnsi="Calibri Light" w:cs="Times New Roman"/>
          <w:szCs w:val="20"/>
          <w:lang w:eastAsia="en-AU"/>
        </w:rPr>
        <w:t>hile certain sub</w:t>
      </w:r>
      <w:r w:rsidR="00BD190B">
        <w:rPr>
          <w:rFonts w:ascii="Calibri Light" w:eastAsia="Times New Roman" w:hAnsi="Calibri Light" w:cs="Times New Roman"/>
          <w:szCs w:val="20"/>
          <w:lang w:eastAsia="en-AU"/>
        </w:rPr>
        <w:noBreakHyphen/>
      </w:r>
      <w:r w:rsidRPr="00981B61">
        <w:rPr>
          <w:rFonts w:ascii="Calibri Light" w:eastAsia="Times New Roman" w:hAnsi="Calibri Light" w:cs="Times New Roman"/>
          <w:szCs w:val="20"/>
          <w:lang w:eastAsia="en-AU"/>
        </w:rPr>
        <w:t>sectors have</w:t>
      </w:r>
      <w:r w:rsidR="007B706E">
        <w:rPr>
          <w:rFonts w:ascii="Calibri Light" w:eastAsia="Times New Roman" w:hAnsi="Calibri Light" w:cs="Times New Roman"/>
          <w:szCs w:val="20"/>
          <w:lang w:eastAsia="en-AU"/>
        </w:rPr>
        <w:t xml:space="preserve"> been experiencing</w:t>
      </w:r>
      <w:r w:rsidRPr="00981B61">
        <w:rPr>
          <w:rFonts w:ascii="Calibri Light" w:eastAsia="Times New Roman" w:hAnsi="Calibri Light" w:cs="Times New Roman"/>
          <w:szCs w:val="20"/>
          <w:lang w:eastAsia="en-AU"/>
        </w:rPr>
        <w:t xml:space="preserve"> </w:t>
      </w:r>
      <w:r>
        <w:rPr>
          <w:rFonts w:ascii="Calibri Light" w:eastAsia="Times New Roman" w:hAnsi="Calibri Light" w:cs="Times New Roman"/>
          <w:szCs w:val="20"/>
          <w:lang w:eastAsia="en-AU"/>
        </w:rPr>
        <w:t xml:space="preserve">increasing </w:t>
      </w:r>
      <w:r w:rsidR="007B706E">
        <w:rPr>
          <w:rFonts w:ascii="Calibri Light" w:eastAsia="Times New Roman" w:hAnsi="Calibri Light" w:cs="Times New Roman"/>
          <w:szCs w:val="20"/>
          <w:lang w:eastAsia="en-AU"/>
        </w:rPr>
        <w:t xml:space="preserve">levies, </w:t>
      </w:r>
      <w:r w:rsidRPr="00981B61">
        <w:rPr>
          <w:rFonts w:ascii="Calibri Light" w:eastAsia="Times New Roman" w:hAnsi="Calibri Light" w:cs="Times New Roman"/>
          <w:szCs w:val="20"/>
          <w:lang w:eastAsia="en-AU"/>
        </w:rPr>
        <w:t>this could change going forward subject to ASIC</w:t>
      </w:r>
      <w:r w:rsidR="00BD190B">
        <w:rPr>
          <w:rFonts w:ascii="Calibri Light" w:eastAsia="Times New Roman" w:hAnsi="Calibri Light" w:cs="Times New Roman"/>
          <w:szCs w:val="20"/>
          <w:lang w:eastAsia="en-AU"/>
        </w:rPr>
        <w:t>’</w:t>
      </w:r>
      <w:r w:rsidRPr="00981B61">
        <w:rPr>
          <w:rFonts w:ascii="Calibri Light" w:eastAsia="Times New Roman" w:hAnsi="Calibri Light" w:cs="Times New Roman"/>
          <w:szCs w:val="20"/>
          <w:lang w:eastAsia="en-AU"/>
        </w:rPr>
        <w:t>s regulatory priorities</w:t>
      </w:r>
      <w:r w:rsidR="007B706E">
        <w:rPr>
          <w:rFonts w:ascii="Calibri Light" w:eastAsia="Times New Roman" w:hAnsi="Calibri Light" w:cs="Times New Roman"/>
          <w:szCs w:val="20"/>
          <w:lang w:eastAsia="en-AU"/>
        </w:rPr>
        <w:t xml:space="preserve"> </w:t>
      </w:r>
      <w:r w:rsidRPr="00981B61">
        <w:rPr>
          <w:rFonts w:ascii="Calibri Light" w:eastAsia="Times New Roman" w:hAnsi="Calibri Light" w:cs="Times New Roman"/>
          <w:szCs w:val="20"/>
          <w:lang w:eastAsia="en-AU"/>
        </w:rPr>
        <w:t>which could divert resources and costs to other sub</w:t>
      </w:r>
      <w:r w:rsidR="00BD190B">
        <w:rPr>
          <w:rFonts w:ascii="Calibri Light" w:eastAsia="Times New Roman" w:hAnsi="Calibri Light" w:cs="Times New Roman"/>
          <w:szCs w:val="20"/>
          <w:lang w:eastAsia="en-AU"/>
        </w:rPr>
        <w:noBreakHyphen/>
      </w:r>
      <w:r w:rsidRPr="00981B61">
        <w:rPr>
          <w:rFonts w:ascii="Calibri Light" w:eastAsia="Times New Roman" w:hAnsi="Calibri Light" w:cs="Times New Roman"/>
          <w:szCs w:val="20"/>
          <w:lang w:eastAsia="en-AU"/>
        </w:rPr>
        <w:t>sectors.</w:t>
      </w:r>
    </w:p>
    <w:p w14:paraId="5600972B" w14:textId="680445C3" w:rsidR="00802C10" w:rsidRPr="00802C10" w:rsidRDefault="00802C10" w:rsidP="00802C10">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 xml:space="preserve">Increasing levies have also had an impact on other aspects of the ASIC IFM that stakeholders have raised concerns about. In particular, volatility in levy amounts across years which stakeholders have noted makes it difficult to budget for their levies. Levy volatility has been considered in more detail in the subsequent section. </w:t>
      </w:r>
    </w:p>
    <w:p w14:paraId="721D3E16" w14:textId="6F49F30A" w:rsidR="00665A86" w:rsidRDefault="00665A86" w:rsidP="00001B40">
      <w:pPr>
        <w:pStyle w:val="Heading2"/>
      </w:pPr>
      <w:bookmarkStart w:id="103" w:name="_Toc125305191"/>
      <w:bookmarkStart w:id="104" w:name="_Toc129270472"/>
      <w:r>
        <w:t xml:space="preserve">Levy </w:t>
      </w:r>
      <w:r w:rsidR="00335368">
        <w:t>v</w:t>
      </w:r>
      <w:r>
        <w:t>olatility</w:t>
      </w:r>
      <w:bookmarkEnd w:id="103"/>
      <w:bookmarkEnd w:id="104"/>
      <w:r w:rsidRPr="00054D6C">
        <w:t xml:space="preserve">  </w:t>
      </w:r>
    </w:p>
    <w:p w14:paraId="2174ACAF" w14:textId="10475DEA" w:rsidR="005B60A2" w:rsidRDefault="00665A86"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L</w:t>
      </w:r>
      <w:r w:rsidRPr="00FC7563">
        <w:rPr>
          <w:rFonts w:ascii="Calibri Light" w:eastAsia="Times New Roman" w:hAnsi="Calibri Light" w:cs="Times New Roman"/>
          <w:szCs w:val="20"/>
          <w:lang w:eastAsia="en-AU"/>
        </w:rPr>
        <w:t>ev</w:t>
      </w:r>
      <w:r>
        <w:rPr>
          <w:rFonts w:ascii="Calibri Light" w:eastAsia="Times New Roman" w:hAnsi="Calibri Light" w:cs="Times New Roman"/>
          <w:szCs w:val="20"/>
          <w:lang w:eastAsia="en-AU"/>
        </w:rPr>
        <w:t>y amounts that</w:t>
      </w:r>
      <w:r w:rsidRPr="00FC7563">
        <w:rPr>
          <w:rFonts w:ascii="Calibri Light" w:eastAsia="Times New Roman" w:hAnsi="Calibri Light" w:cs="Times New Roman"/>
          <w:szCs w:val="20"/>
          <w:lang w:eastAsia="en-AU"/>
        </w:rPr>
        <w:t xml:space="preserve"> </w:t>
      </w:r>
      <w:r w:rsidR="00B837BC">
        <w:rPr>
          <w:rFonts w:ascii="Calibri Light" w:eastAsia="Times New Roman" w:hAnsi="Calibri Light" w:cs="Times New Roman"/>
          <w:szCs w:val="20"/>
          <w:lang w:eastAsia="en-AU"/>
        </w:rPr>
        <w:t xml:space="preserve">are </w:t>
      </w:r>
      <w:r>
        <w:rPr>
          <w:rFonts w:ascii="Calibri Light" w:eastAsia="Times New Roman" w:hAnsi="Calibri Light" w:cs="Times New Roman"/>
          <w:szCs w:val="20"/>
          <w:lang w:eastAsia="en-AU"/>
        </w:rPr>
        <w:t>recovered from</w:t>
      </w:r>
      <w:r w:rsidRPr="00FC7563">
        <w:rPr>
          <w:rFonts w:ascii="Calibri Light" w:eastAsia="Times New Roman" w:hAnsi="Calibri Light" w:cs="Times New Roman"/>
          <w:szCs w:val="20"/>
          <w:lang w:eastAsia="en-AU"/>
        </w:rPr>
        <w:t xml:space="preserve"> sub</w:t>
      </w:r>
      <w:r w:rsidR="00BD190B">
        <w:rPr>
          <w:rFonts w:ascii="Calibri Light" w:eastAsia="Times New Roman" w:hAnsi="Calibri Light" w:cs="Times New Roman"/>
          <w:szCs w:val="20"/>
          <w:lang w:eastAsia="en-AU"/>
        </w:rPr>
        <w:noBreakHyphen/>
      </w:r>
      <w:r w:rsidRPr="00FC7563">
        <w:rPr>
          <w:rFonts w:ascii="Calibri Light" w:eastAsia="Times New Roman" w:hAnsi="Calibri Light" w:cs="Times New Roman"/>
          <w:szCs w:val="20"/>
          <w:lang w:eastAsia="en-AU"/>
        </w:rPr>
        <w:t>sector</w:t>
      </w:r>
      <w:r>
        <w:rPr>
          <w:rFonts w:ascii="Calibri Light" w:eastAsia="Times New Roman" w:hAnsi="Calibri Light" w:cs="Times New Roman"/>
          <w:szCs w:val="20"/>
          <w:lang w:eastAsia="en-AU"/>
        </w:rPr>
        <w:t>s</w:t>
      </w:r>
      <w:r w:rsidRPr="00FC7563">
        <w:rPr>
          <w:rFonts w:ascii="Calibri Light" w:eastAsia="Times New Roman" w:hAnsi="Calibri Light" w:cs="Times New Roman"/>
          <w:szCs w:val="20"/>
          <w:lang w:eastAsia="en-AU"/>
        </w:rPr>
        <w:t xml:space="preserve"> will vary </w:t>
      </w:r>
      <w:r>
        <w:rPr>
          <w:rFonts w:ascii="Calibri Light" w:eastAsia="Times New Roman" w:hAnsi="Calibri Light" w:cs="Times New Roman"/>
          <w:szCs w:val="20"/>
          <w:lang w:eastAsia="en-AU"/>
        </w:rPr>
        <w:t>each</w:t>
      </w:r>
      <w:r w:rsidRPr="00FC7563">
        <w:rPr>
          <w:rFonts w:ascii="Calibri Light" w:eastAsia="Times New Roman" w:hAnsi="Calibri Light" w:cs="Times New Roman"/>
          <w:szCs w:val="20"/>
          <w:lang w:eastAsia="en-AU"/>
        </w:rPr>
        <w:t xml:space="preserve"> year, driven by</w:t>
      </w:r>
      <w:r w:rsidR="002B5F5B">
        <w:rPr>
          <w:rFonts w:ascii="Calibri Light" w:eastAsia="Times New Roman" w:hAnsi="Calibri Light" w:cs="Times New Roman"/>
          <w:szCs w:val="20"/>
          <w:lang w:eastAsia="en-AU"/>
        </w:rPr>
        <w:t xml:space="preserve"> factors including</w:t>
      </w:r>
      <w:r w:rsidRPr="00FC7563">
        <w:rPr>
          <w:rFonts w:ascii="Calibri Light" w:eastAsia="Times New Roman" w:hAnsi="Calibri Light" w:cs="Times New Roman"/>
          <w:szCs w:val="20"/>
          <w:lang w:eastAsia="en-AU"/>
        </w:rPr>
        <w:t xml:space="preserve"> the</w:t>
      </w:r>
      <w:r>
        <w:rPr>
          <w:rFonts w:ascii="Calibri Light" w:eastAsia="Times New Roman" w:hAnsi="Calibri Light" w:cs="Times New Roman"/>
          <w:szCs w:val="20"/>
          <w:lang w:eastAsia="en-AU"/>
        </w:rPr>
        <w:t xml:space="preserve"> level of</w:t>
      </w:r>
      <w:r w:rsidRPr="00FC7563">
        <w:rPr>
          <w:rFonts w:ascii="Calibri Light" w:eastAsia="Times New Roman" w:hAnsi="Calibri Light" w:cs="Times New Roman"/>
          <w:szCs w:val="20"/>
          <w:lang w:eastAsia="en-AU"/>
        </w:rPr>
        <w:t xml:space="preserve"> regulatory effort </w:t>
      </w:r>
      <w:r>
        <w:rPr>
          <w:rFonts w:ascii="Calibri Light" w:eastAsia="Times New Roman" w:hAnsi="Calibri Light" w:cs="Times New Roman"/>
          <w:szCs w:val="20"/>
          <w:lang w:eastAsia="en-AU"/>
        </w:rPr>
        <w:t xml:space="preserve">applied </w:t>
      </w:r>
      <w:r w:rsidRPr="00FC7563">
        <w:rPr>
          <w:rFonts w:ascii="Calibri Light" w:eastAsia="Times New Roman" w:hAnsi="Calibri Light" w:cs="Times New Roman"/>
          <w:szCs w:val="20"/>
          <w:lang w:eastAsia="en-AU"/>
        </w:rPr>
        <w:t>by ASIC to that sub</w:t>
      </w:r>
      <w:r w:rsidR="00BD190B">
        <w:rPr>
          <w:rFonts w:ascii="Calibri Light" w:eastAsia="Times New Roman" w:hAnsi="Calibri Light" w:cs="Times New Roman"/>
          <w:szCs w:val="20"/>
          <w:lang w:eastAsia="en-AU"/>
        </w:rPr>
        <w:noBreakHyphen/>
      </w:r>
      <w:r w:rsidRPr="00FC7563">
        <w:rPr>
          <w:rFonts w:ascii="Calibri Light" w:eastAsia="Times New Roman" w:hAnsi="Calibri Light" w:cs="Times New Roman"/>
          <w:szCs w:val="20"/>
          <w:lang w:eastAsia="en-AU"/>
        </w:rPr>
        <w:t>sector</w:t>
      </w:r>
      <w:r w:rsidR="005979A3">
        <w:rPr>
          <w:rFonts w:ascii="Calibri Light" w:eastAsia="Times New Roman" w:hAnsi="Calibri Light" w:cs="Times New Roman"/>
          <w:szCs w:val="20"/>
          <w:lang w:eastAsia="en-AU"/>
        </w:rPr>
        <w:t>, the population of that sub</w:t>
      </w:r>
      <w:r w:rsidR="00BD190B">
        <w:rPr>
          <w:rFonts w:ascii="Calibri Light" w:eastAsia="Times New Roman" w:hAnsi="Calibri Light" w:cs="Times New Roman"/>
          <w:szCs w:val="20"/>
          <w:lang w:eastAsia="en-AU"/>
        </w:rPr>
        <w:noBreakHyphen/>
      </w:r>
      <w:r w:rsidR="005979A3">
        <w:rPr>
          <w:rFonts w:ascii="Calibri Light" w:eastAsia="Times New Roman" w:hAnsi="Calibri Light" w:cs="Times New Roman"/>
          <w:szCs w:val="20"/>
          <w:lang w:eastAsia="en-AU"/>
        </w:rPr>
        <w:t xml:space="preserve">sector and in some </w:t>
      </w:r>
      <w:r w:rsidR="005B60A2">
        <w:rPr>
          <w:rFonts w:ascii="Calibri Light" w:eastAsia="Times New Roman" w:hAnsi="Calibri Light" w:cs="Times New Roman"/>
          <w:szCs w:val="20"/>
          <w:lang w:eastAsia="en-AU"/>
        </w:rPr>
        <w:t>instances</w:t>
      </w:r>
      <w:r w:rsidR="005979A3">
        <w:rPr>
          <w:rFonts w:ascii="Calibri Light" w:eastAsia="Times New Roman" w:hAnsi="Calibri Light" w:cs="Times New Roman"/>
          <w:szCs w:val="20"/>
          <w:lang w:eastAsia="en-AU"/>
        </w:rPr>
        <w:t>, the level of activity undertaken by entities in the sub</w:t>
      </w:r>
      <w:r w:rsidR="00BD190B">
        <w:rPr>
          <w:rFonts w:ascii="Calibri Light" w:eastAsia="Times New Roman" w:hAnsi="Calibri Light" w:cs="Times New Roman"/>
          <w:szCs w:val="20"/>
          <w:lang w:eastAsia="en-AU"/>
        </w:rPr>
        <w:noBreakHyphen/>
      </w:r>
      <w:r w:rsidR="005979A3">
        <w:rPr>
          <w:rFonts w:ascii="Calibri Light" w:eastAsia="Times New Roman" w:hAnsi="Calibri Light" w:cs="Times New Roman"/>
          <w:szCs w:val="20"/>
          <w:lang w:eastAsia="en-AU"/>
        </w:rPr>
        <w:t>sector</w:t>
      </w:r>
      <w:r w:rsidRPr="00FC7563">
        <w:rPr>
          <w:rFonts w:ascii="Calibri Light" w:eastAsia="Times New Roman" w:hAnsi="Calibri Light" w:cs="Times New Roman"/>
          <w:szCs w:val="20"/>
          <w:lang w:eastAsia="en-AU"/>
        </w:rPr>
        <w:t>.</w:t>
      </w:r>
    </w:p>
    <w:p w14:paraId="34121B7B" w14:textId="5334B356" w:rsidR="00946D62" w:rsidRDefault="00946D62"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 xml:space="preserve">Due to the way the ASIC IFM operates, all </w:t>
      </w:r>
      <w:r w:rsidR="00E11F90">
        <w:rPr>
          <w:rFonts w:ascii="Calibri Light" w:eastAsia="Times New Roman" w:hAnsi="Calibri Light" w:cs="Times New Roman"/>
          <w:szCs w:val="20"/>
          <w:lang w:eastAsia="en-AU"/>
        </w:rPr>
        <w:t>sub</w:t>
      </w:r>
      <w:r w:rsidR="00BD190B">
        <w:rPr>
          <w:rFonts w:ascii="Calibri Light" w:eastAsia="Times New Roman" w:hAnsi="Calibri Light" w:cs="Times New Roman"/>
          <w:szCs w:val="20"/>
          <w:lang w:eastAsia="en-AU"/>
        </w:rPr>
        <w:noBreakHyphen/>
      </w:r>
      <w:r w:rsidR="00E11F90">
        <w:rPr>
          <w:rFonts w:ascii="Calibri Light" w:eastAsia="Times New Roman" w:hAnsi="Calibri Light" w:cs="Times New Roman"/>
          <w:szCs w:val="20"/>
          <w:lang w:eastAsia="en-AU"/>
        </w:rPr>
        <w:t xml:space="preserve">sectors have experienced </w:t>
      </w:r>
      <w:r w:rsidR="00E73FBD">
        <w:rPr>
          <w:rFonts w:ascii="Calibri Light" w:eastAsia="Times New Roman" w:hAnsi="Calibri Light" w:cs="Times New Roman"/>
          <w:szCs w:val="20"/>
          <w:lang w:eastAsia="en-AU"/>
        </w:rPr>
        <w:t xml:space="preserve">some level </w:t>
      </w:r>
      <w:r w:rsidR="003C2A2A">
        <w:rPr>
          <w:rFonts w:ascii="Calibri Light" w:eastAsia="Times New Roman" w:hAnsi="Calibri Light" w:cs="Times New Roman"/>
          <w:szCs w:val="20"/>
          <w:lang w:eastAsia="en-AU"/>
        </w:rPr>
        <w:t>of volatility</w:t>
      </w:r>
      <w:r w:rsidR="00E11F90">
        <w:rPr>
          <w:rFonts w:ascii="Calibri Light" w:eastAsia="Times New Roman" w:hAnsi="Calibri Light" w:cs="Times New Roman"/>
          <w:szCs w:val="20"/>
          <w:lang w:eastAsia="en-AU"/>
        </w:rPr>
        <w:t xml:space="preserve"> </w:t>
      </w:r>
      <w:r w:rsidR="00E73FBD">
        <w:rPr>
          <w:rFonts w:ascii="Calibri Light" w:eastAsia="Times New Roman" w:hAnsi="Calibri Light" w:cs="Times New Roman"/>
          <w:szCs w:val="20"/>
          <w:lang w:eastAsia="en-AU"/>
        </w:rPr>
        <w:t xml:space="preserve">in their levy amounts each year </w:t>
      </w:r>
      <w:r w:rsidR="00E11F90">
        <w:rPr>
          <w:rFonts w:ascii="Calibri Light" w:eastAsia="Times New Roman" w:hAnsi="Calibri Light" w:cs="Times New Roman"/>
          <w:szCs w:val="20"/>
          <w:lang w:eastAsia="en-AU"/>
        </w:rPr>
        <w:t xml:space="preserve">since the commencement of the IFM. </w:t>
      </w:r>
      <w:r w:rsidR="00F34713">
        <w:rPr>
          <w:rFonts w:ascii="Calibri Light" w:eastAsia="Times New Roman" w:hAnsi="Calibri Light" w:cs="Times New Roman"/>
          <w:szCs w:val="20"/>
          <w:lang w:eastAsia="en-AU"/>
        </w:rPr>
        <w:t>In some cases, the changes in levy amounts between years ha</w:t>
      </w:r>
      <w:r w:rsidR="007079C3">
        <w:rPr>
          <w:rFonts w:ascii="Calibri Light" w:eastAsia="Times New Roman" w:hAnsi="Calibri Light" w:cs="Times New Roman"/>
          <w:szCs w:val="20"/>
          <w:lang w:eastAsia="en-AU"/>
        </w:rPr>
        <w:t>s</w:t>
      </w:r>
      <w:r w:rsidR="00F34713">
        <w:rPr>
          <w:rFonts w:ascii="Calibri Light" w:eastAsia="Times New Roman" w:hAnsi="Calibri Light" w:cs="Times New Roman"/>
          <w:szCs w:val="20"/>
          <w:lang w:eastAsia="en-AU"/>
        </w:rPr>
        <w:t xml:space="preserve"> been significant</w:t>
      </w:r>
      <w:r w:rsidR="00E330A9">
        <w:rPr>
          <w:rFonts w:ascii="Calibri Light" w:eastAsia="Times New Roman" w:hAnsi="Calibri Light" w:cs="Times New Roman"/>
          <w:szCs w:val="20"/>
          <w:lang w:eastAsia="en-AU"/>
        </w:rPr>
        <w:t xml:space="preserve"> for some sub</w:t>
      </w:r>
      <w:r w:rsidR="00BD190B">
        <w:rPr>
          <w:rFonts w:ascii="Calibri Light" w:eastAsia="Times New Roman" w:hAnsi="Calibri Light" w:cs="Times New Roman"/>
          <w:szCs w:val="20"/>
          <w:lang w:eastAsia="en-AU"/>
        </w:rPr>
        <w:noBreakHyphen/>
      </w:r>
      <w:r w:rsidR="00E330A9">
        <w:rPr>
          <w:rFonts w:ascii="Calibri Light" w:eastAsia="Times New Roman" w:hAnsi="Calibri Light" w:cs="Times New Roman"/>
          <w:szCs w:val="20"/>
          <w:lang w:eastAsia="en-AU"/>
        </w:rPr>
        <w:t>sectors</w:t>
      </w:r>
      <w:r w:rsidR="00AE76F5">
        <w:rPr>
          <w:rFonts w:ascii="Calibri Light" w:eastAsia="Times New Roman" w:hAnsi="Calibri Light" w:cs="Times New Roman"/>
          <w:szCs w:val="20"/>
          <w:lang w:eastAsia="en-AU"/>
        </w:rPr>
        <w:t xml:space="preserve">. </w:t>
      </w:r>
    </w:p>
    <w:p w14:paraId="5BDA4CF6" w14:textId="31CBCAEE" w:rsidR="00665A86" w:rsidRPr="00BD2C30" w:rsidRDefault="00665A86" w:rsidP="00001B40">
      <w:pPr>
        <w:pStyle w:val="Heading3"/>
      </w:pPr>
      <w:bookmarkStart w:id="105" w:name="_Toc125305192"/>
      <w:bookmarkStart w:id="106" w:name="_Toc129270473"/>
      <w:r>
        <w:t>Analysis and findings</w:t>
      </w:r>
      <w:bookmarkEnd w:id="105"/>
      <w:bookmarkEnd w:id="106"/>
    </w:p>
    <w:p w14:paraId="45FA31A0" w14:textId="394376CE" w:rsidR="00BC435E" w:rsidRDefault="00BC435E"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BC435E">
        <w:rPr>
          <w:rFonts w:ascii="Calibri Light" w:eastAsia="Times New Roman" w:hAnsi="Calibri Light" w:cs="Times New Roman"/>
          <w:szCs w:val="20"/>
          <w:lang w:eastAsia="en-AU"/>
        </w:rPr>
        <w:t xml:space="preserve">Since the commencement of the IFM, </w:t>
      </w:r>
      <w:r w:rsidR="00000561">
        <w:rPr>
          <w:rFonts w:ascii="Calibri Light" w:eastAsia="Times New Roman" w:hAnsi="Calibri Light" w:cs="Times New Roman"/>
          <w:szCs w:val="20"/>
          <w:lang w:eastAsia="en-AU"/>
        </w:rPr>
        <w:t>nearly all</w:t>
      </w:r>
      <w:r w:rsidRPr="00000561">
        <w:rPr>
          <w:rFonts w:ascii="Calibri Light" w:eastAsia="Times New Roman" w:hAnsi="Calibri Light" w:cs="Times New Roman"/>
          <w:szCs w:val="20"/>
          <w:lang w:eastAsia="en-AU"/>
        </w:rPr>
        <w:t xml:space="preserve"> sub</w:t>
      </w:r>
      <w:r w:rsidR="00BD190B">
        <w:rPr>
          <w:rFonts w:ascii="Calibri Light" w:eastAsia="Times New Roman" w:hAnsi="Calibri Light" w:cs="Times New Roman"/>
          <w:szCs w:val="20"/>
          <w:lang w:eastAsia="en-AU"/>
        </w:rPr>
        <w:noBreakHyphen/>
      </w:r>
      <w:r w:rsidRPr="00000561">
        <w:rPr>
          <w:rFonts w:ascii="Calibri Light" w:eastAsia="Times New Roman" w:hAnsi="Calibri Light" w:cs="Times New Roman"/>
          <w:szCs w:val="20"/>
          <w:lang w:eastAsia="en-AU"/>
        </w:rPr>
        <w:t>sectors have experienced either a decrease or increase of 20 per cent or more in their levy amounts year</w:t>
      </w:r>
      <w:r w:rsidR="00BD190B">
        <w:rPr>
          <w:rFonts w:ascii="Calibri Light" w:eastAsia="Times New Roman" w:hAnsi="Calibri Light" w:cs="Times New Roman"/>
          <w:szCs w:val="20"/>
          <w:lang w:eastAsia="en-AU"/>
        </w:rPr>
        <w:noBreakHyphen/>
      </w:r>
      <w:r w:rsidRPr="00000561">
        <w:rPr>
          <w:rFonts w:ascii="Calibri Light" w:eastAsia="Times New Roman" w:hAnsi="Calibri Light" w:cs="Times New Roman"/>
          <w:szCs w:val="20"/>
          <w:lang w:eastAsia="en-AU"/>
        </w:rPr>
        <w:t>on</w:t>
      </w:r>
      <w:r w:rsidR="00BD190B">
        <w:rPr>
          <w:rFonts w:ascii="Calibri Light" w:eastAsia="Times New Roman" w:hAnsi="Calibri Light" w:cs="Times New Roman"/>
          <w:szCs w:val="20"/>
          <w:lang w:eastAsia="en-AU"/>
        </w:rPr>
        <w:noBreakHyphen/>
      </w:r>
      <w:r w:rsidRPr="00000561">
        <w:rPr>
          <w:rFonts w:ascii="Calibri Light" w:eastAsia="Times New Roman" w:hAnsi="Calibri Light" w:cs="Times New Roman"/>
          <w:szCs w:val="20"/>
          <w:lang w:eastAsia="en-AU"/>
        </w:rPr>
        <w:t xml:space="preserve">year, with </w:t>
      </w:r>
      <w:r w:rsidR="00000561">
        <w:rPr>
          <w:rFonts w:ascii="Calibri Light" w:eastAsia="Times New Roman" w:hAnsi="Calibri Light" w:cs="Times New Roman"/>
          <w:szCs w:val="20"/>
          <w:lang w:eastAsia="en-AU"/>
        </w:rPr>
        <w:t>the majority</w:t>
      </w:r>
      <w:r w:rsidRPr="00000561">
        <w:rPr>
          <w:rFonts w:ascii="Calibri Light" w:eastAsia="Times New Roman" w:hAnsi="Calibri Light" w:cs="Times New Roman"/>
          <w:szCs w:val="20"/>
          <w:lang w:eastAsia="en-AU"/>
        </w:rPr>
        <w:t xml:space="preserve"> experiencing this level of volatility in multiple years.</w:t>
      </w:r>
      <w:r w:rsidRPr="00BC435E">
        <w:rPr>
          <w:rFonts w:ascii="Calibri Light" w:eastAsia="Times New Roman" w:hAnsi="Calibri Light" w:cs="Times New Roman"/>
          <w:szCs w:val="20"/>
          <w:lang w:eastAsia="en-AU"/>
        </w:rPr>
        <w:t xml:space="preserve"> </w:t>
      </w:r>
    </w:p>
    <w:p w14:paraId="2EE842BD" w14:textId="326390E3" w:rsidR="00750A0B" w:rsidRDefault="00BC435E"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BC435E">
        <w:rPr>
          <w:rFonts w:ascii="Calibri Light" w:eastAsia="Times New Roman" w:hAnsi="Calibri Light" w:cs="Times New Roman"/>
          <w:szCs w:val="20"/>
          <w:lang w:eastAsia="en-AU"/>
        </w:rPr>
        <w:t>Volatility is more prominent in certain sub</w:t>
      </w:r>
      <w:r w:rsidR="00BD190B">
        <w:rPr>
          <w:rFonts w:ascii="Calibri Light" w:eastAsia="Times New Roman" w:hAnsi="Calibri Light" w:cs="Times New Roman"/>
          <w:szCs w:val="20"/>
          <w:lang w:eastAsia="en-AU"/>
        </w:rPr>
        <w:noBreakHyphen/>
      </w:r>
      <w:r w:rsidRPr="00BC435E">
        <w:rPr>
          <w:rFonts w:ascii="Calibri Light" w:eastAsia="Times New Roman" w:hAnsi="Calibri Light" w:cs="Times New Roman"/>
          <w:szCs w:val="20"/>
          <w:lang w:eastAsia="en-AU"/>
        </w:rPr>
        <w:t>sectors. Since the</w:t>
      </w:r>
      <w:r>
        <w:rPr>
          <w:rFonts w:ascii="Calibri Light" w:eastAsia="Times New Roman" w:hAnsi="Calibri Light" w:cs="Times New Roman"/>
          <w:szCs w:val="20"/>
          <w:lang w:eastAsia="en-AU"/>
        </w:rPr>
        <w:t xml:space="preserve"> </w:t>
      </w:r>
      <w:r w:rsidRPr="00BC435E">
        <w:rPr>
          <w:rFonts w:ascii="Calibri Light" w:eastAsia="Times New Roman" w:hAnsi="Calibri Light" w:cs="Times New Roman"/>
          <w:szCs w:val="20"/>
          <w:lang w:eastAsia="en-AU"/>
        </w:rPr>
        <w:t xml:space="preserve">commencement of the IFM, </w:t>
      </w:r>
      <w:r w:rsidR="00000561">
        <w:rPr>
          <w:rFonts w:ascii="Calibri Light" w:eastAsia="Times New Roman" w:hAnsi="Calibri Light" w:cs="Times New Roman"/>
          <w:szCs w:val="20"/>
          <w:lang w:eastAsia="en-AU"/>
        </w:rPr>
        <w:t>20</w:t>
      </w:r>
      <w:r w:rsidRPr="00BC435E">
        <w:rPr>
          <w:rFonts w:ascii="Calibri Light" w:eastAsia="Times New Roman" w:hAnsi="Calibri Light" w:cs="Times New Roman"/>
          <w:szCs w:val="20"/>
          <w:lang w:eastAsia="en-AU"/>
        </w:rPr>
        <w:t xml:space="preserve"> different sub</w:t>
      </w:r>
      <w:r w:rsidR="00BD190B">
        <w:rPr>
          <w:rFonts w:ascii="Calibri Light" w:eastAsia="Times New Roman" w:hAnsi="Calibri Light" w:cs="Times New Roman"/>
          <w:szCs w:val="20"/>
          <w:lang w:eastAsia="en-AU"/>
        </w:rPr>
        <w:noBreakHyphen/>
      </w:r>
      <w:r w:rsidRPr="00BC435E">
        <w:rPr>
          <w:rFonts w:ascii="Calibri Light" w:eastAsia="Times New Roman" w:hAnsi="Calibri Light" w:cs="Times New Roman"/>
          <w:szCs w:val="20"/>
          <w:lang w:eastAsia="en-AU"/>
        </w:rPr>
        <w:t>sectors have experienced more than a 100 per cent</w:t>
      </w:r>
      <w:r>
        <w:rPr>
          <w:rFonts w:ascii="Calibri Light" w:eastAsia="Times New Roman" w:hAnsi="Calibri Light" w:cs="Times New Roman"/>
          <w:szCs w:val="20"/>
          <w:lang w:eastAsia="en-AU"/>
        </w:rPr>
        <w:t xml:space="preserve"> </w:t>
      </w:r>
      <w:r w:rsidRPr="00BC435E">
        <w:rPr>
          <w:rFonts w:ascii="Calibri Light" w:eastAsia="Times New Roman" w:hAnsi="Calibri Light" w:cs="Times New Roman"/>
          <w:szCs w:val="20"/>
          <w:lang w:eastAsia="en-AU"/>
        </w:rPr>
        <w:t>increase in their levy compared to the previous year.</w:t>
      </w:r>
    </w:p>
    <w:p w14:paraId="0041192C" w14:textId="77777777" w:rsidR="00000561" w:rsidRDefault="00000561" w:rsidP="00000561">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lastRenderedPageBreak/>
        <w:t>The k</w:t>
      </w:r>
      <w:r w:rsidRPr="00AC66AD">
        <w:rPr>
          <w:rFonts w:ascii="Calibri Light" w:eastAsia="Times New Roman" w:hAnsi="Calibri Light" w:cs="Times New Roman"/>
          <w:szCs w:val="20"/>
          <w:lang w:eastAsia="en-AU"/>
        </w:rPr>
        <w:t>ey drivers of volatility in levy amounts across years are:</w:t>
      </w:r>
    </w:p>
    <w:p w14:paraId="5C6F4DE0" w14:textId="3C15EF8D" w:rsidR="00000561" w:rsidRPr="008F2119" w:rsidRDefault="00000561" w:rsidP="00000561">
      <w:pPr>
        <w:pStyle w:val="Bullet"/>
        <w:ind w:left="1004"/>
        <w:rPr>
          <w:rFonts w:eastAsia="Calibri"/>
          <w:lang w:eastAsia="en-US"/>
        </w:rPr>
      </w:pPr>
      <w:r w:rsidRPr="008F2119">
        <w:rPr>
          <w:rFonts w:eastAsia="Calibri"/>
          <w:lang w:eastAsia="en-US"/>
        </w:rPr>
        <w:t>enforcement activity and the associated increase/decrease in indirect costs</w:t>
      </w:r>
      <w:r w:rsidR="00806197">
        <w:rPr>
          <w:rFonts w:eastAsia="Calibri"/>
          <w:lang w:eastAsia="en-US"/>
        </w:rPr>
        <w:t xml:space="preserve">, followed by supervision and surveillance </w:t>
      </w:r>
    </w:p>
    <w:p w14:paraId="350B809D" w14:textId="7166F9D1" w:rsidR="00000561" w:rsidRPr="008F2119" w:rsidRDefault="00000561" w:rsidP="00000561">
      <w:pPr>
        <w:pStyle w:val="Bullet"/>
        <w:ind w:left="1004"/>
        <w:rPr>
          <w:rFonts w:eastAsia="Calibri"/>
          <w:lang w:eastAsia="en-US"/>
        </w:rPr>
      </w:pPr>
      <w:r w:rsidRPr="008F2119">
        <w:rPr>
          <w:rFonts w:eastAsia="Calibri"/>
          <w:lang w:eastAsia="en-US"/>
        </w:rPr>
        <w:t>regulatory effort expended by ASIC, which will vary across sub</w:t>
      </w:r>
      <w:r w:rsidR="00BD190B">
        <w:rPr>
          <w:rFonts w:eastAsia="Calibri"/>
          <w:lang w:eastAsia="en-US"/>
        </w:rPr>
        <w:noBreakHyphen/>
      </w:r>
      <w:r w:rsidRPr="008F2119">
        <w:rPr>
          <w:rFonts w:eastAsia="Calibri"/>
          <w:lang w:eastAsia="en-US"/>
        </w:rPr>
        <w:t>sectors and years as ASIC focuses its resources where they are needed most</w:t>
      </w:r>
    </w:p>
    <w:p w14:paraId="1551E107" w14:textId="7117C972" w:rsidR="00000561" w:rsidRPr="008F2119" w:rsidRDefault="00000561" w:rsidP="00000561">
      <w:pPr>
        <w:pStyle w:val="Bullet"/>
        <w:keepNext/>
        <w:ind w:left="1004"/>
        <w:rPr>
          <w:rFonts w:eastAsia="Calibri"/>
          <w:lang w:eastAsia="en-US"/>
        </w:rPr>
      </w:pPr>
      <w:r w:rsidRPr="008F2119">
        <w:rPr>
          <w:rFonts w:eastAsia="Calibri"/>
          <w:lang w:eastAsia="en-US"/>
        </w:rPr>
        <w:t>structural changes in ASIC</w:t>
      </w:r>
      <w:r w:rsidR="00BD190B">
        <w:rPr>
          <w:rFonts w:eastAsia="Calibri"/>
          <w:lang w:eastAsia="en-US"/>
        </w:rPr>
        <w:t>’</w:t>
      </w:r>
      <w:r w:rsidRPr="008F2119">
        <w:rPr>
          <w:rFonts w:eastAsia="Calibri"/>
          <w:lang w:eastAsia="en-US"/>
        </w:rPr>
        <w:t xml:space="preserve">s regulated population, such as </w:t>
      </w:r>
    </w:p>
    <w:p w14:paraId="013282CB" w14:textId="036961FC" w:rsidR="00000561" w:rsidRDefault="00000561" w:rsidP="00000561">
      <w:pPr>
        <w:pStyle w:val="Dash"/>
        <w:ind w:left="1287"/>
      </w:pPr>
      <w:r w:rsidRPr="00AC66AD">
        <w:t>changes in the number of regulated</w:t>
      </w:r>
      <w:r>
        <w:t xml:space="preserve"> </w:t>
      </w:r>
      <w:r w:rsidRPr="00AC66AD">
        <w:t>entities in each sub</w:t>
      </w:r>
      <w:r w:rsidR="00BD190B">
        <w:noBreakHyphen/>
      </w:r>
      <w:r w:rsidRPr="00AC66AD">
        <w:t>sector</w:t>
      </w:r>
      <w:r w:rsidRPr="00A76CC6">
        <w:t xml:space="preserve"> </w:t>
      </w:r>
      <w:r>
        <w:t>(t</w:t>
      </w:r>
      <w:r w:rsidRPr="00A76CC6">
        <w:t>hat is, if the number of entities in a sub</w:t>
      </w:r>
      <w:r w:rsidR="00BD190B">
        <w:noBreakHyphen/>
      </w:r>
      <w:r w:rsidRPr="00A76CC6">
        <w:t>sector changes year</w:t>
      </w:r>
      <w:r w:rsidR="00BD190B">
        <w:noBreakHyphen/>
      </w:r>
      <w:r w:rsidRPr="00A76CC6">
        <w:t>on</w:t>
      </w:r>
      <w:r w:rsidR="00BD190B">
        <w:noBreakHyphen/>
      </w:r>
      <w:r w:rsidRPr="00A76CC6">
        <w:t>year, this will impact levy amounts paid by individual entities even if the total regulatory costs for the sub</w:t>
      </w:r>
      <w:r w:rsidR="00BD190B">
        <w:noBreakHyphen/>
      </w:r>
      <w:r w:rsidRPr="00A76CC6">
        <w:t>sector do not change across years</w:t>
      </w:r>
      <w:r>
        <w:t>); and/or</w:t>
      </w:r>
    </w:p>
    <w:p w14:paraId="09D05089" w14:textId="77777777" w:rsidR="00000561" w:rsidRDefault="00000561" w:rsidP="00000561">
      <w:pPr>
        <w:pStyle w:val="Dash"/>
        <w:ind w:left="1287"/>
      </w:pPr>
      <w:r>
        <w:t xml:space="preserve">changes in the level of activity undertaken by the entity which may impact their levy amounts if they are subject to a graduated levy. </w:t>
      </w:r>
    </w:p>
    <w:p w14:paraId="50A9AFA9" w14:textId="34B82427" w:rsidR="00947AD3" w:rsidRPr="00947AD3" w:rsidRDefault="004A734A" w:rsidP="00947AD3">
      <w:pPr>
        <w:pStyle w:val="numberedtext"/>
        <w:numPr>
          <w:ilvl w:val="0"/>
          <w:numId w:val="15"/>
        </w:numPr>
        <w:tabs>
          <w:tab w:val="left" w:pos="709"/>
        </w:tabs>
        <w:ind w:hanging="720"/>
        <w:rPr>
          <w:rFonts w:ascii="Calibri Light" w:eastAsia="Times New Roman" w:hAnsi="Calibri Light" w:cs="Times New Roman"/>
          <w:szCs w:val="20"/>
          <w:lang w:eastAsia="en-AU"/>
        </w:rPr>
      </w:pPr>
      <w:r w:rsidRPr="00947AD3">
        <w:rPr>
          <w:rFonts w:ascii="Calibri Light" w:eastAsia="Times New Roman" w:hAnsi="Calibri Light" w:cs="Times New Roman"/>
          <w:szCs w:val="20"/>
          <w:lang w:eastAsia="en-AU"/>
        </w:rPr>
        <w:t>S</w:t>
      </w:r>
      <w:r w:rsidR="00D86823" w:rsidRPr="00947AD3">
        <w:rPr>
          <w:rFonts w:ascii="Calibri Light" w:eastAsia="Times New Roman" w:hAnsi="Calibri Light" w:cs="Times New Roman"/>
          <w:szCs w:val="20"/>
          <w:lang w:eastAsia="en-AU"/>
        </w:rPr>
        <w:t>ub</w:t>
      </w:r>
      <w:r w:rsidR="00BD190B">
        <w:rPr>
          <w:rFonts w:ascii="Calibri Light" w:eastAsia="Times New Roman" w:hAnsi="Calibri Light" w:cs="Times New Roman"/>
          <w:szCs w:val="20"/>
          <w:lang w:eastAsia="en-AU"/>
        </w:rPr>
        <w:noBreakHyphen/>
      </w:r>
      <w:r w:rsidR="00D86823" w:rsidRPr="00947AD3">
        <w:rPr>
          <w:rFonts w:ascii="Calibri Light" w:eastAsia="Times New Roman" w:hAnsi="Calibri Light" w:cs="Times New Roman"/>
          <w:szCs w:val="20"/>
          <w:lang w:eastAsia="en-AU"/>
        </w:rPr>
        <w:t xml:space="preserve">sectors that </w:t>
      </w:r>
      <w:r w:rsidR="001438CB" w:rsidRPr="00947AD3">
        <w:rPr>
          <w:rFonts w:ascii="Calibri Light" w:eastAsia="Times New Roman" w:hAnsi="Calibri Light" w:cs="Times New Roman"/>
          <w:szCs w:val="20"/>
          <w:lang w:eastAsia="en-AU"/>
        </w:rPr>
        <w:t xml:space="preserve">have </w:t>
      </w:r>
      <w:r w:rsidR="00D86823" w:rsidRPr="00947AD3">
        <w:rPr>
          <w:rFonts w:ascii="Calibri Light" w:eastAsia="Times New Roman" w:hAnsi="Calibri Light" w:cs="Times New Roman"/>
          <w:szCs w:val="20"/>
          <w:lang w:eastAsia="en-AU"/>
        </w:rPr>
        <w:t>experience</w:t>
      </w:r>
      <w:r w:rsidR="001438CB" w:rsidRPr="00947AD3">
        <w:rPr>
          <w:rFonts w:ascii="Calibri Light" w:eastAsia="Times New Roman" w:hAnsi="Calibri Light" w:cs="Times New Roman"/>
          <w:szCs w:val="20"/>
          <w:lang w:eastAsia="en-AU"/>
        </w:rPr>
        <w:t>d</w:t>
      </w:r>
      <w:r w:rsidR="00D86823" w:rsidRPr="00947AD3">
        <w:rPr>
          <w:rFonts w:ascii="Calibri Light" w:eastAsia="Times New Roman" w:hAnsi="Calibri Light" w:cs="Times New Roman"/>
          <w:szCs w:val="20"/>
          <w:lang w:eastAsia="en-AU"/>
        </w:rPr>
        <w:t xml:space="preserve"> a consistent concentration of enforcement costs each year </w:t>
      </w:r>
      <w:r w:rsidR="001438CB" w:rsidRPr="00947AD3">
        <w:rPr>
          <w:rFonts w:ascii="Calibri Light" w:eastAsia="Times New Roman" w:hAnsi="Calibri Light" w:cs="Times New Roman"/>
          <w:szCs w:val="20"/>
          <w:lang w:eastAsia="en-AU"/>
        </w:rPr>
        <w:t xml:space="preserve">have </w:t>
      </w:r>
      <w:r w:rsidR="00D86823" w:rsidRPr="00947AD3">
        <w:rPr>
          <w:rFonts w:ascii="Calibri Light" w:eastAsia="Times New Roman" w:hAnsi="Calibri Light" w:cs="Times New Roman"/>
          <w:szCs w:val="20"/>
          <w:lang w:eastAsia="en-AU"/>
        </w:rPr>
        <w:t>also experience</w:t>
      </w:r>
      <w:r w:rsidR="001438CB" w:rsidRPr="00947AD3">
        <w:rPr>
          <w:rFonts w:ascii="Calibri Light" w:eastAsia="Times New Roman" w:hAnsi="Calibri Light" w:cs="Times New Roman"/>
          <w:szCs w:val="20"/>
          <w:lang w:eastAsia="en-AU"/>
        </w:rPr>
        <w:t>d</w:t>
      </w:r>
      <w:r w:rsidR="00D86823" w:rsidRPr="00947AD3">
        <w:rPr>
          <w:rFonts w:ascii="Calibri Light" w:eastAsia="Times New Roman" w:hAnsi="Calibri Light" w:cs="Times New Roman"/>
          <w:szCs w:val="20"/>
          <w:lang w:eastAsia="en-AU"/>
        </w:rPr>
        <w:t xml:space="preserve"> consistent volatility in levies. </w:t>
      </w:r>
      <w:r w:rsidR="00947AD3" w:rsidRPr="00947AD3">
        <w:rPr>
          <w:rFonts w:ascii="Calibri Light" w:eastAsia="Times New Roman" w:hAnsi="Calibri Light" w:cs="Times New Roman"/>
          <w:szCs w:val="20"/>
          <w:lang w:eastAsia="en-AU"/>
        </w:rPr>
        <w:t>Enforcement activity has generally been concentrated to a small number of sub</w:t>
      </w:r>
      <w:r w:rsidR="00BD190B">
        <w:rPr>
          <w:rFonts w:ascii="Calibri Light" w:eastAsia="Times New Roman" w:hAnsi="Calibri Light" w:cs="Times New Roman"/>
          <w:szCs w:val="20"/>
          <w:lang w:eastAsia="en-AU"/>
        </w:rPr>
        <w:noBreakHyphen/>
      </w:r>
      <w:r w:rsidR="00947AD3" w:rsidRPr="00947AD3">
        <w:rPr>
          <w:rFonts w:ascii="Calibri Light" w:eastAsia="Times New Roman" w:hAnsi="Calibri Light" w:cs="Times New Roman"/>
          <w:szCs w:val="20"/>
          <w:lang w:eastAsia="en-AU"/>
        </w:rPr>
        <w:t>sectors, rather than being equally spread across all</w:t>
      </w:r>
      <w:r w:rsidR="00AE726B">
        <w:rPr>
          <w:rFonts w:ascii="Calibri Light" w:eastAsia="Times New Roman" w:hAnsi="Calibri Light" w:cs="Times New Roman"/>
          <w:szCs w:val="20"/>
          <w:lang w:eastAsia="en-AU"/>
        </w:rPr>
        <w:t xml:space="preserve"> </w:t>
      </w:r>
      <w:r w:rsidR="00947AD3" w:rsidRPr="00947AD3">
        <w:rPr>
          <w:rFonts w:ascii="Calibri Light" w:eastAsia="Times New Roman" w:hAnsi="Calibri Light" w:cs="Times New Roman"/>
          <w:szCs w:val="20"/>
          <w:lang w:eastAsia="en-AU"/>
        </w:rPr>
        <w:t>sub</w:t>
      </w:r>
      <w:r w:rsidR="00BD190B">
        <w:rPr>
          <w:rFonts w:ascii="Calibri Light" w:eastAsia="Times New Roman" w:hAnsi="Calibri Light" w:cs="Times New Roman"/>
          <w:szCs w:val="20"/>
          <w:lang w:eastAsia="en-AU"/>
        </w:rPr>
        <w:noBreakHyphen/>
      </w:r>
      <w:r w:rsidR="00947AD3" w:rsidRPr="00947AD3">
        <w:rPr>
          <w:rFonts w:ascii="Calibri Light" w:eastAsia="Times New Roman" w:hAnsi="Calibri Light" w:cs="Times New Roman"/>
          <w:szCs w:val="20"/>
          <w:lang w:eastAsia="en-AU"/>
        </w:rPr>
        <w:t>sectors. Since the commencement of the IFM, around 75 per cent of all enforcement costs have been recovered from less than 10 sub</w:t>
      </w:r>
      <w:r w:rsidR="00BD190B">
        <w:rPr>
          <w:rFonts w:ascii="Calibri Light" w:eastAsia="Times New Roman" w:hAnsi="Calibri Light" w:cs="Times New Roman"/>
          <w:szCs w:val="20"/>
          <w:lang w:eastAsia="en-AU"/>
        </w:rPr>
        <w:noBreakHyphen/>
      </w:r>
      <w:r w:rsidR="00947AD3" w:rsidRPr="00947AD3">
        <w:rPr>
          <w:rFonts w:ascii="Calibri Light" w:eastAsia="Times New Roman" w:hAnsi="Calibri Light" w:cs="Times New Roman"/>
          <w:szCs w:val="20"/>
          <w:lang w:eastAsia="en-AU"/>
        </w:rPr>
        <w:t>sectors, with around 90 per cent recovered from less than 20 sub</w:t>
      </w:r>
      <w:r w:rsidR="00BD190B">
        <w:rPr>
          <w:rFonts w:ascii="Calibri Light" w:eastAsia="Times New Roman" w:hAnsi="Calibri Light" w:cs="Times New Roman"/>
          <w:szCs w:val="20"/>
          <w:lang w:eastAsia="en-AU"/>
        </w:rPr>
        <w:noBreakHyphen/>
      </w:r>
      <w:r w:rsidR="00947AD3" w:rsidRPr="00947AD3">
        <w:rPr>
          <w:rFonts w:ascii="Calibri Light" w:eastAsia="Times New Roman" w:hAnsi="Calibri Light" w:cs="Times New Roman"/>
          <w:szCs w:val="20"/>
          <w:lang w:eastAsia="en-AU"/>
        </w:rPr>
        <w:t xml:space="preserve">sectors. </w:t>
      </w:r>
    </w:p>
    <w:p w14:paraId="669F43A2" w14:textId="3E13F337" w:rsidR="00C627ED" w:rsidRDefault="0051194B"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T</w:t>
      </w:r>
      <w:r w:rsidRPr="0051194B">
        <w:rPr>
          <w:rFonts w:ascii="Calibri Light" w:eastAsia="Times New Roman" w:hAnsi="Calibri Light" w:cs="Times New Roman"/>
          <w:szCs w:val="20"/>
          <w:lang w:eastAsia="en-AU"/>
        </w:rPr>
        <w:t>his could change going forward subject to ASIC</w:t>
      </w:r>
      <w:r w:rsidR="00BD190B">
        <w:rPr>
          <w:rFonts w:ascii="Calibri Light" w:eastAsia="Times New Roman" w:hAnsi="Calibri Light" w:cs="Times New Roman"/>
          <w:szCs w:val="20"/>
          <w:lang w:eastAsia="en-AU"/>
        </w:rPr>
        <w:t>’</w:t>
      </w:r>
      <w:r w:rsidRPr="0051194B">
        <w:rPr>
          <w:rFonts w:ascii="Calibri Light" w:eastAsia="Times New Roman" w:hAnsi="Calibri Light" w:cs="Times New Roman"/>
          <w:szCs w:val="20"/>
          <w:lang w:eastAsia="en-AU"/>
        </w:rPr>
        <w:t>s regulatory priorities</w:t>
      </w:r>
      <w:r>
        <w:rPr>
          <w:rFonts w:ascii="Calibri Light" w:eastAsia="Times New Roman" w:hAnsi="Calibri Light" w:cs="Times New Roman"/>
          <w:szCs w:val="20"/>
          <w:lang w:eastAsia="en-AU"/>
        </w:rPr>
        <w:t xml:space="preserve"> </w:t>
      </w:r>
      <w:r w:rsidRPr="0051194B">
        <w:rPr>
          <w:rFonts w:ascii="Calibri Light" w:eastAsia="Times New Roman" w:hAnsi="Calibri Light" w:cs="Times New Roman"/>
          <w:szCs w:val="20"/>
          <w:lang w:eastAsia="en-AU"/>
        </w:rPr>
        <w:t>which could divert resources and costs to other sub</w:t>
      </w:r>
      <w:r w:rsidR="00BD190B">
        <w:rPr>
          <w:rFonts w:ascii="Calibri Light" w:eastAsia="Times New Roman" w:hAnsi="Calibri Light" w:cs="Times New Roman"/>
          <w:szCs w:val="20"/>
          <w:lang w:eastAsia="en-AU"/>
        </w:rPr>
        <w:noBreakHyphen/>
      </w:r>
      <w:r w:rsidRPr="0051194B">
        <w:rPr>
          <w:rFonts w:ascii="Calibri Light" w:eastAsia="Times New Roman" w:hAnsi="Calibri Light" w:cs="Times New Roman"/>
          <w:szCs w:val="20"/>
          <w:lang w:eastAsia="en-AU"/>
        </w:rPr>
        <w:t>sectors.</w:t>
      </w:r>
    </w:p>
    <w:p w14:paraId="3713D987" w14:textId="63903F04" w:rsidR="006B5438" w:rsidRDefault="00001B40"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 xml:space="preserve">The Review has considered ways to manage </w:t>
      </w:r>
      <w:r w:rsidR="00652D05">
        <w:rPr>
          <w:rFonts w:ascii="Calibri Light" w:eastAsia="Times New Roman" w:hAnsi="Calibri Light" w:cs="Times New Roman"/>
          <w:szCs w:val="20"/>
          <w:lang w:eastAsia="en-AU"/>
        </w:rPr>
        <w:t>and reduce volatility in levy amounts</w:t>
      </w:r>
      <w:r w:rsidR="00F066D3">
        <w:rPr>
          <w:rFonts w:ascii="Calibri Light" w:eastAsia="Times New Roman" w:hAnsi="Calibri Light" w:cs="Times New Roman"/>
          <w:szCs w:val="20"/>
          <w:lang w:eastAsia="en-AU"/>
        </w:rPr>
        <w:t xml:space="preserve">. </w:t>
      </w:r>
      <w:r w:rsidR="00F066D3" w:rsidRPr="00F066D3">
        <w:rPr>
          <w:rFonts w:ascii="Calibri Light" w:eastAsia="Times New Roman" w:hAnsi="Calibri Light" w:cs="Times New Roman"/>
          <w:szCs w:val="20"/>
          <w:lang w:eastAsia="en-AU"/>
        </w:rPr>
        <w:t xml:space="preserve">Some </w:t>
      </w:r>
      <w:r w:rsidR="00021532">
        <w:rPr>
          <w:rFonts w:ascii="Calibri Light" w:eastAsia="Times New Roman" w:hAnsi="Calibri Light" w:cs="Times New Roman"/>
          <w:szCs w:val="20"/>
          <w:lang w:eastAsia="en-AU"/>
        </w:rPr>
        <w:t>g</w:t>
      </w:r>
      <w:r w:rsidR="00F066D3" w:rsidRPr="00F066D3">
        <w:rPr>
          <w:rFonts w:ascii="Calibri Light" w:eastAsia="Times New Roman" w:hAnsi="Calibri Light" w:cs="Times New Roman"/>
          <w:szCs w:val="20"/>
          <w:lang w:eastAsia="en-AU"/>
        </w:rPr>
        <w:t>overnment agencies have mechanisms built into their industry funding models to manage</w:t>
      </w:r>
      <w:r w:rsidR="00F066D3">
        <w:rPr>
          <w:rFonts w:ascii="Calibri Light" w:eastAsia="Times New Roman" w:hAnsi="Calibri Light" w:cs="Times New Roman"/>
          <w:szCs w:val="20"/>
          <w:lang w:eastAsia="en-AU"/>
        </w:rPr>
        <w:t xml:space="preserve"> </w:t>
      </w:r>
      <w:r w:rsidR="00F066D3" w:rsidRPr="00F066D3">
        <w:rPr>
          <w:rFonts w:ascii="Calibri Light" w:eastAsia="Times New Roman" w:hAnsi="Calibri Light" w:cs="Times New Roman"/>
          <w:szCs w:val="20"/>
          <w:lang w:eastAsia="en-AU"/>
        </w:rPr>
        <w:t>volatility in levy amounts by spreading costs over wider population groups or over time</w:t>
      </w:r>
      <w:r w:rsidR="00A80138">
        <w:rPr>
          <w:rFonts w:ascii="Calibri Light" w:eastAsia="Times New Roman" w:hAnsi="Calibri Light" w:cs="Times New Roman"/>
          <w:szCs w:val="20"/>
          <w:lang w:eastAsia="en-AU"/>
        </w:rPr>
        <w:t xml:space="preserve">. </w:t>
      </w:r>
    </w:p>
    <w:p w14:paraId="6FB368BA" w14:textId="0352BF7A" w:rsidR="00F677FD" w:rsidRPr="00F677FD" w:rsidRDefault="00A80138"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F677FD">
        <w:rPr>
          <w:rFonts w:ascii="Calibri Light" w:eastAsia="Times New Roman" w:hAnsi="Calibri Light" w:cs="Times New Roman"/>
          <w:szCs w:val="20"/>
          <w:lang w:eastAsia="en-AU"/>
        </w:rPr>
        <w:t xml:space="preserve">Within the ASIC IFM, costs relating to the ESA </w:t>
      </w:r>
      <w:r w:rsidR="00F677FD" w:rsidRPr="00F677FD">
        <w:rPr>
          <w:rFonts w:ascii="Calibri Light" w:eastAsia="Times New Roman" w:hAnsi="Calibri Light" w:cs="Times New Roman"/>
          <w:szCs w:val="20"/>
          <w:lang w:eastAsia="en-AU"/>
        </w:rPr>
        <w:t xml:space="preserve">are recovered using a </w:t>
      </w:r>
      <w:r w:rsidR="00F677FD" w:rsidRPr="00F677FD">
        <w:rPr>
          <w:rFonts w:ascii="Calibri Light" w:eastAsia="Times New Roman" w:hAnsi="Calibri Light" w:cs="Calibri Light"/>
          <w:lang w:eastAsia="en-AU"/>
        </w:rPr>
        <w:t>3</w:t>
      </w:r>
      <w:r w:rsidR="00BD190B">
        <w:rPr>
          <w:rFonts w:ascii="Calibri Light" w:eastAsia="Times New Roman" w:hAnsi="Calibri Light" w:cs="Calibri Light"/>
          <w:lang w:eastAsia="en-AU"/>
        </w:rPr>
        <w:noBreakHyphen/>
      </w:r>
      <w:r w:rsidR="00F677FD" w:rsidRPr="00F677FD">
        <w:rPr>
          <w:rFonts w:ascii="Calibri Light" w:eastAsia="Times New Roman" w:hAnsi="Calibri Light" w:cs="Calibri Light"/>
          <w:lang w:eastAsia="en-AU"/>
        </w:rPr>
        <w:t>year rolling average. This approach has reduced levy volatility at a sub</w:t>
      </w:r>
      <w:r w:rsidR="00BD190B">
        <w:rPr>
          <w:rFonts w:ascii="Calibri Light" w:eastAsia="Times New Roman" w:hAnsi="Calibri Light" w:cs="Calibri Light"/>
          <w:lang w:eastAsia="en-AU"/>
        </w:rPr>
        <w:noBreakHyphen/>
      </w:r>
      <w:r w:rsidR="00F677FD" w:rsidRPr="00F677FD">
        <w:rPr>
          <w:rFonts w:ascii="Calibri Light" w:eastAsia="Times New Roman" w:hAnsi="Calibri Light" w:cs="Calibri Light"/>
          <w:lang w:eastAsia="en-AU"/>
        </w:rPr>
        <w:t xml:space="preserve">sector level compared to if the costs been recovered in the year in which the enforcement expenses were incurred. </w:t>
      </w:r>
    </w:p>
    <w:p w14:paraId="3A76C7CC" w14:textId="47D25B68" w:rsidR="006B5438" w:rsidRDefault="006B5438"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6B5438">
        <w:rPr>
          <w:rFonts w:ascii="Calibri Light" w:eastAsia="Times New Roman" w:hAnsi="Calibri Light" w:cs="Times New Roman"/>
          <w:szCs w:val="20"/>
          <w:lang w:eastAsia="en-AU"/>
        </w:rPr>
        <w:t>There are various ways costs could be spread in the ASIC IFM to help manage or reduce volatility.</w:t>
      </w:r>
      <w:r>
        <w:rPr>
          <w:rFonts w:ascii="Calibri Light" w:eastAsia="Times New Roman" w:hAnsi="Calibri Light" w:cs="Times New Roman"/>
          <w:szCs w:val="20"/>
          <w:lang w:eastAsia="en-AU"/>
        </w:rPr>
        <w:t xml:space="preserve"> </w:t>
      </w:r>
      <w:r w:rsidRPr="006B5438">
        <w:rPr>
          <w:rFonts w:ascii="Calibri Light" w:eastAsia="Times New Roman" w:hAnsi="Calibri Light" w:cs="Times New Roman"/>
          <w:szCs w:val="20"/>
          <w:lang w:eastAsia="en-AU"/>
        </w:rPr>
        <w:t>For example, spreading costs over time, across a wider population or only spreading certain volatile</w:t>
      </w:r>
      <w:r>
        <w:rPr>
          <w:rFonts w:ascii="Calibri Light" w:eastAsia="Times New Roman" w:hAnsi="Calibri Light" w:cs="Times New Roman"/>
          <w:szCs w:val="20"/>
          <w:lang w:eastAsia="en-AU"/>
        </w:rPr>
        <w:t xml:space="preserve"> </w:t>
      </w:r>
      <w:r w:rsidRPr="006B5438">
        <w:rPr>
          <w:rFonts w:ascii="Calibri Light" w:eastAsia="Times New Roman" w:hAnsi="Calibri Light" w:cs="Times New Roman"/>
          <w:szCs w:val="20"/>
          <w:lang w:eastAsia="en-AU"/>
        </w:rPr>
        <w:t>costs such as enforcement costs</w:t>
      </w:r>
      <w:r w:rsidR="00F72AD0">
        <w:rPr>
          <w:rFonts w:ascii="Calibri Light" w:eastAsia="Times New Roman" w:hAnsi="Calibri Light" w:cs="Times New Roman"/>
          <w:szCs w:val="20"/>
          <w:lang w:eastAsia="en-AU"/>
        </w:rPr>
        <w:t xml:space="preserve">. </w:t>
      </w:r>
    </w:p>
    <w:p w14:paraId="6978F922" w14:textId="57AC9755" w:rsidR="00DB7BAB" w:rsidRPr="006929CB" w:rsidRDefault="00DB7BAB"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6B5438">
        <w:rPr>
          <w:rFonts w:ascii="Calibri Light" w:eastAsia="Times New Roman" w:hAnsi="Calibri Light" w:cs="Times New Roman"/>
          <w:szCs w:val="20"/>
          <w:lang w:eastAsia="en-AU"/>
        </w:rPr>
        <w:t>This would result in increased cross</w:t>
      </w:r>
      <w:r w:rsidR="00BD190B">
        <w:rPr>
          <w:rFonts w:ascii="Calibri Light" w:eastAsia="Times New Roman" w:hAnsi="Calibri Light" w:cs="Times New Roman"/>
          <w:szCs w:val="20"/>
          <w:lang w:eastAsia="en-AU"/>
        </w:rPr>
        <w:noBreakHyphen/>
      </w:r>
      <w:r w:rsidRPr="006B5438">
        <w:rPr>
          <w:rFonts w:ascii="Calibri Light" w:eastAsia="Times New Roman" w:hAnsi="Calibri Light" w:cs="Times New Roman"/>
          <w:szCs w:val="20"/>
          <w:lang w:eastAsia="en-AU"/>
        </w:rPr>
        <w:t>subsidisation over time or across different parts of ASIC</w:t>
      </w:r>
      <w:r w:rsidR="00BD190B">
        <w:rPr>
          <w:rFonts w:ascii="Calibri Light" w:eastAsia="Times New Roman" w:hAnsi="Calibri Light" w:cs="Times New Roman"/>
          <w:szCs w:val="20"/>
          <w:lang w:eastAsia="en-AU"/>
        </w:rPr>
        <w:t>’</w:t>
      </w:r>
      <w:r w:rsidRPr="006B5438">
        <w:rPr>
          <w:rFonts w:ascii="Calibri Light" w:eastAsia="Times New Roman" w:hAnsi="Calibri Light" w:cs="Times New Roman"/>
          <w:szCs w:val="20"/>
          <w:lang w:eastAsia="en-AU"/>
        </w:rPr>
        <w:t>s</w:t>
      </w:r>
      <w:r>
        <w:rPr>
          <w:rFonts w:ascii="Calibri Light" w:eastAsia="Times New Roman" w:hAnsi="Calibri Light" w:cs="Times New Roman"/>
          <w:szCs w:val="20"/>
          <w:lang w:eastAsia="en-AU"/>
        </w:rPr>
        <w:t xml:space="preserve"> </w:t>
      </w:r>
      <w:r w:rsidRPr="00D61A6A">
        <w:rPr>
          <w:rFonts w:ascii="Calibri Light" w:eastAsia="Times New Roman" w:hAnsi="Calibri Light" w:cs="Times New Roman"/>
          <w:szCs w:val="20"/>
          <w:lang w:eastAsia="en-AU"/>
        </w:rPr>
        <w:t>regulated population. That is, introducing this approach to manage volatility in levy amounts would</w:t>
      </w:r>
      <w:r w:rsidRPr="000B3024">
        <w:rPr>
          <w:rFonts w:ascii="Calibri Light" w:eastAsia="Times New Roman" w:hAnsi="Calibri Light" w:cs="Times New Roman"/>
          <w:szCs w:val="20"/>
          <w:lang w:eastAsia="en-AU"/>
        </w:rPr>
        <w:t xml:space="preserve"> </w:t>
      </w:r>
      <w:r w:rsidRPr="00126F89">
        <w:rPr>
          <w:rFonts w:ascii="Calibri Light" w:eastAsia="Times New Roman" w:hAnsi="Calibri Light" w:cs="Times New Roman"/>
          <w:szCs w:val="20"/>
          <w:lang w:eastAsia="en-AU"/>
        </w:rPr>
        <w:t>change where the cost burden sits and would result in entities paying for the cost of regulation for</w:t>
      </w:r>
      <w:r>
        <w:rPr>
          <w:rFonts w:ascii="Calibri Light" w:eastAsia="Times New Roman" w:hAnsi="Calibri Light" w:cs="Times New Roman"/>
          <w:szCs w:val="20"/>
          <w:lang w:eastAsia="en-AU"/>
        </w:rPr>
        <w:t xml:space="preserve"> </w:t>
      </w:r>
      <w:r w:rsidRPr="00126F89">
        <w:rPr>
          <w:rFonts w:ascii="Calibri Light" w:eastAsia="Times New Roman" w:hAnsi="Calibri Light" w:cs="Times New Roman"/>
          <w:szCs w:val="20"/>
          <w:lang w:eastAsia="en-AU"/>
        </w:rPr>
        <w:t>entities in the past or other entities across industry.</w:t>
      </w:r>
      <w:r w:rsidRPr="00DE576E">
        <w:rPr>
          <w:rFonts w:ascii="Calibri Light" w:eastAsia="Times New Roman" w:hAnsi="Calibri Light" w:cs="Times New Roman"/>
          <w:szCs w:val="20"/>
          <w:lang w:eastAsia="en-AU"/>
        </w:rPr>
        <w:t xml:space="preserve"> </w:t>
      </w:r>
      <w:r w:rsidR="006B0B42">
        <w:rPr>
          <w:rFonts w:ascii="Calibri Light" w:eastAsia="Times New Roman" w:hAnsi="Calibri Light" w:cs="Times New Roman"/>
          <w:szCs w:val="20"/>
          <w:lang w:eastAsia="en-AU"/>
        </w:rPr>
        <w:t>A</w:t>
      </w:r>
      <w:r w:rsidRPr="00DB7BAB">
        <w:rPr>
          <w:rFonts w:ascii="Calibri Light" w:eastAsia="Times New Roman" w:hAnsi="Calibri Light" w:cs="Times New Roman"/>
          <w:szCs w:val="20"/>
          <w:lang w:eastAsia="en-AU"/>
        </w:rPr>
        <w:t>ny approach taken to spread costs would result in</w:t>
      </w:r>
      <w:r>
        <w:rPr>
          <w:rFonts w:ascii="Calibri Light" w:eastAsia="Times New Roman" w:hAnsi="Calibri Light" w:cs="Times New Roman"/>
          <w:szCs w:val="20"/>
          <w:lang w:eastAsia="en-AU"/>
        </w:rPr>
        <w:t xml:space="preserve"> </w:t>
      </w:r>
      <w:r w:rsidRPr="00DB7BAB">
        <w:rPr>
          <w:rFonts w:ascii="Calibri Light" w:eastAsia="Times New Roman" w:hAnsi="Calibri Light" w:cs="Times New Roman"/>
          <w:szCs w:val="20"/>
          <w:lang w:eastAsia="en-AU"/>
        </w:rPr>
        <w:t xml:space="preserve">either a levy reduction or increase for different entities relative to </w:t>
      </w:r>
      <w:r w:rsidRPr="006929CB">
        <w:rPr>
          <w:rFonts w:ascii="Calibri Light" w:eastAsia="Times New Roman" w:hAnsi="Calibri Light" w:cs="Times New Roman"/>
          <w:szCs w:val="20"/>
          <w:lang w:eastAsia="en-AU"/>
        </w:rPr>
        <w:t>the current approach.</w:t>
      </w:r>
    </w:p>
    <w:p w14:paraId="2A41CB16" w14:textId="20817CB4" w:rsidR="001A1188" w:rsidRPr="006929CB" w:rsidRDefault="00D61A6A"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6929CB">
        <w:rPr>
          <w:rFonts w:ascii="Calibri Light" w:eastAsia="Times New Roman" w:hAnsi="Calibri Light" w:cs="Times New Roman"/>
          <w:szCs w:val="20"/>
          <w:lang w:eastAsia="en-AU"/>
        </w:rPr>
        <w:t xml:space="preserve">As part of the Review process, ASIC analysed </w:t>
      </w:r>
      <w:r w:rsidR="00E05061" w:rsidRPr="006929CB">
        <w:rPr>
          <w:rFonts w:ascii="Calibri Light" w:eastAsia="Times New Roman" w:hAnsi="Calibri Light" w:cs="Times New Roman"/>
          <w:szCs w:val="20"/>
          <w:lang w:eastAsia="en-AU"/>
        </w:rPr>
        <w:t xml:space="preserve">various </w:t>
      </w:r>
      <w:r w:rsidR="00792AF9" w:rsidRPr="006929CB">
        <w:rPr>
          <w:rFonts w:ascii="Calibri Light" w:eastAsia="Times New Roman" w:hAnsi="Calibri Light" w:cs="Times New Roman"/>
          <w:szCs w:val="20"/>
          <w:lang w:eastAsia="en-AU"/>
        </w:rPr>
        <w:t xml:space="preserve">alternative cost recovery approaches </w:t>
      </w:r>
      <w:r w:rsidR="00F22FD4" w:rsidRPr="006929CB">
        <w:rPr>
          <w:rFonts w:ascii="Calibri Light" w:eastAsia="Times New Roman" w:hAnsi="Calibri Light" w:cs="Times New Roman"/>
          <w:szCs w:val="20"/>
          <w:lang w:eastAsia="en-AU"/>
        </w:rPr>
        <w:t>to spread costs across a wider population and the outcomes</w:t>
      </w:r>
      <w:r w:rsidR="008F2039" w:rsidRPr="006929CB">
        <w:rPr>
          <w:rFonts w:ascii="Calibri Light" w:eastAsia="Times New Roman" w:hAnsi="Calibri Light" w:cs="Times New Roman"/>
          <w:szCs w:val="20"/>
          <w:lang w:eastAsia="en-AU"/>
        </w:rPr>
        <w:t xml:space="preserve"> on volatility</w:t>
      </w:r>
      <w:r w:rsidR="00F22FD4" w:rsidRPr="006929CB">
        <w:rPr>
          <w:rFonts w:ascii="Calibri Light" w:eastAsia="Times New Roman" w:hAnsi="Calibri Light" w:cs="Times New Roman"/>
          <w:szCs w:val="20"/>
          <w:lang w:eastAsia="en-AU"/>
        </w:rPr>
        <w:t xml:space="preserve">. ASIC focussed </w:t>
      </w:r>
      <w:r w:rsidR="008F2039" w:rsidRPr="006929CB">
        <w:rPr>
          <w:rFonts w:ascii="Calibri Light" w:eastAsia="Times New Roman" w:hAnsi="Calibri Light" w:cs="Times New Roman"/>
          <w:szCs w:val="20"/>
          <w:lang w:eastAsia="en-AU"/>
        </w:rPr>
        <w:t xml:space="preserve">on spreading enforcement costs, the key contributor to volatility across years. </w:t>
      </w:r>
    </w:p>
    <w:p w14:paraId="3C3D9514" w14:textId="2B594A25" w:rsidR="00077AC1" w:rsidRPr="006929CB" w:rsidRDefault="008A2E3D" w:rsidP="004871A2">
      <w:pPr>
        <w:pStyle w:val="numberedtext"/>
        <w:numPr>
          <w:ilvl w:val="0"/>
          <w:numId w:val="15"/>
        </w:numPr>
        <w:tabs>
          <w:tab w:val="left" w:pos="709"/>
        </w:tabs>
        <w:ind w:hanging="720"/>
        <w:rPr>
          <w:rFonts w:ascii="Calibri Light" w:eastAsia="Times New Roman" w:hAnsi="Calibri Light" w:cs="Times New Roman"/>
          <w:szCs w:val="20"/>
          <w:lang w:eastAsia="en-AU"/>
        </w:rPr>
      </w:pPr>
      <w:r w:rsidRPr="006929CB">
        <w:rPr>
          <w:rFonts w:ascii="Calibri Light" w:eastAsia="Times New Roman" w:hAnsi="Calibri Light" w:cs="Times New Roman"/>
          <w:szCs w:val="20"/>
          <w:lang w:eastAsia="en-AU"/>
        </w:rPr>
        <w:t>This analysis</w:t>
      </w:r>
      <w:r w:rsidR="001A1188" w:rsidRPr="006929CB">
        <w:rPr>
          <w:rFonts w:ascii="Calibri Light" w:eastAsia="Times New Roman" w:hAnsi="Calibri Light" w:cs="Times New Roman"/>
          <w:szCs w:val="20"/>
          <w:lang w:eastAsia="en-AU"/>
        </w:rPr>
        <w:t xml:space="preserve"> was based on the costs being spread across a wider population but being recovered at a sub</w:t>
      </w:r>
      <w:r w:rsidR="00BD190B">
        <w:rPr>
          <w:rFonts w:ascii="Calibri Light" w:eastAsia="Times New Roman" w:hAnsi="Calibri Light" w:cs="Times New Roman"/>
          <w:szCs w:val="20"/>
          <w:lang w:eastAsia="en-AU"/>
        </w:rPr>
        <w:noBreakHyphen/>
      </w:r>
      <w:r w:rsidR="001A1188" w:rsidRPr="006929CB">
        <w:rPr>
          <w:rFonts w:ascii="Calibri Light" w:eastAsia="Times New Roman" w:hAnsi="Calibri Light" w:cs="Times New Roman"/>
          <w:szCs w:val="20"/>
          <w:lang w:eastAsia="en-AU"/>
        </w:rPr>
        <w:t xml:space="preserve">sector level using the current levy metrics and formulas. This is because ASIC does not have a standardised metric which it </w:t>
      </w:r>
      <w:r w:rsidRPr="006929CB">
        <w:rPr>
          <w:rFonts w:ascii="Calibri Light" w:eastAsia="Times New Roman" w:hAnsi="Calibri Light" w:cs="Times New Roman"/>
          <w:szCs w:val="20"/>
          <w:lang w:eastAsia="en-AU"/>
        </w:rPr>
        <w:t>could apply to all of ASIC</w:t>
      </w:r>
      <w:r w:rsidR="00BD190B">
        <w:rPr>
          <w:rFonts w:ascii="Calibri Light" w:eastAsia="Times New Roman" w:hAnsi="Calibri Light" w:cs="Times New Roman"/>
          <w:szCs w:val="20"/>
          <w:lang w:eastAsia="en-AU"/>
        </w:rPr>
        <w:t>’</w:t>
      </w:r>
      <w:r w:rsidRPr="006929CB">
        <w:rPr>
          <w:rFonts w:ascii="Calibri Light" w:eastAsia="Times New Roman" w:hAnsi="Calibri Light" w:cs="Times New Roman"/>
          <w:szCs w:val="20"/>
          <w:lang w:eastAsia="en-AU"/>
        </w:rPr>
        <w:t>s regulated populatio</w:t>
      </w:r>
      <w:r w:rsidR="00134C37" w:rsidRPr="006929CB">
        <w:rPr>
          <w:rFonts w:ascii="Calibri Light" w:eastAsia="Times New Roman" w:hAnsi="Calibri Light" w:cs="Times New Roman"/>
          <w:szCs w:val="20"/>
          <w:lang w:eastAsia="en-AU"/>
        </w:rPr>
        <w:t>n</w:t>
      </w:r>
      <w:r w:rsidR="00A76D0E">
        <w:rPr>
          <w:rFonts w:ascii="Calibri Light" w:eastAsia="Times New Roman" w:hAnsi="Calibri Light" w:cs="Times New Roman"/>
          <w:szCs w:val="20"/>
          <w:lang w:eastAsia="en-AU"/>
        </w:rPr>
        <w:t xml:space="preserve"> to apportion costs and calculate levy amounts</w:t>
      </w:r>
      <w:r w:rsidRPr="006929CB">
        <w:rPr>
          <w:rFonts w:ascii="Calibri Light" w:eastAsia="Times New Roman" w:hAnsi="Calibri Light" w:cs="Times New Roman"/>
          <w:szCs w:val="20"/>
          <w:lang w:eastAsia="en-AU"/>
        </w:rPr>
        <w:t xml:space="preserve">. </w:t>
      </w:r>
      <w:r w:rsidR="00077AC1" w:rsidRPr="006929CB">
        <w:rPr>
          <w:rFonts w:ascii="Calibri Light" w:eastAsia="Times New Roman" w:hAnsi="Calibri Light" w:cs="Times New Roman"/>
          <w:szCs w:val="20"/>
          <w:lang w:eastAsia="en-AU"/>
        </w:rPr>
        <w:t xml:space="preserve">Because of this, </w:t>
      </w:r>
      <w:r w:rsidR="00134C37" w:rsidRPr="006929CB">
        <w:rPr>
          <w:rFonts w:ascii="Calibri Light" w:eastAsia="Times New Roman" w:hAnsi="Calibri Light" w:cs="Times New Roman"/>
          <w:szCs w:val="20"/>
          <w:lang w:eastAsia="en-AU"/>
        </w:rPr>
        <w:t>the outcomes on volatility by spreading costs within the current framework does not substantially change</w:t>
      </w:r>
      <w:r w:rsidR="004871A2" w:rsidRPr="006929CB">
        <w:rPr>
          <w:rFonts w:ascii="Calibri Light" w:eastAsia="Times New Roman" w:hAnsi="Calibri Light" w:cs="Times New Roman"/>
          <w:szCs w:val="20"/>
          <w:lang w:eastAsia="en-AU"/>
        </w:rPr>
        <w:t xml:space="preserve"> </w:t>
      </w:r>
      <w:r w:rsidR="006F47FD">
        <w:rPr>
          <w:rFonts w:ascii="Calibri Light" w:eastAsia="Times New Roman" w:hAnsi="Calibri Light" w:cs="Times New Roman"/>
          <w:szCs w:val="20"/>
          <w:lang w:eastAsia="en-AU"/>
        </w:rPr>
        <w:t>or improve vol</w:t>
      </w:r>
      <w:r w:rsidR="006B2EB3">
        <w:rPr>
          <w:rFonts w:ascii="Calibri Light" w:eastAsia="Times New Roman" w:hAnsi="Calibri Light" w:cs="Times New Roman"/>
          <w:szCs w:val="20"/>
          <w:lang w:eastAsia="en-AU"/>
        </w:rPr>
        <w:t xml:space="preserve">atility </w:t>
      </w:r>
      <w:r w:rsidR="004871A2" w:rsidRPr="006929CB">
        <w:rPr>
          <w:rFonts w:ascii="Calibri Light" w:eastAsia="Times New Roman" w:hAnsi="Calibri Light" w:cs="Times New Roman"/>
          <w:szCs w:val="20"/>
          <w:lang w:eastAsia="en-AU"/>
        </w:rPr>
        <w:t>relative to the current approach.</w:t>
      </w:r>
    </w:p>
    <w:p w14:paraId="129796F6" w14:textId="441B4204" w:rsidR="007A6A37" w:rsidRDefault="00F75AA2" w:rsidP="0037599B">
      <w:pPr>
        <w:pStyle w:val="numberedtext"/>
        <w:numPr>
          <w:ilvl w:val="0"/>
          <w:numId w:val="15"/>
        </w:numPr>
        <w:tabs>
          <w:tab w:val="left" w:pos="709"/>
        </w:tabs>
        <w:ind w:hanging="720"/>
        <w:rPr>
          <w:rFonts w:ascii="Calibri Light" w:eastAsia="Times New Roman" w:hAnsi="Calibri Light" w:cs="Times New Roman"/>
          <w:lang w:eastAsia="en-AU"/>
        </w:rPr>
      </w:pPr>
      <w:r w:rsidRPr="53E134C6">
        <w:rPr>
          <w:rFonts w:ascii="Calibri Light" w:eastAsia="Times New Roman" w:hAnsi="Calibri Light" w:cs="Times New Roman"/>
          <w:lang w:eastAsia="en-AU"/>
        </w:rPr>
        <w:lastRenderedPageBreak/>
        <w:t xml:space="preserve">Options to spread costs over time or over a wider population were not generally supported by stakeholders, primarily because this approach moved further away from the principle of </w:t>
      </w:r>
      <w:r w:rsidR="00BD190B">
        <w:rPr>
          <w:rFonts w:ascii="Calibri Light" w:eastAsia="Times New Roman" w:hAnsi="Calibri Light" w:cs="Times New Roman"/>
          <w:lang w:eastAsia="en-AU"/>
        </w:rPr>
        <w:t>‘</w:t>
      </w:r>
      <w:r w:rsidRPr="53E134C6">
        <w:rPr>
          <w:rFonts w:ascii="Calibri Light" w:eastAsia="Times New Roman" w:hAnsi="Calibri Light" w:cs="Times New Roman"/>
          <w:lang w:eastAsia="en-AU"/>
        </w:rPr>
        <w:t>those that cause the need for regulation, should generally be charged for it</w:t>
      </w:r>
      <w:r w:rsidR="00BD190B">
        <w:rPr>
          <w:rFonts w:ascii="Calibri Light" w:eastAsia="Times New Roman" w:hAnsi="Calibri Light" w:cs="Times New Roman"/>
          <w:lang w:eastAsia="en-AU"/>
        </w:rPr>
        <w:t>’</w:t>
      </w:r>
      <w:r w:rsidRPr="53E134C6">
        <w:rPr>
          <w:rFonts w:ascii="Calibri Light" w:eastAsia="Times New Roman" w:hAnsi="Calibri Light" w:cs="Times New Roman"/>
          <w:lang w:eastAsia="en-AU"/>
        </w:rPr>
        <w:t>.</w:t>
      </w:r>
    </w:p>
    <w:p w14:paraId="69F184F4" w14:textId="0411A29F" w:rsidR="00665A86" w:rsidRDefault="00F75AA2" w:rsidP="0037599B">
      <w:pPr>
        <w:pStyle w:val="numberedtext"/>
        <w:numPr>
          <w:ilvl w:val="0"/>
          <w:numId w:val="15"/>
        </w:numPr>
        <w:tabs>
          <w:tab w:val="left" w:pos="709"/>
        </w:tabs>
        <w:ind w:hanging="720"/>
        <w:rPr>
          <w:rFonts w:ascii="Calibri Light" w:eastAsia="Times New Roman" w:hAnsi="Calibri Light" w:cs="Times New Roman"/>
          <w:lang w:eastAsia="en-AU"/>
        </w:rPr>
      </w:pPr>
      <w:r w:rsidRPr="007A6A37">
        <w:rPr>
          <w:rFonts w:ascii="Calibri Light" w:eastAsia="Times New Roman" w:hAnsi="Calibri Light" w:cs="Times New Roman"/>
          <w:lang w:eastAsia="en-AU"/>
        </w:rPr>
        <w:t xml:space="preserve">Stakeholders </w:t>
      </w:r>
      <w:r w:rsidR="00A045EF">
        <w:rPr>
          <w:rFonts w:ascii="Calibri Light" w:eastAsia="Times New Roman" w:hAnsi="Calibri Light" w:cs="Times New Roman"/>
          <w:lang w:eastAsia="en-AU"/>
        </w:rPr>
        <w:t>have suggested removing</w:t>
      </w:r>
      <w:r w:rsidRPr="007A6A37">
        <w:rPr>
          <w:rFonts w:ascii="Calibri Light" w:eastAsia="Times New Roman" w:hAnsi="Calibri Light" w:cs="Times New Roman"/>
          <w:lang w:eastAsia="en-AU"/>
        </w:rPr>
        <w:t xml:space="preserve"> certain costs to reduce volatility, in particular enforcement costs. The Review notes that while the removal of enforcement costs would reduce volatility, it would not eliminate it completely and volatility would remain</w:t>
      </w:r>
      <w:r w:rsidR="00730B1C">
        <w:rPr>
          <w:rFonts w:ascii="Calibri Light" w:eastAsia="Times New Roman" w:hAnsi="Calibri Light" w:cs="Times New Roman"/>
          <w:lang w:eastAsia="en-AU"/>
        </w:rPr>
        <w:t xml:space="preserve"> as ASIC</w:t>
      </w:r>
      <w:r w:rsidR="00BD190B">
        <w:rPr>
          <w:rFonts w:ascii="Calibri Light" w:eastAsia="Times New Roman" w:hAnsi="Calibri Light" w:cs="Times New Roman"/>
          <w:lang w:eastAsia="en-AU"/>
        </w:rPr>
        <w:t>’</w:t>
      </w:r>
      <w:r w:rsidR="00730B1C">
        <w:rPr>
          <w:rFonts w:ascii="Calibri Light" w:eastAsia="Times New Roman" w:hAnsi="Calibri Light" w:cs="Times New Roman"/>
          <w:lang w:eastAsia="en-AU"/>
        </w:rPr>
        <w:t xml:space="preserve">s other regulatory activities </w:t>
      </w:r>
      <w:r w:rsidR="00FE4685">
        <w:rPr>
          <w:rFonts w:ascii="Calibri Light" w:eastAsia="Times New Roman" w:hAnsi="Calibri Light" w:cs="Times New Roman"/>
          <w:lang w:eastAsia="en-AU"/>
        </w:rPr>
        <w:t>are subject to change year</w:t>
      </w:r>
      <w:r w:rsidR="00BD190B">
        <w:rPr>
          <w:rFonts w:ascii="Calibri Light" w:eastAsia="Times New Roman" w:hAnsi="Calibri Light" w:cs="Times New Roman"/>
          <w:lang w:eastAsia="en-AU"/>
        </w:rPr>
        <w:noBreakHyphen/>
      </w:r>
      <w:r w:rsidR="00FE4685">
        <w:rPr>
          <w:rFonts w:ascii="Calibri Light" w:eastAsia="Times New Roman" w:hAnsi="Calibri Light" w:cs="Times New Roman"/>
          <w:lang w:eastAsia="en-AU"/>
        </w:rPr>
        <w:t>on</w:t>
      </w:r>
      <w:r w:rsidR="00BD190B">
        <w:rPr>
          <w:rFonts w:ascii="Calibri Light" w:eastAsia="Times New Roman" w:hAnsi="Calibri Light" w:cs="Times New Roman"/>
          <w:lang w:eastAsia="en-AU"/>
        </w:rPr>
        <w:noBreakHyphen/>
      </w:r>
      <w:r w:rsidR="00FE4685">
        <w:rPr>
          <w:rFonts w:ascii="Calibri Light" w:eastAsia="Times New Roman" w:hAnsi="Calibri Light" w:cs="Times New Roman"/>
          <w:lang w:eastAsia="en-AU"/>
        </w:rPr>
        <w:t>year</w:t>
      </w:r>
      <w:r w:rsidRPr="007A6A37">
        <w:rPr>
          <w:rFonts w:ascii="Calibri Light" w:eastAsia="Times New Roman" w:hAnsi="Calibri Light" w:cs="Times New Roman"/>
          <w:lang w:eastAsia="en-AU"/>
        </w:rPr>
        <w:t xml:space="preserve">. Additionally, the removal of costs from the IFM would not align with </w:t>
      </w:r>
      <w:r w:rsidR="00021532">
        <w:rPr>
          <w:rFonts w:ascii="Calibri Light" w:eastAsia="Times New Roman" w:hAnsi="Calibri Light" w:cs="Times New Roman"/>
          <w:lang w:eastAsia="en-AU"/>
        </w:rPr>
        <w:t>g</w:t>
      </w:r>
      <w:r w:rsidRPr="007A6A37">
        <w:rPr>
          <w:rFonts w:ascii="Calibri Light" w:eastAsia="Times New Roman" w:hAnsi="Calibri Light" w:cs="Times New Roman"/>
          <w:lang w:eastAsia="en-AU"/>
        </w:rPr>
        <w:t>overnments</w:t>
      </w:r>
      <w:r w:rsidR="00BD190B">
        <w:rPr>
          <w:rFonts w:ascii="Calibri Light" w:eastAsia="Times New Roman" w:hAnsi="Calibri Light" w:cs="Times New Roman"/>
          <w:lang w:eastAsia="en-AU"/>
        </w:rPr>
        <w:t>’</w:t>
      </w:r>
      <w:r w:rsidRPr="007A6A37">
        <w:rPr>
          <w:rFonts w:ascii="Calibri Light" w:eastAsia="Times New Roman" w:hAnsi="Calibri Light" w:cs="Times New Roman"/>
          <w:lang w:eastAsia="en-AU"/>
        </w:rPr>
        <w:t xml:space="preserve"> long</w:t>
      </w:r>
      <w:r w:rsidR="00BD190B">
        <w:rPr>
          <w:rFonts w:ascii="Calibri Light" w:eastAsia="Times New Roman" w:hAnsi="Calibri Light" w:cs="Times New Roman"/>
          <w:lang w:eastAsia="en-AU"/>
        </w:rPr>
        <w:noBreakHyphen/>
      </w:r>
      <w:r w:rsidRPr="007A6A37">
        <w:rPr>
          <w:rFonts w:ascii="Calibri Light" w:eastAsia="Times New Roman" w:hAnsi="Calibri Light" w:cs="Times New Roman"/>
          <w:lang w:eastAsia="en-AU"/>
        </w:rPr>
        <w:t>standing position that cost recovery levies and fees are considered as a funding mechanism prior to budget funding – see Chapter 2.</w:t>
      </w:r>
    </w:p>
    <w:p w14:paraId="3A3A5068" w14:textId="77777777" w:rsidR="007A6A37" w:rsidRPr="007A6A37" w:rsidRDefault="007A6A37" w:rsidP="008F2119">
      <w:pPr>
        <w:pStyle w:val="SingleParagraph"/>
      </w:pPr>
    </w:p>
    <w:tbl>
      <w:tblPr>
        <w:tblStyle w:val="Style1"/>
        <w:tblpPr w:leftFromText="180" w:rightFromText="180" w:vertAnchor="text" w:horzAnchor="margin" w:tblpXSpec="center" w:tblpY="-50"/>
        <w:tblW w:w="4771" w:type="pct"/>
        <w:tblLook w:val="04A0" w:firstRow="1" w:lastRow="0" w:firstColumn="1" w:lastColumn="0" w:noHBand="0" w:noVBand="1"/>
      </w:tblPr>
      <w:tblGrid>
        <w:gridCol w:w="8657"/>
      </w:tblGrid>
      <w:tr w:rsidR="00665A86" w:rsidRPr="00863059" w14:paraId="50F430CE" w14:textId="77777777" w:rsidTr="007D3412">
        <w:trPr>
          <w:trHeight w:val="823"/>
        </w:trPr>
        <w:tc>
          <w:tcPr>
            <w:tcW w:w="5000" w:type="pct"/>
          </w:tcPr>
          <w:p w14:paraId="718681EB" w14:textId="77777777" w:rsidR="00665A86" w:rsidRPr="0032739E" w:rsidRDefault="00665A86" w:rsidP="009F75E0">
            <w:pPr>
              <w:pStyle w:val="BoxHeading"/>
            </w:pPr>
            <w:r w:rsidRPr="0032739E">
              <w:t xml:space="preserve">Key </w:t>
            </w:r>
            <w:r w:rsidRPr="009F75E0">
              <w:t>finding</w:t>
            </w:r>
          </w:p>
          <w:p w14:paraId="5033092F" w14:textId="78F3C607" w:rsidR="00665A86" w:rsidRPr="0032739E" w:rsidRDefault="007C733D" w:rsidP="009F75E0">
            <w:pPr>
              <w:pStyle w:val="BoxText"/>
              <w:rPr>
                <w:rFonts w:asciiTheme="majorHAnsi" w:hAnsiTheme="majorHAnsi" w:cstheme="majorHAnsi"/>
                <w:iCs/>
                <w:color w:val="000000"/>
              </w:rPr>
            </w:pPr>
            <w:r w:rsidRPr="0059073E">
              <w:t xml:space="preserve">Levy </w:t>
            </w:r>
            <w:r w:rsidR="00295D3E" w:rsidRPr="0059073E">
              <w:t>volatility</w:t>
            </w:r>
            <w:r w:rsidRPr="0059073E">
              <w:t xml:space="preserve"> at a sub</w:t>
            </w:r>
            <w:r w:rsidR="00BD190B">
              <w:noBreakHyphen/>
            </w:r>
            <w:r w:rsidRPr="0059073E">
              <w:t>sector level is reflective of ASIC</w:t>
            </w:r>
            <w:r w:rsidR="00BD190B">
              <w:t>’</w:t>
            </w:r>
            <w:r w:rsidRPr="0059073E">
              <w:t xml:space="preserve">s ability to be responsive to market threats and its independence to direct resources to meet its mandate and changing priorities year on year. </w:t>
            </w:r>
            <w:r>
              <w:t xml:space="preserve">Spreading costs over a wider population to address volatility </w:t>
            </w:r>
            <w:r w:rsidR="0053385D">
              <w:t xml:space="preserve">would </w:t>
            </w:r>
            <w:r>
              <w:t>lead to increased cross</w:t>
            </w:r>
            <w:r w:rsidR="00BD190B">
              <w:noBreakHyphen/>
            </w:r>
            <w:r>
              <w:t>subsidisation</w:t>
            </w:r>
            <w:r w:rsidR="00171DAA">
              <w:t xml:space="preserve"> and shift the cost burden among entities</w:t>
            </w:r>
            <w:r>
              <w:t>.</w:t>
            </w:r>
          </w:p>
        </w:tc>
      </w:tr>
    </w:tbl>
    <w:p w14:paraId="1225CE00" w14:textId="6BCE2167" w:rsidR="001636BA" w:rsidRPr="001E2A68" w:rsidRDefault="001636BA" w:rsidP="007D3412">
      <w:pPr>
        <w:pStyle w:val="Heading2"/>
      </w:pPr>
      <w:bookmarkStart w:id="107" w:name="_Toc125305196"/>
      <w:bookmarkStart w:id="108" w:name="_Toc129270474"/>
      <w:bookmarkStart w:id="109" w:name="_Toc125305194"/>
      <w:r>
        <w:t>Ex</w:t>
      </w:r>
      <w:r w:rsidR="00BD190B">
        <w:noBreakHyphen/>
      </w:r>
      <w:r>
        <w:t>post charging</w:t>
      </w:r>
      <w:bookmarkEnd w:id="107"/>
      <w:bookmarkEnd w:id="108"/>
    </w:p>
    <w:p w14:paraId="4F5C886D" w14:textId="1BBE08D3" w:rsidR="001636BA" w:rsidRDefault="001636BA"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F83494">
        <w:rPr>
          <w:rFonts w:ascii="Calibri Light" w:eastAsia="Times New Roman" w:hAnsi="Calibri Light" w:cs="Calibri Light"/>
          <w:szCs w:val="20"/>
          <w:lang w:eastAsia="en-AU"/>
        </w:rPr>
        <w:t>ASIC is one of the few regulators that recovers regulatory costs via industry levies using an ex</w:t>
      </w:r>
      <w:r w:rsidR="00BD190B">
        <w:rPr>
          <w:rFonts w:ascii="Calibri Light" w:eastAsia="Times New Roman" w:hAnsi="Calibri Light" w:cs="Calibri Light"/>
          <w:szCs w:val="20"/>
          <w:lang w:eastAsia="en-AU"/>
        </w:rPr>
        <w:noBreakHyphen/>
      </w:r>
      <w:r w:rsidRPr="00F83494">
        <w:rPr>
          <w:rFonts w:ascii="Calibri Light" w:eastAsia="Times New Roman" w:hAnsi="Calibri Light" w:cs="Calibri Light"/>
          <w:szCs w:val="20"/>
          <w:lang w:eastAsia="en-AU"/>
        </w:rPr>
        <w:t xml:space="preserve">post model. </w:t>
      </w:r>
    </w:p>
    <w:p w14:paraId="2BEAA0CE" w14:textId="1F33BEF5" w:rsidR="001636BA" w:rsidRDefault="001636BA"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F83494">
        <w:rPr>
          <w:rFonts w:ascii="Calibri Light" w:eastAsia="Times New Roman" w:hAnsi="Calibri Light" w:cs="Calibri Light"/>
          <w:szCs w:val="20"/>
          <w:lang w:eastAsia="en-AU"/>
        </w:rPr>
        <w:t>Most regulators that recover regulatory costs via levies do so on an ex</w:t>
      </w:r>
      <w:r w:rsidR="00BD190B">
        <w:rPr>
          <w:rFonts w:ascii="Calibri Light" w:eastAsia="Times New Roman" w:hAnsi="Calibri Light" w:cs="Calibri Light"/>
          <w:szCs w:val="20"/>
          <w:lang w:eastAsia="en-AU"/>
        </w:rPr>
        <w:noBreakHyphen/>
      </w:r>
      <w:r w:rsidRPr="00F83494">
        <w:rPr>
          <w:rFonts w:ascii="Calibri Light" w:eastAsia="Times New Roman" w:hAnsi="Calibri Light" w:cs="Calibri Light"/>
          <w:szCs w:val="20"/>
          <w:lang w:eastAsia="en-AU"/>
        </w:rPr>
        <w:t>ante basis</w:t>
      </w:r>
      <w:r>
        <w:rPr>
          <w:rFonts w:ascii="Calibri Light" w:eastAsia="Times New Roman" w:hAnsi="Calibri Light" w:cs="Calibri Light"/>
          <w:szCs w:val="20"/>
          <w:lang w:eastAsia="en-AU"/>
        </w:rPr>
        <w:t>.</w:t>
      </w:r>
      <w:r w:rsidRPr="00F83494">
        <w:rPr>
          <w:rFonts w:ascii="Calibri Light" w:eastAsia="Times New Roman" w:hAnsi="Calibri Light" w:cs="Calibri Light"/>
          <w:szCs w:val="20"/>
          <w:lang w:eastAsia="en-AU"/>
        </w:rPr>
        <w:t xml:space="preserve"> This</w:t>
      </w:r>
      <w:r w:rsidR="00E12056">
        <w:rPr>
          <w:rFonts w:ascii="Calibri Light" w:eastAsia="Times New Roman" w:hAnsi="Calibri Light" w:cs="Calibri Light"/>
          <w:szCs w:val="20"/>
          <w:lang w:eastAsia="en-AU"/>
        </w:rPr>
        <w:t> </w:t>
      </w:r>
      <w:r w:rsidRPr="00F83494">
        <w:rPr>
          <w:rFonts w:ascii="Calibri Light" w:eastAsia="Times New Roman" w:hAnsi="Calibri Light" w:cs="Calibri Light"/>
          <w:szCs w:val="20"/>
          <w:lang w:eastAsia="en-AU"/>
        </w:rPr>
        <w:t xml:space="preserve">requires regulators to set a budget and determine resource and cost allocations across their regulated population in advance of regulatory activity being undertaken. </w:t>
      </w:r>
    </w:p>
    <w:p w14:paraId="6327C531" w14:textId="2BE8CDDE" w:rsidR="001636BA" w:rsidRDefault="001636BA"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ASIC</w:t>
      </w:r>
      <w:r w:rsidR="00BD190B">
        <w:rPr>
          <w:rFonts w:ascii="Calibri Light" w:eastAsia="Times New Roman" w:hAnsi="Calibri Light" w:cs="Calibri Light"/>
          <w:szCs w:val="20"/>
          <w:lang w:eastAsia="en-AU"/>
        </w:rPr>
        <w:t>’</w:t>
      </w:r>
      <w:r>
        <w:rPr>
          <w:rFonts w:ascii="Calibri Light" w:eastAsia="Times New Roman" w:hAnsi="Calibri Light" w:cs="Calibri Light"/>
          <w:szCs w:val="20"/>
          <w:lang w:eastAsia="en-AU"/>
        </w:rPr>
        <w:t>s</w:t>
      </w:r>
      <w:r w:rsidRPr="00F83494">
        <w:rPr>
          <w:rFonts w:ascii="Calibri Light" w:eastAsia="Times New Roman" w:hAnsi="Calibri Light" w:cs="Calibri Light"/>
          <w:szCs w:val="20"/>
          <w:lang w:eastAsia="en-AU"/>
        </w:rPr>
        <w:t xml:space="preserve"> ex</w:t>
      </w:r>
      <w:r w:rsidR="00BD190B">
        <w:rPr>
          <w:rFonts w:ascii="Calibri Light" w:eastAsia="Times New Roman" w:hAnsi="Calibri Light" w:cs="Calibri Light"/>
          <w:szCs w:val="20"/>
          <w:lang w:eastAsia="en-AU"/>
        </w:rPr>
        <w:noBreakHyphen/>
      </w:r>
      <w:r w:rsidRPr="00F83494">
        <w:rPr>
          <w:rFonts w:ascii="Calibri Light" w:eastAsia="Times New Roman" w:hAnsi="Calibri Light" w:cs="Calibri Light"/>
          <w:szCs w:val="20"/>
          <w:lang w:eastAsia="en-AU"/>
        </w:rPr>
        <w:t>post model ensures that ASIC only recovers its actual expenditure from each sub</w:t>
      </w:r>
      <w:r w:rsidR="00BD190B">
        <w:rPr>
          <w:rFonts w:ascii="Calibri Light" w:eastAsia="Times New Roman" w:hAnsi="Calibri Light" w:cs="Calibri Light"/>
          <w:szCs w:val="20"/>
          <w:lang w:eastAsia="en-AU"/>
        </w:rPr>
        <w:noBreakHyphen/>
      </w:r>
      <w:r w:rsidRPr="00F83494">
        <w:rPr>
          <w:rFonts w:ascii="Calibri Light" w:eastAsia="Times New Roman" w:hAnsi="Calibri Light" w:cs="Calibri Light"/>
          <w:szCs w:val="20"/>
          <w:lang w:eastAsia="en-AU"/>
        </w:rPr>
        <w:t>sector</w:t>
      </w:r>
      <w:r>
        <w:rPr>
          <w:rFonts w:ascii="Calibri Light" w:eastAsia="Times New Roman" w:hAnsi="Calibri Light" w:cs="Calibri Light"/>
          <w:szCs w:val="20"/>
          <w:lang w:eastAsia="en-AU"/>
        </w:rPr>
        <w:t xml:space="preserve"> and provides flexibility for ASIC to respond to</w:t>
      </w:r>
      <w:r w:rsidR="00303987">
        <w:rPr>
          <w:rFonts w:ascii="Calibri Light" w:eastAsia="Times New Roman" w:hAnsi="Calibri Light" w:cs="Calibri Light"/>
          <w:szCs w:val="20"/>
          <w:lang w:eastAsia="en-AU"/>
        </w:rPr>
        <w:t xml:space="preserve"> </w:t>
      </w:r>
      <w:r>
        <w:rPr>
          <w:rFonts w:ascii="Calibri Light" w:eastAsia="Times New Roman" w:hAnsi="Calibri Light" w:cs="Calibri Light"/>
          <w:szCs w:val="20"/>
          <w:lang w:eastAsia="en-AU"/>
        </w:rPr>
        <w:t xml:space="preserve">emerging threats. </w:t>
      </w:r>
    </w:p>
    <w:p w14:paraId="25A4DA23" w14:textId="77777777" w:rsidR="001636BA" w:rsidRPr="00BD2C30" w:rsidRDefault="001636BA" w:rsidP="006E2A00">
      <w:pPr>
        <w:pStyle w:val="Heading3"/>
      </w:pPr>
      <w:bookmarkStart w:id="110" w:name="_Toc125305197"/>
      <w:bookmarkStart w:id="111" w:name="_Toc129270475"/>
      <w:r>
        <w:t>Analysis and findings</w:t>
      </w:r>
      <w:bookmarkEnd w:id="110"/>
      <w:bookmarkEnd w:id="111"/>
    </w:p>
    <w:p w14:paraId="7A16E735" w14:textId="7F692BE2" w:rsidR="00CC6881" w:rsidRDefault="00564E75"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564E75">
        <w:rPr>
          <w:rFonts w:ascii="Calibri Light" w:eastAsia="Times New Roman" w:hAnsi="Calibri Light" w:cs="Calibri Light"/>
          <w:szCs w:val="20"/>
          <w:lang w:eastAsia="en-AU"/>
        </w:rPr>
        <w:t>A key challenge for stakeholders is the difficulty to budget for levies as actual levy amounts are not known until after ASIC has undertaken its regulatory activities</w:t>
      </w:r>
      <w:r w:rsidR="00CC6881">
        <w:rPr>
          <w:rFonts w:ascii="Calibri Light" w:eastAsia="Times New Roman" w:hAnsi="Calibri Light" w:cs="Calibri Light"/>
          <w:szCs w:val="20"/>
          <w:lang w:eastAsia="en-AU"/>
        </w:rPr>
        <w:t xml:space="preserve"> due to the ex</w:t>
      </w:r>
      <w:r w:rsidR="00BD190B">
        <w:rPr>
          <w:rFonts w:ascii="Calibri Light" w:eastAsia="Times New Roman" w:hAnsi="Calibri Light" w:cs="Calibri Light"/>
          <w:szCs w:val="20"/>
          <w:lang w:eastAsia="en-AU"/>
        </w:rPr>
        <w:noBreakHyphen/>
      </w:r>
      <w:r w:rsidR="00CC6881">
        <w:rPr>
          <w:rFonts w:ascii="Calibri Light" w:eastAsia="Times New Roman" w:hAnsi="Calibri Light" w:cs="Calibri Light"/>
          <w:szCs w:val="20"/>
          <w:lang w:eastAsia="en-AU"/>
        </w:rPr>
        <w:t xml:space="preserve">post nature of the IFM. </w:t>
      </w:r>
      <w:r w:rsidR="005D10DC">
        <w:rPr>
          <w:rFonts w:ascii="Calibri Light" w:eastAsia="Times New Roman" w:hAnsi="Calibri Light" w:cs="Calibri Light"/>
          <w:szCs w:val="20"/>
          <w:lang w:eastAsia="en-AU"/>
        </w:rPr>
        <w:t xml:space="preserve">Some stakeholders have suggested the ASIC IFM </w:t>
      </w:r>
      <w:r w:rsidR="00AB46CB">
        <w:rPr>
          <w:rFonts w:ascii="Calibri Light" w:eastAsia="Times New Roman" w:hAnsi="Calibri Light" w:cs="Calibri Light"/>
          <w:szCs w:val="20"/>
          <w:lang w:eastAsia="en-AU"/>
        </w:rPr>
        <w:t>should be ex</w:t>
      </w:r>
      <w:r w:rsidR="00BD190B">
        <w:rPr>
          <w:rFonts w:ascii="Calibri Light" w:eastAsia="Times New Roman" w:hAnsi="Calibri Light" w:cs="Calibri Light"/>
          <w:szCs w:val="20"/>
          <w:lang w:eastAsia="en-AU"/>
        </w:rPr>
        <w:noBreakHyphen/>
      </w:r>
      <w:r w:rsidR="00AB46CB">
        <w:rPr>
          <w:rFonts w:ascii="Calibri Light" w:eastAsia="Times New Roman" w:hAnsi="Calibri Light" w:cs="Calibri Light"/>
          <w:szCs w:val="20"/>
          <w:lang w:eastAsia="en-AU"/>
        </w:rPr>
        <w:t xml:space="preserve">ante to give levy certainty. </w:t>
      </w:r>
    </w:p>
    <w:p w14:paraId="78014A63" w14:textId="0601D9CD" w:rsidR="00B73D8E" w:rsidRDefault="00564E75"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564E75">
        <w:rPr>
          <w:rFonts w:ascii="Calibri Light" w:eastAsia="Times New Roman" w:hAnsi="Calibri Light" w:cs="Calibri Light"/>
          <w:szCs w:val="20"/>
          <w:lang w:eastAsia="en-AU"/>
        </w:rPr>
        <w:t>While ASIC can determine its priority areas of regulatory focus in advance (published each year in its Corporate Plan), the key drivers of cost uncertainty are enforcement activity and where ASIC</w:t>
      </w:r>
      <w:r w:rsidR="00BD190B">
        <w:rPr>
          <w:rFonts w:ascii="Calibri Light" w:eastAsia="Times New Roman" w:hAnsi="Calibri Light" w:cs="Calibri Light"/>
          <w:szCs w:val="20"/>
          <w:lang w:eastAsia="en-AU"/>
        </w:rPr>
        <w:t>’</w:t>
      </w:r>
      <w:r w:rsidRPr="00564E75">
        <w:rPr>
          <w:rFonts w:ascii="Calibri Light" w:eastAsia="Times New Roman" w:hAnsi="Calibri Light" w:cs="Calibri Light"/>
          <w:szCs w:val="20"/>
          <w:lang w:eastAsia="en-AU"/>
        </w:rPr>
        <w:t>s surveillance may be required due to ASIC</w:t>
      </w:r>
      <w:r w:rsidR="00BD190B">
        <w:rPr>
          <w:rFonts w:ascii="Calibri Light" w:eastAsia="Times New Roman" w:hAnsi="Calibri Light" w:cs="Calibri Light"/>
          <w:szCs w:val="20"/>
          <w:lang w:eastAsia="en-AU"/>
        </w:rPr>
        <w:t>’</w:t>
      </w:r>
      <w:r w:rsidRPr="00564E75">
        <w:rPr>
          <w:rFonts w:ascii="Calibri Light" w:eastAsia="Times New Roman" w:hAnsi="Calibri Light" w:cs="Calibri Light"/>
          <w:szCs w:val="20"/>
          <w:lang w:eastAsia="en-AU"/>
        </w:rPr>
        <w:t xml:space="preserve">s large (and changing) regulated population. </w:t>
      </w:r>
    </w:p>
    <w:p w14:paraId="49EC1E78" w14:textId="7F02FD92" w:rsidR="001E7115" w:rsidRDefault="00564E75"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sidRPr="00564E75">
        <w:rPr>
          <w:rFonts w:ascii="Calibri Light" w:eastAsia="Times New Roman" w:hAnsi="Calibri Light" w:cs="Calibri Light"/>
          <w:szCs w:val="20"/>
          <w:lang w:eastAsia="en-AU"/>
        </w:rPr>
        <w:t>Implementing an ex</w:t>
      </w:r>
      <w:r w:rsidR="00BD190B">
        <w:rPr>
          <w:rFonts w:ascii="Calibri Light" w:eastAsia="Times New Roman" w:hAnsi="Calibri Light" w:cs="Calibri Light"/>
          <w:szCs w:val="20"/>
          <w:lang w:eastAsia="en-AU"/>
        </w:rPr>
        <w:noBreakHyphen/>
      </w:r>
      <w:r w:rsidRPr="00564E75">
        <w:rPr>
          <w:rFonts w:ascii="Calibri Light" w:eastAsia="Times New Roman" w:hAnsi="Calibri Light" w:cs="Calibri Light"/>
          <w:szCs w:val="20"/>
          <w:lang w:eastAsia="en-AU"/>
        </w:rPr>
        <w:t>ante model would require ASIC to determine in advance its resource allocations for each sub</w:t>
      </w:r>
      <w:r w:rsidR="00BD190B">
        <w:rPr>
          <w:rFonts w:ascii="Calibri Light" w:eastAsia="Times New Roman" w:hAnsi="Calibri Light" w:cs="Calibri Light"/>
          <w:szCs w:val="20"/>
          <w:lang w:eastAsia="en-AU"/>
        </w:rPr>
        <w:noBreakHyphen/>
      </w:r>
      <w:r w:rsidRPr="00564E75">
        <w:rPr>
          <w:rFonts w:ascii="Calibri Light" w:eastAsia="Times New Roman" w:hAnsi="Calibri Light" w:cs="Calibri Light"/>
          <w:szCs w:val="20"/>
          <w:lang w:eastAsia="en-AU"/>
        </w:rPr>
        <w:t>sector. However, the uncertainty and variations in enforcement and other regulatory costs could lead to significant over/under recovery from sub</w:t>
      </w:r>
      <w:r w:rsidR="00BD190B">
        <w:rPr>
          <w:rFonts w:ascii="Calibri Light" w:eastAsia="Times New Roman" w:hAnsi="Calibri Light" w:cs="Calibri Light"/>
          <w:szCs w:val="20"/>
          <w:lang w:eastAsia="en-AU"/>
        </w:rPr>
        <w:noBreakHyphen/>
      </w:r>
      <w:r w:rsidRPr="00564E75">
        <w:rPr>
          <w:rFonts w:ascii="Calibri Light" w:eastAsia="Times New Roman" w:hAnsi="Calibri Light" w:cs="Calibri Light"/>
          <w:szCs w:val="20"/>
          <w:lang w:eastAsia="en-AU"/>
        </w:rPr>
        <w:t xml:space="preserve">sectors in subsequent years. </w:t>
      </w:r>
    </w:p>
    <w:p w14:paraId="2DF57EE6" w14:textId="54F06234" w:rsidR="001E7115" w:rsidRDefault="001F051E" w:rsidP="0037599B">
      <w:pPr>
        <w:pStyle w:val="numberedtext"/>
        <w:numPr>
          <w:ilvl w:val="0"/>
          <w:numId w:val="15"/>
        </w:numPr>
        <w:tabs>
          <w:tab w:val="left" w:pos="709"/>
        </w:tabs>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lastRenderedPageBreak/>
        <w:t>To give regulated entities a</w:t>
      </w:r>
      <w:r w:rsidR="001B4B0C">
        <w:rPr>
          <w:rFonts w:ascii="Calibri Light" w:eastAsia="Times New Roman" w:hAnsi="Calibri Light" w:cs="Calibri Light"/>
          <w:szCs w:val="20"/>
          <w:lang w:eastAsia="en-AU"/>
        </w:rPr>
        <w:t xml:space="preserve"> sense of what their levies might be, ASIC provides an estimate in their CRIS</w:t>
      </w:r>
      <w:r w:rsidR="008B57BC">
        <w:rPr>
          <w:rFonts w:ascii="Calibri Light" w:eastAsia="Times New Roman" w:hAnsi="Calibri Light" w:cs="Calibri Light"/>
          <w:szCs w:val="20"/>
          <w:lang w:eastAsia="en-AU"/>
        </w:rPr>
        <w:t xml:space="preserve">. However, the variance between </w:t>
      </w:r>
      <w:r w:rsidR="00C07BB2">
        <w:rPr>
          <w:rFonts w:ascii="Calibri Light" w:eastAsia="Times New Roman" w:hAnsi="Calibri Light" w:cs="Calibri Light"/>
          <w:szCs w:val="20"/>
          <w:lang w:eastAsia="en-AU"/>
        </w:rPr>
        <w:t>the estimated</w:t>
      </w:r>
      <w:r w:rsidR="005805FF">
        <w:rPr>
          <w:rFonts w:ascii="Calibri Light" w:eastAsia="Times New Roman" w:hAnsi="Calibri Light" w:cs="Calibri Light"/>
          <w:szCs w:val="20"/>
          <w:lang w:eastAsia="en-AU"/>
        </w:rPr>
        <w:t xml:space="preserve"> amount and the actual amount can differ, sometimes by a substantial amount. </w:t>
      </w:r>
      <w:r w:rsidR="00C651AF">
        <w:rPr>
          <w:rFonts w:ascii="Calibri Light" w:eastAsia="Times New Roman" w:hAnsi="Calibri Light" w:cs="Calibri Light"/>
          <w:szCs w:val="20"/>
          <w:lang w:eastAsia="en-AU"/>
        </w:rPr>
        <w:t xml:space="preserve">The drivers of variance between estimated and actual levies and </w:t>
      </w:r>
      <w:r w:rsidR="0051195F">
        <w:rPr>
          <w:rFonts w:ascii="Calibri Light" w:eastAsia="Times New Roman" w:hAnsi="Calibri Light" w:cs="Calibri Light"/>
          <w:szCs w:val="20"/>
          <w:lang w:eastAsia="en-AU"/>
        </w:rPr>
        <w:t xml:space="preserve">the </w:t>
      </w:r>
      <w:r w:rsidR="00607CBD">
        <w:rPr>
          <w:rFonts w:ascii="Calibri Light" w:eastAsia="Times New Roman" w:hAnsi="Calibri Light" w:cs="Calibri Light"/>
          <w:szCs w:val="20"/>
          <w:lang w:eastAsia="en-AU"/>
        </w:rPr>
        <w:t>outcomes</w:t>
      </w:r>
      <w:r w:rsidR="0051195F">
        <w:rPr>
          <w:rFonts w:ascii="Calibri Light" w:eastAsia="Times New Roman" w:hAnsi="Calibri Light" w:cs="Calibri Light"/>
          <w:szCs w:val="20"/>
          <w:lang w:eastAsia="en-AU"/>
        </w:rPr>
        <w:t xml:space="preserve"> </w:t>
      </w:r>
      <w:r w:rsidR="000A39AF">
        <w:rPr>
          <w:rFonts w:ascii="Calibri Light" w:eastAsia="Times New Roman" w:hAnsi="Calibri Light" w:cs="Calibri Light"/>
          <w:szCs w:val="20"/>
          <w:lang w:eastAsia="en-AU"/>
        </w:rPr>
        <w:t>of</w:t>
      </w:r>
      <w:r w:rsidR="00C651AF" w:rsidRPr="005805FF">
        <w:rPr>
          <w:rFonts w:ascii="Calibri Light" w:eastAsia="Times New Roman" w:hAnsi="Calibri Light" w:cs="Calibri Light"/>
          <w:szCs w:val="20"/>
          <w:lang w:eastAsia="en-AU"/>
        </w:rPr>
        <w:t xml:space="preserve"> </w:t>
      </w:r>
      <w:r w:rsidR="00C651AF">
        <w:rPr>
          <w:rFonts w:ascii="Calibri Light" w:eastAsia="Times New Roman" w:hAnsi="Calibri Light" w:cs="Calibri Light"/>
          <w:szCs w:val="20"/>
          <w:lang w:eastAsia="en-AU"/>
        </w:rPr>
        <w:t>implementing an ex</w:t>
      </w:r>
      <w:r w:rsidR="00BD190B">
        <w:rPr>
          <w:rFonts w:ascii="Calibri Light" w:eastAsia="Times New Roman" w:hAnsi="Calibri Light" w:cs="Calibri Light"/>
          <w:szCs w:val="20"/>
          <w:lang w:eastAsia="en-AU"/>
        </w:rPr>
        <w:noBreakHyphen/>
      </w:r>
      <w:r w:rsidR="00C651AF">
        <w:rPr>
          <w:rFonts w:ascii="Calibri Light" w:eastAsia="Times New Roman" w:hAnsi="Calibri Light" w:cs="Calibri Light"/>
          <w:szCs w:val="20"/>
          <w:lang w:eastAsia="en-AU"/>
        </w:rPr>
        <w:t xml:space="preserve">ante model are explored in more detail in the subsequent section on levy variance. </w:t>
      </w:r>
    </w:p>
    <w:p w14:paraId="2C2D2D8B" w14:textId="77777777" w:rsidR="001636BA" w:rsidRDefault="001636BA" w:rsidP="001636BA">
      <w:pPr>
        <w:contextualSpacing/>
      </w:pPr>
    </w:p>
    <w:tbl>
      <w:tblPr>
        <w:tblStyle w:val="Style1"/>
        <w:tblpPr w:leftFromText="180" w:rightFromText="180" w:vertAnchor="text" w:horzAnchor="margin" w:tblpXSpec="center" w:tblpY="-50"/>
        <w:tblW w:w="4771" w:type="pct"/>
        <w:tblLook w:val="04A0" w:firstRow="1" w:lastRow="0" w:firstColumn="1" w:lastColumn="0" w:noHBand="0" w:noVBand="1"/>
      </w:tblPr>
      <w:tblGrid>
        <w:gridCol w:w="8657"/>
      </w:tblGrid>
      <w:tr w:rsidR="001636BA" w:rsidRPr="00863059" w14:paraId="142D9EE5" w14:textId="77777777" w:rsidTr="007D3412">
        <w:trPr>
          <w:trHeight w:val="1319"/>
        </w:trPr>
        <w:tc>
          <w:tcPr>
            <w:tcW w:w="5000" w:type="pct"/>
          </w:tcPr>
          <w:p w14:paraId="5C38FB58" w14:textId="77777777" w:rsidR="001636BA" w:rsidRPr="0032739E" w:rsidRDefault="001636BA" w:rsidP="008F2119">
            <w:pPr>
              <w:pStyle w:val="BoxHeading"/>
            </w:pPr>
            <w:r w:rsidRPr="0032739E">
              <w:t>Key finding</w:t>
            </w:r>
          </w:p>
          <w:p w14:paraId="110F549C" w14:textId="69E269F0" w:rsidR="001636BA" w:rsidRPr="0032739E" w:rsidRDefault="001636BA" w:rsidP="009F75E0">
            <w:pPr>
              <w:pStyle w:val="BoxText"/>
              <w:rPr>
                <w:rFonts w:asciiTheme="majorHAnsi" w:hAnsiTheme="majorHAnsi" w:cstheme="majorHAnsi"/>
                <w:iCs/>
                <w:color w:val="000000"/>
                <w:szCs w:val="22"/>
              </w:rPr>
            </w:pPr>
            <w:r w:rsidRPr="00F4630C">
              <w:t>The ex</w:t>
            </w:r>
            <w:r w:rsidR="00BD190B">
              <w:noBreakHyphen/>
            </w:r>
            <w:r w:rsidRPr="00F4630C">
              <w:t>post model remains appropriate for ASIC</w:t>
            </w:r>
            <w:r w:rsidR="00BD190B">
              <w:t>’</w:t>
            </w:r>
            <w:r w:rsidRPr="00F4630C">
              <w:t>s industry funding arrangements given the difficulty for ASIC to determine in advance and with relative accuracy how much it will expend on each sub</w:t>
            </w:r>
            <w:r w:rsidR="00BD190B">
              <w:noBreakHyphen/>
            </w:r>
            <w:r w:rsidRPr="00F4630C">
              <w:t>sector each year. The key driver of cost uncertainty is ASIC</w:t>
            </w:r>
            <w:r w:rsidR="00BD190B">
              <w:t>’</w:t>
            </w:r>
            <w:r w:rsidRPr="00F4630C">
              <w:t>s enforcement activity due to ASIC</w:t>
            </w:r>
            <w:r w:rsidR="00BD190B">
              <w:t>’</w:t>
            </w:r>
            <w:r w:rsidRPr="00F4630C">
              <w:t>s large (and changing) regulated population.</w:t>
            </w:r>
          </w:p>
        </w:tc>
      </w:tr>
    </w:tbl>
    <w:p w14:paraId="421846B6" w14:textId="73D9FEE8" w:rsidR="00665A86" w:rsidRDefault="00665A86" w:rsidP="007D3412">
      <w:pPr>
        <w:pStyle w:val="Heading2"/>
      </w:pPr>
      <w:bookmarkStart w:id="112" w:name="_Toc129270476"/>
      <w:r>
        <w:t>Levy variance</w:t>
      </w:r>
      <w:bookmarkEnd w:id="109"/>
      <w:bookmarkEnd w:id="112"/>
    </w:p>
    <w:p w14:paraId="385D9779" w14:textId="3E2191E2" w:rsidR="00665A86" w:rsidRDefault="00665A86"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E539D4">
        <w:rPr>
          <w:rFonts w:ascii="Calibri Light" w:eastAsia="Times New Roman" w:hAnsi="Calibri Light" w:cs="Times New Roman"/>
          <w:szCs w:val="20"/>
          <w:lang w:eastAsia="en-AU"/>
        </w:rPr>
        <w:t xml:space="preserve">ASIC calculates and publishes estimated levy amounts in its </w:t>
      </w:r>
      <w:r w:rsidR="0022369B">
        <w:rPr>
          <w:rFonts w:ascii="Calibri Light" w:eastAsia="Times New Roman" w:hAnsi="Calibri Light" w:cs="Times New Roman"/>
          <w:szCs w:val="20"/>
          <w:lang w:eastAsia="en-AU"/>
        </w:rPr>
        <w:t xml:space="preserve">draft </w:t>
      </w:r>
      <w:r w:rsidRPr="00E539D4">
        <w:rPr>
          <w:rFonts w:ascii="Calibri Light" w:eastAsia="Times New Roman" w:hAnsi="Calibri Light" w:cs="Times New Roman"/>
          <w:szCs w:val="20"/>
          <w:lang w:eastAsia="en-AU"/>
        </w:rPr>
        <w:t>CRIS for stakeholder consultation</w:t>
      </w:r>
      <w:r>
        <w:rPr>
          <w:rFonts w:ascii="Calibri Light" w:eastAsia="Times New Roman" w:hAnsi="Calibri Light" w:cs="Times New Roman"/>
          <w:szCs w:val="20"/>
          <w:lang w:eastAsia="en-AU"/>
        </w:rPr>
        <w:t xml:space="preserve"> (see chapter 5 for </w:t>
      </w:r>
      <w:r w:rsidR="000A4C10">
        <w:rPr>
          <w:rFonts w:ascii="Calibri Light" w:eastAsia="Times New Roman" w:hAnsi="Calibri Light" w:cs="Times New Roman"/>
          <w:szCs w:val="20"/>
          <w:lang w:eastAsia="en-AU"/>
        </w:rPr>
        <w:t>more information on the CRIS process</w:t>
      </w:r>
      <w:r>
        <w:rPr>
          <w:rFonts w:ascii="Calibri Light" w:eastAsia="Times New Roman" w:hAnsi="Calibri Light" w:cs="Times New Roman"/>
          <w:szCs w:val="20"/>
          <w:lang w:eastAsia="en-AU"/>
        </w:rPr>
        <w:t>)</w:t>
      </w:r>
      <w:r w:rsidRPr="00E539D4">
        <w:rPr>
          <w:rFonts w:ascii="Calibri Light" w:eastAsia="Times New Roman" w:hAnsi="Calibri Light" w:cs="Times New Roman"/>
          <w:szCs w:val="20"/>
          <w:lang w:eastAsia="en-AU"/>
        </w:rPr>
        <w:t xml:space="preserve">. Generally, ASIC starts preparing and calculating its estimated levies in the middle of the financial year based on information and data at a point in time, which can be </w:t>
      </w:r>
      <w:r w:rsidR="00BD190B">
        <w:rPr>
          <w:rFonts w:ascii="Calibri Light" w:eastAsia="Times New Roman" w:hAnsi="Calibri Light" w:cs="Times New Roman"/>
          <w:szCs w:val="20"/>
          <w:lang w:eastAsia="en-AU"/>
        </w:rPr>
        <w:t>‘</w:t>
      </w:r>
      <w:r w:rsidRPr="00E539D4">
        <w:rPr>
          <w:rFonts w:ascii="Calibri Light" w:eastAsia="Times New Roman" w:hAnsi="Calibri Light" w:cs="Times New Roman"/>
          <w:szCs w:val="20"/>
          <w:lang w:eastAsia="en-AU"/>
        </w:rPr>
        <w:t>out</w:t>
      </w:r>
      <w:r w:rsidR="00BD190B">
        <w:rPr>
          <w:rFonts w:ascii="Calibri Light" w:eastAsia="Times New Roman" w:hAnsi="Calibri Light" w:cs="Times New Roman"/>
          <w:szCs w:val="20"/>
          <w:lang w:eastAsia="en-AU"/>
        </w:rPr>
        <w:noBreakHyphen/>
      </w:r>
      <w:r w:rsidRPr="00E539D4">
        <w:rPr>
          <w:rFonts w:ascii="Calibri Light" w:eastAsia="Times New Roman" w:hAnsi="Calibri Light" w:cs="Times New Roman"/>
          <w:szCs w:val="20"/>
          <w:lang w:eastAsia="en-AU"/>
        </w:rPr>
        <w:t>of</w:t>
      </w:r>
      <w:r w:rsidR="00BD190B">
        <w:rPr>
          <w:rFonts w:ascii="Calibri Light" w:eastAsia="Times New Roman" w:hAnsi="Calibri Light" w:cs="Times New Roman"/>
          <w:szCs w:val="20"/>
          <w:lang w:eastAsia="en-AU"/>
        </w:rPr>
        <w:noBreakHyphen/>
      </w:r>
      <w:r w:rsidRPr="00E539D4">
        <w:rPr>
          <w:rFonts w:ascii="Calibri Light" w:eastAsia="Times New Roman" w:hAnsi="Calibri Light" w:cs="Times New Roman"/>
          <w:szCs w:val="20"/>
          <w:lang w:eastAsia="en-AU"/>
        </w:rPr>
        <w:t>date</w:t>
      </w:r>
      <w:r w:rsidR="00BD190B">
        <w:rPr>
          <w:rFonts w:ascii="Calibri Light" w:eastAsia="Times New Roman" w:hAnsi="Calibri Light" w:cs="Times New Roman"/>
          <w:szCs w:val="20"/>
          <w:lang w:eastAsia="en-AU"/>
        </w:rPr>
        <w:t>’</w:t>
      </w:r>
      <w:r w:rsidRPr="00E539D4">
        <w:rPr>
          <w:rFonts w:ascii="Calibri Light" w:eastAsia="Times New Roman" w:hAnsi="Calibri Light" w:cs="Times New Roman"/>
          <w:szCs w:val="20"/>
          <w:lang w:eastAsia="en-AU"/>
        </w:rPr>
        <w:t xml:space="preserve"> </w:t>
      </w:r>
      <w:r>
        <w:rPr>
          <w:rFonts w:ascii="Calibri Light" w:eastAsia="Times New Roman" w:hAnsi="Calibri Light" w:cs="Times New Roman"/>
          <w:szCs w:val="20"/>
          <w:lang w:eastAsia="en-AU"/>
        </w:rPr>
        <w:t>by</w:t>
      </w:r>
      <w:r w:rsidRPr="00E539D4">
        <w:rPr>
          <w:rFonts w:ascii="Calibri Light" w:eastAsia="Times New Roman" w:hAnsi="Calibri Light" w:cs="Times New Roman"/>
          <w:szCs w:val="20"/>
          <w:lang w:eastAsia="en-AU"/>
        </w:rPr>
        <w:t xml:space="preserve"> the time the CRIS is </w:t>
      </w:r>
      <w:r>
        <w:rPr>
          <w:rFonts w:ascii="Calibri Light" w:eastAsia="Times New Roman" w:hAnsi="Calibri Light" w:cs="Times New Roman"/>
          <w:szCs w:val="20"/>
          <w:lang w:eastAsia="en-AU"/>
        </w:rPr>
        <w:t>released</w:t>
      </w:r>
      <w:r w:rsidRPr="00E539D4">
        <w:rPr>
          <w:rFonts w:ascii="Calibri Light" w:eastAsia="Times New Roman" w:hAnsi="Calibri Light" w:cs="Times New Roman"/>
          <w:szCs w:val="20"/>
          <w:lang w:eastAsia="en-AU"/>
        </w:rPr>
        <w:t>. This means that actual levies will generally vary from these estimates</w:t>
      </w:r>
      <w:r>
        <w:rPr>
          <w:rFonts w:ascii="Calibri Light" w:eastAsia="Times New Roman" w:hAnsi="Calibri Light" w:cs="Times New Roman"/>
          <w:szCs w:val="20"/>
          <w:lang w:eastAsia="en-AU"/>
        </w:rPr>
        <w:t xml:space="preserve"> at a sub</w:t>
      </w:r>
      <w:r w:rsidR="00BD190B">
        <w:rPr>
          <w:rFonts w:ascii="Calibri Light" w:eastAsia="Times New Roman" w:hAnsi="Calibri Light" w:cs="Times New Roman"/>
          <w:szCs w:val="20"/>
          <w:lang w:eastAsia="en-AU"/>
        </w:rPr>
        <w:noBreakHyphen/>
      </w:r>
      <w:r>
        <w:rPr>
          <w:rFonts w:ascii="Calibri Light" w:eastAsia="Times New Roman" w:hAnsi="Calibri Light" w:cs="Times New Roman"/>
          <w:szCs w:val="20"/>
          <w:lang w:eastAsia="en-AU"/>
        </w:rPr>
        <w:t>sector level</w:t>
      </w:r>
      <w:r w:rsidRPr="00E539D4">
        <w:rPr>
          <w:rFonts w:ascii="Calibri Light" w:eastAsia="Times New Roman" w:hAnsi="Calibri Light" w:cs="Times New Roman"/>
          <w:szCs w:val="20"/>
          <w:lang w:eastAsia="en-AU"/>
        </w:rPr>
        <w:t>, sometimes by a substantial degree.</w:t>
      </w:r>
    </w:p>
    <w:p w14:paraId="7988D140" w14:textId="77777777" w:rsidR="00665A86" w:rsidRPr="002E4D72" w:rsidRDefault="00665A86" w:rsidP="00F65E1A">
      <w:pPr>
        <w:pStyle w:val="Heading3"/>
        <w:rPr>
          <w:rFonts w:asciiTheme="majorHAnsi" w:hAnsiTheme="majorHAnsi" w:cstheme="majorHAnsi"/>
          <w:iCs/>
          <w:color w:val="2C384A"/>
          <w:sz w:val="32"/>
          <w:szCs w:val="32"/>
        </w:rPr>
      </w:pPr>
      <w:bookmarkStart w:id="113" w:name="_Toc125305195"/>
      <w:bookmarkStart w:id="114" w:name="_Toc129270477"/>
      <w:r w:rsidRPr="002E4D72">
        <w:t>Analysis and findings</w:t>
      </w:r>
      <w:bookmarkEnd w:id="113"/>
      <w:bookmarkEnd w:id="114"/>
    </w:p>
    <w:p w14:paraId="7DAAE284" w14:textId="51C9D20C" w:rsidR="005B515D" w:rsidRDefault="00665A86"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897B32">
        <w:rPr>
          <w:rFonts w:ascii="Calibri Light" w:eastAsia="Times New Roman" w:hAnsi="Calibri Light" w:cs="Times New Roman"/>
          <w:szCs w:val="20"/>
          <w:lang w:eastAsia="en-AU"/>
        </w:rPr>
        <w:t>The key driver of variability between estimated levies and actual levies is the difficulty to accurately estimate in which sub</w:t>
      </w:r>
      <w:r w:rsidR="00BD190B">
        <w:rPr>
          <w:rFonts w:ascii="Calibri Light" w:eastAsia="Times New Roman" w:hAnsi="Calibri Light" w:cs="Times New Roman"/>
          <w:szCs w:val="20"/>
          <w:lang w:eastAsia="en-AU"/>
        </w:rPr>
        <w:noBreakHyphen/>
      </w:r>
      <w:r w:rsidRPr="00897B32">
        <w:rPr>
          <w:rFonts w:ascii="Calibri Light" w:eastAsia="Times New Roman" w:hAnsi="Calibri Light" w:cs="Times New Roman"/>
          <w:szCs w:val="20"/>
          <w:lang w:eastAsia="en-AU"/>
        </w:rPr>
        <w:t>sector enforcement costs will occur.</w:t>
      </w:r>
      <w:r>
        <w:rPr>
          <w:rFonts w:ascii="Calibri Light" w:eastAsia="Times New Roman" w:hAnsi="Calibri Light" w:cs="Times New Roman"/>
          <w:szCs w:val="20"/>
          <w:lang w:eastAsia="en-AU"/>
        </w:rPr>
        <w:t xml:space="preserve"> </w:t>
      </w:r>
      <w:r w:rsidR="00BF49B8" w:rsidRPr="00BF49B8">
        <w:rPr>
          <w:rFonts w:ascii="Calibri Light" w:eastAsia="Times New Roman" w:hAnsi="Calibri Light" w:cs="Times New Roman"/>
          <w:szCs w:val="20"/>
          <w:lang w:eastAsia="en-AU"/>
        </w:rPr>
        <w:t xml:space="preserve">This is due to the changing nature of enforcement matters as they progress through the stages of investigation and litigation, which can sometimes be a lengthy process. </w:t>
      </w:r>
    </w:p>
    <w:p w14:paraId="410404AF" w14:textId="77777777" w:rsidR="002D19A0" w:rsidRDefault="00BF49B8"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sidRPr="00BF49B8">
        <w:rPr>
          <w:rFonts w:ascii="Calibri Light" w:eastAsia="Times New Roman" w:hAnsi="Calibri Light" w:cs="Times New Roman"/>
          <w:szCs w:val="20"/>
          <w:lang w:eastAsia="en-AU"/>
        </w:rPr>
        <w:t xml:space="preserve">Other factors that impact variance between estimated and actual levies include: </w:t>
      </w:r>
    </w:p>
    <w:p w14:paraId="661893D0" w14:textId="275CBE83" w:rsidR="002D19A0" w:rsidRPr="008F2119" w:rsidRDefault="00BF49B8" w:rsidP="008F2119">
      <w:pPr>
        <w:pStyle w:val="Bullet"/>
        <w:ind w:left="1004"/>
        <w:rPr>
          <w:rFonts w:eastAsia="Calibri"/>
          <w:lang w:eastAsia="en-US"/>
        </w:rPr>
      </w:pPr>
      <w:r w:rsidRPr="008F2119">
        <w:rPr>
          <w:rFonts w:eastAsia="Calibri"/>
          <w:lang w:eastAsia="en-US"/>
        </w:rPr>
        <w:t>changes in ASIC</w:t>
      </w:r>
      <w:r w:rsidR="00BD190B">
        <w:rPr>
          <w:rFonts w:eastAsia="Calibri"/>
          <w:lang w:eastAsia="en-US"/>
        </w:rPr>
        <w:t>’</w:t>
      </w:r>
      <w:r w:rsidRPr="008F2119">
        <w:rPr>
          <w:rFonts w:eastAsia="Calibri"/>
          <w:lang w:eastAsia="en-US"/>
        </w:rPr>
        <w:t xml:space="preserve">s operating environment in response to emerging issues </w:t>
      </w:r>
    </w:p>
    <w:p w14:paraId="6F0A163E" w14:textId="68466185" w:rsidR="00D60258" w:rsidRPr="008F2119" w:rsidRDefault="00BF49B8" w:rsidP="008F2119">
      <w:pPr>
        <w:pStyle w:val="Bullet"/>
        <w:ind w:left="1004"/>
        <w:rPr>
          <w:rFonts w:eastAsia="Calibri"/>
          <w:lang w:eastAsia="en-US"/>
        </w:rPr>
      </w:pPr>
      <w:r w:rsidRPr="008F2119">
        <w:rPr>
          <w:rFonts w:eastAsia="Calibri"/>
          <w:lang w:eastAsia="en-US"/>
        </w:rPr>
        <w:t>conduct of ASIC</w:t>
      </w:r>
      <w:r w:rsidR="00BD190B">
        <w:rPr>
          <w:rFonts w:eastAsia="Calibri"/>
          <w:lang w:eastAsia="en-US"/>
        </w:rPr>
        <w:t>’</w:t>
      </w:r>
      <w:r w:rsidRPr="008F2119">
        <w:rPr>
          <w:rFonts w:eastAsia="Calibri"/>
          <w:lang w:eastAsia="en-US"/>
        </w:rPr>
        <w:t>s regulated population during the year that requires ASIC to adapt to new developments and emerging threats and harms</w:t>
      </w:r>
    </w:p>
    <w:p w14:paraId="79B9E5ED" w14:textId="0D4D3EDD" w:rsidR="00D60258" w:rsidRPr="008F2119" w:rsidRDefault="00BF49B8" w:rsidP="008F2119">
      <w:pPr>
        <w:pStyle w:val="Bullet"/>
        <w:ind w:left="1004"/>
        <w:rPr>
          <w:rFonts w:eastAsia="Calibri"/>
          <w:lang w:eastAsia="en-US"/>
        </w:rPr>
      </w:pPr>
      <w:r w:rsidRPr="008F2119">
        <w:rPr>
          <w:rFonts w:eastAsia="Calibri"/>
          <w:lang w:eastAsia="en-US"/>
        </w:rPr>
        <w:t>structural changes in ASIC</w:t>
      </w:r>
      <w:r w:rsidR="00BD190B">
        <w:rPr>
          <w:rFonts w:eastAsia="Calibri"/>
          <w:lang w:eastAsia="en-US"/>
        </w:rPr>
        <w:t>’</w:t>
      </w:r>
      <w:r w:rsidRPr="008F2119">
        <w:rPr>
          <w:rFonts w:eastAsia="Calibri"/>
          <w:lang w:eastAsia="en-US"/>
        </w:rPr>
        <w:t>s regulated population, such as changes in the number of regulated entities in each sub</w:t>
      </w:r>
      <w:r w:rsidR="00BD190B">
        <w:rPr>
          <w:rFonts w:eastAsia="Calibri"/>
          <w:lang w:eastAsia="en-US"/>
        </w:rPr>
        <w:noBreakHyphen/>
      </w:r>
      <w:r w:rsidRPr="008F2119">
        <w:rPr>
          <w:rFonts w:eastAsia="Calibri"/>
          <w:lang w:eastAsia="en-US"/>
        </w:rPr>
        <w:t>sector</w:t>
      </w:r>
    </w:p>
    <w:p w14:paraId="288E7DBA" w14:textId="7B9B94A2" w:rsidR="00BF49B8" w:rsidRPr="008F2119" w:rsidRDefault="00BF49B8" w:rsidP="008F2119">
      <w:pPr>
        <w:pStyle w:val="Bullet"/>
        <w:ind w:left="1004"/>
        <w:rPr>
          <w:rFonts w:eastAsia="Calibri"/>
          <w:lang w:eastAsia="en-US"/>
        </w:rPr>
      </w:pPr>
      <w:r w:rsidRPr="008F2119">
        <w:rPr>
          <w:rFonts w:eastAsia="Calibri"/>
          <w:lang w:eastAsia="en-US"/>
        </w:rPr>
        <w:t>business activity metrics submitted by entities</w:t>
      </w:r>
    </w:p>
    <w:p w14:paraId="21F22DED" w14:textId="01942D46" w:rsidR="00665A86" w:rsidRDefault="00665A86" w:rsidP="0037599B">
      <w:pPr>
        <w:pStyle w:val="numberedtext"/>
        <w:numPr>
          <w:ilvl w:val="0"/>
          <w:numId w:val="15"/>
        </w:numPr>
        <w:tabs>
          <w:tab w:val="left" w:pos="709"/>
        </w:tabs>
        <w:ind w:hanging="720"/>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ASIC</w:t>
      </w:r>
      <w:r w:rsidR="00BD190B">
        <w:rPr>
          <w:rFonts w:ascii="Calibri Light" w:eastAsia="Times New Roman" w:hAnsi="Calibri Light" w:cs="Times New Roman"/>
          <w:szCs w:val="20"/>
          <w:lang w:eastAsia="en-AU"/>
        </w:rPr>
        <w:t>’</w:t>
      </w:r>
      <w:r>
        <w:rPr>
          <w:rFonts w:ascii="Calibri Light" w:eastAsia="Times New Roman" w:hAnsi="Calibri Light" w:cs="Times New Roman"/>
          <w:szCs w:val="20"/>
          <w:lang w:eastAsia="en-AU"/>
        </w:rPr>
        <w:t>s estimates of its total regulatory costs at an activity level (</w:t>
      </w:r>
      <w:r w:rsidR="00630B6E">
        <w:rPr>
          <w:rFonts w:ascii="Calibri Light" w:eastAsia="Times New Roman" w:hAnsi="Calibri Light" w:cs="Times New Roman"/>
          <w:szCs w:val="20"/>
          <w:lang w:eastAsia="en-AU"/>
        </w:rPr>
        <w:t>for example,</w:t>
      </w:r>
      <w:r>
        <w:rPr>
          <w:rFonts w:ascii="Calibri Light" w:eastAsia="Times New Roman" w:hAnsi="Calibri Light" w:cs="Times New Roman"/>
          <w:szCs w:val="20"/>
          <w:lang w:eastAsia="en-AU"/>
        </w:rPr>
        <w:t xml:space="preserve"> total supervision and surveillance costs) </w:t>
      </w:r>
      <w:r w:rsidR="00FE4685">
        <w:rPr>
          <w:rFonts w:ascii="Calibri Light" w:eastAsia="Times New Roman" w:hAnsi="Calibri Light" w:cs="Times New Roman"/>
          <w:szCs w:val="20"/>
          <w:lang w:eastAsia="en-AU"/>
        </w:rPr>
        <w:t>have</w:t>
      </w:r>
      <w:r>
        <w:rPr>
          <w:rFonts w:ascii="Calibri Light" w:eastAsia="Times New Roman" w:hAnsi="Calibri Light" w:cs="Times New Roman"/>
          <w:szCs w:val="20"/>
          <w:lang w:eastAsia="en-AU"/>
        </w:rPr>
        <w:t xml:space="preserve"> been relatively accurate since the commencement of the IFM</w:t>
      </w:r>
      <w:r w:rsidR="00E814DB">
        <w:rPr>
          <w:rFonts w:ascii="Calibri Light" w:eastAsia="Times New Roman" w:hAnsi="Calibri Light" w:cs="Times New Roman"/>
          <w:szCs w:val="20"/>
          <w:lang w:eastAsia="en-AU"/>
        </w:rPr>
        <w:t>.</w:t>
      </w:r>
    </w:p>
    <w:p w14:paraId="0348BF3B" w14:textId="5CBBB8EB" w:rsidR="0067193D" w:rsidRDefault="00665A86" w:rsidP="002D4847">
      <w:pPr>
        <w:pStyle w:val="numberedtext"/>
        <w:numPr>
          <w:ilvl w:val="0"/>
          <w:numId w:val="15"/>
        </w:numPr>
        <w:ind w:hanging="720"/>
        <w:rPr>
          <w:rFonts w:ascii="Calibri Light" w:hAnsi="Calibri Light"/>
        </w:rPr>
      </w:pPr>
      <w:r>
        <w:rPr>
          <w:rFonts w:ascii="Calibri Light" w:eastAsia="Times New Roman" w:hAnsi="Calibri Light" w:cs="Times New Roman"/>
          <w:szCs w:val="20"/>
          <w:lang w:eastAsia="en-AU"/>
        </w:rPr>
        <w:t>However, a</w:t>
      </w:r>
      <w:r w:rsidRPr="006F3DB6">
        <w:rPr>
          <w:rFonts w:ascii="Calibri Light" w:eastAsia="Times New Roman" w:hAnsi="Calibri Light" w:cs="Times New Roman"/>
          <w:szCs w:val="20"/>
          <w:lang w:eastAsia="en-AU"/>
        </w:rPr>
        <w:t>t the sub</w:t>
      </w:r>
      <w:r w:rsidR="00BD190B">
        <w:rPr>
          <w:rFonts w:ascii="Calibri Light" w:eastAsia="Times New Roman" w:hAnsi="Calibri Light" w:cs="Times New Roman"/>
          <w:szCs w:val="20"/>
          <w:lang w:eastAsia="en-AU"/>
        </w:rPr>
        <w:noBreakHyphen/>
      </w:r>
      <w:r w:rsidRPr="006F3DB6">
        <w:rPr>
          <w:rFonts w:ascii="Calibri Light" w:eastAsia="Times New Roman" w:hAnsi="Calibri Light" w:cs="Times New Roman"/>
          <w:szCs w:val="20"/>
          <w:lang w:eastAsia="en-AU"/>
        </w:rPr>
        <w:t>sector level, the level of variance between estimated and actual levies can be much greater and more prominent</w:t>
      </w:r>
      <w:r w:rsidR="0067193D" w:rsidRPr="0067193D">
        <w:rPr>
          <w:rFonts w:ascii="Calibri Light" w:hAnsi="Calibri Light"/>
        </w:rPr>
        <w:t>.</w:t>
      </w:r>
      <w:r w:rsidR="005B5C77" w:rsidRPr="0067193D">
        <w:rPr>
          <w:rFonts w:ascii="Calibri Light" w:hAnsi="Calibri Light"/>
        </w:rPr>
        <w:t xml:space="preserve"> </w:t>
      </w:r>
      <w:r w:rsidR="0067193D" w:rsidRPr="0067193D">
        <w:rPr>
          <w:rFonts w:ascii="Calibri Light" w:hAnsi="Calibri Light"/>
        </w:rPr>
        <w:t>All sub</w:t>
      </w:r>
      <w:r w:rsidR="00BD190B">
        <w:rPr>
          <w:rFonts w:ascii="Calibri Light" w:hAnsi="Calibri Light"/>
        </w:rPr>
        <w:noBreakHyphen/>
      </w:r>
      <w:r w:rsidR="0067193D" w:rsidRPr="0067193D">
        <w:rPr>
          <w:rFonts w:ascii="Calibri Light" w:hAnsi="Calibri Light"/>
        </w:rPr>
        <w:t>sectors will experience some level of variance between</w:t>
      </w:r>
      <w:r w:rsidR="0067193D">
        <w:rPr>
          <w:rFonts w:ascii="Calibri Light" w:hAnsi="Calibri Light"/>
        </w:rPr>
        <w:t xml:space="preserve"> </w:t>
      </w:r>
      <w:r w:rsidR="0067193D" w:rsidRPr="0067193D">
        <w:rPr>
          <w:rFonts w:ascii="Calibri Light" w:hAnsi="Calibri Light"/>
        </w:rPr>
        <w:t>estimated and actual levies each year or in multiple years – that is, either an increase or decrease</w:t>
      </w:r>
      <w:r w:rsidR="0067193D">
        <w:rPr>
          <w:rFonts w:ascii="Calibri Light" w:hAnsi="Calibri Light"/>
        </w:rPr>
        <w:t xml:space="preserve"> </w:t>
      </w:r>
      <w:r w:rsidR="0067193D" w:rsidRPr="0067193D">
        <w:rPr>
          <w:rFonts w:ascii="Calibri Light" w:hAnsi="Calibri Light"/>
        </w:rPr>
        <w:t xml:space="preserve">between their estimated and actual levies. </w:t>
      </w:r>
    </w:p>
    <w:p w14:paraId="4BC2F539" w14:textId="4548431C" w:rsidR="0067193D" w:rsidRPr="0067193D" w:rsidRDefault="0067193D" w:rsidP="002D4847">
      <w:pPr>
        <w:pStyle w:val="numberedtext"/>
        <w:numPr>
          <w:ilvl w:val="0"/>
          <w:numId w:val="15"/>
        </w:numPr>
        <w:ind w:hanging="720"/>
        <w:rPr>
          <w:rFonts w:ascii="Calibri Light" w:hAnsi="Calibri Light"/>
        </w:rPr>
      </w:pPr>
      <w:r w:rsidRPr="0067193D">
        <w:rPr>
          <w:rFonts w:ascii="Calibri Light" w:hAnsi="Calibri Light"/>
        </w:rPr>
        <w:lastRenderedPageBreak/>
        <w:t>Stakeholders have raised concerns where there have been</w:t>
      </w:r>
      <w:r w:rsidR="00E64ADE">
        <w:rPr>
          <w:rFonts w:ascii="Calibri Light" w:hAnsi="Calibri Light"/>
        </w:rPr>
        <w:t xml:space="preserve"> significant increases between their estimated and actual levies which makes it difficult to budget for the levies. </w:t>
      </w:r>
    </w:p>
    <w:p w14:paraId="6A2B012A" w14:textId="4E75E55B" w:rsidR="00106DF0" w:rsidRPr="00106DF0" w:rsidRDefault="00106DF0" w:rsidP="002D4847">
      <w:pPr>
        <w:pStyle w:val="numberedtext"/>
        <w:numPr>
          <w:ilvl w:val="0"/>
          <w:numId w:val="15"/>
        </w:numPr>
        <w:ind w:hanging="720"/>
        <w:rPr>
          <w:rFonts w:ascii="Calibri Light" w:eastAsia="Times New Roman" w:hAnsi="Calibri Light" w:cs="Calibri Light"/>
          <w:szCs w:val="20"/>
          <w:lang w:eastAsia="en-AU"/>
        </w:rPr>
      </w:pPr>
      <w:r w:rsidRPr="00CB7D2B">
        <w:rPr>
          <w:rFonts w:ascii="Calibri Light" w:hAnsi="Calibri Light"/>
        </w:rPr>
        <w:t>Since the commencement of the IFM, ASIC</w:t>
      </w:r>
      <w:r w:rsidR="00FC047A">
        <w:rPr>
          <w:rFonts w:ascii="Calibri Light" w:hAnsi="Calibri Light"/>
        </w:rPr>
        <w:t>,</w:t>
      </w:r>
      <w:r w:rsidRPr="00CB7D2B">
        <w:rPr>
          <w:rFonts w:ascii="Calibri Light" w:hAnsi="Calibri Light"/>
        </w:rPr>
        <w:t xml:space="preserve"> via their CRIS process ha</w:t>
      </w:r>
      <w:r w:rsidR="00FC047A">
        <w:rPr>
          <w:rFonts w:ascii="Calibri Light" w:hAnsi="Calibri Light"/>
        </w:rPr>
        <w:t>s</w:t>
      </w:r>
      <w:r w:rsidRPr="00CB7D2B">
        <w:rPr>
          <w:rFonts w:ascii="Calibri Light" w:hAnsi="Calibri Light"/>
        </w:rPr>
        <w:t xml:space="preserve"> provided explanatory material relating to 38 instances of sub</w:t>
      </w:r>
      <w:r w:rsidR="00BD190B">
        <w:rPr>
          <w:rFonts w:ascii="Calibri Light" w:hAnsi="Calibri Light"/>
        </w:rPr>
        <w:noBreakHyphen/>
      </w:r>
      <w:r w:rsidRPr="00CB7D2B">
        <w:rPr>
          <w:rFonts w:ascii="Calibri Light" w:hAnsi="Calibri Light"/>
        </w:rPr>
        <w:t>sectors experiencing a material variation between actual costs and the estimate provided. ASIC considers a material variance to occur if the difference between the total actual costs and the estimated costs for the subsector are greater than 10% of the estimated costs and $2 million in total. A variation in enforcement costs was the main contributor to this variance in 35 of the 38 instances.</w:t>
      </w:r>
    </w:p>
    <w:p w14:paraId="0CC18CDD" w14:textId="1BCA7E3F" w:rsidR="002639B4" w:rsidRDefault="00103442" w:rsidP="002D4847">
      <w:pPr>
        <w:pStyle w:val="numberedtext"/>
        <w:numPr>
          <w:ilvl w:val="0"/>
          <w:numId w:val="15"/>
        </w:numPr>
        <w:ind w:hanging="720"/>
        <w:rPr>
          <w:rFonts w:ascii="Calibri Light" w:eastAsia="Times New Roman" w:hAnsi="Calibri Light" w:cs="Calibri Light"/>
          <w:szCs w:val="20"/>
          <w:lang w:eastAsia="en-AU"/>
        </w:rPr>
      </w:pPr>
      <w:r>
        <w:rPr>
          <w:rFonts w:ascii="Calibri Light" w:hAnsi="Calibri Light"/>
        </w:rPr>
        <w:t>Levy variance</w:t>
      </w:r>
      <w:r w:rsidRPr="00D60258">
        <w:rPr>
          <w:rFonts w:ascii="Calibri Light" w:hAnsi="Calibri Light"/>
        </w:rPr>
        <w:t xml:space="preserve"> is a symptom of the ex</w:t>
      </w:r>
      <w:r w:rsidR="00BD190B">
        <w:rPr>
          <w:rFonts w:ascii="Calibri Light" w:hAnsi="Calibri Light"/>
        </w:rPr>
        <w:noBreakHyphen/>
      </w:r>
      <w:r w:rsidRPr="00D60258">
        <w:rPr>
          <w:rFonts w:ascii="Calibri Light" w:hAnsi="Calibri Light"/>
        </w:rPr>
        <w:t xml:space="preserve">post nature of the model and </w:t>
      </w:r>
      <w:r>
        <w:rPr>
          <w:rFonts w:ascii="Calibri Light" w:hAnsi="Calibri Light"/>
        </w:rPr>
        <w:t>the requirement of the Charging Framework that ASIC</w:t>
      </w:r>
      <w:r w:rsidRPr="00D60258">
        <w:rPr>
          <w:rFonts w:ascii="Calibri Light" w:hAnsi="Calibri Light"/>
        </w:rPr>
        <w:t xml:space="preserve"> provide industry estimated levy amounts prior to issuing final invoices. </w:t>
      </w:r>
      <w:r w:rsidR="00A97207">
        <w:rPr>
          <w:rFonts w:ascii="Calibri Light" w:eastAsia="Times New Roman" w:hAnsi="Calibri Light" w:cs="Times New Roman"/>
          <w:szCs w:val="20"/>
          <w:lang w:eastAsia="en-AU"/>
        </w:rPr>
        <w:t>During consultation, s</w:t>
      </w:r>
      <w:r w:rsidR="002639B4" w:rsidRPr="00A97207">
        <w:rPr>
          <w:rFonts w:ascii="Calibri Light" w:eastAsia="Times New Roman" w:hAnsi="Calibri Light" w:cs="Calibri Light"/>
          <w:szCs w:val="20"/>
          <w:lang w:eastAsia="en-AU"/>
        </w:rPr>
        <w:t>takeholders</w:t>
      </w:r>
      <w:r w:rsidR="002639B4">
        <w:rPr>
          <w:rFonts w:ascii="Calibri Light" w:eastAsia="Times New Roman" w:hAnsi="Calibri Light" w:cs="Calibri Light"/>
          <w:szCs w:val="20"/>
          <w:lang w:eastAsia="en-AU"/>
        </w:rPr>
        <w:t xml:space="preserve"> expressed a preference for </w:t>
      </w:r>
      <w:r w:rsidR="00F23EBB">
        <w:rPr>
          <w:rFonts w:ascii="Calibri Light" w:eastAsia="Times New Roman" w:hAnsi="Calibri Light" w:cs="Calibri Light"/>
          <w:szCs w:val="20"/>
          <w:lang w:eastAsia="en-AU"/>
        </w:rPr>
        <w:t>ASIC</w:t>
      </w:r>
      <w:r w:rsidR="00BD190B">
        <w:rPr>
          <w:rFonts w:ascii="Calibri Light" w:eastAsia="Times New Roman" w:hAnsi="Calibri Light" w:cs="Calibri Light"/>
          <w:szCs w:val="20"/>
          <w:lang w:eastAsia="en-AU"/>
        </w:rPr>
        <w:t>’</w:t>
      </w:r>
      <w:r w:rsidR="00F23EBB">
        <w:rPr>
          <w:rFonts w:ascii="Calibri Light" w:eastAsia="Times New Roman" w:hAnsi="Calibri Light" w:cs="Calibri Light"/>
          <w:szCs w:val="20"/>
          <w:lang w:eastAsia="en-AU"/>
        </w:rPr>
        <w:t xml:space="preserve">s </w:t>
      </w:r>
      <w:r w:rsidR="002639B4">
        <w:rPr>
          <w:rFonts w:ascii="Calibri Light" w:eastAsia="Times New Roman" w:hAnsi="Calibri Light" w:cs="Calibri Light"/>
          <w:szCs w:val="20"/>
          <w:lang w:eastAsia="en-AU"/>
        </w:rPr>
        <w:t xml:space="preserve">cost recovery </w:t>
      </w:r>
      <w:r w:rsidR="00F23EBB">
        <w:rPr>
          <w:rFonts w:ascii="Calibri Light" w:eastAsia="Times New Roman" w:hAnsi="Calibri Light" w:cs="Calibri Light"/>
          <w:szCs w:val="20"/>
          <w:lang w:eastAsia="en-AU"/>
        </w:rPr>
        <w:t xml:space="preserve">to be </w:t>
      </w:r>
      <w:r w:rsidR="002639B4">
        <w:rPr>
          <w:rFonts w:ascii="Calibri Light" w:eastAsia="Times New Roman" w:hAnsi="Calibri Light" w:cs="Calibri Light"/>
          <w:szCs w:val="20"/>
          <w:lang w:eastAsia="en-AU"/>
        </w:rPr>
        <w:t>on an ex</w:t>
      </w:r>
      <w:r w:rsidR="00BD190B">
        <w:rPr>
          <w:rFonts w:ascii="Calibri Light" w:eastAsia="Times New Roman" w:hAnsi="Calibri Light" w:cs="Calibri Light"/>
          <w:szCs w:val="20"/>
          <w:lang w:eastAsia="en-AU"/>
        </w:rPr>
        <w:noBreakHyphen/>
      </w:r>
      <w:r w:rsidR="002639B4">
        <w:rPr>
          <w:rFonts w:ascii="Calibri Light" w:eastAsia="Times New Roman" w:hAnsi="Calibri Light" w:cs="Calibri Light"/>
          <w:szCs w:val="20"/>
          <w:lang w:eastAsia="en-AU"/>
        </w:rPr>
        <w:t>ante basis</w:t>
      </w:r>
      <w:r w:rsidR="00F23EBB">
        <w:rPr>
          <w:rFonts w:ascii="Calibri Light" w:eastAsia="Times New Roman" w:hAnsi="Calibri Light" w:cs="Calibri Light"/>
          <w:szCs w:val="20"/>
          <w:lang w:eastAsia="en-AU"/>
        </w:rPr>
        <w:t xml:space="preserve"> to give levy certainty</w:t>
      </w:r>
      <w:r w:rsidR="002639B4">
        <w:rPr>
          <w:rFonts w:ascii="Calibri Light" w:eastAsia="Times New Roman" w:hAnsi="Calibri Light" w:cs="Calibri Light"/>
          <w:szCs w:val="20"/>
          <w:lang w:eastAsia="en-AU"/>
        </w:rPr>
        <w:t>.</w:t>
      </w:r>
      <w:r w:rsidR="00A97207" w:rsidRPr="00A97207">
        <w:rPr>
          <w:rFonts w:ascii="Calibri Light" w:eastAsia="Times New Roman" w:hAnsi="Calibri Light" w:cs="Calibri Light"/>
          <w:szCs w:val="20"/>
          <w:lang w:eastAsia="en-AU"/>
        </w:rPr>
        <w:t xml:space="preserve"> </w:t>
      </w:r>
    </w:p>
    <w:p w14:paraId="56CCD4A3" w14:textId="4DE012A9" w:rsidR="00B50051" w:rsidRDefault="00724966" w:rsidP="002D4847">
      <w:pPr>
        <w:pStyle w:val="numberedtext"/>
        <w:numPr>
          <w:ilvl w:val="0"/>
          <w:numId w:val="15"/>
        </w:numPr>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 xml:space="preserve">What this would mean is that ASIC would need to </w:t>
      </w:r>
      <w:r w:rsidR="00EE285D">
        <w:rPr>
          <w:rFonts w:ascii="Calibri Light" w:eastAsia="Times New Roman" w:hAnsi="Calibri Light" w:cs="Calibri Light"/>
          <w:szCs w:val="20"/>
          <w:lang w:eastAsia="en-AU"/>
        </w:rPr>
        <w:t xml:space="preserve">calculate </w:t>
      </w:r>
      <w:r w:rsidR="009173DF">
        <w:rPr>
          <w:rFonts w:ascii="Calibri Light" w:eastAsia="Times New Roman" w:hAnsi="Calibri Light" w:cs="Calibri Light"/>
          <w:szCs w:val="20"/>
          <w:lang w:eastAsia="en-AU"/>
        </w:rPr>
        <w:t>prior to the leviable financial year its estimated regulatory costs for each sub</w:t>
      </w:r>
      <w:r w:rsidR="00BD190B">
        <w:rPr>
          <w:rFonts w:ascii="Calibri Light" w:eastAsia="Times New Roman" w:hAnsi="Calibri Light" w:cs="Calibri Light"/>
          <w:szCs w:val="20"/>
          <w:lang w:eastAsia="en-AU"/>
        </w:rPr>
        <w:noBreakHyphen/>
      </w:r>
      <w:r w:rsidR="009173DF">
        <w:rPr>
          <w:rFonts w:ascii="Calibri Light" w:eastAsia="Times New Roman" w:hAnsi="Calibri Light" w:cs="Calibri Light"/>
          <w:szCs w:val="20"/>
          <w:lang w:eastAsia="en-AU"/>
        </w:rPr>
        <w:t xml:space="preserve">sector. </w:t>
      </w:r>
      <w:r w:rsidR="00D85ABC">
        <w:rPr>
          <w:rFonts w:ascii="Calibri Light" w:eastAsia="Times New Roman" w:hAnsi="Calibri Light" w:cs="Calibri Light"/>
          <w:szCs w:val="20"/>
          <w:lang w:eastAsia="en-AU"/>
        </w:rPr>
        <w:t xml:space="preserve">Currently, ASIC does this in the middle of the leviable financial year (when </w:t>
      </w:r>
      <w:r w:rsidR="00CF5F77">
        <w:rPr>
          <w:rFonts w:ascii="Calibri Light" w:eastAsia="Times New Roman" w:hAnsi="Calibri Light" w:cs="Calibri Light"/>
          <w:szCs w:val="20"/>
          <w:lang w:eastAsia="en-AU"/>
        </w:rPr>
        <w:t xml:space="preserve">a few months costs are known) </w:t>
      </w:r>
      <w:r w:rsidR="00D85ABC">
        <w:rPr>
          <w:rFonts w:ascii="Calibri Light" w:eastAsia="Times New Roman" w:hAnsi="Calibri Light" w:cs="Calibri Light"/>
          <w:szCs w:val="20"/>
          <w:lang w:eastAsia="en-AU"/>
        </w:rPr>
        <w:t xml:space="preserve">which can result in </w:t>
      </w:r>
      <w:r w:rsidR="00CF5F77">
        <w:rPr>
          <w:rFonts w:ascii="Calibri Light" w:eastAsia="Times New Roman" w:hAnsi="Calibri Light" w:cs="Calibri Light"/>
          <w:szCs w:val="20"/>
          <w:lang w:eastAsia="en-AU"/>
        </w:rPr>
        <w:t>substantial variances</w:t>
      </w:r>
      <w:r w:rsidR="00D323F9">
        <w:rPr>
          <w:rFonts w:ascii="Calibri Light" w:eastAsia="Times New Roman" w:hAnsi="Calibri Light" w:cs="Calibri Light"/>
          <w:szCs w:val="20"/>
          <w:lang w:eastAsia="en-AU"/>
        </w:rPr>
        <w:t xml:space="preserve"> for sub</w:t>
      </w:r>
      <w:r w:rsidR="00BD190B">
        <w:rPr>
          <w:rFonts w:ascii="Calibri Light" w:eastAsia="Times New Roman" w:hAnsi="Calibri Light" w:cs="Calibri Light"/>
          <w:szCs w:val="20"/>
          <w:lang w:eastAsia="en-AU"/>
        </w:rPr>
        <w:noBreakHyphen/>
      </w:r>
      <w:r w:rsidR="00D323F9">
        <w:rPr>
          <w:rFonts w:ascii="Calibri Light" w:eastAsia="Times New Roman" w:hAnsi="Calibri Light" w:cs="Calibri Light"/>
          <w:szCs w:val="20"/>
          <w:lang w:eastAsia="en-AU"/>
        </w:rPr>
        <w:t>sectors</w:t>
      </w:r>
      <w:r w:rsidR="00005BF0">
        <w:rPr>
          <w:rFonts w:ascii="Calibri Light" w:eastAsia="Times New Roman" w:hAnsi="Calibri Light" w:cs="Calibri Light"/>
          <w:szCs w:val="20"/>
          <w:lang w:eastAsia="en-AU"/>
        </w:rPr>
        <w:t>. Doing this prior to the financial year would result in</w:t>
      </w:r>
      <w:r w:rsidR="00CD50DB">
        <w:rPr>
          <w:rFonts w:ascii="Calibri Light" w:eastAsia="Times New Roman" w:hAnsi="Calibri Light" w:cs="Calibri Light"/>
          <w:szCs w:val="20"/>
          <w:lang w:eastAsia="en-AU"/>
        </w:rPr>
        <w:t xml:space="preserve"> greater variances</w:t>
      </w:r>
      <w:r w:rsidR="00901E80">
        <w:rPr>
          <w:rFonts w:ascii="Calibri Light" w:eastAsia="Times New Roman" w:hAnsi="Calibri Light" w:cs="Calibri Light"/>
          <w:szCs w:val="20"/>
          <w:lang w:eastAsia="en-AU"/>
        </w:rPr>
        <w:t xml:space="preserve">. </w:t>
      </w:r>
    </w:p>
    <w:p w14:paraId="645DDBFE" w14:textId="7D953B20" w:rsidR="001E2CBA" w:rsidRDefault="001E2CBA" w:rsidP="002D4847">
      <w:pPr>
        <w:pStyle w:val="numberedtext"/>
        <w:numPr>
          <w:ilvl w:val="0"/>
          <w:numId w:val="15"/>
        </w:numPr>
        <w:ind w:hanging="720"/>
        <w:rPr>
          <w:rFonts w:ascii="Calibri Light" w:eastAsia="Times New Roman" w:hAnsi="Calibri Light" w:cs="Calibri Light"/>
          <w:szCs w:val="20"/>
          <w:lang w:eastAsia="en-AU"/>
        </w:rPr>
      </w:pPr>
      <w:r>
        <w:rPr>
          <w:rFonts w:ascii="Calibri Light" w:eastAsia="Times New Roman" w:hAnsi="Calibri Light" w:cs="Calibri Light"/>
          <w:szCs w:val="20"/>
          <w:lang w:eastAsia="en-AU"/>
        </w:rPr>
        <w:t>This type of approach would require adjustments in subsequent years at a sub</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 xml:space="preserve">sector level to </w:t>
      </w:r>
      <w:r w:rsidR="00D7368F">
        <w:rPr>
          <w:rFonts w:ascii="Calibri Light" w:eastAsia="Times New Roman" w:hAnsi="Calibri Light" w:cs="Calibri Light"/>
          <w:szCs w:val="20"/>
          <w:lang w:eastAsia="en-AU"/>
        </w:rPr>
        <w:t>account</w:t>
      </w:r>
      <w:r>
        <w:rPr>
          <w:rFonts w:ascii="Calibri Light" w:eastAsia="Times New Roman" w:hAnsi="Calibri Light" w:cs="Calibri Light"/>
          <w:szCs w:val="20"/>
          <w:lang w:eastAsia="en-AU"/>
        </w:rPr>
        <w:t xml:space="preserve"> for </w:t>
      </w:r>
      <w:r w:rsidR="00D7368F">
        <w:rPr>
          <w:rFonts w:ascii="Calibri Light" w:eastAsia="Times New Roman" w:hAnsi="Calibri Light" w:cs="Calibri Light"/>
          <w:szCs w:val="20"/>
          <w:lang w:eastAsia="en-AU"/>
        </w:rPr>
        <w:t>any over or under recoveries</w:t>
      </w:r>
      <w:r>
        <w:rPr>
          <w:rFonts w:ascii="Calibri Light" w:eastAsia="Times New Roman" w:hAnsi="Calibri Light" w:cs="Calibri Light"/>
          <w:szCs w:val="20"/>
          <w:lang w:eastAsia="en-AU"/>
        </w:rPr>
        <w:t>. This would cause inte</w:t>
      </w:r>
      <w:r w:rsidR="00BF6B7E">
        <w:rPr>
          <w:rFonts w:ascii="Calibri Light" w:eastAsia="Times New Roman" w:hAnsi="Calibri Light" w:cs="Calibri Light"/>
          <w:szCs w:val="20"/>
          <w:lang w:eastAsia="en-AU"/>
        </w:rPr>
        <w:t>rte</w:t>
      </w:r>
      <w:r>
        <w:rPr>
          <w:rFonts w:ascii="Calibri Light" w:eastAsia="Times New Roman" w:hAnsi="Calibri Light" w:cs="Calibri Light"/>
          <w:szCs w:val="20"/>
          <w:lang w:eastAsia="en-AU"/>
        </w:rPr>
        <w:t>mporal cross</w:t>
      </w:r>
      <w:r w:rsidR="00BD190B">
        <w:rPr>
          <w:rFonts w:ascii="Calibri Light" w:eastAsia="Times New Roman" w:hAnsi="Calibri Light" w:cs="Calibri Light"/>
          <w:szCs w:val="20"/>
          <w:lang w:eastAsia="en-AU"/>
        </w:rPr>
        <w:noBreakHyphen/>
      </w:r>
      <w:r>
        <w:rPr>
          <w:rFonts w:ascii="Calibri Light" w:eastAsia="Times New Roman" w:hAnsi="Calibri Light" w:cs="Calibri Light"/>
          <w:szCs w:val="20"/>
          <w:lang w:eastAsia="en-AU"/>
        </w:rPr>
        <w:t xml:space="preserve">subsidisation and significant levy volatility, meaning regulated populations of the future will be subsidising regulatory </w:t>
      </w:r>
      <w:r w:rsidR="00FA592B">
        <w:rPr>
          <w:rFonts w:ascii="Calibri Light" w:eastAsia="Times New Roman" w:hAnsi="Calibri Light" w:cs="Calibri Light"/>
          <w:szCs w:val="20"/>
          <w:lang w:eastAsia="en-AU"/>
        </w:rPr>
        <w:t>costs for</w:t>
      </w:r>
      <w:r>
        <w:rPr>
          <w:rFonts w:ascii="Calibri Light" w:eastAsia="Times New Roman" w:hAnsi="Calibri Light" w:cs="Calibri Light"/>
          <w:szCs w:val="20"/>
          <w:lang w:eastAsia="en-AU"/>
        </w:rPr>
        <w:t xml:space="preserve"> the past.</w:t>
      </w:r>
    </w:p>
    <w:p w14:paraId="0D1C01F6" w14:textId="5D944A63" w:rsidR="003C1594" w:rsidRPr="003C1594" w:rsidRDefault="001E2CBA" w:rsidP="002D4847">
      <w:pPr>
        <w:pStyle w:val="numberedtext"/>
        <w:numPr>
          <w:ilvl w:val="0"/>
          <w:numId w:val="15"/>
        </w:numPr>
        <w:ind w:hanging="720"/>
        <w:rPr>
          <w:rFonts w:ascii="Calibri Light" w:eastAsia="Times New Roman" w:hAnsi="Calibri Light" w:cs="Calibri Light"/>
          <w:szCs w:val="20"/>
          <w:lang w:eastAsia="en-AU"/>
        </w:rPr>
      </w:pPr>
      <w:r w:rsidRPr="00C55E2F">
        <w:rPr>
          <w:rFonts w:ascii="Calibri Light" w:eastAsia="Times New Roman" w:hAnsi="Calibri Light" w:cs="Calibri Light"/>
          <w:szCs w:val="20"/>
          <w:lang w:eastAsia="en-AU"/>
        </w:rPr>
        <w:t xml:space="preserve">The removal of enforcement costs from the model was raised by stakeholders </w:t>
      </w:r>
      <w:r w:rsidR="004E4754" w:rsidRPr="00C55E2F">
        <w:rPr>
          <w:rFonts w:ascii="Calibri Light" w:eastAsia="Times New Roman" w:hAnsi="Calibri Light" w:cs="Calibri Light"/>
          <w:szCs w:val="20"/>
          <w:lang w:eastAsia="en-AU"/>
        </w:rPr>
        <w:t>to</w:t>
      </w:r>
      <w:r w:rsidRPr="00C55E2F">
        <w:rPr>
          <w:rFonts w:ascii="Calibri Light" w:eastAsia="Times New Roman" w:hAnsi="Calibri Light" w:cs="Calibri Light"/>
          <w:szCs w:val="20"/>
          <w:lang w:eastAsia="en-AU"/>
        </w:rPr>
        <w:t xml:space="preserve"> make an ex</w:t>
      </w:r>
      <w:r w:rsidR="00BD190B">
        <w:rPr>
          <w:rFonts w:ascii="Calibri Light" w:eastAsia="Times New Roman" w:hAnsi="Calibri Light" w:cs="Calibri Light"/>
          <w:szCs w:val="20"/>
          <w:lang w:eastAsia="en-AU"/>
        </w:rPr>
        <w:noBreakHyphen/>
      </w:r>
      <w:r w:rsidRPr="00C55E2F">
        <w:rPr>
          <w:rFonts w:ascii="Calibri Light" w:eastAsia="Times New Roman" w:hAnsi="Calibri Light" w:cs="Calibri Light"/>
          <w:szCs w:val="20"/>
          <w:lang w:eastAsia="en-AU"/>
        </w:rPr>
        <w:t xml:space="preserve">ante model work more efficiently and enable ASIC to predict its costs more accurately. </w:t>
      </w:r>
      <w:r w:rsidR="009A56A9" w:rsidRPr="009A56A9">
        <w:rPr>
          <w:rFonts w:ascii="Calibri Light" w:eastAsia="Times New Roman" w:hAnsi="Calibri Light" w:cs="Times New Roman"/>
          <w:lang w:eastAsia="en-AU"/>
        </w:rPr>
        <w:t>The</w:t>
      </w:r>
      <w:r w:rsidR="007422E9">
        <w:rPr>
          <w:rFonts w:ascii="Calibri Light" w:eastAsia="Times New Roman" w:hAnsi="Calibri Light" w:cs="Times New Roman"/>
          <w:lang w:eastAsia="en-AU"/>
        </w:rPr>
        <w:t> </w:t>
      </w:r>
      <w:r w:rsidR="009A56A9" w:rsidRPr="009A56A9">
        <w:rPr>
          <w:rFonts w:ascii="Calibri Light" w:eastAsia="Times New Roman" w:hAnsi="Calibri Light" w:cs="Times New Roman"/>
          <w:lang w:eastAsia="en-AU"/>
        </w:rPr>
        <w:t>Review notes that while the removal of enforcement costs would reduce v</w:t>
      </w:r>
      <w:r w:rsidR="009B04BB">
        <w:rPr>
          <w:rFonts w:ascii="Calibri Light" w:eastAsia="Times New Roman" w:hAnsi="Calibri Light" w:cs="Times New Roman"/>
          <w:lang w:eastAsia="en-AU"/>
        </w:rPr>
        <w:t>ariance</w:t>
      </w:r>
      <w:r w:rsidR="009A56A9" w:rsidRPr="009A56A9">
        <w:rPr>
          <w:rFonts w:ascii="Calibri Light" w:eastAsia="Times New Roman" w:hAnsi="Calibri Light" w:cs="Times New Roman"/>
          <w:lang w:eastAsia="en-AU"/>
        </w:rPr>
        <w:t>, it</w:t>
      </w:r>
      <w:r w:rsidR="00910CFE">
        <w:rPr>
          <w:rFonts w:ascii="Calibri Light" w:eastAsia="Times New Roman" w:hAnsi="Calibri Light" w:cs="Times New Roman"/>
          <w:lang w:eastAsia="en-AU"/>
        </w:rPr>
        <w:t> </w:t>
      </w:r>
      <w:r w:rsidR="009A56A9" w:rsidRPr="009A56A9">
        <w:rPr>
          <w:rFonts w:ascii="Calibri Light" w:eastAsia="Times New Roman" w:hAnsi="Calibri Light" w:cs="Times New Roman"/>
          <w:lang w:eastAsia="en-AU"/>
        </w:rPr>
        <w:t xml:space="preserve">would not eliminate it completely and </w:t>
      </w:r>
      <w:r w:rsidR="009B04BB">
        <w:rPr>
          <w:rFonts w:ascii="Calibri Light" w:eastAsia="Times New Roman" w:hAnsi="Calibri Light" w:cs="Times New Roman"/>
          <w:lang w:eastAsia="en-AU"/>
        </w:rPr>
        <w:t>levy variance</w:t>
      </w:r>
      <w:r w:rsidR="009A56A9" w:rsidRPr="009A56A9">
        <w:rPr>
          <w:rFonts w:ascii="Calibri Light" w:eastAsia="Times New Roman" w:hAnsi="Calibri Light" w:cs="Times New Roman"/>
          <w:lang w:eastAsia="en-AU"/>
        </w:rPr>
        <w:t xml:space="preserve"> would remain</w:t>
      </w:r>
      <w:r w:rsidR="003C1594">
        <w:rPr>
          <w:rFonts w:ascii="Calibri Light" w:eastAsia="Times New Roman" w:hAnsi="Calibri Light" w:cs="Times New Roman"/>
          <w:lang w:eastAsia="en-AU"/>
        </w:rPr>
        <w:t>, which would require adjustments in subsequent years</w:t>
      </w:r>
      <w:r w:rsidR="009A56A9" w:rsidRPr="009A56A9">
        <w:rPr>
          <w:rFonts w:ascii="Calibri Light" w:eastAsia="Times New Roman" w:hAnsi="Calibri Light" w:cs="Times New Roman"/>
          <w:lang w:eastAsia="en-AU"/>
        </w:rPr>
        <w:t xml:space="preserve">. </w:t>
      </w:r>
    </w:p>
    <w:p w14:paraId="2BCFBC51" w14:textId="1108F64C" w:rsidR="009A56A9" w:rsidRPr="009A56A9" w:rsidRDefault="009A56A9" w:rsidP="002D4847">
      <w:pPr>
        <w:pStyle w:val="numberedtext"/>
        <w:numPr>
          <w:ilvl w:val="0"/>
          <w:numId w:val="15"/>
        </w:numPr>
        <w:ind w:hanging="720"/>
        <w:rPr>
          <w:rFonts w:ascii="Calibri Light" w:eastAsia="Times New Roman" w:hAnsi="Calibri Light" w:cs="Calibri Light"/>
          <w:szCs w:val="20"/>
          <w:lang w:eastAsia="en-AU"/>
        </w:rPr>
      </w:pPr>
      <w:r w:rsidRPr="009A56A9">
        <w:rPr>
          <w:rFonts w:ascii="Calibri Light" w:eastAsia="Times New Roman" w:hAnsi="Calibri Light" w:cs="Times New Roman"/>
          <w:lang w:eastAsia="en-AU"/>
        </w:rPr>
        <w:t xml:space="preserve">Additionally, the removal of costs from the IFM would not align with </w:t>
      </w:r>
      <w:r w:rsidR="004F64B8">
        <w:rPr>
          <w:rFonts w:ascii="Calibri Light" w:eastAsia="Times New Roman" w:hAnsi="Calibri Light" w:cs="Times New Roman"/>
          <w:lang w:eastAsia="en-AU"/>
        </w:rPr>
        <w:t>g</w:t>
      </w:r>
      <w:r w:rsidRPr="009A56A9">
        <w:rPr>
          <w:rFonts w:ascii="Calibri Light" w:eastAsia="Times New Roman" w:hAnsi="Calibri Light" w:cs="Times New Roman"/>
          <w:lang w:eastAsia="en-AU"/>
        </w:rPr>
        <w:t>overnments</w:t>
      </w:r>
      <w:r w:rsidR="00BD190B">
        <w:rPr>
          <w:rFonts w:ascii="Calibri Light" w:eastAsia="Times New Roman" w:hAnsi="Calibri Light" w:cs="Times New Roman"/>
          <w:lang w:eastAsia="en-AU"/>
        </w:rPr>
        <w:t>’</w:t>
      </w:r>
      <w:r w:rsidRPr="009A56A9">
        <w:rPr>
          <w:rFonts w:ascii="Calibri Light" w:eastAsia="Times New Roman" w:hAnsi="Calibri Light" w:cs="Times New Roman"/>
          <w:lang w:eastAsia="en-AU"/>
        </w:rPr>
        <w:t xml:space="preserve"> long</w:t>
      </w:r>
      <w:r w:rsidR="00BD190B">
        <w:rPr>
          <w:rFonts w:ascii="Calibri Light" w:eastAsia="Times New Roman" w:hAnsi="Calibri Light" w:cs="Times New Roman"/>
          <w:lang w:eastAsia="en-AU"/>
        </w:rPr>
        <w:noBreakHyphen/>
      </w:r>
      <w:r w:rsidRPr="009A56A9">
        <w:rPr>
          <w:rFonts w:ascii="Calibri Light" w:eastAsia="Times New Roman" w:hAnsi="Calibri Light" w:cs="Times New Roman"/>
          <w:lang w:eastAsia="en-AU"/>
        </w:rPr>
        <w:t>standing position that cost recovery levies and fees are considered as a funding mechanism prior to budget funding – see Chapter</w:t>
      </w:r>
      <w:r w:rsidR="00B57435">
        <w:rPr>
          <w:rFonts w:ascii="Calibri Light" w:eastAsia="Times New Roman" w:hAnsi="Calibri Light" w:cs="Times New Roman"/>
          <w:lang w:eastAsia="en-AU"/>
        </w:rPr>
        <w:t> </w:t>
      </w:r>
      <w:r w:rsidRPr="009A56A9">
        <w:rPr>
          <w:rFonts w:ascii="Calibri Light" w:eastAsia="Times New Roman" w:hAnsi="Calibri Light" w:cs="Times New Roman"/>
          <w:lang w:eastAsia="en-AU"/>
        </w:rPr>
        <w:t>2</w:t>
      </w:r>
      <w:r w:rsidR="00DB0EDD">
        <w:rPr>
          <w:rFonts w:ascii="Calibri Light" w:eastAsia="Times New Roman" w:hAnsi="Calibri Light" w:cs="Times New Roman"/>
          <w:lang w:eastAsia="en-AU"/>
        </w:rPr>
        <w:t>.</w:t>
      </w:r>
    </w:p>
    <w:p w14:paraId="18A36EA9" w14:textId="77777777" w:rsidR="00665A86" w:rsidRPr="00532293" w:rsidRDefault="00665A86" w:rsidP="00532293">
      <w:pPr>
        <w:pStyle w:val="numberedtext"/>
        <w:tabs>
          <w:tab w:val="left" w:pos="709"/>
        </w:tabs>
        <w:ind w:firstLine="0"/>
        <w:rPr>
          <w:rFonts w:ascii="Calibri Light" w:eastAsia="Times New Roman" w:hAnsi="Calibri Light" w:cs="Times New Roman"/>
          <w:szCs w:val="20"/>
          <w:lang w:eastAsia="en-AU"/>
        </w:rPr>
      </w:pPr>
    </w:p>
    <w:tbl>
      <w:tblPr>
        <w:tblStyle w:val="Style1"/>
        <w:tblpPr w:leftFromText="180" w:rightFromText="180" w:vertAnchor="text" w:horzAnchor="margin" w:tblpXSpec="center" w:tblpY="-50"/>
        <w:tblW w:w="4771" w:type="pct"/>
        <w:tblLook w:val="04A0" w:firstRow="1" w:lastRow="0" w:firstColumn="1" w:lastColumn="0" w:noHBand="0" w:noVBand="1"/>
      </w:tblPr>
      <w:tblGrid>
        <w:gridCol w:w="8657"/>
      </w:tblGrid>
      <w:tr w:rsidR="00665A86" w:rsidRPr="00863059" w14:paraId="31AACD97" w14:textId="77777777" w:rsidTr="007D3412">
        <w:trPr>
          <w:trHeight w:val="680"/>
        </w:trPr>
        <w:tc>
          <w:tcPr>
            <w:tcW w:w="5000" w:type="pct"/>
          </w:tcPr>
          <w:p w14:paraId="50D8FB12" w14:textId="77777777" w:rsidR="00665A86" w:rsidRPr="0032739E" w:rsidRDefault="00665A86" w:rsidP="0037599B">
            <w:pPr>
              <w:pStyle w:val="BoxHeading"/>
            </w:pPr>
            <w:r w:rsidRPr="0032739E">
              <w:t>Key finding</w:t>
            </w:r>
          </w:p>
          <w:p w14:paraId="2F24CBCA" w14:textId="0F65AD35" w:rsidR="00665A86" w:rsidRPr="0032739E" w:rsidRDefault="00665A86" w:rsidP="009F75E0">
            <w:pPr>
              <w:pStyle w:val="BoxText"/>
              <w:rPr>
                <w:szCs w:val="22"/>
              </w:rPr>
            </w:pPr>
            <w:r w:rsidRPr="00F4630C">
              <w:t>A factor driving the variance between estimated and actual levies is the use of limited data at the time of calculating the estimated levies. The Review has identified adjustments to ASIC</w:t>
            </w:r>
            <w:r w:rsidR="00BD190B">
              <w:t>’</w:t>
            </w:r>
            <w:r w:rsidRPr="00F4630C">
              <w:t xml:space="preserve">s processes which are expected to reduce levy variance (see Chapter 5) </w:t>
            </w:r>
          </w:p>
        </w:tc>
      </w:tr>
    </w:tbl>
    <w:p w14:paraId="009DDF18" w14:textId="77777777" w:rsidR="00665A86" w:rsidRDefault="00665A86" w:rsidP="0037599B">
      <w:pPr>
        <w:pStyle w:val="SingleParagraph"/>
      </w:pPr>
    </w:p>
    <w:tbl>
      <w:tblPr>
        <w:tblStyle w:val="Style1"/>
        <w:tblpPr w:leftFromText="180" w:rightFromText="180" w:vertAnchor="text" w:horzAnchor="margin" w:tblpXSpec="center" w:tblpY="-50"/>
        <w:tblW w:w="4771" w:type="pct"/>
        <w:tblLook w:val="04A0" w:firstRow="1" w:lastRow="0" w:firstColumn="1" w:lastColumn="0" w:noHBand="0" w:noVBand="1"/>
      </w:tblPr>
      <w:tblGrid>
        <w:gridCol w:w="8657"/>
      </w:tblGrid>
      <w:tr w:rsidR="00665A86" w:rsidRPr="00863059" w14:paraId="6861F1C7" w14:textId="77777777" w:rsidTr="007D3412">
        <w:trPr>
          <w:trHeight w:val="680"/>
        </w:trPr>
        <w:tc>
          <w:tcPr>
            <w:tcW w:w="5000" w:type="pct"/>
          </w:tcPr>
          <w:p w14:paraId="438448E7" w14:textId="77777777" w:rsidR="00665A86" w:rsidRPr="0032739E" w:rsidRDefault="00665A86" w:rsidP="0037599B">
            <w:pPr>
              <w:pStyle w:val="BoxHeading"/>
            </w:pPr>
            <w:r w:rsidRPr="0032739E">
              <w:t>Key finding</w:t>
            </w:r>
          </w:p>
          <w:p w14:paraId="44ED8DB3" w14:textId="15178CF2" w:rsidR="00665A86" w:rsidRPr="0032739E" w:rsidRDefault="00665A86" w:rsidP="009F75E0">
            <w:pPr>
              <w:pStyle w:val="BoxText"/>
              <w:rPr>
                <w:rFonts w:asciiTheme="majorHAnsi" w:hAnsiTheme="majorHAnsi" w:cstheme="majorHAnsi"/>
                <w:iCs/>
                <w:color w:val="000000"/>
                <w:szCs w:val="22"/>
              </w:rPr>
            </w:pPr>
            <w:r w:rsidRPr="00F4630C">
              <w:t>The most prominent driver of significant variance between estimated and actual levies for sub</w:t>
            </w:r>
            <w:r w:rsidR="00BD190B">
              <w:noBreakHyphen/>
            </w:r>
            <w:r w:rsidRPr="00F4630C">
              <w:t>sectors has been a deviation between expected and actual enforcement costs allocated to sub</w:t>
            </w:r>
            <w:r w:rsidR="00BD190B">
              <w:noBreakHyphen/>
            </w:r>
            <w:r w:rsidRPr="00F4630C">
              <w:t>sectors.</w:t>
            </w:r>
          </w:p>
        </w:tc>
      </w:tr>
    </w:tbl>
    <w:p w14:paraId="032AFE08" w14:textId="5A399282" w:rsidR="00665A86" w:rsidRPr="009814ED" w:rsidRDefault="00665A86" w:rsidP="009814ED">
      <w:pPr>
        <w:pStyle w:val="Heading1"/>
        <w:rPr>
          <w:highlight w:val="lightGray"/>
        </w:rPr>
      </w:pPr>
      <w:bookmarkStart w:id="115" w:name="_Toc115094951"/>
      <w:bookmarkStart w:id="116" w:name="_Toc125305198"/>
      <w:bookmarkStart w:id="117" w:name="_Toc129270478"/>
      <w:bookmarkStart w:id="118" w:name="_Toc115094957"/>
      <w:r w:rsidRPr="00541798">
        <w:lastRenderedPageBreak/>
        <w:t>Chapter 4:</w:t>
      </w:r>
      <w:r w:rsidR="007B1878">
        <w:t xml:space="preserve"> F</w:t>
      </w:r>
      <w:r w:rsidRPr="00541798">
        <w:t>ees</w:t>
      </w:r>
      <w:r w:rsidR="00BD190B">
        <w:noBreakHyphen/>
      </w:r>
      <w:r w:rsidRPr="00541798">
        <w:t>for</w:t>
      </w:r>
      <w:r w:rsidR="00BD190B">
        <w:noBreakHyphen/>
      </w:r>
      <w:r w:rsidRPr="00541798">
        <w:t>service</w:t>
      </w:r>
      <w:bookmarkEnd w:id="115"/>
      <w:bookmarkEnd w:id="116"/>
      <w:bookmarkEnd w:id="117"/>
      <w:r w:rsidRPr="00541798">
        <w:t xml:space="preserve"> </w:t>
      </w:r>
    </w:p>
    <w:p w14:paraId="236025CA" w14:textId="217D1277" w:rsidR="00665A86" w:rsidRPr="00665A86" w:rsidRDefault="00665A86" w:rsidP="00665A86">
      <w:pPr>
        <w:pStyle w:val="Heading2"/>
      </w:pPr>
      <w:bookmarkStart w:id="119" w:name="_Toc125305199"/>
      <w:bookmarkStart w:id="120" w:name="_Toc129270479"/>
      <w:r w:rsidRPr="00665A86">
        <w:t>Introduction</w:t>
      </w:r>
      <w:bookmarkEnd w:id="119"/>
      <w:bookmarkEnd w:id="120"/>
    </w:p>
    <w:p w14:paraId="3A9688A8" w14:textId="3F5A0067"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The Review</w:t>
      </w:r>
      <w:r w:rsidR="00BD190B">
        <w:rPr>
          <w:rFonts w:eastAsia="Calibri" w:cs="Calibri Light"/>
          <w:szCs w:val="22"/>
          <w:lang w:eastAsia="en-US"/>
        </w:rPr>
        <w:t>’</w:t>
      </w:r>
      <w:r w:rsidRPr="00541798">
        <w:rPr>
          <w:rFonts w:eastAsia="Calibri" w:cs="Calibri Light"/>
          <w:szCs w:val="22"/>
          <w:lang w:eastAsia="en-US"/>
        </w:rPr>
        <w:t>s Terms of Reference requires the Review to consider whether the design and legislative framework for regulatory fees</w:t>
      </w:r>
      <w:r w:rsidR="00BD190B">
        <w:rPr>
          <w:rFonts w:eastAsia="Calibri" w:cs="Calibri Light"/>
          <w:szCs w:val="22"/>
          <w:lang w:eastAsia="en-US"/>
        </w:rPr>
        <w:noBreakHyphen/>
      </w:r>
      <w:r w:rsidRPr="00541798">
        <w:rPr>
          <w:rFonts w:eastAsia="Calibri" w:cs="Calibri Light"/>
          <w:szCs w:val="22"/>
          <w:lang w:eastAsia="en-US"/>
        </w:rPr>
        <w:t>for</w:t>
      </w:r>
      <w:r w:rsidR="00BD190B">
        <w:rPr>
          <w:rFonts w:eastAsia="Calibri" w:cs="Calibri Light"/>
          <w:szCs w:val="22"/>
          <w:lang w:eastAsia="en-US"/>
        </w:rPr>
        <w:noBreakHyphen/>
      </w:r>
      <w:r w:rsidRPr="00541798">
        <w:rPr>
          <w:rFonts w:eastAsia="Calibri" w:cs="Calibri Light"/>
          <w:szCs w:val="22"/>
          <w:lang w:eastAsia="en-US"/>
        </w:rPr>
        <w:t xml:space="preserve">service remains appropriate, and to consider the types of costs recovered through fees. This does not include a detailed examination of individual fees. </w:t>
      </w:r>
    </w:p>
    <w:p w14:paraId="3C057072" w14:textId="583ECABD"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This chapter examines the design and flexibility of the fees framework; the cost recovery policy that underpins the framework; and the nature of ASIC</w:t>
      </w:r>
      <w:r w:rsidR="00BD190B">
        <w:rPr>
          <w:rFonts w:eastAsia="Calibri" w:cs="Calibri Light"/>
          <w:szCs w:val="22"/>
          <w:lang w:eastAsia="en-US"/>
        </w:rPr>
        <w:t>’</w:t>
      </w:r>
      <w:r w:rsidRPr="00541798">
        <w:rPr>
          <w:rFonts w:eastAsia="Calibri" w:cs="Calibri Light"/>
          <w:szCs w:val="22"/>
          <w:lang w:eastAsia="en-US"/>
        </w:rPr>
        <w:t>s activities that are cost recovered from industry through fees.</w:t>
      </w:r>
    </w:p>
    <w:p w14:paraId="37B78FF8" w14:textId="18F8A63F" w:rsidR="00665A86" w:rsidRPr="00541798" w:rsidRDefault="009B73A8" w:rsidP="00665A86">
      <w:pPr>
        <w:pStyle w:val="Heading2"/>
      </w:pPr>
      <w:bookmarkStart w:id="121" w:name="_Toc125305200"/>
      <w:bookmarkStart w:id="122" w:name="_Toc129270480"/>
      <w:r>
        <w:t>F</w:t>
      </w:r>
      <w:r w:rsidR="00665A86" w:rsidRPr="00541798">
        <w:t>ees</w:t>
      </w:r>
      <w:r w:rsidR="00BD190B">
        <w:noBreakHyphen/>
      </w:r>
      <w:r w:rsidR="00665A86" w:rsidRPr="00541798">
        <w:t>for</w:t>
      </w:r>
      <w:r w:rsidR="00BD190B">
        <w:noBreakHyphen/>
      </w:r>
      <w:r w:rsidR="00665A86" w:rsidRPr="00541798">
        <w:t>service framework</w:t>
      </w:r>
      <w:bookmarkEnd w:id="121"/>
      <w:bookmarkEnd w:id="122"/>
    </w:p>
    <w:p w14:paraId="181AECAC" w14:textId="441DC1C2" w:rsidR="00665A86" w:rsidRPr="00541798" w:rsidRDefault="00665A86" w:rsidP="006B2EB3">
      <w:pPr>
        <w:numPr>
          <w:ilvl w:val="1"/>
          <w:numId w:val="19"/>
        </w:numPr>
        <w:spacing w:line="259" w:lineRule="auto"/>
        <w:ind w:left="720" w:hanging="720"/>
        <w:rPr>
          <w:rFonts w:cs="Calibri Light"/>
        </w:rPr>
      </w:pPr>
      <w:r w:rsidRPr="00541798">
        <w:rPr>
          <w:rFonts w:eastAsia="Calibri" w:cs="Calibri Light"/>
          <w:szCs w:val="22"/>
          <w:lang w:eastAsia="en-US"/>
        </w:rPr>
        <w:t>As part of the IFM, ASIC directly charges fees for user initiated and transaction</w:t>
      </w:r>
      <w:r w:rsidR="00BD190B">
        <w:rPr>
          <w:rFonts w:eastAsia="Calibri" w:cs="Calibri Light"/>
          <w:szCs w:val="22"/>
          <w:lang w:eastAsia="en-US"/>
        </w:rPr>
        <w:noBreakHyphen/>
      </w:r>
      <w:r w:rsidRPr="00541798">
        <w:rPr>
          <w:rFonts w:eastAsia="Calibri" w:cs="Calibri Light"/>
          <w:szCs w:val="22"/>
          <w:lang w:eastAsia="en-US"/>
        </w:rPr>
        <w:t>based activities where ASIC provides a specific service to individual entities. These fees are charged when a service, or regulatory activity is provided directly to an individual or organisation. For example, an application fee for an Australian Financial Services Licence (AFSL) would be payable at the time of application by an individual or organisation.</w:t>
      </w:r>
      <w:r w:rsidRPr="00541798">
        <w:rPr>
          <w:rFonts w:cs="Calibri Light"/>
        </w:rPr>
        <w:t xml:space="preserve"> </w:t>
      </w:r>
    </w:p>
    <w:p w14:paraId="56C4DA7D" w14:textId="77777777"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Before the commencement of the fees framework, ASIC charged industry fees for around 180 separate regulatory forms. These fees did not accurately reflect the cost of ASIC processing and assessing these forms. Many of these activities only attracted a nominal fee which was not subject to any review. As a result, any difference between the fee an entity paid, and the actual costs incurred by ASIC were subsidised by taxpayers. </w:t>
      </w:r>
    </w:p>
    <w:p w14:paraId="58FECF44" w14:textId="23D09EA0" w:rsidR="00665A86" w:rsidRPr="002D4847"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The fees component of the IFM commenced on 4 July 2018 and accounts for a small proportion of the total amount recovered from industry under the IFM – typically between 3</w:t>
      </w:r>
      <w:r w:rsidR="00BD190B">
        <w:rPr>
          <w:rFonts w:eastAsia="Calibri" w:cs="Calibri Light"/>
          <w:szCs w:val="22"/>
          <w:lang w:eastAsia="en-US"/>
        </w:rPr>
        <w:noBreakHyphen/>
      </w:r>
      <w:r w:rsidRPr="00541798">
        <w:rPr>
          <w:rFonts w:eastAsia="Calibri" w:cs="Calibri Light"/>
          <w:szCs w:val="22"/>
          <w:lang w:eastAsia="en-US"/>
        </w:rPr>
        <w:t xml:space="preserve">5 per cent each year. Table 4.1 compares amounts recovered via fees as a proportion of total industry funding recovered through the IFM. </w:t>
      </w:r>
    </w:p>
    <w:p w14:paraId="5484CE06" w14:textId="77777777" w:rsidR="00665A86" w:rsidRPr="00541798" w:rsidRDefault="00665A86" w:rsidP="002D4847">
      <w:pPr>
        <w:pStyle w:val="TableMainHeading"/>
        <w:rPr>
          <w:rFonts w:eastAsia="Calibri"/>
          <w:lang w:eastAsia="en-US"/>
        </w:rPr>
      </w:pPr>
      <w:bookmarkStart w:id="123" w:name="_Toc129270481"/>
      <w:r w:rsidRPr="00541798">
        <w:rPr>
          <w:rFonts w:eastAsia="Calibri"/>
          <w:lang w:eastAsia="en-US"/>
        </w:rPr>
        <w:t>Table 4.1: Fee revenue compared to total industry funding</w:t>
      </w:r>
      <w:bookmarkEnd w:id="123"/>
    </w:p>
    <w:tbl>
      <w:tblPr>
        <w:tblStyle w:val="TableGrid"/>
        <w:tblW w:w="5000" w:type="pct"/>
        <w:tblLook w:val="04A0" w:firstRow="1" w:lastRow="0" w:firstColumn="1" w:lastColumn="0" w:noHBand="0" w:noVBand="1"/>
      </w:tblPr>
      <w:tblGrid>
        <w:gridCol w:w="4675"/>
        <w:gridCol w:w="1096"/>
        <w:gridCol w:w="1097"/>
        <w:gridCol w:w="1097"/>
        <w:gridCol w:w="1097"/>
      </w:tblGrid>
      <w:tr w:rsidR="00665A86" w:rsidRPr="00541798" w14:paraId="45B70F9C" w14:textId="77777777" w:rsidTr="003A78C4">
        <w:trPr>
          <w:cnfStyle w:val="100000000000" w:firstRow="1" w:lastRow="0" w:firstColumn="0" w:lastColumn="0" w:oddVBand="0" w:evenVBand="0" w:oddHBand="0" w:evenHBand="0" w:firstRowFirstColumn="0" w:firstRowLastColumn="0" w:lastRowFirstColumn="0" w:lastRowLastColumn="0"/>
        </w:trPr>
        <w:tc>
          <w:tcPr>
            <w:tcW w:w="2579" w:type="pct"/>
          </w:tcPr>
          <w:p w14:paraId="05E08C6F" w14:textId="77777777" w:rsidR="00665A86" w:rsidRPr="00541798" w:rsidRDefault="00665A86" w:rsidP="002D4847">
            <w:pPr>
              <w:pStyle w:val="TableColumnHeadingRight"/>
              <w:rPr>
                <w:rFonts w:eastAsia="Calibri"/>
                <w:lang w:eastAsia="en-US"/>
              </w:rPr>
            </w:pPr>
          </w:p>
        </w:tc>
        <w:tc>
          <w:tcPr>
            <w:tcW w:w="605" w:type="pct"/>
          </w:tcPr>
          <w:p w14:paraId="1278200C" w14:textId="5168BBF8" w:rsidR="00665A86" w:rsidRPr="00541798" w:rsidRDefault="009C7ED2" w:rsidP="002D4847">
            <w:pPr>
              <w:pStyle w:val="TableColumnHeadingRight"/>
              <w:rPr>
                <w:rFonts w:eastAsia="Calibri"/>
                <w:b/>
                <w:bCs/>
                <w:lang w:eastAsia="en-US"/>
              </w:rPr>
            </w:pPr>
            <w:r>
              <w:rPr>
                <w:rFonts w:eastAsia="Calibri"/>
                <w:b/>
                <w:bCs/>
                <w:lang w:eastAsia="en-US"/>
              </w:rPr>
              <w:t>2018–19</w:t>
            </w:r>
          </w:p>
        </w:tc>
        <w:tc>
          <w:tcPr>
            <w:tcW w:w="605" w:type="pct"/>
          </w:tcPr>
          <w:p w14:paraId="257215CC" w14:textId="74DC2F50" w:rsidR="00665A86" w:rsidRPr="00541798" w:rsidRDefault="009C7ED2" w:rsidP="002D4847">
            <w:pPr>
              <w:pStyle w:val="TableColumnHeadingRight"/>
              <w:rPr>
                <w:rFonts w:eastAsia="Calibri"/>
                <w:b/>
                <w:bCs/>
                <w:lang w:eastAsia="en-US"/>
              </w:rPr>
            </w:pPr>
            <w:r>
              <w:rPr>
                <w:rFonts w:eastAsia="Calibri"/>
                <w:b/>
                <w:bCs/>
                <w:lang w:eastAsia="en-US"/>
              </w:rPr>
              <w:t>2019–20</w:t>
            </w:r>
          </w:p>
        </w:tc>
        <w:tc>
          <w:tcPr>
            <w:tcW w:w="605" w:type="pct"/>
          </w:tcPr>
          <w:p w14:paraId="24BAF7BF" w14:textId="06BDFFA2" w:rsidR="00665A86" w:rsidRPr="00541798" w:rsidRDefault="009C7ED2" w:rsidP="002D4847">
            <w:pPr>
              <w:pStyle w:val="TableColumnHeadingRight"/>
              <w:rPr>
                <w:rFonts w:eastAsia="Calibri"/>
                <w:b/>
                <w:bCs/>
                <w:lang w:eastAsia="en-US"/>
              </w:rPr>
            </w:pPr>
            <w:r>
              <w:rPr>
                <w:rFonts w:eastAsia="Calibri"/>
                <w:b/>
                <w:bCs/>
                <w:lang w:eastAsia="en-US"/>
              </w:rPr>
              <w:t>2020–21</w:t>
            </w:r>
          </w:p>
        </w:tc>
        <w:tc>
          <w:tcPr>
            <w:tcW w:w="605" w:type="pct"/>
          </w:tcPr>
          <w:p w14:paraId="33BF1C8D" w14:textId="0199429A" w:rsidR="00665A86" w:rsidRPr="00541798" w:rsidRDefault="009C7ED2" w:rsidP="002D4847">
            <w:pPr>
              <w:pStyle w:val="TableColumnHeadingRight"/>
              <w:rPr>
                <w:rFonts w:eastAsia="Calibri"/>
                <w:b/>
                <w:bCs/>
                <w:lang w:eastAsia="en-US"/>
              </w:rPr>
            </w:pPr>
            <w:r>
              <w:rPr>
                <w:rFonts w:eastAsia="Calibri"/>
                <w:b/>
                <w:bCs/>
                <w:lang w:eastAsia="en-US"/>
              </w:rPr>
              <w:t>2021–22</w:t>
            </w:r>
          </w:p>
        </w:tc>
      </w:tr>
      <w:tr w:rsidR="00665A86" w:rsidRPr="00541798" w14:paraId="47AA525A" w14:textId="77777777" w:rsidTr="003A78C4">
        <w:tc>
          <w:tcPr>
            <w:tcW w:w="2579" w:type="pct"/>
          </w:tcPr>
          <w:p w14:paraId="1ADEAAF7" w14:textId="77777777" w:rsidR="00665A86" w:rsidRPr="00541798" w:rsidRDefault="00665A86" w:rsidP="002D4847">
            <w:pPr>
              <w:pStyle w:val="TableTextLeft"/>
              <w:rPr>
                <w:rFonts w:eastAsia="Calibri"/>
                <w:lang w:eastAsia="en-US"/>
              </w:rPr>
            </w:pPr>
            <w:r w:rsidRPr="00541798">
              <w:rPr>
                <w:rFonts w:eastAsia="Calibri"/>
                <w:lang w:eastAsia="en-US"/>
              </w:rPr>
              <w:t xml:space="preserve">Amount recovered via industry levies ($ million) </w:t>
            </w:r>
          </w:p>
        </w:tc>
        <w:tc>
          <w:tcPr>
            <w:tcW w:w="605" w:type="pct"/>
          </w:tcPr>
          <w:p w14:paraId="6B5190A8" w14:textId="77777777" w:rsidR="00665A86" w:rsidRPr="00541798" w:rsidRDefault="00665A86" w:rsidP="002D4847">
            <w:pPr>
              <w:pStyle w:val="TableTextRight"/>
              <w:rPr>
                <w:rFonts w:eastAsia="Calibri"/>
                <w:lang w:eastAsia="en-US"/>
              </w:rPr>
            </w:pPr>
            <w:r w:rsidRPr="00541798">
              <w:rPr>
                <w:rFonts w:eastAsia="Calibri"/>
                <w:lang w:eastAsia="en-US"/>
              </w:rPr>
              <w:t>276.7</w:t>
            </w:r>
          </w:p>
        </w:tc>
        <w:tc>
          <w:tcPr>
            <w:tcW w:w="605" w:type="pct"/>
          </w:tcPr>
          <w:p w14:paraId="33276F73" w14:textId="77777777" w:rsidR="00665A86" w:rsidRPr="00541798" w:rsidRDefault="00665A86" w:rsidP="002D4847">
            <w:pPr>
              <w:pStyle w:val="TableTextRight"/>
              <w:rPr>
                <w:rFonts w:eastAsia="Calibri"/>
                <w:lang w:eastAsia="en-US"/>
              </w:rPr>
            </w:pPr>
            <w:r w:rsidRPr="00541798">
              <w:rPr>
                <w:rFonts w:eastAsia="Calibri"/>
                <w:lang w:eastAsia="en-US"/>
              </w:rPr>
              <w:t>320.3</w:t>
            </w:r>
          </w:p>
        </w:tc>
        <w:tc>
          <w:tcPr>
            <w:tcW w:w="605" w:type="pct"/>
          </w:tcPr>
          <w:p w14:paraId="0AEB5058" w14:textId="77777777" w:rsidR="00665A86" w:rsidRPr="00541798" w:rsidRDefault="00665A86" w:rsidP="002D4847">
            <w:pPr>
              <w:pStyle w:val="TableTextRight"/>
              <w:rPr>
                <w:rFonts w:eastAsia="Calibri"/>
                <w:lang w:eastAsia="en-US"/>
              </w:rPr>
            </w:pPr>
            <w:r w:rsidRPr="00541798">
              <w:rPr>
                <w:rFonts w:eastAsia="Calibri"/>
                <w:lang w:eastAsia="en-US"/>
              </w:rPr>
              <w:t>314.1</w:t>
            </w:r>
          </w:p>
        </w:tc>
        <w:tc>
          <w:tcPr>
            <w:tcW w:w="605" w:type="pct"/>
          </w:tcPr>
          <w:p w14:paraId="0075F0FA" w14:textId="77777777" w:rsidR="00665A86" w:rsidRPr="00541798" w:rsidRDefault="00665A86" w:rsidP="002D4847">
            <w:pPr>
              <w:pStyle w:val="TableTextRight"/>
              <w:rPr>
                <w:rFonts w:eastAsia="Calibri"/>
                <w:lang w:eastAsia="en-US"/>
              </w:rPr>
            </w:pPr>
            <w:r w:rsidRPr="00541798">
              <w:rPr>
                <w:rFonts w:eastAsia="Calibri"/>
                <w:lang w:eastAsia="en-US"/>
              </w:rPr>
              <w:t>313.3</w:t>
            </w:r>
          </w:p>
        </w:tc>
      </w:tr>
      <w:tr w:rsidR="00665A86" w:rsidRPr="00541798" w14:paraId="0DDE807F" w14:textId="77777777" w:rsidTr="003A78C4">
        <w:tc>
          <w:tcPr>
            <w:tcW w:w="2579" w:type="pct"/>
          </w:tcPr>
          <w:p w14:paraId="6C2634FD" w14:textId="2F81EB45" w:rsidR="00665A86" w:rsidRPr="00541798" w:rsidRDefault="00665A86" w:rsidP="002D4847">
            <w:pPr>
              <w:pStyle w:val="TableTextLeft"/>
              <w:rPr>
                <w:rFonts w:eastAsia="Calibri"/>
                <w:lang w:eastAsia="en-US"/>
              </w:rPr>
            </w:pPr>
            <w:r w:rsidRPr="00541798">
              <w:rPr>
                <w:rFonts w:eastAsia="Calibri"/>
                <w:lang w:eastAsia="en-US"/>
              </w:rPr>
              <w:t>Amount recovered via fees</w:t>
            </w:r>
            <w:r w:rsidR="00BD190B">
              <w:rPr>
                <w:rFonts w:eastAsia="Calibri"/>
                <w:lang w:eastAsia="en-US"/>
              </w:rPr>
              <w:noBreakHyphen/>
            </w:r>
            <w:r w:rsidRPr="00541798">
              <w:rPr>
                <w:rFonts w:eastAsia="Calibri"/>
                <w:lang w:eastAsia="en-US"/>
              </w:rPr>
              <w:t>for</w:t>
            </w:r>
            <w:r w:rsidR="00BD190B">
              <w:rPr>
                <w:rFonts w:eastAsia="Calibri"/>
                <w:lang w:eastAsia="en-US"/>
              </w:rPr>
              <w:noBreakHyphen/>
            </w:r>
            <w:r w:rsidRPr="00541798">
              <w:rPr>
                <w:rFonts w:eastAsia="Calibri"/>
                <w:lang w:eastAsia="en-US"/>
              </w:rPr>
              <w:t>service ($ million)</w:t>
            </w:r>
          </w:p>
        </w:tc>
        <w:tc>
          <w:tcPr>
            <w:tcW w:w="605" w:type="pct"/>
          </w:tcPr>
          <w:p w14:paraId="10CBC19A" w14:textId="77777777" w:rsidR="00665A86" w:rsidRPr="00541798" w:rsidRDefault="00665A86" w:rsidP="002D4847">
            <w:pPr>
              <w:pStyle w:val="TableTextRight"/>
              <w:rPr>
                <w:rFonts w:eastAsia="Calibri"/>
                <w:lang w:eastAsia="en-US"/>
              </w:rPr>
            </w:pPr>
            <w:r w:rsidRPr="00541798">
              <w:rPr>
                <w:rFonts w:eastAsia="Calibri"/>
                <w:lang w:eastAsia="en-US"/>
              </w:rPr>
              <w:t>13.6</w:t>
            </w:r>
          </w:p>
        </w:tc>
        <w:tc>
          <w:tcPr>
            <w:tcW w:w="605" w:type="pct"/>
          </w:tcPr>
          <w:p w14:paraId="73CEF5CD" w14:textId="77777777" w:rsidR="00665A86" w:rsidRPr="00541798" w:rsidRDefault="00665A86" w:rsidP="002D4847">
            <w:pPr>
              <w:pStyle w:val="TableTextRight"/>
              <w:rPr>
                <w:rFonts w:eastAsia="Calibri"/>
                <w:lang w:eastAsia="en-US"/>
              </w:rPr>
            </w:pPr>
            <w:r w:rsidRPr="00541798">
              <w:rPr>
                <w:rFonts w:eastAsia="Calibri"/>
                <w:lang w:eastAsia="en-US"/>
              </w:rPr>
              <w:t>11.2</w:t>
            </w:r>
          </w:p>
        </w:tc>
        <w:tc>
          <w:tcPr>
            <w:tcW w:w="605" w:type="pct"/>
          </w:tcPr>
          <w:p w14:paraId="65B8B6E7" w14:textId="77777777" w:rsidR="00665A86" w:rsidRPr="00541798" w:rsidRDefault="00665A86" w:rsidP="002D4847">
            <w:pPr>
              <w:pStyle w:val="TableTextRight"/>
              <w:rPr>
                <w:rFonts w:eastAsia="Calibri"/>
                <w:lang w:eastAsia="en-US"/>
              </w:rPr>
            </w:pPr>
            <w:r w:rsidRPr="00541798">
              <w:rPr>
                <w:rFonts w:eastAsia="Calibri"/>
                <w:lang w:eastAsia="en-US"/>
              </w:rPr>
              <w:t>14.5</w:t>
            </w:r>
          </w:p>
        </w:tc>
        <w:tc>
          <w:tcPr>
            <w:tcW w:w="605" w:type="pct"/>
          </w:tcPr>
          <w:p w14:paraId="7A4D9874" w14:textId="77777777" w:rsidR="00665A86" w:rsidRPr="00541798" w:rsidRDefault="00665A86" w:rsidP="002D4847">
            <w:pPr>
              <w:pStyle w:val="TableTextRight"/>
              <w:rPr>
                <w:rFonts w:eastAsia="Calibri"/>
                <w:lang w:eastAsia="en-US"/>
              </w:rPr>
            </w:pPr>
            <w:r w:rsidRPr="00541798">
              <w:rPr>
                <w:rFonts w:eastAsia="Calibri"/>
                <w:lang w:eastAsia="en-US"/>
              </w:rPr>
              <w:t>12.9</w:t>
            </w:r>
          </w:p>
        </w:tc>
      </w:tr>
      <w:tr w:rsidR="00665A86" w:rsidRPr="00541798" w14:paraId="65852B5D" w14:textId="77777777" w:rsidTr="003A78C4">
        <w:tc>
          <w:tcPr>
            <w:tcW w:w="2579" w:type="pct"/>
          </w:tcPr>
          <w:p w14:paraId="2BF44069" w14:textId="77777777" w:rsidR="00665A86" w:rsidRPr="00541798" w:rsidRDefault="00665A86" w:rsidP="002D4847">
            <w:pPr>
              <w:pStyle w:val="TableTextLeft"/>
              <w:rPr>
                <w:rFonts w:eastAsia="Calibri"/>
                <w:lang w:eastAsia="en-US"/>
              </w:rPr>
            </w:pPr>
            <w:r w:rsidRPr="00541798">
              <w:rPr>
                <w:rFonts w:eastAsia="Calibri"/>
                <w:lang w:eastAsia="en-US"/>
              </w:rPr>
              <w:t>Fees revenue as a proportion of total amount recovered (%)</w:t>
            </w:r>
          </w:p>
        </w:tc>
        <w:tc>
          <w:tcPr>
            <w:tcW w:w="605" w:type="pct"/>
          </w:tcPr>
          <w:p w14:paraId="5457BF6E" w14:textId="77777777" w:rsidR="00665A86" w:rsidRPr="00541798" w:rsidRDefault="00665A86" w:rsidP="002D4847">
            <w:pPr>
              <w:pStyle w:val="TableTextRight"/>
              <w:rPr>
                <w:rFonts w:eastAsia="Calibri"/>
                <w:lang w:eastAsia="en-US"/>
              </w:rPr>
            </w:pPr>
            <w:r w:rsidRPr="00541798">
              <w:rPr>
                <w:rFonts w:eastAsia="Calibri"/>
                <w:lang w:eastAsia="en-US"/>
              </w:rPr>
              <w:t>4.7</w:t>
            </w:r>
          </w:p>
        </w:tc>
        <w:tc>
          <w:tcPr>
            <w:tcW w:w="605" w:type="pct"/>
          </w:tcPr>
          <w:p w14:paraId="4557BD25" w14:textId="77777777" w:rsidR="00665A86" w:rsidRPr="00541798" w:rsidRDefault="00665A86" w:rsidP="002D4847">
            <w:pPr>
              <w:pStyle w:val="TableTextRight"/>
              <w:rPr>
                <w:rFonts w:eastAsia="Calibri"/>
                <w:lang w:eastAsia="en-US"/>
              </w:rPr>
            </w:pPr>
            <w:r w:rsidRPr="00541798">
              <w:rPr>
                <w:rFonts w:eastAsia="Calibri"/>
                <w:lang w:eastAsia="en-US"/>
              </w:rPr>
              <w:t>3.4</w:t>
            </w:r>
          </w:p>
        </w:tc>
        <w:tc>
          <w:tcPr>
            <w:tcW w:w="605" w:type="pct"/>
          </w:tcPr>
          <w:p w14:paraId="52001AA5" w14:textId="77777777" w:rsidR="00665A86" w:rsidRPr="00541798" w:rsidRDefault="00665A86" w:rsidP="002D4847">
            <w:pPr>
              <w:pStyle w:val="TableTextRight"/>
              <w:rPr>
                <w:rFonts w:eastAsia="Calibri"/>
                <w:lang w:eastAsia="en-US"/>
              </w:rPr>
            </w:pPr>
            <w:r w:rsidRPr="00541798">
              <w:rPr>
                <w:rFonts w:eastAsia="Calibri"/>
                <w:lang w:eastAsia="en-US"/>
              </w:rPr>
              <w:t>4.</w:t>
            </w:r>
            <w:r w:rsidRPr="00541798" w:rsidDel="00115899">
              <w:rPr>
                <w:rFonts w:eastAsia="Calibri"/>
                <w:lang w:eastAsia="en-US"/>
              </w:rPr>
              <w:t>4</w:t>
            </w:r>
          </w:p>
        </w:tc>
        <w:tc>
          <w:tcPr>
            <w:tcW w:w="605" w:type="pct"/>
          </w:tcPr>
          <w:p w14:paraId="690AFC7D" w14:textId="77777777" w:rsidR="00665A86" w:rsidRPr="00541798" w:rsidRDefault="00665A86" w:rsidP="002D4847">
            <w:pPr>
              <w:pStyle w:val="TableTextRight"/>
              <w:rPr>
                <w:rFonts w:eastAsia="Calibri"/>
                <w:lang w:eastAsia="en-US"/>
              </w:rPr>
            </w:pPr>
            <w:r w:rsidRPr="00541798">
              <w:rPr>
                <w:rFonts w:eastAsia="Calibri"/>
                <w:lang w:eastAsia="en-US"/>
              </w:rPr>
              <w:t>4.0</w:t>
            </w:r>
          </w:p>
        </w:tc>
      </w:tr>
    </w:tbl>
    <w:p w14:paraId="4BE9D3F1" w14:textId="43A77674" w:rsidR="00665A86" w:rsidRPr="00541798" w:rsidRDefault="00665A86" w:rsidP="00424595">
      <w:pPr>
        <w:pStyle w:val="Heading3"/>
      </w:pPr>
      <w:bookmarkStart w:id="124" w:name="_Toc115094953"/>
      <w:bookmarkStart w:id="125" w:name="_Toc125305203"/>
      <w:bookmarkStart w:id="126" w:name="_Toc129270482"/>
      <w:r w:rsidRPr="00541798">
        <w:t>Costs recovered through fees</w:t>
      </w:r>
      <w:bookmarkEnd w:id="124"/>
      <w:bookmarkEnd w:id="125"/>
      <w:bookmarkEnd w:id="126"/>
    </w:p>
    <w:p w14:paraId="6474B3D1" w14:textId="002280BE"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ASIC collects fees in relation to 5</w:t>
      </w:r>
      <w:r w:rsidR="00956968" w:rsidRPr="002D4847">
        <w:rPr>
          <w:rFonts w:eastAsia="Calibri" w:cs="Calibri Light"/>
          <w:szCs w:val="22"/>
          <w:lang w:eastAsia="en-US"/>
        </w:rPr>
        <w:t xml:space="preserve"> broad</w:t>
      </w:r>
      <w:r w:rsidRPr="002D4847">
        <w:rPr>
          <w:rFonts w:eastAsia="Calibri" w:cs="Calibri Light"/>
          <w:szCs w:val="22"/>
          <w:lang w:eastAsia="en-US"/>
        </w:rPr>
        <w:t xml:space="preserve"> activit</w:t>
      </w:r>
      <w:r w:rsidR="00956968" w:rsidRPr="002D4847">
        <w:rPr>
          <w:rFonts w:eastAsia="Calibri" w:cs="Calibri Light"/>
          <w:szCs w:val="22"/>
          <w:lang w:eastAsia="en-US"/>
        </w:rPr>
        <w:t>y types</w:t>
      </w:r>
      <w:r w:rsidRPr="002D4847">
        <w:rPr>
          <w:rFonts w:eastAsia="Calibri" w:cs="Calibri Light"/>
          <w:szCs w:val="22"/>
          <w:lang w:eastAsia="en-US"/>
        </w:rPr>
        <w:t>:</w:t>
      </w:r>
    </w:p>
    <w:p w14:paraId="6C234F03" w14:textId="5BF0F723" w:rsidR="00665A86" w:rsidRPr="00541798" w:rsidRDefault="00665A86" w:rsidP="006B2EB3">
      <w:pPr>
        <w:numPr>
          <w:ilvl w:val="0"/>
          <w:numId w:val="30"/>
        </w:numPr>
        <w:spacing w:line="259" w:lineRule="auto"/>
        <w:rPr>
          <w:rFonts w:cs="Calibri Light"/>
          <w:color w:val="000000"/>
        </w:rPr>
      </w:pPr>
      <w:r w:rsidRPr="00541798">
        <w:rPr>
          <w:rFonts w:cs="Calibri Light"/>
          <w:b/>
          <w:bCs/>
          <w:color w:val="000000"/>
        </w:rPr>
        <w:t>Licen</w:t>
      </w:r>
      <w:r w:rsidR="004F64B8">
        <w:rPr>
          <w:rFonts w:cs="Calibri Light"/>
          <w:b/>
          <w:bCs/>
          <w:color w:val="000000"/>
        </w:rPr>
        <w:t>c</w:t>
      </w:r>
      <w:r w:rsidRPr="00541798">
        <w:rPr>
          <w:rFonts w:cs="Calibri Light"/>
          <w:b/>
          <w:bCs/>
          <w:color w:val="000000"/>
        </w:rPr>
        <w:t>e application or variation services:</w:t>
      </w:r>
      <w:r w:rsidRPr="00541798">
        <w:rPr>
          <w:rFonts w:cs="Calibri Light"/>
          <w:color w:val="000000"/>
        </w:rPr>
        <w:t xml:space="preserve"> Licensing or otherwise authorising people to operate or participate in the markets and industries that ASIC regulates. </w:t>
      </w:r>
    </w:p>
    <w:p w14:paraId="219B0A1F" w14:textId="77777777" w:rsidR="00665A86" w:rsidRPr="00541798" w:rsidRDefault="00665A86" w:rsidP="006B2EB3">
      <w:pPr>
        <w:numPr>
          <w:ilvl w:val="0"/>
          <w:numId w:val="30"/>
        </w:numPr>
        <w:spacing w:line="259" w:lineRule="auto"/>
        <w:rPr>
          <w:rFonts w:cs="Calibri Light"/>
          <w:color w:val="000000"/>
        </w:rPr>
      </w:pPr>
      <w:r w:rsidRPr="00541798">
        <w:rPr>
          <w:rFonts w:cs="Calibri Light"/>
          <w:b/>
          <w:bCs/>
          <w:color w:val="000000"/>
        </w:rPr>
        <w:t>Registration application services:</w:t>
      </w:r>
      <w:r w:rsidRPr="00541798">
        <w:rPr>
          <w:rFonts w:cs="Calibri Light"/>
          <w:color w:val="000000"/>
        </w:rPr>
        <w:t xml:space="preserve"> Registering or otherwise authorising people to operate or participate in the markets and industries that ASIC regulates.</w:t>
      </w:r>
    </w:p>
    <w:p w14:paraId="53E00D9E" w14:textId="77777777" w:rsidR="00665A86" w:rsidRPr="00541798" w:rsidRDefault="00665A86" w:rsidP="006B2EB3">
      <w:pPr>
        <w:numPr>
          <w:ilvl w:val="0"/>
          <w:numId w:val="30"/>
        </w:numPr>
        <w:spacing w:line="259" w:lineRule="auto"/>
        <w:rPr>
          <w:rFonts w:cs="Calibri Light"/>
          <w:color w:val="000000"/>
        </w:rPr>
      </w:pPr>
      <w:r w:rsidRPr="00541798">
        <w:rPr>
          <w:rFonts w:cs="Calibri Light"/>
          <w:b/>
          <w:bCs/>
          <w:color w:val="000000"/>
        </w:rPr>
        <w:lastRenderedPageBreak/>
        <w:t>Compliance review of documents lodged with ASIC:</w:t>
      </w:r>
      <w:r w:rsidRPr="00541798">
        <w:rPr>
          <w:rFonts w:cs="Calibri Light"/>
          <w:color w:val="000000"/>
        </w:rPr>
        <w:t xml:space="preserve"> Undertaking compliance reviews of documents related to commercial transactions to identify disclosure deficiencies and whether the disclosure complies with the law. </w:t>
      </w:r>
    </w:p>
    <w:p w14:paraId="557755BE" w14:textId="77777777" w:rsidR="00665A86" w:rsidRPr="00541798" w:rsidRDefault="00665A86" w:rsidP="006B2EB3">
      <w:pPr>
        <w:numPr>
          <w:ilvl w:val="0"/>
          <w:numId w:val="30"/>
        </w:numPr>
        <w:spacing w:line="259" w:lineRule="auto"/>
        <w:rPr>
          <w:rFonts w:cs="Calibri Light"/>
          <w:color w:val="000000"/>
        </w:rPr>
      </w:pPr>
      <w:r w:rsidRPr="00541798">
        <w:rPr>
          <w:rFonts w:cs="Calibri Light"/>
          <w:b/>
          <w:bCs/>
          <w:color w:val="000000"/>
        </w:rPr>
        <w:t>Requests for changes to market operating rules:</w:t>
      </w:r>
      <w:r w:rsidRPr="00541798">
        <w:rPr>
          <w:rFonts w:cs="Calibri Light"/>
          <w:color w:val="000000"/>
        </w:rPr>
        <w:t xml:space="preserve"> Assessing changes to the operating rules of a licensed market or licensed clearing and settlement facility.</w:t>
      </w:r>
    </w:p>
    <w:p w14:paraId="5E2130B7" w14:textId="77777777" w:rsidR="00665A86" w:rsidRPr="00541798" w:rsidRDefault="00665A86" w:rsidP="006B2EB3">
      <w:pPr>
        <w:numPr>
          <w:ilvl w:val="0"/>
          <w:numId w:val="30"/>
        </w:numPr>
        <w:spacing w:line="259" w:lineRule="auto"/>
        <w:rPr>
          <w:rFonts w:cs="Calibri Light"/>
          <w:color w:val="000000"/>
        </w:rPr>
      </w:pPr>
      <w:r w:rsidRPr="00541798">
        <w:rPr>
          <w:rFonts w:cs="Calibri Light"/>
          <w:b/>
          <w:bCs/>
          <w:color w:val="000000"/>
        </w:rPr>
        <w:t>Applications for relief:</w:t>
      </w:r>
      <w:r w:rsidRPr="00541798">
        <w:rPr>
          <w:rFonts w:cs="Calibri Light"/>
          <w:color w:val="000000"/>
        </w:rPr>
        <w:t xml:space="preserve"> Assessing and determining applications for relief from certain provisions in the legislation that ASIC is responsible for administering.</w:t>
      </w:r>
    </w:p>
    <w:p w14:paraId="3A56BC64" w14:textId="77777777"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Currently, t</w:t>
      </w:r>
      <w:r w:rsidRPr="002D4847" w:rsidDel="00C43307">
        <w:rPr>
          <w:rFonts w:eastAsia="Calibri" w:cs="Calibri Light"/>
          <w:szCs w:val="22"/>
          <w:lang w:eastAsia="en-US"/>
        </w:rPr>
        <w:t>here are</w:t>
      </w:r>
      <w:r w:rsidRPr="002D4847">
        <w:rPr>
          <w:rFonts w:eastAsia="Calibri" w:cs="Calibri Light"/>
          <w:szCs w:val="22"/>
          <w:lang w:eastAsia="en-US"/>
        </w:rPr>
        <w:t xml:space="preserve"> 196 fees equating to 419 forms currently </w:t>
      </w:r>
      <w:r w:rsidRPr="002D4847" w:rsidDel="00563396">
        <w:rPr>
          <w:rFonts w:eastAsia="Calibri" w:cs="Calibri Light"/>
          <w:szCs w:val="22"/>
          <w:lang w:eastAsia="en-US"/>
        </w:rPr>
        <w:t>charged under the</w:t>
      </w:r>
      <w:r w:rsidRPr="002D4847">
        <w:rPr>
          <w:rFonts w:eastAsia="Calibri" w:cs="Calibri Light"/>
          <w:szCs w:val="22"/>
          <w:lang w:eastAsia="en-US"/>
        </w:rPr>
        <w:t xml:space="preserve"> fees framework. There are more forms than fee items as some fee items may relate to multiple/various lodgements or applications required under legislation. </w:t>
      </w:r>
    </w:p>
    <w:p w14:paraId="2C860EFD" w14:textId="77777777"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Under the Charging Framework, fee amounts are to be set to reflect the efficient cost to ASIC to administer the service and thus enable full cost recovery. Fee amounts recover both direct and indirect costs relating to the provision of the relevant service. </w:t>
      </w:r>
    </w:p>
    <w:p w14:paraId="2DF9BE67" w14:textId="79455CDF"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However, the Government can decide to charge no fee or a partial fee (which occurs when less than the full cost of a regulatory activity or service is recovered) if charging would not support achieving the Government</w:t>
      </w:r>
      <w:r w:rsidR="00BD190B">
        <w:rPr>
          <w:rFonts w:eastAsia="Calibri" w:cs="Calibri Light"/>
          <w:szCs w:val="22"/>
          <w:lang w:eastAsia="en-US"/>
        </w:rPr>
        <w:t>’</w:t>
      </w:r>
      <w:r w:rsidRPr="002D4847">
        <w:rPr>
          <w:rFonts w:eastAsia="Calibri" w:cs="Calibri Light"/>
          <w:szCs w:val="22"/>
          <w:lang w:eastAsia="en-US"/>
        </w:rPr>
        <w:t xml:space="preserve">s policy objectives. For example, no fee or a partial fee may be appropriate when a fee is being </w:t>
      </w:r>
      <w:r w:rsidR="00BD190B">
        <w:rPr>
          <w:rFonts w:eastAsia="Calibri" w:cs="Calibri Light"/>
          <w:szCs w:val="22"/>
          <w:lang w:eastAsia="en-US"/>
        </w:rPr>
        <w:t>‘</w:t>
      </w:r>
      <w:r w:rsidRPr="002D4847">
        <w:rPr>
          <w:rFonts w:eastAsia="Calibri" w:cs="Calibri Light"/>
          <w:szCs w:val="22"/>
          <w:lang w:eastAsia="en-US"/>
        </w:rPr>
        <w:t>phased in</w:t>
      </w:r>
      <w:r w:rsidR="00BD190B">
        <w:rPr>
          <w:rFonts w:eastAsia="Calibri" w:cs="Calibri Light"/>
          <w:szCs w:val="22"/>
          <w:lang w:eastAsia="en-US"/>
        </w:rPr>
        <w:t>’</w:t>
      </w:r>
      <w:r w:rsidRPr="002D4847">
        <w:rPr>
          <w:rFonts w:eastAsia="Calibri" w:cs="Calibri Light"/>
          <w:szCs w:val="22"/>
          <w:lang w:eastAsia="en-US"/>
        </w:rPr>
        <w:t>, where full cost recovery conflicts with the Government</w:t>
      </w:r>
      <w:r w:rsidR="00BD190B">
        <w:rPr>
          <w:rFonts w:eastAsia="Calibri" w:cs="Calibri Light"/>
          <w:szCs w:val="22"/>
          <w:lang w:eastAsia="en-US"/>
        </w:rPr>
        <w:t>’</w:t>
      </w:r>
      <w:r w:rsidRPr="002D4847">
        <w:rPr>
          <w:rFonts w:eastAsia="Calibri" w:cs="Calibri Light"/>
          <w:szCs w:val="22"/>
          <w:lang w:eastAsia="en-US"/>
        </w:rPr>
        <w:t>s priorities or where the Government has made an explicit policy decision to only charge for part of the costs of an activity.</w:t>
      </w:r>
    </w:p>
    <w:p w14:paraId="610A3BA0" w14:textId="2DEC04B8" w:rsidR="00665A86" w:rsidRPr="00700C44" w:rsidRDefault="00665A86" w:rsidP="002D4847">
      <w:pPr>
        <w:pStyle w:val="Bullet"/>
        <w:ind w:left="1004"/>
      </w:pPr>
      <w:r w:rsidRPr="00700C44">
        <w:t xml:space="preserve">Schedule 1 of the Corporations (Fees) Regulations 2001 sets 170 items with a fee amount and 46 items with no fee amount. </w:t>
      </w:r>
    </w:p>
    <w:p w14:paraId="609E4A88" w14:textId="0377B4C2" w:rsidR="00665A86" w:rsidRPr="00700C44" w:rsidRDefault="00665A86" w:rsidP="002D4847">
      <w:pPr>
        <w:pStyle w:val="Bullet"/>
        <w:ind w:left="1004"/>
      </w:pPr>
      <w:r w:rsidRPr="00700C44">
        <w:t xml:space="preserve">Schedule 1, Part 1 of the National Consumer Credit Protection (Fees) Regulations 2010 sets 22 items with a fee amount and 19 items with no fee amount. </w:t>
      </w:r>
    </w:p>
    <w:p w14:paraId="339E2257" w14:textId="0FD7E3E7" w:rsidR="00665A86" w:rsidRPr="00700C44" w:rsidRDefault="00665A86" w:rsidP="002D4847">
      <w:pPr>
        <w:pStyle w:val="Bullet"/>
        <w:ind w:left="1004"/>
      </w:pPr>
      <w:r w:rsidRPr="00700C44">
        <w:t xml:space="preserve">Section 4 of Superannuation Auditor Registration Imposition Regulations 2022 sets 4 items with a fee amount and 5 items with no fee amount. </w:t>
      </w:r>
    </w:p>
    <w:p w14:paraId="549842C3" w14:textId="6BD6D186"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Generally, the nature of no fee type applications </w:t>
      </w:r>
      <w:r w:rsidR="00C900DD" w:rsidRPr="002D4847">
        <w:rPr>
          <w:rFonts w:eastAsia="Calibri" w:cs="Calibri Light"/>
          <w:szCs w:val="22"/>
          <w:lang w:eastAsia="en-US"/>
        </w:rPr>
        <w:t>relates</w:t>
      </w:r>
      <w:r w:rsidRPr="002D4847">
        <w:rPr>
          <w:rFonts w:eastAsia="Calibri" w:cs="Calibri Light"/>
          <w:szCs w:val="22"/>
          <w:lang w:eastAsia="en-US"/>
        </w:rPr>
        <w:t xml:space="preserve"> to applying for a variation of a licensee</w:t>
      </w:r>
      <w:r w:rsidR="00BD190B">
        <w:rPr>
          <w:rFonts w:eastAsia="Calibri" w:cs="Calibri Light"/>
          <w:szCs w:val="22"/>
          <w:lang w:eastAsia="en-US"/>
        </w:rPr>
        <w:t>’</w:t>
      </w:r>
      <w:r w:rsidRPr="002D4847">
        <w:rPr>
          <w:rFonts w:eastAsia="Calibri" w:cs="Calibri Light"/>
          <w:szCs w:val="22"/>
          <w:lang w:eastAsia="en-US"/>
        </w:rPr>
        <w:t xml:space="preserve">s name, seeking an exemption from a provision, withdrawing an application or lodging a report or a statement. </w:t>
      </w:r>
    </w:p>
    <w:p w14:paraId="704626E7" w14:textId="03748A2C" w:rsidR="00665A86" w:rsidRPr="00541798" w:rsidRDefault="00665A86" w:rsidP="00424595">
      <w:pPr>
        <w:pStyle w:val="Heading3"/>
      </w:pPr>
      <w:bookmarkStart w:id="127" w:name="_Toc129270483"/>
      <w:r w:rsidRPr="00541798">
        <w:t>Methodology</w:t>
      </w:r>
      <w:bookmarkEnd w:id="127"/>
      <w:r w:rsidRPr="00541798">
        <w:t xml:space="preserve"> </w:t>
      </w:r>
    </w:p>
    <w:p w14:paraId="4E4F539E" w14:textId="0EACB4AF"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The methodology used to calculate fees is based on the Charging Framework to ensure fees are closely aligned with ASIC</w:t>
      </w:r>
      <w:r w:rsidR="00BD190B">
        <w:rPr>
          <w:rFonts w:eastAsia="Calibri" w:cs="Calibri Light"/>
          <w:szCs w:val="22"/>
          <w:lang w:eastAsia="en-US"/>
        </w:rPr>
        <w:t>’</w:t>
      </w:r>
      <w:r w:rsidRPr="002D4847">
        <w:rPr>
          <w:rFonts w:eastAsia="Calibri" w:cs="Calibri Light"/>
          <w:szCs w:val="22"/>
          <w:lang w:eastAsia="en-US"/>
        </w:rPr>
        <w:t xml:space="preserve">s actual costs. </w:t>
      </w:r>
    </w:p>
    <w:p w14:paraId="5F3311F7" w14:textId="77777777" w:rsidR="00665A86" w:rsidRPr="00541798" w:rsidRDefault="00665A86" w:rsidP="007D3412">
      <w:pPr>
        <w:pStyle w:val="ChartMainHeading"/>
        <w:rPr>
          <w:rFonts w:eastAsia="Calibri"/>
          <w:lang w:eastAsia="en-US"/>
        </w:rPr>
      </w:pPr>
      <w:bookmarkStart w:id="128" w:name="_Toc129270484"/>
      <w:r w:rsidRPr="00541798">
        <w:rPr>
          <w:rFonts w:eastAsia="Calibri"/>
          <w:lang w:eastAsia="en-US"/>
        </w:rPr>
        <w:t xml:space="preserve">Figure 4.2: Fee </w:t>
      </w:r>
      <w:r w:rsidRPr="007D3412">
        <w:rPr>
          <w:rFonts w:eastAsia="Calibri"/>
        </w:rPr>
        <w:t>methodology</w:t>
      </w:r>
      <w:bookmarkEnd w:id="128"/>
    </w:p>
    <w:p w14:paraId="45451DE7" w14:textId="77777777" w:rsidR="00665A86" w:rsidRPr="00541798" w:rsidRDefault="00665A86" w:rsidP="007D3412">
      <w:pPr>
        <w:pStyle w:val="ChartGraphic"/>
        <w:rPr>
          <w:rFonts w:eastAsia="Calibri"/>
          <w:lang w:eastAsia="en-US"/>
        </w:rPr>
      </w:pPr>
      <w:r w:rsidRPr="00541798">
        <w:rPr>
          <w:rFonts w:eastAsia="Calibri"/>
          <w:noProof/>
        </w:rPr>
        <w:drawing>
          <wp:inline distT="0" distB="0" distL="0" distR="0" wp14:anchorId="5A77CCC2" wp14:editId="629F3D49">
            <wp:extent cx="3919855" cy="779228"/>
            <wp:effectExtent l="0" t="0" r="4445" b="1905"/>
            <wp:docPr id="21" name="Picture 21" descr="This figure shows the method for calculating fee amounts for each regulatory form using a weighted average hourly staff rate multiplied by the average number of hours to assess and process th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figure shows the method for calculating fee amounts for each regulatory form using a weighted average hourly staff rate multiplied by the average number of hours to assess and process the form."/>
                    <pic:cNvPicPr/>
                  </pic:nvPicPr>
                  <pic:blipFill>
                    <a:blip r:embed="rId28"/>
                    <a:stretch>
                      <a:fillRect/>
                    </a:stretch>
                  </pic:blipFill>
                  <pic:spPr>
                    <a:xfrm>
                      <a:off x="0" y="0"/>
                      <a:ext cx="4056390" cy="806370"/>
                    </a:xfrm>
                    <a:prstGeom prst="rect">
                      <a:avLst/>
                    </a:prstGeom>
                  </pic:spPr>
                </pic:pic>
              </a:graphicData>
            </a:graphic>
          </wp:inline>
        </w:drawing>
      </w:r>
    </w:p>
    <w:p w14:paraId="0798F359" w14:textId="77777777" w:rsidR="00665A86" w:rsidRPr="00541798" w:rsidRDefault="00665A86" w:rsidP="007D3412">
      <w:pPr>
        <w:pStyle w:val="SingleParagraph"/>
        <w:rPr>
          <w:rFonts w:eastAsia="Calibri"/>
          <w:lang w:eastAsia="en-US"/>
        </w:rPr>
      </w:pPr>
    </w:p>
    <w:p w14:paraId="11BC5B4D" w14:textId="77777777"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 xml:space="preserve">The fee for each regulatory form is calculated (at a point in time) using a weighted average hourly rate (calculated for each team associated with the form and includes indirect costs) </w:t>
      </w:r>
      <w:r w:rsidRPr="00541798">
        <w:rPr>
          <w:rFonts w:eastAsia="Calibri" w:cs="Calibri Light"/>
          <w:szCs w:val="22"/>
          <w:lang w:eastAsia="en-US"/>
        </w:rPr>
        <w:lastRenderedPageBreak/>
        <w:t>multiplied by the regulatory effort (that is, the average number of hours) required to assess and process each form type.</w:t>
      </w:r>
    </w:p>
    <w:p w14:paraId="020754C5" w14:textId="77777777"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 xml:space="preserve">The regulatory teams in ASIC are not structured in an identical fashion and comprise a varying mix of staff at different levels. Therefore, to ensure that ASIC only recovers efficient costs (that is, the minimum costs necessary to provide the activity while achieving the policy objectives and legislative functions of the Australian Government), ASIC has not set a standard hourly charge rate for the agency as a whole but has instead calculated weighted hourly charge rates in accordance with the specific profile of the different regulatory teams. </w:t>
      </w:r>
    </w:p>
    <w:p w14:paraId="6E4BBB17" w14:textId="6C7AEDB6"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 xml:space="preserve">It is important to note that the fee methodology ensures fees are </w:t>
      </w:r>
      <w:r w:rsidRPr="002D4847">
        <w:rPr>
          <w:rFonts w:eastAsia="Calibri" w:cs="Calibri Light"/>
          <w:szCs w:val="22"/>
          <w:lang w:eastAsia="en-US"/>
        </w:rPr>
        <w:t xml:space="preserve">closely aligned </w:t>
      </w:r>
      <w:r w:rsidRPr="00541798">
        <w:rPr>
          <w:rFonts w:eastAsia="Calibri" w:cs="Calibri Light"/>
          <w:szCs w:val="22"/>
          <w:lang w:eastAsia="en-US"/>
        </w:rPr>
        <w:t>with ASIC</w:t>
      </w:r>
      <w:r w:rsidR="00BD190B">
        <w:rPr>
          <w:rFonts w:eastAsia="Calibri" w:cs="Calibri Light"/>
          <w:szCs w:val="22"/>
          <w:lang w:eastAsia="en-US"/>
        </w:rPr>
        <w:t>’</w:t>
      </w:r>
      <w:r w:rsidRPr="00541798">
        <w:rPr>
          <w:rFonts w:eastAsia="Calibri" w:cs="Calibri Light"/>
          <w:szCs w:val="22"/>
          <w:lang w:eastAsia="en-US"/>
        </w:rPr>
        <w:t xml:space="preserve">s actual </w:t>
      </w:r>
      <w:r w:rsidR="00757318" w:rsidRPr="00541798">
        <w:rPr>
          <w:rFonts w:eastAsia="Calibri" w:cs="Calibri Light"/>
          <w:szCs w:val="22"/>
          <w:lang w:eastAsia="en-US"/>
        </w:rPr>
        <w:t>costs but</w:t>
      </w:r>
      <w:r w:rsidRPr="00541798">
        <w:rPr>
          <w:rFonts w:eastAsia="Calibri" w:cs="Calibri Light"/>
          <w:szCs w:val="22"/>
          <w:lang w:eastAsia="en-US"/>
        </w:rPr>
        <w:t xml:space="preserve"> are not ASIC</w:t>
      </w:r>
      <w:r w:rsidR="00BD190B">
        <w:rPr>
          <w:rFonts w:eastAsia="Calibri" w:cs="Calibri Light"/>
          <w:szCs w:val="22"/>
          <w:lang w:eastAsia="en-US"/>
        </w:rPr>
        <w:t>’</w:t>
      </w:r>
      <w:r w:rsidRPr="00541798">
        <w:rPr>
          <w:rFonts w:eastAsia="Calibri" w:cs="Calibri Light"/>
          <w:szCs w:val="22"/>
          <w:lang w:eastAsia="en-US"/>
        </w:rPr>
        <w:t>s actual costs. The Review recognises that it will be administratively complex for ASIC to charge fees based on ASIC</w:t>
      </w:r>
      <w:r w:rsidR="00BD190B">
        <w:rPr>
          <w:rFonts w:eastAsia="Calibri" w:cs="Calibri Light"/>
          <w:szCs w:val="22"/>
          <w:lang w:eastAsia="en-US"/>
        </w:rPr>
        <w:t>’</w:t>
      </w:r>
      <w:r w:rsidRPr="00541798">
        <w:rPr>
          <w:rFonts w:eastAsia="Calibri" w:cs="Calibri Light"/>
          <w:szCs w:val="22"/>
          <w:lang w:eastAsia="en-US"/>
        </w:rPr>
        <w:t>s actual costs, which will also create unknown fee amounts for individual entities seeking ASIC</w:t>
      </w:r>
      <w:r w:rsidR="00BD190B">
        <w:rPr>
          <w:rFonts w:eastAsia="Calibri" w:cs="Calibri Light"/>
          <w:szCs w:val="22"/>
          <w:lang w:eastAsia="en-US"/>
        </w:rPr>
        <w:t>’</w:t>
      </w:r>
      <w:r w:rsidRPr="00541798">
        <w:rPr>
          <w:rFonts w:eastAsia="Calibri" w:cs="Calibri Light"/>
          <w:szCs w:val="22"/>
          <w:lang w:eastAsia="en-US"/>
        </w:rPr>
        <w:t>s services. For</w:t>
      </w:r>
      <w:r w:rsidR="001C7595">
        <w:rPr>
          <w:rFonts w:eastAsia="Calibri" w:cs="Calibri Light"/>
          <w:szCs w:val="22"/>
          <w:lang w:eastAsia="en-US"/>
        </w:rPr>
        <w:t> </w:t>
      </w:r>
      <w:r w:rsidRPr="00541798">
        <w:rPr>
          <w:rFonts w:eastAsia="Calibri" w:cs="Calibri Light"/>
          <w:szCs w:val="22"/>
          <w:lang w:eastAsia="en-US"/>
        </w:rPr>
        <w:t xml:space="preserve">the purposes of this Chapter, where the Review uses the terminology of </w:t>
      </w:r>
      <w:r w:rsidR="00BD190B">
        <w:rPr>
          <w:rFonts w:eastAsia="Calibri" w:cs="Calibri Light"/>
          <w:szCs w:val="22"/>
          <w:lang w:eastAsia="en-US"/>
        </w:rPr>
        <w:t>‘</w:t>
      </w:r>
      <w:r w:rsidRPr="00541798">
        <w:rPr>
          <w:rFonts w:eastAsia="Calibri" w:cs="Calibri Light"/>
          <w:szCs w:val="22"/>
          <w:lang w:eastAsia="en-US"/>
        </w:rPr>
        <w:t>full cost recovery</w:t>
      </w:r>
      <w:r w:rsidR="00BD190B">
        <w:rPr>
          <w:rFonts w:eastAsia="Calibri" w:cs="Calibri Light"/>
          <w:szCs w:val="22"/>
          <w:lang w:eastAsia="en-US"/>
        </w:rPr>
        <w:t>’</w:t>
      </w:r>
      <w:r w:rsidRPr="00541798">
        <w:rPr>
          <w:rFonts w:eastAsia="Calibri" w:cs="Calibri Light"/>
          <w:szCs w:val="22"/>
          <w:lang w:eastAsia="en-US"/>
        </w:rPr>
        <w:t>, it is on the proviso that fee amounts will only ever closely reflect ASIC</w:t>
      </w:r>
      <w:r w:rsidR="00BD190B">
        <w:rPr>
          <w:rFonts w:eastAsia="Calibri" w:cs="Calibri Light"/>
          <w:szCs w:val="22"/>
          <w:lang w:eastAsia="en-US"/>
        </w:rPr>
        <w:t>’</w:t>
      </w:r>
      <w:r w:rsidRPr="00541798">
        <w:rPr>
          <w:rFonts w:eastAsia="Calibri" w:cs="Calibri Light"/>
          <w:szCs w:val="22"/>
          <w:lang w:eastAsia="en-US"/>
        </w:rPr>
        <w:t>s costs using this methodology</w:t>
      </w:r>
      <w:r w:rsidR="00901E80">
        <w:rPr>
          <w:rFonts w:eastAsia="Calibri" w:cs="Calibri Light"/>
          <w:szCs w:val="22"/>
          <w:lang w:eastAsia="en-US"/>
        </w:rPr>
        <w:t xml:space="preserve">. </w:t>
      </w:r>
    </w:p>
    <w:p w14:paraId="6A556408" w14:textId="3376404B"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Flat fees are charged for services relating to some licensing and professional registrations, processing applications for relief, requests for changes to market operating rules, and ASIC</w:t>
      </w:r>
      <w:r w:rsidR="00BD190B">
        <w:rPr>
          <w:rFonts w:eastAsia="Calibri" w:cs="Calibri Light"/>
          <w:szCs w:val="22"/>
          <w:lang w:eastAsia="en-US"/>
        </w:rPr>
        <w:t>’</w:t>
      </w:r>
      <w:r w:rsidRPr="00541798">
        <w:rPr>
          <w:rFonts w:eastAsia="Calibri" w:cs="Calibri Light"/>
          <w:szCs w:val="22"/>
          <w:lang w:eastAsia="en-US"/>
        </w:rPr>
        <w:t>s formal compliance review of documents lodged by entities under the Corporations Act</w:t>
      </w:r>
      <w:r w:rsidR="00901E80">
        <w:rPr>
          <w:rFonts w:eastAsia="Calibri" w:cs="Calibri Light"/>
          <w:szCs w:val="22"/>
          <w:lang w:eastAsia="en-US"/>
        </w:rPr>
        <w:t xml:space="preserve">. </w:t>
      </w:r>
    </w:p>
    <w:p w14:paraId="68EB6F6E" w14:textId="77777777"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Tiered fees are charged for regulatory activities that vary in complexity; that is, whether certain applications and notices are of low, medium or high complexity. This aims to align fee amounts with actual regulatory effort and therefore costs. Tiered fees are applied to AFS licence applications, credit licence applications, market licence applications, notices of changes to market and clearing and settlement (CS) facility operating rules, and CS facility licence applications.</w:t>
      </w:r>
    </w:p>
    <w:p w14:paraId="2B1EB7B6" w14:textId="77777777" w:rsidR="00665A86" w:rsidRPr="00541798" w:rsidRDefault="00665A86" w:rsidP="00424595">
      <w:pPr>
        <w:pStyle w:val="Heading3"/>
      </w:pPr>
      <w:bookmarkStart w:id="129" w:name="_Toc129270485"/>
      <w:r w:rsidRPr="00541798">
        <w:t>Fee waivers</w:t>
      </w:r>
      <w:bookmarkEnd w:id="129"/>
    </w:p>
    <w:p w14:paraId="547A9868" w14:textId="6D374BBD"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Under section 63 of the </w:t>
      </w:r>
      <w:hyperlink r:id="rId29" w:history="1">
        <w:r w:rsidRPr="002D4847">
          <w:rPr>
            <w:rFonts w:eastAsia="Calibri" w:cs="Calibri Light"/>
            <w:szCs w:val="22"/>
            <w:lang w:eastAsia="en-US"/>
          </w:rPr>
          <w:t>P</w:t>
        </w:r>
        <w:r w:rsidR="000D76F2">
          <w:rPr>
            <w:rFonts w:eastAsia="Calibri" w:cs="Calibri Light"/>
            <w:szCs w:val="22"/>
            <w:lang w:eastAsia="en-US"/>
          </w:rPr>
          <w:t>GPA</w:t>
        </w:r>
      </w:hyperlink>
      <w:r w:rsidR="000D76F2">
        <w:rPr>
          <w:rFonts w:eastAsia="Calibri" w:cs="Calibri Light"/>
          <w:szCs w:val="22"/>
          <w:lang w:eastAsia="en-US"/>
        </w:rPr>
        <w:t xml:space="preserve"> Act</w:t>
      </w:r>
      <w:r w:rsidRPr="002D4847">
        <w:rPr>
          <w:rFonts w:eastAsia="Calibri" w:cs="Calibri Light"/>
          <w:szCs w:val="22"/>
          <w:lang w:eastAsia="en-US"/>
        </w:rPr>
        <w:t>, the Finance Minister has delegated the power to ASIC to waive an amount owing to the Commonwealth under the Corporations Act up to $5,000 for any one fee. If ASIC waives a fee under this delegation, these costs are not recovered via the levies and are budget</w:t>
      </w:r>
      <w:r w:rsidR="00BD190B">
        <w:rPr>
          <w:rFonts w:eastAsia="Calibri" w:cs="Calibri Light"/>
          <w:szCs w:val="22"/>
          <w:lang w:eastAsia="en-US"/>
        </w:rPr>
        <w:noBreakHyphen/>
      </w:r>
      <w:r w:rsidRPr="002D4847">
        <w:rPr>
          <w:rFonts w:eastAsia="Calibri" w:cs="Calibri Light"/>
          <w:szCs w:val="22"/>
          <w:lang w:eastAsia="en-US"/>
        </w:rPr>
        <w:t xml:space="preserve">funded instead. </w:t>
      </w:r>
    </w:p>
    <w:p w14:paraId="7E35BF12" w14:textId="76AD49ED" w:rsidR="00665A86" w:rsidRPr="00541798" w:rsidRDefault="00665A86" w:rsidP="00424595">
      <w:pPr>
        <w:pStyle w:val="Heading3"/>
      </w:pPr>
      <w:bookmarkStart w:id="130" w:name="_Toc129270486"/>
      <w:r w:rsidRPr="00541798">
        <w:t>Registry fees</w:t>
      </w:r>
      <w:bookmarkEnd w:id="130"/>
      <w:r w:rsidRPr="00541798">
        <w:t xml:space="preserve"> </w:t>
      </w:r>
    </w:p>
    <w:p w14:paraId="6EF007F4" w14:textId="77777777" w:rsidR="00665A86" w:rsidRPr="00541798"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Fees relating to the operation of public registers are also set out in Schedule 2 of the Corporations (Fees) Regulations 2001. These fees are not part of the IFM and are not cost recovered under the Charging Framework. Therefore, these registry fees are not within the scope of this Review and will continue to be set separately.</w:t>
      </w:r>
    </w:p>
    <w:p w14:paraId="096E0392" w14:textId="77777777" w:rsidR="00665A86" w:rsidRPr="00541798" w:rsidRDefault="00665A86" w:rsidP="007D3412">
      <w:pPr>
        <w:pStyle w:val="Heading2"/>
      </w:pPr>
      <w:bookmarkStart w:id="131" w:name="_Toc115094955"/>
      <w:bookmarkStart w:id="132" w:name="_Toc125305204"/>
      <w:bookmarkStart w:id="133" w:name="_Toc129270487"/>
      <w:r w:rsidRPr="00541798">
        <w:t xml:space="preserve">Cost </w:t>
      </w:r>
      <w:bookmarkEnd w:id="131"/>
      <w:r w:rsidRPr="007D3412">
        <w:t>recovery</w:t>
      </w:r>
      <w:r w:rsidRPr="00541798">
        <w:t xml:space="preserve"> policy</w:t>
      </w:r>
      <w:bookmarkEnd w:id="132"/>
      <w:bookmarkEnd w:id="133"/>
    </w:p>
    <w:p w14:paraId="5C8BA91E" w14:textId="79DFE958"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In 2018, the Government introduced a new fees framework where a single, identifiable entity would be charged </w:t>
      </w:r>
      <w:r w:rsidRPr="00541798">
        <w:rPr>
          <w:rFonts w:eastAsia="Calibri" w:cs="Calibri Light"/>
          <w:szCs w:val="22"/>
          <w:lang w:eastAsia="en-US"/>
        </w:rPr>
        <w:t>the full cost of a service provided by ASIC. This was in recognition that ASIC</w:t>
      </w:r>
      <w:r w:rsidR="00BD190B">
        <w:rPr>
          <w:rFonts w:eastAsia="Calibri" w:cs="Calibri Light"/>
          <w:szCs w:val="22"/>
          <w:lang w:eastAsia="en-US"/>
        </w:rPr>
        <w:t>’</w:t>
      </w:r>
      <w:r w:rsidRPr="00541798">
        <w:rPr>
          <w:rFonts w:eastAsia="Calibri" w:cs="Calibri Light"/>
          <w:szCs w:val="22"/>
          <w:lang w:eastAsia="en-US"/>
        </w:rPr>
        <w:t>s regulatory services are completed at the request of a specific entity and primarily benefits the requesting entity and as such, fees associated with regulatory services should be fully cost recovered by the benefiting entity rather than taxpayers.</w:t>
      </w:r>
      <w:r w:rsidRPr="00541798">
        <w:rPr>
          <w:rFonts w:cs="Calibri Light"/>
        </w:rPr>
        <w:t xml:space="preserve"> </w:t>
      </w:r>
    </w:p>
    <w:p w14:paraId="74E3BCC3" w14:textId="2CA6B4E0" w:rsidR="00665A86" w:rsidRPr="002D4847"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lastRenderedPageBreak/>
        <w:t>The Explanatory Memorandum to the Corporations (Fees) Amendment (ASIC Fees) Bill 2018 and associated Bills noted that fee amounts would be reviewed every three years. Indexation does not apply to regulatory fees, as the Government</w:t>
      </w:r>
      <w:r w:rsidR="00BD190B">
        <w:rPr>
          <w:rFonts w:eastAsia="Calibri" w:cs="Calibri Light"/>
          <w:szCs w:val="22"/>
          <w:lang w:eastAsia="en-US"/>
        </w:rPr>
        <w:t>’</w:t>
      </w:r>
      <w:r w:rsidRPr="00541798">
        <w:rPr>
          <w:rFonts w:eastAsia="Calibri" w:cs="Calibri Light"/>
          <w:szCs w:val="22"/>
          <w:lang w:eastAsia="en-US"/>
        </w:rPr>
        <w:t>s intention was that fee amounts would be regularly reviewed</w:t>
      </w:r>
      <w:r w:rsidR="00901E80">
        <w:rPr>
          <w:rFonts w:eastAsia="Calibri" w:cs="Calibri Light"/>
          <w:szCs w:val="22"/>
          <w:lang w:eastAsia="en-US"/>
        </w:rPr>
        <w:t xml:space="preserve">. </w:t>
      </w:r>
    </w:p>
    <w:p w14:paraId="5FCD6F03" w14:textId="49960571"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Although </w:t>
      </w:r>
      <w:r w:rsidR="004F64B8">
        <w:rPr>
          <w:rFonts w:eastAsia="Calibri" w:cs="Calibri Light"/>
          <w:szCs w:val="22"/>
          <w:lang w:eastAsia="en-US"/>
        </w:rPr>
        <w:t>g</w:t>
      </w:r>
      <w:r w:rsidRPr="002D4847">
        <w:rPr>
          <w:rFonts w:eastAsia="Calibri" w:cs="Calibri Light"/>
          <w:szCs w:val="22"/>
          <w:lang w:eastAsia="en-US"/>
        </w:rPr>
        <w:t xml:space="preserve">overnment policy </w:t>
      </w:r>
      <w:r w:rsidR="004F64B8">
        <w:rPr>
          <w:rFonts w:eastAsia="Calibri" w:cs="Calibri Light"/>
          <w:szCs w:val="22"/>
          <w:lang w:eastAsia="en-US"/>
        </w:rPr>
        <w:t>has been that</w:t>
      </w:r>
      <w:r w:rsidRPr="002D4847">
        <w:rPr>
          <w:rFonts w:eastAsia="Calibri" w:cs="Calibri Light"/>
          <w:szCs w:val="22"/>
          <w:lang w:eastAsia="en-US"/>
        </w:rPr>
        <w:t xml:space="preserve"> fees are set to fully offset ASIC</w:t>
      </w:r>
      <w:r w:rsidR="00BD190B">
        <w:rPr>
          <w:rFonts w:eastAsia="Calibri" w:cs="Calibri Light"/>
          <w:szCs w:val="22"/>
          <w:lang w:eastAsia="en-US"/>
        </w:rPr>
        <w:t>’</w:t>
      </w:r>
      <w:r w:rsidRPr="002D4847">
        <w:rPr>
          <w:rFonts w:eastAsia="Calibri" w:cs="Calibri Light"/>
          <w:szCs w:val="22"/>
          <w:lang w:eastAsia="en-US"/>
        </w:rPr>
        <w:t xml:space="preserve">s costs and are to be reviewed every three years, there has been no wholesale change to fee amounts since the commencement of the fees component of the IFM in 2018. </w:t>
      </w:r>
    </w:p>
    <w:p w14:paraId="6728AEC3" w14:textId="3386E117" w:rsidR="00665A86"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Consequently, most fee amounts no longer align with the cost to ASIC. Total fee revenue now only partially recovers ASIC</w:t>
      </w:r>
      <w:r w:rsidR="00BD190B">
        <w:rPr>
          <w:rFonts w:eastAsia="Calibri" w:cs="Calibri Light"/>
          <w:szCs w:val="22"/>
          <w:lang w:eastAsia="en-US"/>
        </w:rPr>
        <w:t>’</w:t>
      </w:r>
      <w:r w:rsidRPr="002D4847">
        <w:rPr>
          <w:rFonts w:eastAsia="Calibri" w:cs="Calibri Light"/>
          <w:szCs w:val="22"/>
          <w:lang w:eastAsia="en-US"/>
        </w:rPr>
        <w:t>s costs of providing its services. The deficit per year between fee revenue and ASIC</w:t>
      </w:r>
      <w:r w:rsidR="00BD190B">
        <w:rPr>
          <w:rFonts w:eastAsia="Calibri" w:cs="Calibri Light"/>
          <w:szCs w:val="22"/>
          <w:lang w:eastAsia="en-US"/>
        </w:rPr>
        <w:t>’</w:t>
      </w:r>
      <w:r w:rsidRPr="002D4847">
        <w:rPr>
          <w:rFonts w:eastAsia="Calibri" w:cs="Calibri Light"/>
          <w:szCs w:val="22"/>
          <w:lang w:eastAsia="en-US"/>
        </w:rPr>
        <w:t>s costs in providing the services since the commencement of the fees component of the IFM is set out in Table 4.2. This shortfall has been funded by general taxpayers.</w:t>
      </w:r>
    </w:p>
    <w:p w14:paraId="212E1C4E" w14:textId="755BB8F4" w:rsidR="00F33858" w:rsidRPr="00EB1E22" w:rsidRDefault="00926E4A" w:rsidP="006B2EB3">
      <w:pPr>
        <w:numPr>
          <w:ilvl w:val="1"/>
          <w:numId w:val="19"/>
        </w:numPr>
        <w:spacing w:line="259" w:lineRule="auto"/>
        <w:ind w:left="720" w:hanging="720"/>
        <w:rPr>
          <w:rFonts w:eastAsia="Calibri" w:cs="Calibri Light"/>
          <w:szCs w:val="22"/>
          <w:lang w:eastAsia="en-US"/>
        </w:rPr>
      </w:pPr>
      <w:r w:rsidRPr="00EB1E22">
        <w:rPr>
          <w:rFonts w:eastAsia="Calibri" w:cs="Calibri Light"/>
          <w:szCs w:val="22"/>
          <w:lang w:eastAsia="en-US"/>
        </w:rPr>
        <w:t>Table 4.2 sets out the shortfall between fee revenue and ASIC</w:t>
      </w:r>
      <w:r w:rsidR="00BD190B">
        <w:rPr>
          <w:rFonts w:eastAsia="Calibri" w:cs="Calibri Light"/>
          <w:szCs w:val="22"/>
          <w:lang w:eastAsia="en-US"/>
        </w:rPr>
        <w:t>’</w:t>
      </w:r>
      <w:r w:rsidRPr="00EB1E22">
        <w:rPr>
          <w:rFonts w:eastAsia="Calibri" w:cs="Calibri Light"/>
          <w:szCs w:val="22"/>
          <w:lang w:eastAsia="en-US"/>
        </w:rPr>
        <w:t>s cost of providing services since 2018</w:t>
      </w:r>
      <w:r w:rsidR="00A24074">
        <w:rPr>
          <w:rFonts w:eastAsia="Calibri" w:cs="Calibri Light"/>
          <w:szCs w:val="22"/>
          <w:lang w:eastAsia="en-US"/>
        </w:rPr>
        <w:t>–</w:t>
      </w:r>
      <w:r w:rsidRPr="00EB1E22">
        <w:rPr>
          <w:rFonts w:eastAsia="Calibri" w:cs="Calibri Light"/>
          <w:szCs w:val="22"/>
          <w:lang w:eastAsia="en-US"/>
        </w:rPr>
        <w:t>19. While the fees framework commenced on 4 July 2018, the revenue collected via fees did not align with ASIC</w:t>
      </w:r>
      <w:r w:rsidR="00BD190B">
        <w:rPr>
          <w:rFonts w:eastAsia="Calibri" w:cs="Calibri Light"/>
          <w:szCs w:val="22"/>
          <w:lang w:eastAsia="en-US"/>
        </w:rPr>
        <w:t>’</w:t>
      </w:r>
      <w:r w:rsidRPr="00EB1E22">
        <w:rPr>
          <w:rFonts w:eastAsia="Calibri" w:cs="Calibri Light"/>
          <w:szCs w:val="22"/>
          <w:lang w:eastAsia="en-US"/>
        </w:rPr>
        <w:t>s cost of providing those services during 2018</w:t>
      </w:r>
      <w:r w:rsidR="00A24074">
        <w:rPr>
          <w:rFonts w:eastAsia="Calibri" w:cs="Calibri Light"/>
          <w:szCs w:val="22"/>
          <w:lang w:eastAsia="en-US"/>
        </w:rPr>
        <w:t>–</w:t>
      </w:r>
      <w:r w:rsidRPr="00EB1E22">
        <w:rPr>
          <w:rFonts w:eastAsia="Calibri" w:cs="Calibri Light"/>
          <w:szCs w:val="22"/>
          <w:lang w:eastAsia="en-US"/>
        </w:rPr>
        <w:t xml:space="preserve">19 due to fee amounts being </w:t>
      </w:r>
      <w:r w:rsidR="00367F61" w:rsidRPr="00EB1E22">
        <w:rPr>
          <w:rFonts w:eastAsia="Calibri" w:cs="Calibri Light"/>
          <w:szCs w:val="22"/>
          <w:lang w:eastAsia="en-US"/>
        </w:rPr>
        <w:t>determined based on ASIC</w:t>
      </w:r>
      <w:r w:rsidR="00BD190B">
        <w:rPr>
          <w:rFonts w:eastAsia="Calibri" w:cs="Calibri Light"/>
          <w:szCs w:val="22"/>
          <w:lang w:eastAsia="en-US"/>
        </w:rPr>
        <w:t>’</w:t>
      </w:r>
      <w:r w:rsidR="00367F61" w:rsidRPr="00EB1E22">
        <w:rPr>
          <w:rFonts w:eastAsia="Calibri" w:cs="Calibri Light"/>
          <w:szCs w:val="22"/>
          <w:lang w:eastAsia="en-US"/>
        </w:rPr>
        <w:t>s costs prior to 2018</w:t>
      </w:r>
      <w:r w:rsidR="00A24074">
        <w:rPr>
          <w:rFonts w:eastAsia="Calibri" w:cs="Calibri Light"/>
          <w:szCs w:val="22"/>
          <w:lang w:eastAsia="en-US"/>
        </w:rPr>
        <w:t>–</w:t>
      </w:r>
      <w:r w:rsidR="00367F61" w:rsidRPr="00EB1E22">
        <w:rPr>
          <w:rFonts w:eastAsia="Calibri" w:cs="Calibri Light"/>
          <w:szCs w:val="22"/>
          <w:lang w:eastAsia="en-US"/>
        </w:rPr>
        <w:t>19</w:t>
      </w:r>
      <w:r w:rsidR="00DE1005">
        <w:rPr>
          <w:rFonts w:eastAsia="Calibri" w:cs="Calibri Light"/>
          <w:szCs w:val="22"/>
          <w:lang w:eastAsia="en-US"/>
        </w:rPr>
        <w:t xml:space="preserve"> </w:t>
      </w:r>
      <w:r w:rsidRPr="00EB1E22">
        <w:rPr>
          <w:rFonts w:eastAsia="Calibri" w:cs="Calibri Light"/>
          <w:szCs w:val="22"/>
          <w:lang w:eastAsia="en-US"/>
        </w:rPr>
        <w:t>– therefore, there is a shortfall between fee revenue and ASIC costs since the commencement of the fees framework</w:t>
      </w:r>
      <w:r w:rsidR="00EB1E22">
        <w:rPr>
          <w:rFonts w:eastAsia="Calibri" w:cs="Calibri Light"/>
          <w:szCs w:val="22"/>
          <w:lang w:eastAsia="en-US"/>
        </w:rPr>
        <w:t>.</w:t>
      </w:r>
    </w:p>
    <w:p w14:paraId="15D4BB18" w14:textId="77777777" w:rsidR="00665A86" w:rsidRPr="00541798" w:rsidRDefault="00665A86" w:rsidP="007D3412">
      <w:pPr>
        <w:pStyle w:val="TableMainHeading"/>
      </w:pPr>
      <w:bookmarkStart w:id="134" w:name="_Toc129270488"/>
      <w:r w:rsidRPr="00541798">
        <w:t>Table 4.2: Fee revenue relative to costs</w:t>
      </w:r>
      <w:bookmarkEnd w:id="134"/>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945"/>
        <w:gridCol w:w="944"/>
        <w:gridCol w:w="944"/>
        <w:gridCol w:w="946"/>
        <w:gridCol w:w="944"/>
        <w:gridCol w:w="946"/>
        <w:gridCol w:w="944"/>
        <w:gridCol w:w="946"/>
      </w:tblGrid>
      <w:tr w:rsidR="00665A86" w:rsidRPr="00541798" w14:paraId="591FE513" w14:textId="77777777" w:rsidTr="00646BF8">
        <w:trPr>
          <w:trHeight w:val="435"/>
        </w:trPr>
        <w:tc>
          <w:tcPr>
            <w:tcW w:w="829" w:type="pct"/>
            <w:vMerge w:val="restart"/>
            <w:shd w:val="clear" w:color="auto" w:fill="E7E6E6"/>
            <w:tcMar>
              <w:top w:w="0" w:type="dxa"/>
              <w:left w:w="108" w:type="dxa"/>
              <w:bottom w:w="0" w:type="dxa"/>
              <w:right w:w="108" w:type="dxa"/>
            </w:tcMar>
            <w:vAlign w:val="center"/>
            <w:hideMark/>
          </w:tcPr>
          <w:p w14:paraId="1D1A5366" w14:textId="559D20D3" w:rsidR="00665A86" w:rsidRPr="00541798" w:rsidRDefault="00665A86" w:rsidP="0034192B">
            <w:pPr>
              <w:pStyle w:val="TableColumnHeadingRight"/>
              <w:jc w:val="left"/>
              <w:rPr>
                <w:rFonts w:eastAsia="Calibri"/>
                <w:lang w:eastAsia="en-US"/>
              </w:rPr>
            </w:pPr>
            <w:r w:rsidRPr="00541798">
              <w:rPr>
                <w:rFonts w:eastAsia="Calibri"/>
                <w:lang w:eastAsia="en-US"/>
              </w:rPr>
              <w:t>Fees</w:t>
            </w:r>
            <w:r w:rsidR="00BD190B">
              <w:rPr>
                <w:rFonts w:eastAsia="Calibri"/>
                <w:lang w:eastAsia="en-US"/>
              </w:rPr>
              <w:noBreakHyphen/>
            </w:r>
            <w:r w:rsidRPr="00541798">
              <w:rPr>
                <w:rFonts w:eastAsia="Calibri"/>
                <w:lang w:eastAsia="en-US"/>
              </w:rPr>
              <w:t>for</w:t>
            </w:r>
            <w:r w:rsidR="00BD190B">
              <w:rPr>
                <w:rFonts w:eastAsia="Calibri"/>
                <w:lang w:eastAsia="en-US"/>
              </w:rPr>
              <w:noBreakHyphen/>
            </w:r>
            <w:r w:rsidRPr="00541798">
              <w:rPr>
                <w:rFonts w:eastAsia="Calibri"/>
                <w:lang w:eastAsia="en-US"/>
              </w:rPr>
              <w:t>service activities</w:t>
            </w:r>
          </w:p>
        </w:tc>
        <w:tc>
          <w:tcPr>
            <w:tcW w:w="1042" w:type="pct"/>
            <w:gridSpan w:val="2"/>
            <w:shd w:val="clear" w:color="auto" w:fill="E7E6E6"/>
            <w:tcMar>
              <w:top w:w="0" w:type="dxa"/>
              <w:left w:w="108" w:type="dxa"/>
              <w:bottom w:w="0" w:type="dxa"/>
              <w:right w:w="108" w:type="dxa"/>
            </w:tcMar>
            <w:hideMark/>
          </w:tcPr>
          <w:p w14:paraId="15FE3511" w14:textId="4E6954E0" w:rsidR="00665A86" w:rsidRPr="009F75E0" w:rsidRDefault="009C7ED2" w:rsidP="009F75E0">
            <w:pPr>
              <w:pStyle w:val="TableColumnHeadingCentred"/>
              <w:rPr>
                <w:rFonts w:eastAsia="Calibri"/>
              </w:rPr>
            </w:pPr>
            <w:r w:rsidRPr="009F75E0">
              <w:rPr>
                <w:rFonts w:eastAsia="Calibri"/>
              </w:rPr>
              <w:t>2018–19</w:t>
            </w:r>
          </w:p>
        </w:tc>
        <w:tc>
          <w:tcPr>
            <w:tcW w:w="1043" w:type="pct"/>
            <w:gridSpan w:val="2"/>
            <w:shd w:val="clear" w:color="auto" w:fill="E7E6E6"/>
            <w:tcMar>
              <w:top w:w="0" w:type="dxa"/>
              <w:left w:w="108" w:type="dxa"/>
              <w:bottom w:w="0" w:type="dxa"/>
              <w:right w:w="108" w:type="dxa"/>
            </w:tcMar>
            <w:hideMark/>
          </w:tcPr>
          <w:p w14:paraId="54468BD1" w14:textId="0A6C4585" w:rsidR="00665A86" w:rsidRPr="009F75E0" w:rsidRDefault="009C7ED2" w:rsidP="009F75E0">
            <w:pPr>
              <w:pStyle w:val="TableColumnHeadingCentred"/>
              <w:rPr>
                <w:rFonts w:eastAsia="Calibri"/>
              </w:rPr>
            </w:pPr>
            <w:r w:rsidRPr="009F75E0">
              <w:rPr>
                <w:rFonts w:eastAsia="Calibri"/>
              </w:rPr>
              <w:t>2019–20</w:t>
            </w:r>
          </w:p>
        </w:tc>
        <w:tc>
          <w:tcPr>
            <w:tcW w:w="1043" w:type="pct"/>
            <w:gridSpan w:val="2"/>
            <w:shd w:val="clear" w:color="auto" w:fill="E7E6E6"/>
            <w:tcMar>
              <w:top w:w="0" w:type="dxa"/>
              <w:left w:w="108" w:type="dxa"/>
              <w:bottom w:w="0" w:type="dxa"/>
              <w:right w:w="108" w:type="dxa"/>
            </w:tcMar>
            <w:hideMark/>
          </w:tcPr>
          <w:p w14:paraId="316EA512" w14:textId="45C3F4CF" w:rsidR="00665A86" w:rsidRPr="009F75E0" w:rsidRDefault="009C7ED2" w:rsidP="009F75E0">
            <w:pPr>
              <w:pStyle w:val="TableColumnHeadingCentred"/>
              <w:rPr>
                <w:rFonts w:eastAsia="Calibri"/>
              </w:rPr>
            </w:pPr>
            <w:r w:rsidRPr="009F75E0">
              <w:rPr>
                <w:rFonts w:eastAsia="Calibri"/>
              </w:rPr>
              <w:t>2020–21</w:t>
            </w:r>
          </w:p>
        </w:tc>
        <w:tc>
          <w:tcPr>
            <w:tcW w:w="1043" w:type="pct"/>
            <w:gridSpan w:val="2"/>
            <w:shd w:val="clear" w:color="auto" w:fill="E7E6E6"/>
            <w:tcMar>
              <w:top w:w="0" w:type="dxa"/>
              <w:left w:w="108" w:type="dxa"/>
              <w:bottom w:w="0" w:type="dxa"/>
              <w:right w:w="108" w:type="dxa"/>
            </w:tcMar>
            <w:hideMark/>
          </w:tcPr>
          <w:p w14:paraId="7CBF7CB3" w14:textId="68BB602D" w:rsidR="00665A86" w:rsidRPr="009F75E0" w:rsidRDefault="009C7ED2" w:rsidP="009F75E0">
            <w:pPr>
              <w:pStyle w:val="TableColumnHeadingCentred"/>
              <w:rPr>
                <w:rFonts w:eastAsia="Calibri"/>
              </w:rPr>
            </w:pPr>
            <w:r w:rsidRPr="009F75E0">
              <w:rPr>
                <w:rFonts w:eastAsia="Calibri"/>
              </w:rPr>
              <w:t>2021–22</w:t>
            </w:r>
          </w:p>
        </w:tc>
      </w:tr>
      <w:tr w:rsidR="0034192B" w:rsidRPr="00541798" w14:paraId="4F6906BB" w14:textId="77777777" w:rsidTr="00646BF8">
        <w:trPr>
          <w:trHeight w:val="435"/>
        </w:trPr>
        <w:tc>
          <w:tcPr>
            <w:tcW w:w="829" w:type="pct"/>
            <w:vMerge/>
            <w:shd w:val="clear" w:color="auto" w:fill="E7E6E6"/>
            <w:vAlign w:val="center"/>
            <w:hideMark/>
          </w:tcPr>
          <w:p w14:paraId="37A3E218" w14:textId="77777777" w:rsidR="0034192B" w:rsidRPr="00541798" w:rsidRDefault="0034192B" w:rsidP="0034192B">
            <w:pPr>
              <w:pStyle w:val="TableColumnHeadingRight"/>
              <w:rPr>
                <w:rFonts w:eastAsia="Calibri"/>
                <w:lang w:eastAsia="en-US"/>
              </w:rPr>
            </w:pPr>
          </w:p>
        </w:tc>
        <w:tc>
          <w:tcPr>
            <w:tcW w:w="521" w:type="pct"/>
            <w:shd w:val="clear" w:color="auto" w:fill="E7E6E6"/>
            <w:tcMar>
              <w:top w:w="0" w:type="dxa"/>
              <w:left w:w="108" w:type="dxa"/>
              <w:bottom w:w="0" w:type="dxa"/>
              <w:right w:w="108" w:type="dxa"/>
            </w:tcMar>
            <w:hideMark/>
          </w:tcPr>
          <w:p w14:paraId="2525848B" w14:textId="0CDDDD2A" w:rsidR="0034192B" w:rsidRPr="00541798" w:rsidRDefault="0034192B" w:rsidP="009F75E0">
            <w:pPr>
              <w:pStyle w:val="TableColumnHeadingCentred"/>
              <w:rPr>
                <w:rFonts w:eastAsia="Calibri"/>
                <w:lang w:eastAsia="en-US"/>
              </w:rPr>
            </w:pPr>
            <w:r w:rsidRPr="00541798">
              <w:rPr>
                <w:rFonts w:eastAsia="Calibri"/>
                <w:lang w:eastAsia="en-US"/>
              </w:rPr>
              <w:t>Cost</w:t>
            </w:r>
          </w:p>
          <w:p w14:paraId="2B5A8976" w14:textId="77777777" w:rsidR="0034192B" w:rsidRPr="00541798" w:rsidRDefault="0034192B" w:rsidP="009F75E0">
            <w:pPr>
              <w:pStyle w:val="TableColumnHeadingCentred"/>
              <w:rPr>
                <w:rFonts w:eastAsia="Calibri"/>
                <w:lang w:eastAsia="en-US"/>
              </w:rPr>
            </w:pPr>
            <w:r w:rsidRPr="00541798">
              <w:rPr>
                <w:rFonts w:eastAsia="Calibri"/>
                <w:lang w:eastAsia="en-US"/>
              </w:rPr>
              <w:t>$m</w:t>
            </w:r>
          </w:p>
        </w:tc>
        <w:tc>
          <w:tcPr>
            <w:tcW w:w="521" w:type="pct"/>
            <w:shd w:val="clear" w:color="auto" w:fill="E7E6E6"/>
            <w:tcMar>
              <w:top w:w="0" w:type="dxa"/>
              <w:left w:w="108" w:type="dxa"/>
              <w:bottom w:w="0" w:type="dxa"/>
              <w:right w:w="108" w:type="dxa"/>
            </w:tcMar>
            <w:hideMark/>
          </w:tcPr>
          <w:p w14:paraId="4B5839DA" w14:textId="4CB2EB67" w:rsidR="0034192B" w:rsidRPr="00541798" w:rsidRDefault="0034192B" w:rsidP="009F75E0">
            <w:pPr>
              <w:pStyle w:val="TableColumnHeadingCentred"/>
              <w:rPr>
                <w:rFonts w:eastAsia="Calibri"/>
                <w:lang w:eastAsia="en-US"/>
              </w:rPr>
            </w:pPr>
            <w:r w:rsidRPr="00541798">
              <w:rPr>
                <w:rFonts w:eastAsia="Calibri"/>
                <w:lang w:eastAsia="en-US"/>
              </w:rPr>
              <w:t>Revenue</w:t>
            </w:r>
          </w:p>
          <w:p w14:paraId="12B02CB3" w14:textId="77777777" w:rsidR="0034192B" w:rsidRPr="00541798" w:rsidRDefault="0034192B" w:rsidP="009F75E0">
            <w:pPr>
              <w:pStyle w:val="TableColumnHeadingCentred"/>
              <w:rPr>
                <w:rFonts w:eastAsia="Calibri"/>
                <w:lang w:eastAsia="en-US"/>
              </w:rPr>
            </w:pPr>
            <w:r w:rsidRPr="00541798">
              <w:rPr>
                <w:rFonts w:eastAsia="Calibri"/>
                <w:lang w:eastAsia="en-US"/>
              </w:rPr>
              <w:t>$m</w:t>
            </w:r>
          </w:p>
        </w:tc>
        <w:tc>
          <w:tcPr>
            <w:tcW w:w="521" w:type="pct"/>
            <w:shd w:val="clear" w:color="auto" w:fill="E7E6E6"/>
            <w:tcMar>
              <w:top w:w="0" w:type="dxa"/>
              <w:left w:w="108" w:type="dxa"/>
              <w:bottom w:w="0" w:type="dxa"/>
              <w:right w:w="108" w:type="dxa"/>
            </w:tcMar>
            <w:hideMark/>
          </w:tcPr>
          <w:p w14:paraId="34F34A9D" w14:textId="77777777" w:rsidR="0034192B" w:rsidRPr="00541798" w:rsidRDefault="0034192B" w:rsidP="009F75E0">
            <w:pPr>
              <w:pStyle w:val="TableColumnHeadingCentred"/>
              <w:rPr>
                <w:rFonts w:eastAsia="Calibri"/>
                <w:lang w:eastAsia="en-US"/>
              </w:rPr>
            </w:pPr>
            <w:r w:rsidRPr="00541798">
              <w:rPr>
                <w:rFonts w:eastAsia="Calibri"/>
                <w:lang w:eastAsia="en-US"/>
              </w:rPr>
              <w:t>Cost</w:t>
            </w:r>
          </w:p>
          <w:p w14:paraId="69CC2266" w14:textId="74822D38" w:rsidR="0034192B" w:rsidRPr="00541798" w:rsidRDefault="0034192B" w:rsidP="009F75E0">
            <w:pPr>
              <w:pStyle w:val="TableColumnHeadingCentred"/>
              <w:rPr>
                <w:rFonts w:eastAsia="Calibri"/>
                <w:lang w:eastAsia="en-US"/>
              </w:rPr>
            </w:pPr>
            <w:r w:rsidRPr="00541798">
              <w:rPr>
                <w:rFonts w:eastAsia="Calibri"/>
                <w:lang w:eastAsia="en-US"/>
              </w:rPr>
              <w:t>$m</w:t>
            </w:r>
          </w:p>
        </w:tc>
        <w:tc>
          <w:tcPr>
            <w:tcW w:w="521" w:type="pct"/>
            <w:shd w:val="clear" w:color="auto" w:fill="E7E6E6"/>
            <w:tcMar>
              <w:top w:w="0" w:type="dxa"/>
              <w:left w:w="108" w:type="dxa"/>
              <w:bottom w:w="0" w:type="dxa"/>
              <w:right w:w="108" w:type="dxa"/>
            </w:tcMar>
            <w:hideMark/>
          </w:tcPr>
          <w:p w14:paraId="431CE46C" w14:textId="77777777" w:rsidR="0034192B" w:rsidRPr="00541798" w:rsidRDefault="0034192B" w:rsidP="009F75E0">
            <w:pPr>
              <w:pStyle w:val="TableColumnHeadingCentred"/>
              <w:rPr>
                <w:rFonts w:eastAsia="Calibri"/>
                <w:lang w:eastAsia="en-US"/>
              </w:rPr>
            </w:pPr>
            <w:r w:rsidRPr="00541798">
              <w:rPr>
                <w:rFonts w:eastAsia="Calibri"/>
                <w:lang w:eastAsia="en-US"/>
              </w:rPr>
              <w:t>Revenue</w:t>
            </w:r>
          </w:p>
          <w:p w14:paraId="4B578F5D" w14:textId="4673DF3F" w:rsidR="0034192B" w:rsidRPr="00541798" w:rsidRDefault="0034192B" w:rsidP="009F75E0">
            <w:pPr>
              <w:pStyle w:val="TableColumnHeadingCentred"/>
              <w:rPr>
                <w:rFonts w:eastAsia="Calibri"/>
                <w:lang w:eastAsia="en-US"/>
              </w:rPr>
            </w:pPr>
            <w:r w:rsidRPr="00541798">
              <w:rPr>
                <w:rFonts w:eastAsia="Calibri"/>
                <w:lang w:eastAsia="en-US"/>
              </w:rPr>
              <w:t>$m</w:t>
            </w:r>
          </w:p>
        </w:tc>
        <w:tc>
          <w:tcPr>
            <w:tcW w:w="521" w:type="pct"/>
            <w:shd w:val="clear" w:color="auto" w:fill="E7E6E6"/>
            <w:tcMar>
              <w:top w:w="0" w:type="dxa"/>
              <w:left w:w="108" w:type="dxa"/>
              <w:bottom w:w="0" w:type="dxa"/>
              <w:right w:w="108" w:type="dxa"/>
            </w:tcMar>
            <w:hideMark/>
          </w:tcPr>
          <w:p w14:paraId="45382304" w14:textId="77777777" w:rsidR="0034192B" w:rsidRPr="00541798" w:rsidRDefault="0034192B" w:rsidP="009F75E0">
            <w:pPr>
              <w:pStyle w:val="TableColumnHeadingCentred"/>
              <w:rPr>
                <w:rFonts w:eastAsia="Calibri"/>
                <w:lang w:eastAsia="en-US"/>
              </w:rPr>
            </w:pPr>
            <w:r w:rsidRPr="00541798">
              <w:rPr>
                <w:rFonts w:eastAsia="Calibri"/>
                <w:lang w:eastAsia="en-US"/>
              </w:rPr>
              <w:t>Cost</w:t>
            </w:r>
          </w:p>
          <w:p w14:paraId="6C6F67A1" w14:textId="15A42BB8" w:rsidR="0034192B" w:rsidRPr="00541798" w:rsidRDefault="0034192B" w:rsidP="009F75E0">
            <w:pPr>
              <w:pStyle w:val="TableColumnHeadingCentred"/>
              <w:rPr>
                <w:rFonts w:eastAsia="Calibri"/>
                <w:lang w:eastAsia="en-US"/>
              </w:rPr>
            </w:pPr>
            <w:r w:rsidRPr="00541798">
              <w:rPr>
                <w:rFonts w:eastAsia="Calibri"/>
                <w:lang w:eastAsia="en-US"/>
              </w:rPr>
              <w:t>$m</w:t>
            </w:r>
          </w:p>
        </w:tc>
        <w:tc>
          <w:tcPr>
            <w:tcW w:w="521" w:type="pct"/>
            <w:shd w:val="clear" w:color="auto" w:fill="E7E6E6"/>
            <w:tcMar>
              <w:top w:w="0" w:type="dxa"/>
              <w:left w:w="108" w:type="dxa"/>
              <w:bottom w:w="0" w:type="dxa"/>
              <w:right w:w="108" w:type="dxa"/>
            </w:tcMar>
            <w:hideMark/>
          </w:tcPr>
          <w:p w14:paraId="3B21FCAF" w14:textId="77777777" w:rsidR="0034192B" w:rsidRPr="00541798" w:rsidRDefault="0034192B" w:rsidP="009F75E0">
            <w:pPr>
              <w:pStyle w:val="TableColumnHeadingCentred"/>
              <w:rPr>
                <w:rFonts w:eastAsia="Calibri"/>
                <w:lang w:eastAsia="en-US"/>
              </w:rPr>
            </w:pPr>
            <w:r w:rsidRPr="00541798">
              <w:rPr>
                <w:rFonts w:eastAsia="Calibri"/>
                <w:lang w:eastAsia="en-US"/>
              </w:rPr>
              <w:t>Revenue</w:t>
            </w:r>
          </w:p>
          <w:p w14:paraId="3362F405" w14:textId="21E79AEB" w:rsidR="0034192B" w:rsidRPr="00541798" w:rsidRDefault="0034192B" w:rsidP="009F75E0">
            <w:pPr>
              <w:pStyle w:val="TableColumnHeadingCentred"/>
              <w:rPr>
                <w:rFonts w:eastAsia="Calibri"/>
                <w:lang w:eastAsia="en-US"/>
              </w:rPr>
            </w:pPr>
            <w:r w:rsidRPr="00541798">
              <w:rPr>
                <w:rFonts w:eastAsia="Calibri"/>
                <w:lang w:eastAsia="en-US"/>
              </w:rPr>
              <w:t>$m</w:t>
            </w:r>
          </w:p>
        </w:tc>
        <w:tc>
          <w:tcPr>
            <w:tcW w:w="521" w:type="pct"/>
            <w:shd w:val="clear" w:color="auto" w:fill="E7E6E6"/>
            <w:tcMar>
              <w:top w:w="0" w:type="dxa"/>
              <w:left w:w="108" w:type="dxa"/>
              <w:bottom w:w="0" w:type="dxa"/>
              <w:right w:w="108" w:type="dxa"/>
            </w:tcMar>
            <w:hideMark/>
          </w:tcPr>
          <w:p w14:paraId="55F2FEB6" w14:textId="77777777" w:rsidR="0034192B" w:rsidRPr="00541798" w:rsidRDefault="0034192B" w:rsidP="009F75E0">
            <w:pPr>
              <w:pStyle w:val="TableColumnHeadingCentred"/>
              <w:rPr>
                <w:rFonts w:eastAsia="Calibri"/>
                <w:lang w:eastAsia="en-US"/>
              </w:rPr>
            </w:pPr>
            <w:r w:rsidRPr="00541798">
              <w:rPr>
                <w:rFonts w:eastAsia="Calibri"/>
                <w:lang w:eastAsia="en-US"/>
              </w:rPr>
              <w:t>Cost</w:t>
            </w:r>
          </w:p>
          <w:p w14:paraId="62387A87" w14:textId="66227BFC" w:rsidR="0034192B" w:rsidRPr="00541798" w:rsidRDefault="0034192B" w:rsidP="009F75E0">
            <w:pPr>
              <w:pStyle w:val="TableColumnHeadingCentred"/>
              <w:rPr>
                <w:rFonts w:eastAsia="Calibri"/>
                <w:lang w:eastAsia="en-US"/>
              </w:rPr>
            </w:pPr>
            <w:r w:rsidRPr="00541798">
              <w:rPr>
                <w:rFonts w:eastAsia="Calibri"/>
                <w:lang w:eastAsia="en-US"/>
              </w:rPr>
              <w:t>$m</w:t>
            </w:r>
          </w:p>
        </w:tc>
        <w:tc>
          <w:tcPr>
            <w:tcW w:w="521" w:type="pct"/>
            <w:shd w:val="clear" w:color="auto" w:fill="E7E6E6"/>
            <w:tcMar>
              <w:top w:w="0" w:type="dxa"/>
              <w:left w:w="108" w:type="dxa"/>
              <w:bottom w:w="0" w:type="dxa"/>
              <w:right w:w="108" w:type="dxa"/>
            </w:tcMar>
            <w:hideMark/>
          </w:tcPr>
          <w:p w14:paraId="6BC51717" w14:textId="77777777" w:rsidR="0034192B" w:rsidRPr="00541798" w:rsidRDefault="0034192B" w:rsidP="009F75E0">
            <w:pPr>
              <w:pStyle w:val="TableColumnHeadingCentred"/>
              <w:rPr>
                <w:rFonts w:eastAsia="Calibri"/>
                <w:lang w:eastAsia="en-US"/>
              </w:rPr>
            </w:pPr>
            <w:r w:rsidRPr="00541798">
              <w:rPr>
                <w:rFonts w:eastAsia="Calibri"/>
                <w:lang w:eastAsia="en-US"/>
              </w:rPr>
              <w:t>Revenue</w:t>
            </w:r>
          </w:p>
          <w:p w14:paraId="36C57011" w14:textId="0313BD01" w:rsidR="0034192B" w:rsidRPr="00541798" w:rsidRDefault="0034192B" w:rsidP="009F75E0">
            <w:pPr>
              <w:pStyle w:val="TableColumnHeadingCentred"/>
              <w:rPr>
                <w:rFonts w:eastAsia="Calibri"/>
                <w:lang w:eastAsia="en-US"/>
              </w:rPr>
            </w:pPr>
            <w:r w:rsidRPr="00541798">
              <w:rPr>
                <w:rFonts w:eastAsia="Calibri"/>
                <w:lang w:eastAsia="en-US"/>
              </w:rPr>
              <w:t>$m</w:t>
            </w:r>
          </w:p>
        </w:tc>
      </w:tr>
      <w:tr w:rsidR="00665A86" w:rsidRPr="00541798" w14:paraId="60183139" w14:textId="77777777" w:rsidTr="00646BF8">
        <w:trPr>
          <w:trHeight w:val="435"/>
        </w:trPr>
        <w:tc>
          <w:tcPr>
            <w:tcW w:w="829" w:type="pct"/>
            <w:shd w:val="clear" w:color="auto" w:fill="DEEAF6"/>
            <w:tcMar>
              <w:top w:w="0" w:type="dxa"/>
              <w:left w:w="108" w:type="dxa"/>
              <w:bottom w:w="0" w:type="dxa"/>
              <w:right w:w="108" w:type="dxa"/>
            </w:tcMar>
            <w:hideMark/>
          </w:tcPr>
          <w:p w14:paraId="0B340383" w14:textId="77777777" w:rsidR="00665A86" w:rsidRPr="00541798" w:rsidRDefault="00665A86" w:rsidP="007D3412">
            <w:pPr>
              <w:pStyle w:val="TableTextLeft"/>
              <w:rPr>
                <w:rFonts w:eastAsia="Calibri"/>
                <w:lang w:eastAsia="en-US"/>
              </w:rPr>
            </w:pPr>
            <w:r w:rsidRPr="00541798">
              <w:rPr>
                <w:rFonts w:eastAsia="Calibri"/>
                <w:lang w:eastAsia="en-US"/>
              </w:rPr>
              <w:t>Licence applications or variations</w:t>
            </w:r>
          </w:p>
        </w:tc>
        <w:tc>
          <w:tcPr>
            <w:tcW w:w="521" w:type="pct"/>
            <w:tcMar>
              <w:top w:w="0" w:type="dxa"/>
              <w:left w:w="108" w:type="dxa"/>
              <w:bottom w:w="0" w:type="dxa"/>
              <w:right w:w="108" w:type="dxa"/>
            </w:tcMar>
          </w:tcPr>
          <w:p w14:paraId="65776851" w14:textId="77777777" w:rsidR="00665A86" w:rsidRPr="007D3412" w:rsidRDefault="00665A86" w:rsidP="009F75E0">
            <w:pPr>
              <w:pStyle w:val="TableTextRight"/>
              <w:rPr>
                <w:rFonts w:eastAsia="Calibri"/>
                <w:b/>
              </w:rPr>
            </w:pPr>
            <w:r w:rsidRPr="007D3412">
              <w:rPr>
                <w:rFonts w:eastAsia="Calibri"/>
              </w:rPr>
              <w:t>6.3</w:t>
            </w:r>
          </w:p>
        </w:tc>
        <w:tc>
          <w:tcPr>
            <w:tcW w:w="521" w:type="pct"/>
            <w:tcMar>
              <w:top w:w="0" w:type="dxa"/>
              <w:left w:w="108" w:type="dxa"/>
              <w:bottom w:w="0" w:type="dxa"/>
              <w:right w:w="108" w:type="dxa"/>
            </w:tcMar>
          </w:tcPr>
          <w:p w14:paraId="30E9E051" w14:textId="77777777" w:rsidR="00665A86" w:rsidRPr="007D3412" w:rsidRDefault="00665A86" w:rsidP="009F75E0">
            <w:pPr>
              <w:pStyle w:val="TableTextRight"/>
              <w:rPr>
                <w:rFonts w:eastAsia="Calibri"/>
                <w:b/>
              </w:rPr>
            </w:pPr>
            <w:r w:rsidRPr="007D3412">
              <w:rPr>
                <w:rFonts w:eastAsia="Calibri"/>
              </w:rPr>
              <w:t>3.8</w:t>
            </w:r>
          </w:p>
        </w:tc>
        <w:tc>
          <w:tcPr>
            <w:tcW w:w="521" w:type="pct"/>
            <w:tcMar>
              <w:top w:w="0" w:type="dxa"/>
              <w:left w:w="108" w:type="dxa"/>
              <w:bottom w:w="0" w:type="dxa"/>
              <w:right w:w="108" w:type="dxa"/>
            </w:tcMar>
          </w:tcPr>
          <w:p w14:paraId="174F44B1" w14:textId="77777777" w:rsidR="00665A86" w:rsidRPr="007D3412" w:rsidRDefault="00665A86" w:rsidP="009F75E0">
            <w:pPr>
              <w:pStyle w:val="TableTextRight"/>
              <w:rPr>
                <w:rFonts w:eastAsia="Calibri"/>
                <w:b/>
              </w:rPr>
            </w:pPr>
            <w:r w:rsidRPr="007D3412">
              <w:rPr>
                <w:rFonts w:eastAsia="Calibri"/>
              </w:rPr>
              <w:t>9.4</w:t>
            </w:r>
          </w:p>
        </w:tc>
        <w:tc>
          <w:tcPr>
            <w:tcW w:w="521" w:type="pct"/>
            <w:tcMar>
              <w:top w:w="0" w:type="dxa"/>
              <w:left w:w="108" w:type="dxa"/>
              <w:bottom w:w="0" w:type="dxa"/>
              <w:right w:w="108" w:type="dxa"/>
            </w:tcMar>
          </w:tcPr>
          <w:p w14:paraId="570AF5CB" w14:textId="77777777" w:rsidR="00665A86" w:rsidRPr="007D3412" w:rsidRDefault="00665A86" w:rsidP="009F75E0">
            <w:pPr>
              <w:pStyle w:val="TableTextRight"/>
              <w:rPr>
                <w:rFonts w:eastAsia="Calibri"/>
                <w:b/>
              </w:rPr>
            </w:pPr>
            <w:r w:rsidRPr="007D3412">
              <w:rPr>
                <w:rFonts w:eastAsia="Calibri"/>
              </w:rPr>
              <w:t>3.8</w:t>
            </w:r>
          </w:p>
        </w:tc>
        <w:tc>
          <w:tcPr>
            <w:tcW w:w="521" w:type="pct"/>
            <w:tcMar>
              <w:top w:w="0" w:type="dxa"/>
              <w:left w:w="108" w:type="dxa"/>
              <w:bottom w:w="0" w:type="dxa"/>
              <w:right w:w="108" w:type="dxa"/>
            </w:tcMar>
          </w:tcPr>
          <w:p w14:paraId="5A844F20" w14:textId="77777777" w:rsidR="00665A86" w:rsidRPr="007D3412" w:rsidRDefault="00665A86" w:rsidP="009F75E0">
            <w:pPr>
              <w:pStyle w:val="TableTextRight"/>
              <w:rPr>
                <w:rFonts w:eastAsia="Calibri"/>
                <w:b/>
              </w:rPr>
            </w:pPr>
            <w:r w:rsidRPr="007D3412">
              <w:rPr>
                <w:rFonts w:eastAsia="Calibri"/>
              </w:rPr>
              <w:t>3.1</w:t>
            </w:r>
          </w:p>
        </w:tc>
        <w:tc>
          <w:tcPr>
            <w:tcW w:w="521" w:type="pct"/>
            <w:tcMar>
              <w:top w:w="0" w:type="dxa"/>
              <w:left w:w="108" w:type="dxa"/>
              <w:bottom w:w="0" w:type="dxa"/>
              <w:right w:w="108" w:type="dxa"/>
            </w:tcMar>
          </w:tcPr>
          <w:p w14:paraId="20DC6B6C" w14:textId="77777777" w:rsidR="00665A86" w:rsidRPr="007D3412" w:rsidRDefault="00665A86" w:rsidP="009F75E0">
            <w:pPr>
              <w:pStyle w:val="TableTextRight"/>
              <w:rPr>
                <w:rFonts w:eastAsia="Calibri"/>
                <w:b/>
              </w:rPr>
            </w:pPr>
            <w:r w:rsidRPr="007D3412">
              <w:rPr>
                <w:rFonts w:eastAsia="Calibri"/>
              </w:rPr>
              <w:t>4.9</w:t>
            </w:r>
          </w:p>
        </w:tc>
        <w:tc>
          <w:tcPr>
            <w:tcW w:w="521" w:type="pct"/>
            <w:tcMar>
              <w:top w:w="0" w:type="dxa"/>
              <w:left w:w="108" w:type="dxa"/>
              <w:bottom w:w="0" w:type="dxa"/>
              <w:right w:w="108" w:type="dxa"/>
            </w:tcMar>
          </w:tcPr>
          <w:p w14:paraId="4311DE2F" w14:textId="77777777" w:rsidR="00665A86" w:rsidRPr="007D3412" w:rsidRDefault="00665A86" w:rsidP="009F75E0">
            <w:pPr>
              <w:pStyle w:val="TableTextRight"/>
              <w:rPr>
                <w:rFonts w:eastAsia="Calibri"/>
                <w:b/>
              </w:rPr>
            </w:pPr>
            <w:r w:rsidRPr="007D3412">
              <w:rPr>
                <w:rFonts w:eastAsia="Calibri"/>
              </w:rPr>
              <w:t>2.2</w:t>
            </w:r>
          </w:p>
        </w:tc>
        <w:tc>
          <w:tcPr>
            <w:tcW w:w="521" w:type="pct"/>
            <w:tcMar>
              <w:top w:w="0" w:type="dxa"/>
              <w:left w:w="108" w:type="dxa"/>
              <w:bottom w:w="0" w:type="dxa"/>
              <w:right w:w="108" w:type="dxa"/>
            </w:tcMar>
          </w:tcPr>
          <w:p w14:paraId="1F8583A6" w14:textId="77777777" w:rsidR="00665A86" w:rsidRPr="007D3412" w:rsidRDefault="00665A86" w:rsidP="009F75E0">
            <w:pPr>
              <w:pStyle w:val="TableTextRight"/>
              <w:rPr>
                <w:rFonts w:eastAsia="Calibri"/>
                <w:b/>
              </w:rPr>
            </w:pPr>
            <w:r w:rsidRPr="007D3412">
              <w:rPr>
                <w:rFonts w:eastAsia="Calibri"/>
              </w:rPr>
              <w:t>4.0</w:t>
            </w:r>
          </w:p>
        </w:tc>
      </w:tr>
      <w:tr w:rsidR="00665A86" w:rsidRPr="00541798" w14:paraId="3979FCE0" w14:textId="77777777" w:rsidTr="00646BF8">
        <w:trPr>
          <w:trHeight w:val="435"/>
        </w:trPr>
        <w:tc>
          <w:tcPr>
            <w:tcW w:w="829" w:type="pct"/>
            <w:shd w:val="clear" w:color="auto" w:fill="DEEAF6"/>
            <w:tcMar>
              <w:top w:w="0" w:type="dxa"/>
              <w:left w:w="108" w:type="dxa"/>
              <w:bottom w:w="0" w:type="dxa"/>
              <w:right w:w="108" w:type="dxa"/>
            </w:tcMar>
            <w:hideMark/>
          </w:tcPr>
          <w:p w14:paraId="1B254135" w14:textId="77777777" w:rsidR="00665A86" w:rsidRPr="00541798" w:rsidRDefault="00665A86" w:rsidP="007D3412">
            <w:pPr>
              <w:pStyle w:val="TableTextLeft"/>
              <w:rPr>
                <w:rFonts w:eastAsia="Calibri"/>
                <w:lang w:eastAsia="en-US"/>
              </w:rPr>
            </w:pPr>
            <w:r w:rsidRPr="00541798">
              <w:rPr>
                <w:rFonts w:eastAsia="Calibri"/>
                <w:lang w:eastAsia="en-US"/>
              </w:rPr>
              <w:t>Registration application services</w:t>
            </w:r>
          </w:p>
        </w:tc>
        <w:tc>
          <w:tcPr>
            <w:tcW w:w="521" w:type="pct"/>
            <w:tcMar>
              <w:top w:w="0" w:type="dxa"/>
              <w:left w:w="108" w:type="dxa"/>
              <w:bottom w:w="0" w:type="dxa"/>
              <w:right w:w="108" w:type="dxa"/>
            </w:tcMar>
          </w:tcPr>
          <w:p w14:paraId="7F435E80" w14:textId="77777777" w:rsidR="00665A86" w:rsidRPr="007D3412" w:rsidRDefault="00665A86" w:rsidP="009F75E0">
            <w:pPr>
              <w:pStyle w:val="TableTextRight"/>
              <w:rPr>
                <w:rFonts w:eastAsia="Calibri"/>
                <w:b/>
              </w:rPr>
            </w:pPr>
            <w:r w:rsidRPr="007D3412">
              <w:rPr>
                <w:rFonts w:eastAsia="Calibri"/>
              </w:rPr>
              <w:t>1.6</w:t>
            </w:r>
          </w:p>
        </w:tc>
        <w:tc>
          <w:tcPr>
            <w:tcW w:w="521" w:type="pct"/>
            <w:tcMar>
              <w:top w:w="0" w:type="dxa"/>
              <w:left w:w="108" w:type="dxa"/>
              <w:bottom w:w="0" w:type="dxa"/>
              <w:right w:w="108" w:type="dxa"/>
            </w:tcMar>
          </w:tcPr>
          <w:p w14:paraId="568D42F1" w14:textId="77777777" w:rsidR="00665A86" w:rsidRPr="007D3412" w:rsidRDefault="00665A86" w:rsidP="009F75E0">
            <w:pPr>
              <w:pStyle w:val="TableTextRight"/>
              <w:rPr>
                <w:rFonts w:eastAsia="Calibri"/>
                <w:b/>
              </w:rPr>
            </w:pPr>
            <w:r w:rsidRPr="007D3412">
              <w:rPr>
                <w:rFonts w:eastAsia="Calibri"/>
              </w:rPr>
              <w:t>0.9</w:t>
            </w:r>
          </w:p>
        </w:tc>
        <w:tc>
          <w:tcPr>
            <w:tcW w:w="521" w:type="pct"/>
            <w:tcMar>
              <w:top w:w="0" w:type="dxa"/>
              <w:left w:w="108" w:type="dxa"/>
              <w:bottom w:w="0" w:type="dxa"/>
              <w:right w:w="108" w:type="dxa"/>
            </w:tcMar>
          </w:tcPr>
          <w:p w14:paraId="044E0DDE" w14:textId="77777777" w:rsidR="00665A86" w:rsidRPr="007D3412" w:rsidRDefault="00665A86" w:rsidP="009F75E0">
            <w:pPr>
              <w:pStyle w:val="TableTextRight"/>
              <w:rPr>
                <w:rFonts w:eastAsia="Calibri"/>
                <w:b/>
              </w:rPr>
            </w:pPr>
            <w:r w:rsidRPr="007D3412">
              <w:rPr>
                <w:rFonts w:eastAsia="Calibri"/>
              </w:rPr>
              <w:t>2.4</w:t>
            </w:r>
          </w:p>
        </w:tc>
        <w:tc>
          <w:tcPr>
            <w:tcW w:w="521" w:type="pct"/>
            <w:tcMar>
              <w:top w:w="0" w:type="dxa"/>
              <w:left w:w="108" w:type="dxa"/>
              <w:bottom w:w="0" w:type="dxa"/>
              <w:right w:w="108" w:type="dxa"/>
            </w:tcMar>
          </w:tcPr>
          <w:p w14:paraId="4176A9DB" w14:textId="77777777" w:rsidR="00665A86" w:rsidRPr="007D3412" w:rsidRDefault="00665A86" w:rsidP="009F75E0">
            <w:pPr>
              <w:pStyle w:val="TableTextRight"/>
              <w:rPr>
                <w:rFonts w:eastAsia="Calibri"/>
                <w:b/>
              </w:rPr>
            </w:pPr>
            <w:r w:rsidRPr="007D3412">
              <w:rPr>
                <w:rFonts w:eastAsia="Calibri"/>
              </w:rPr>
              <w:t>1.0</w:t>
            </w:r>
          </w:p>
        </w:tc>
        <w:tc>
          <w:tcPr>
            <w:tcW w:w="521" w:type="pct"/>
            <w:tcMar>
              <w:top w:w="0" w:type="dxa"/>
              <w:left w:w="108" w:type="dxa"/>
              <w:bottom w:w="0" w:type="dxa"/>
              <w:right w:w="108" w:type="dxa"/>
            </w:tcMar>
          </w:tcPr>
          <w:p w14:paraId="005F16D8" w14:textId="77777777" w:rsidR="00665A86" w:rsidRPr="007D3412" w:rsidRDefault="00665A86" w:rsidP="009F75E0">
            <w:pPr>
              <w:pStyle w:val="TableTextRight"/>
              <w:rPr>
                <w:rFonts w:eastAsia="Calibri"/>
                <w:b/>
              </w:rPr>
            </w:pPr>
            <w:r w:rsidRPr="007D3412">
              <w:rPr>
                <w:rFonts w:eastAsia="Calibri"/>
              </w:rPr>
              <w:t>0.7</w:t>
            </w:r>
          </w:p>
        </w:tc>
        <w:tc>
          <w:tcPr>
            <w:tcW w:w="521" w:type="pct"/>
            <w:tcMar>
              <w:top w:w="0" w:type="dxa"/>
              <w:left w:w="108" w:type="dxa"/>
              <w:bottom w:w="0" w:type="dxa"/>
              <w:right w:w="108" w:type="dxa"/>
            </w:tcMar>
          </w:tcPr>
          <w:p w14:paraId="5AFC1F9A" w14:textId="77777777" w:rsidR="00665A86" w:rsidRPr="007D3412" w:rsidRDefault="00665A86" w:rsidP="009F75E0">
            <w:pPr>
              <w:pStyle w:val="TableTextRight"/>
              <w:rPr>
                <w:rFonts w:eastAsia="Calibri"/>
                <w:b/>
              </w:rPr>
            </w:pPr>
            <w:r w:rsidRPr="007D3412">
              <w:rPr>
                <w:rFonts w:eastAsia="Calibri"/>
              </w:rPr>
              <w:t>1.1</w:t>
            </w:r>
          </w:p>
        </w:tc>
        <w:tc>
          <w:tcPr>
            <w:tcW w:w="521" w:type="pct"/>
            <w:tcMar>
              <w:top w:w="0" w:type="dxa"/>
              <w:left w:w="108" w:type="dxa"/>
              <w:bottom w:w="0" w:type="dxa"/>
              <w:right w:w="108" w:type="dxa"/>
            </w:tcMar>
          </w:tcPr>
          <w:p w14:paraId="15554D90" w14:textId="77777777" w:rsidR="00665A86" w:rsidRPr="007D3412" w:rsidRDefault="00665A86" w:rsidP="009F75E0">
            <w:pPr>
              <w:pStyle w:val="TableTextRight"/>
              <w:rPr>
                <w:rFonts w:eastAsia="Calibri"/>
                <w:b/>
              </w:rPr>
            </w:pPr>
            <w:r w:rsidRPr="007D3412">
              <w:rPr>
                <w:rFonts w:eastAsia="Calibri"/>
              </w:rPr>
              <w:t>0.7</w:t>
            </w:r>
          </w:p>
        </w:tc>
        <w:tc>
          <w:tcPr>
            <w:tcW w:w="521" w:type="pct"/>
            <w:tcMar>
              <w:top w:w="0" w:type="dxa"/>
              <w:left w:w="108" w:type="dxa"/>
              <w:bottom w:w="0" w:type="dxa"/>
              <w:right w:w="108" w:type="dxa"/>
            </w:tcMar>
          </w:tcPr>
          <w:p w14:paraId="048D3D6C" w14:textId="77777777" w:rsidR="00665A86" w:rsidRPr="007D3412" w:rsidRDefault="00665A86" w:rsidP="009F75E0">
            <w:pPr>
              <w:pStyle w:val="TableTextRight"/>
              <w:rPr>
                <w:rFonts w:eastAsia="Calibri"/>
                <w:b/>
              </w:rPr>
            </w:pPr>
            <w:r w:rsidRPr="007D3412">
              <w:rPr>
                <w:rFonts w:eastAsia="Calibri"/>
              </w:rPr>
              <w:t>1.2</w:t>
            </w:r>
          </w:p>
        </w:tc>
      </w:tr>
      <w:tr w:rsidR="00665A86" w:rsidRPr="00541798" w14:paraId="4D8F462D" w14:textId="77777777" w:rsidTr="00646BF8">
        <w:trPr>
          <w:trHeight w:val="415"/>
        </w:trPr>
        <w:tc>
          <w:tcPr>
            <w:tcW w:w="829" w:type="pct"/>
            <w:shd w:val="clear" w:color="auto" w:fill="DEEAF6"/>
            <w:tcMar>
              <w:top w:w="0" w:type="dxa"/>
              <w:left w:w="108" w:type="dxa"/>
              <w:bottom w:w="0" w:type="dxa"/>
              <w:right w:w="108" w:type="dxa"/>
            </w:tcMar>
            <w:hideMark/>
          </w:tcPr>
          <w:p w14:paraId="17E6F066" w14:textId="77777777" w:rsidR="00665A86" w:rsidRPr="00541798" w:rsidRDefault="00665A86" w:rsidP="007D3412">
            <w:pPr>
              <w:pStyle w:val="TableTextLeft"/>
              <w:rPr>
                <w:rFonts w:eastAsia="Calibri"/>
                <w:lang w:eastAsia="en-US"/>
              </w:rPr>
            </w:pPr>
            <w:r w:rsidRPr="00541798">
              <w:rPr>
                <w:rFonts w:eastAsia="Calibri"/>
                <w:lang w:eastAsia="en-US"/>
              </w:rPr>
              <w:t>Compliance review of documents</w:t>
            </w:r>
          </w:p>
        </w:tc>
        <w:tc>
          <w:tcPr>
            <w:tcW w:w="521" w:type="pct"/>
            <w:tcMar>
              <w:top w:w="0" w:type="dxa"/>
              <w:left w:w="108" w:type="dxa"/>
              <w:bottom w:w="0" w:type="dxa"/>
              <w:right w:w="108" w:type="dxa"/>
            </w:tcMar>
          </w:tcPr>
          <w:p w14:paraId="11A1366D" w14:textId="77777777" w:rsidR="00665A86" w:rsidRPr="007D3412" w:rsidRDefault="00665A86" w:rsidP="009F75E0">
            <w:pPr>
              <w:pStyle w:val="TableTextRight"/>
              <w:rPr>
                <w:rFonts w:eastAsia="Calibri"/>
                <w:b/>
              </w:rPr>
            </w:pPr>
            <w:r w:rsidRPr="007D3412">
              <w:rPr>
                <w:rFonts w:eastAsia="Calibri"/>
              </w:rPr>
              <w:t>9.1</w:t>
            </w:r>
          </w:p>
        </w:tc>
        <w:tc>
          <w:tcPr>
            <w:tcW w:w="521" w:type="pct"/>
            <w:tcMar>
              <w:top w:w="0" w:type="dxa"/>
              <w:left w:w="108" w:type="dxa"/>
              <w:bottom w:w="0" w:type="dxa"/>
              <w:right w:w="108" w:type="dxa"/>
            </w:tcMar>
          </w:tcPr>
          <w:p w14:paraId="70B19E01" w14:textId="77777777" w:rsidR="00665A86" w:rsidRPr="007D3412" w:rsidRDefault="00665A86" w:rsidP="009F75E0">
            <w:pPr>
              <w:pStyle w:val="TableTextRight"/>
              <w:rPr>
                <w:rFonts w:eastAsia="Calibri"/>
                <w:b/>
              </w:rPr>
            </w:pPr>
            <w:r w:rsidRPr="007D3412">
              <w:rPr>
                <w:rFonts w:eastAsia="Calibri"/>
              </w:rPr>
              <w:t>3.3</w:t>
            </w:r>
          </w:p>
        </w:tc>
        <w:tc>
          <w:tcPr>
            <w:tcW w:w="521" w:type="pct"/>
            <w:tcMar>
              <w:top w:w="0" w:type="dxa"/>
              <w:left w:w="108" w:type="dxa"/>
              <w:bottom w:w="0" w:type="dxa"/>
              <w:right w:w="108" w:type="dxa"/>
            </w:tcMar>
          </w:tcPr>
          <w:p w14:paraId="69078538" w14:textId="77777777" w:rsidR="00665A86" w:rsidRPr="007D3412" w:rsidRDefault="00665A86" w:rsidP="009F75E0">
            <w:pPr>
              <w:pStyle w:val="TableTextRight"/>
              <w:rPr>
                <w:rFonts w:eastAsia="Calibri"/>
                <w:b/>
              </w:rPr>
            </w:pPr>
            <w:r w:rsidRPr="007D3412">
              <w:rPr>
                <w:rFonts w:eastAsia="Calibri"/>
              </w:rPr>
              <w:t>8.2</w:t>
            </w:r>
          </w:p>
        </w:tc>
        <w:tc>
          <w:tcPr>
            <w:tcW w:w="521" w:type="pct"/>
            <w:tcMar>
              <w:top w:w="0" w:type="dxa"/>
              <w:left w:w="108" w:type="dxa"/>
              <w:bottom w:w="0" w:type="dxa"/>
              <w:right w:w="108" w:type="dxa"/>
            </w:tcMar>
          </w:tcPr>
          <w:p w14:paraId="608EB518" w14:textId="77777777" w:rsidR="00665A86" w:rsidRPr="007D3412" w:rsidRDefault="00665A86" w:rsidP="009F75E0">
            <w:pPr>
              <w:pStyle w:val="TableTextRight"/>
              <w:rPr>
                <w:rFonts w:eastAsia="Calibri"/>
                <w:b/>
              </w:rPr>
            </w:pPr>
            <w:r w:rsidRPr="007D3412">
              <w:rPr>
                <w:rFonts w:eastAsia="Calibri"/>
              </w:rPr>
              <w:t>3.3</w:t>
            </w:r>
          </w:p>
        </w:tc>
        <w:tc>
          <w:tcPr>
            <w:tcW w:w="521" w:type="pct"/>
            <w:tcMar>
              <w:top w:w="0" w:type="dxa"/>
              <w:left w:w="108" w:type="dxa"/>
              <w:bottom w:w="0" w:type="dxa"/>
              <w:right w:w="108" w:type="dxa"/>
            </w:tcMar>
          </w:tcPr>
          <w:p w14:paraId="5DC64E4E" w14:textId="77777777" w:rsidR="00665A86" w:rsidRPr="007D3412" w:rsidRDefault="00665A86" w:rsidP="009F75E0">
            <w:pPr>
              <w:pStyle w:val="TableTextRight"/>
              <w:rPr>
                <w:rFonts w:eastAsia="Calibri"/>
                <w:b/>
              </w:rPr>
            </w:pPr>
            <w:r w:rsidRPr="007D3412">
              <w:rPr>
                <w:rFonts w:eastAsia="Calibri"/>
              </w:rPr>
              <w:t>9.7</w:t>
            </w:r>
          </w:p>
        </w:tc>
        <w:tc>
          <w:tcPr>
            <w:tcW w:w="521" w:type="pct"/>
            <w:tcMar>
              <w:top w:w="0" w:type="dxa"/>
              <w:left w:w="108" w:type="dxa"/>
              <w:bottom w:w="0" w:type="dxa"/>
              <w:right w:w="108" w:type="dxa"/>
            </w:tcMar>
          </w:tcPr>
          <w:p w14:paraId="1BB6F874" w14:textId="77777777" w:rsidR="00665A86" w:rsidRPr="007D3412" w:rsidRDefault="00665A86" w:rsidP="009F75E0">
            <w:pPr>
              <w:pStyle w:val="TableTextRight"/>
              <w:rPr>
                <w:rFonts w:eastAsia="Calibri"/>
                <w:b/>
              </w:rPr>
            </w:pPr>
            <w:r w:rsidRPr="007D3412">
              <w:rPr>
                <w:rFonts w:eastAsia="Calibri"/>
              </w:rPr>
              <w:t>4.6</w:t>
            </w:r>
          </w:p>
        </w:tc>
        <w:tc>
          <w:tcPr>
            <w:tcW w:w="521" w:type="pct"/>
            <w:tcMar>
              <w:top w:w="0" w:type="dxa"/>
              <w:left w:w="108" w:type="dxa"/>
              <w:bottom w:w="0" w:type="dxa"/>
              <w:right w:w="108" w:type="dxa"/>
            </w:tcMar>
          </w:tcPr>
          <w:p w14:paraId="5566461E" w14:textId="77777777" w:rsidR="00665A86" w:rsidRPr="007D3412" w:rsidRDefault="00665A86" w:rsidP="009F75E0">
            <w:pPr>
              <w:pStyle w:val="TableTextRight"/>
              <w:rPr>
                <w:rFonts w:eastAsia="Calibri"/>
                <w:b/>
              </w:rPr>
            </w:pPr>
            <w:r w:rsidRPr="007D3412">
              <w:rPr>
                <w:rFonts w:eastAsia="Calibri"/>
              </w:rPr>
              <w:t>10.6</w:t>
            </w:r>
          </w:p>
        </w:tc>
        <w:tc>
          <w:tcPr>
            <w:tcW w:w="521" w:type="pct"/>
            <w:tcMar>
              <w:top w:w="0" w:type="dxa"/>
              <w:left w:w="108" w:type="dxa"/>
              <w:bottom w:w="0" w:type="dxa"/>
              <w:right w:w="108" w:type="dxa"/>
            </w:tcMar>
          </w:tcPr>
          <w:p w14:paraId="4F9CCDC8" w14:textId="77777777" w:rsidR="00665A86" w:rsidRPr="007D3412" w:rsidRDefault="00665A86" w:rsidP="009F75E0">
            <w:pPr>
              <w:pStyle w:val="TableTextRight"/>
              <w:rPr>
                <w:rFonts w:eastAsia="Calibri"/>
                <w:b/>
              </w:rPr>
            </w:pPr>
            <w:r w:rsidRPr="007D3412">
              <w:rPr>
                <w:rFonts w:eastAsia="Calibri"/>
              </w:rPr>
              <w:t>3.5</w:t>
            </w:r>
          </w:p>
        </w:tc>
      </w:tr>
      <w:tr w:rsidR="00665A86" w:rsidRPr="00541798" w14:paraId="5C838961" w14:textId="77777777" w:rsidTr="00646BF8">
        <w:trPr>
          <w:trHeight w:val="435"/>
        </w:trPr>
        <w:tc>
          <w:tcPr>
            <w:tcW w:w="829" w:type="pct"/>
            <w:shd w:val="clear" w:color="auto" w:fill="DEEAF6"/>
            <w:tcMar>
              <w:top w:w="0" w:type="dxa"/>
              <w:left w:w="108" w:type="dxa"/>
              <w:bottom w:w="0" w:type="dxa"/>
              <w:right w:w="108" w:type="dxa"/>
            </w:tcMar>
            <w:hideMark/>
          </w:tcPr>
          <w:p w14:paraId="0C8401FF" w14:textId="77777777" w:rsidR="00665A86" w:rsidRPr="00541798" w:rsidRDefault="00665A86" w:rsidP="007D3412">
            <w:pPr>
              <w:pStyle w:val="TableTextLeft"/>
              <w:rPr>
                <w:rFonts w:eastAsia="Calibri"/>
                <w:lang w:eastAsia="en-US"/>
              </w:rPr>
            </w:pPr>
            <w:r w:rsidRPr="00541798">
              <w:rPr>
                <w:rFonts w:eastAsia="Calibri"/>
                <w:lang w:eastAsia="en-US"/>
              </w:rPr>
              <w:t>Requests for changes to market operating rules</w:t>
            </w:r>
          </w:p>
        </w:tc>
        <w:tc>
          <w:tcPr>
            <w:tcW w:w="521" w:type="pct"/>
            <w:tcMar>
              <w:top w:w="0" w:type="dxa"/>
              <w:left w:w="108" w:type="dxa"/>
              <w:bottom w:w="0" w:type="dxa"/>
              <w:right w:w="108" w:type="dxa"/>
            </w:tcMar>
          </w:tcPr>
          <w:p w14:paraId="3F4D385A" w14:textId="77777777" w:rsidR="00665A86" w:rsidRPr="007D3412" w:rsidRDefault="00665A86" w:rsidP="009F75E0">
            <w:pPr>
              <w:pStyle w:val="TableTextRight"/>
              <w:rPr>
                <w:rFonts w:eastAsia="Calibri"/>
                <w:b/>
              </w:rPr>
            </w:pPr>
            <w:r w:rsidRPr="007D3412">
              <w:rPr>
                <w:rFonts w:eastAsia="Calibri"/>
              </w:rPr>
              <w:t>0.1</w:t>
            </w:r>
          </w:p>
        </w:tc>
        <w:tc>
          <w:tcPr>
            <w:tcW w:w="521" w:type="pct"/>
            <w:tcMar>
              <w:top w:w="0" w:type="dxa"/>
              <w:left w:w="108" w:type="dxa"/>
              <w:bottom w:w="0" w:type="dxa"/>
              <w:right w:w="108" w:type="dxa"/>
            </w:tcMar>
          </w:tcPr>
          <w:p w14:paraId="1077AEB0" w14:textId="77777777" w:rsidR="00665A86" w:rsidRPr="007D3412" w:rsidRDefault="00665A86" w:rsidP="009F75E0">
            <w:pPr>
              <w:pStyle w:val="TableTextRight"/>
              <w:rPr>
                <w:rFonts w:eastAsia="Calibri"/>
                <w:b/>
              </w:rPr>
            </w:pPr>
            <w:r w:rsidRPr="007D3412">
              <w:rPr>
                <w:rFonts w:eastAsia="Calibri"/>
              </w:rPr>
              <w:t>0.0</w:t>
            </w:r>
            <w:r w:rsidRPr="001E3656">
              <w:rPr>
                <w:rFonts w:eastAsia="Calibri"/>
                <w:vertAlign w:val="superscript"/>
              </w:rPr>
              <w:footnoteReference w:id="6"/>
            </w:r>
          </w:p>
        </w:tc>
        <w:tc>
          <w:tcPr>
            <w:tcW w:w="521" w:type="pct"/>
            <w:tcMar>
              <w:top w:w="0" w:type="dxa"/>
              <w:left w:w="108" w:type="dxa"/>
              <w:bottom w:w="0" w:type="dxa"/>
              <w:right w:w="108" w:type="dxa"/>
            </w:tcMar>
          </w:tcPr>
          <w:p w14:paraId="5A754F2E" w14:textId="77777777" w:rsidR="00665A86" w:rsidRPr="007D3412" w:rsidRDefault="00665A86" w:rsidP="009F75E0">
            <w:pPr>
              <w:pStyle w:val="TableTextRight"/>
              <w:rPr>
                <w:rFonts w:eastAsia="Calibri"/>
                <w:b/>
              </w:rPr>
            </w:pPr>
            <w:r w:rsidRPr="007D3412">
              <w:rPr>
                <w:rFonts w:eastAsia="Calibri"/>
              </w:rPr>
              <w:t>0.4</w:t>
            </w:r>
          </w:p>
        </w:tc>
        <w:tc>
          <w:tcPr>
            <w:tcW w:w="521" w:type="pct"/>
            <w:tcMar>
              <w:top w:w="0" w:type="dxa"/>
              <w:left w:w="108" w:type="dxa"/>
              <w:bottom w:w="0" w:type="dxa"/>
              <w:right w:w="108" w:type="dxa"/>
            </w:tcMar>
          </w:tcPr>
          <w:p w14:paraId="616B8F38" w14:textId="77777777" w:rsidR="00665A86" w:rsidRPr="007D3412" w:rsidRDefault="00665A86" w:rsidP="009F75E0">
            <w:pPr>
              <w:pStyle w:val="TableTextRight"/>
              <w:rPr>
                <w:rFonts w:eastAsia="Calibri"/>
                <w:b/>
              </w:rPr>
            </w:pPr>
            <w:r w:rsidRPr="007D3412">
              <w:rPr>
                <w:rFonts w:eastAsia="Calibri"/>
              </w:rPr>
              <w:t>0.1</w:t>
            </w:r>
          </w:p>
        </w:tc>
        <w:tc>
          <w:tcPr>
            <w:tcW w:w="521" w:type="pct"/>
            <w:tcMar>
              <w:top w:w="0" w:type="dxa"/>
              <w:left w:w="108" w:type="dxa"/>
              <w:bottom w:w="0" w:type="dxa"/>
              <w:right w:w="108" w:type="dxa"/>
            </w:tcMar>
          </w:tcPr>
          <w:p w14:paraId="76624CAE" w14:textId="77777777" w:rsidR="00665A86" w:rsidRPr="007D3412" w:rsidRDefault="00665A86" w:rsidP="009F75E0">
            <w:pPr>
              <w:pStyle w:val="TableTextRight"/>
              <w:rPr>
                <w:rFonts w:eastAsia="Calibri"/>
                <w:b/>
              </w:rPr>
            </w:pPr>
            <w:r w:rsidRPr="007D3412">
              <w:rPr>
                <w:rFonts w:eastAsia="Calibri"/>
              </w:rPr>
              <w:t>0.4</w:t>
            </w:r>
          </w:p>
        </w:tc>
        <w:tc>
          <w:tcPr>
            <w:tcW w:w="521" w:type="pct"/>
            <w:tcMar>
              <w:top w:w="0" w:type="dxa"/>
              <w:left w:w="108" w:type="dxa"/>
              <w:bottom w:w="0" w:type="dxa"/>
              <w:right w:w="108" w:type="dxa"/>
            </w:tcMar>
          </w:tcPr>
          <w:p w14:paraId="34249A49" w14:textId="77777777" w:rsidR="00665A86" w:rsidRPr="007D3412" w:rsidRDefault="00665A86" w:rsidP="009F75E0">
            <w:pPr>
              <w:pStyle w:val="TableTextRight"/>
              <w:rPr>
                <w:rFonts w:eastAsia="Calibri"/>
                <w:b/>
              </w:rPr>
            </w:pPr>
            <w:r w:rsidRPr="007D3412">
              <w:rPr>
                <w:rFonts w:eastAsia="Calibri"/>
              </w:rPr>
              <w:t>0.2</w:t>
            </w:r>
          </w:p>
        </w:tc>
        <w:tc>
          <w:tcPr>
            <w:tcW w:w="521" w:type="pct"/>
            <w:tcMar>
              <w:top w:w="0" w:type="dxa"/>
              <w:left w:w="108" w:type="dxa"/>
              <w:bottom w:w="0" w:type="dxa"/>
              <w:right w:w="108" w:type="dxa"/>
            </w:tcMar>
          </w:tcPr>
          <w:p w14:paraId="7B3FABB9" w14:textId="77777777" w:rsidR="00665A86" w:rsidRPr="007D3412" w:rsidRDefault="00665A86" w:rsidP="009F75E0">
            <w:pPr>
              <w:pStyle w:val="TableTextRight"/>
              <w:rPr>
                <w:rFonts w:eastAsia="Calibri"/>
                <w:b/>
              </w:rPr>
            </w:pPr>
            <w:r w:rsidRPr="007D3412">
              <w:rPr>
                <w:rFonts w:eastAsia="Calibri"/>
              </w:rPr>
              <w:t>0.6</w:t>
            </w:r>
          </w:p>
        </w:tc>
        <w:tc>
          <w:tcPr>
            <w:tcW w:w="521" w:type="pct"/>
            <w:tcMar>
              <w:top w:w="0" w:type="dxa"/>
              <w:left w:w="108" w:type="dxa"/>
              <w:bottom w:w="0" w:type="dxa"/>
              <w:right w:w="108" w:type="dxa"/>
            </w:tcMar>
          </w:tcPr>
          <w:p w14:paraId="54ABC3CE" w14:textId="77777777" w:rsidR="00665A86" w:rsidRPr="007D3412" w:rsidRDefault="00665A86" w:rsidP="009F75E0">
            <w:pPr>
              <w:pStyle w:val="TableTextRight"/>
              <w:rPr>
                <w:rFonts w:eastAsia="Calibri"/>
                <w:b/>
              </w:rPr>
            </w:pPr>
            <w:r w:rsidRPr="007D3412">
              <w:rPr>
                <w:rFonts w:eastAsia="Calibri"/>
              </w:rPr>
              <w:t>0.1</w:t>
            </w:r>
          </w:p>
        </w:tc>
      </w:tr>
      <w:tr w:rsidR="00665A86" w:rsidRPr="00541798" w14:paraId="38BE20AB" w14:textId="77777777" w:rsidTr="00646BF8">
        <w:trPr>
          <w:trHeight w:val="435"/>
        </w:trPr>
        <w:tc>
          <w:tcPr>
            <w:tcW w:w="829" w:type="pct"/>
            <w:shd w:val="clear" w:color="auto" w:fill="DEEAF6"/>
            <w:tcMar>
              <w:top w:w="0" w:type="dxa"/>
              <w:left w:w="108" w:type="dxa"/>
              <w:bottom w:w="0" w:type="dxa"/>
              <w:right w:w="108" w:type="dxa"/>
            </w:tcMar>
          </w:tcPr>
          <w:p w14:paraId="3D3A3C62" w14:textId="77777777" w:rsidR="00665A86" w:rsidRPr="00541798" w:rsidRDefault="00665A86" w:rsidP="007D3412">
            <w:pPr>
              <w:pStyle w:val="TableTextLeft"/>
              <w:rPr>
                <w:rFonts w:eastAsia="Calibri"/>
                <w:lang w:eastAsia="en-US"/>
              </w:rPr>
            </w:pPr>
            <w:r w:rsidRPr="00541798">
              <w:rPr>
                <w:rFonts w:eastAsia="Calibri"/>
                <w:lang w:eastAsia="en-US"/>
              </w:rPr>
              <w:t>Assessment of applications for relief</w:t>
            </w:r>
          </w:p>
        </w:tc>
        <w:tc>
          <w:tcPr>
            <w:tcW w:w="521" w:type="pct"/>
            <w:tcMar>
              <w:top w:w="0" w:type="dxa"/>
              <w:left w:w="108" w:type="dxa"/>
              <w:bottom w:w="0" w:type="dxa"/>
              <w:right w:w="108" w:type="dxa"/>
            </w:tcMar>
          </w:tcPr>
          <w:p w14:paraId="5F8AE0F2" w14:textId="6576AAC6" w:rsidR="00665A86" w:rsidRPr="007D3412" w:rsidRDefault="00665A86" w:rsidP="009F75E0">
            <w:pPr>
              <w:pStyle w:val="TableTextRight"/>
              <w:rPr>
                <w:rFonts w:eastAsia="Calibri"/>
                <w:b/>
              </w:rPr>
            </w:pPr>
            <w:r w:rsidRPr="007D3412">
              <w:rPr>
                <w:rFonts w:eastAsia="Calibri"/>
              </w:rPr>
              <w:t>6.4</w:t>
            </w:r>
          </w:p>
        </w:tc>
        <w:tc>
          <w:tcPr>
            <w:tcW w:w="521" w:type="pct"/>
            <w:tcMar>
              <w:top w:w="0" w:type="dxa"/>
              <w:left w:w="108" w:type="dxa"/>
              <w:bottom w:w="0" w:type="dxa"/>
              <w:right w:w="108" w:type="dxa"/>
            </w:tcMar>
          </w:tcPr>
          <w:p w14:paraId="6DE48AF0" w14:textId="77777777" w:rsidR="00665A86" w:rsidRPr="007D3412" w:rsidRDefault="00665A86" w:rsidP="009F75E0">
            <w:pPr>
              <w:pStyle w:val="TableTextRight"/>
              <w:rPr>
                <w:rFonts w:eastAsia="Calibri"/>
                <w:b/>
              </w:rPr>
            </w:pPr>
            <w:r w:rsidRPr="007D3412">
              <w:rPr>
                <w:rFonts w:eastAsia="Calibri"/>
              </w:rPr>
              <w:t>5.5</w:t>
            </w:r>
          </w:p>
        </w:tc>
        <w:tc>
          <w:tcPr>
            <w:tcW w:w="521" w:type="pct"/>
            <w:tcMar>
              <w:top w:w="0" w:type="dxa"/>
              <w:left w:w="108" w:type="dxa"/>
              <w:bottom w:w="0" w:type="dxa"/>
              <w:right w:w="108" w:type="dxa"/>
            </w:tcMar>
          </w:tcPr>
          <w:p w14:paraId="73B31005" w14:textId="77777777" w:rsidR="00665A86" w:rsidRPr="007D3412" w:rsidRDefault="00665A86" w:rsidP="009F75E0">
            <w:pPr>
              <w:pStyle w:val="TableTextRight"/>
              <w:rPr>
                <w:rFonts w:eastAsia="Calibri"/>
                <w:b/>
              </w:rPr>
            </w:pPr>
            <w:r w:rsidRPr="007D3412">
              <w:rPr>
                <w:rFonts w:eastAsia="Calibri"/>
              </w:rPr>
              <w:t>9.0</w:t>
            </w:r>
          </w:p>
        </w:tc>
        <w:tc>
          <w:tcPr>
            <w:tcW w:w="521" w:type="pct"/>
            <w:tcMar>
              <w:top w:w="0" w:type="dxa"/>
              <w:left w:w="108" w:type="dxa"/>
              <w:bottom w:w="0" w:type="dxa"/>
              <w:right w:w="108" w:type="dxa"/>
            </w:tcMar>
          </w:tcPr>
          <w:p w14:paraId="377A9351" w14:textId="77777777" w:rsidR="00665A86" w:rsidRPr="007D3412" w:rsidRDefault="00665A86" w:rsidP="009F75E0">
            <w:pPr>
              <w:pStyle w:val="TableTextRight"/>
              <w:rPr>
                <w:rFonts w:eastAsia="Calibri"/>
                <w:b/>
              </w:rPr>
            </w:pPr>
            <w:r w:rsidRPr="007D3412">
              <w:rPr>
                <w:rFonts w:eastAsia="Calibri"/>
              </w:rPr>
              <w:t>3.1</w:t>
            </w:r>
          </w:p>
        </w:tc>
        <w:tc>
          <w:tcPr>
            <w:tcW w:w="521" w:type="pct"/>
            <w:tcMar>
              <w:top w:w="0" w:type="dxa"/>
              <w:left w:w="108" w:type="dxa"/>
              <w:bottom w:w="0" w:type="dxa"/>
              <w:right w:w="108" w:type="dxa"/>
            </w:tcMar>
          </w:tcPr>
          <w:p w14:paraId="74725BDF" w14:textId="77777777" w:rsidR="00665A86" w:rsidRPr="007D3412" w:rsidRDefault="00665A86" w:rsidP="009F75E0">
            <w:pPr>
              <w:pStyle w:val="TableTextRight"/>
              <w:rPr>
                <w:rFonts w:eastAsia="Calibri"/>
                <w:b/>
              </w:rPr>
            </w:pPr>
            <w:r w:rsidRPr="007D3412">
              <w:rPr>
                <w:rFonts w:eastAsia="Calibri"/>
              </w:rPr>
              <w:t>11.3</w:t>
            </w:r>
          </w:p>
        </w:tc>
        <w:tc>
          <w:tcPr>
            <w:tcW w:w="521" w:type="pct"/>
            <w:tcMar>
              <w:top w:w="0" w:type="dxa"/>
              <w:left w:w="108" w:type="dxa"/>
              <w:bottom w:w="0" w:type="dxa"/>
              <w:right w:w="108" w:type="dxa"/>
            </w:tcMar>
          </w:tcPr>
          <w:p w14:paraId="623B64DC" w14:textId="77777777" w:rsidR="00665A86" w:rsidRPr="007D3412" w:rsidRDefault="00665A86" w:rsidP="009F75E0">
            <w:pPr>
              <w:pStyle w:val="TableTextRight"/>
              <w:rPr>
                <w:rFonts w:eastAsia="Calibri"/>
                <w:b/>
              </w:rPr>
            </w:pPr>
            <w:r w:rsidRPr="007D3412">
              <w:rPr>
                <w:rFonts w:eastAsia="Calibri"/>
              </w:rPr>
              <w:t>3.7</w:t>
            </w:r>
          </w:p>
        </w:tc>
        <w:tc>
          <w:tcPr>
            <w:tcW w:w="521" w:type="pct"/>
            <w:tcMar>
              <w:top w:w="0" w:type="dxa"/>
              <w:left w:w="108" w:type="dxa"/>
              <w:bottom w:w="0" w:type="dxa"/>
              <w:right w:w="108" w:type="dxa"/>
            </w:tcMar>
          </w:tcPr>
          <w:p w14:paraId="1B9926AA" w14:textId="77777777" w:rsidR="00665A86" w:rsidRPr="007D3412" w:rsidRDefault="00665A86" w:rsidP="009F75E0">
            <w:pPr>
              <w:pStyle w:val="TableTextRight"/>
              <w:rPr>
                <w:rFonts w:eastAsia="Calibri"/>
                <w:b/>
              </w:rPr>
            </w:pPr>
            <w:r w:rsidRPr="007D3412">
              <w:rPr>
                <w:rFonts w:eastAsia="Calibri"/>
              </w:rPr>
              <w:t>11.2</w:t>
            </w:r>
          </w:p>
        </w:tc>
        <w:tc>
          <w:tcPr>
            <w:tcW w:w="521" w:type="pct"/>
            <w:tcMar>
              <w:top w:w="0" w:type="dxa"/>
              <w:left w:w="108" w:type="dxa"/>
              <w:bottom w:w="0" w:type="dxa"/>
              <w:right w:w="108" w:type="dxa"/>
            </w:tcMar>
          </w:tcPr>
          <w:p w14:paraId="5D6CF9F5" w14:textId="77777777" w:rsidR="00665A86" w:rsidRPr="007D3412" w:rsidRDefault="00665A86" w:rsidP="009F75E0">
            <w:pPr>
              <w:pStyle w:val="TableTextRight"/>
              <w:rPr>
                <w:rFonts w:eastAsia="Calibri"/>
                <w:b/>
              </w:rPr>
            </w:pPr>
            <w:r w:rsidRPr="007D3412">
              <w:rPr>
                <w:rFonts w:eastAsia="Calibri"/>
              </w:rPr>
              <w:t>4.0</w:t>
            </w:r>
          </w:p>
        </w:tc>
      </w:tr>
      <w:tr w:rsidR="00665A86" w:rsidRPr="00541798" w14:paraId="49518105" w14:textId="77777777" w:rsidTr="00646BF8">
        <w:trPr>
          <w:trHeight w:val="435"/>
        </w:trPr>
        <w:tc>
          <w:tcPr>
            <w:tcW w:w="829" w:type="pct"/>
            <w:shd w:val="clear" w:color="auto" w:fill="DEEAF6"/>
            <w:tcMar>
              <w:top w:w="0" w:type="dxa"/>
              <w:left w:w="108" w:type="dxa"/>
              <w:bottom w:w="0" w:type="dxa"/>
              <w:right w:w="108" w:type="dxa"/>
            </w:tcMar>
          </w:tcPr>
          <w:p w14:paraId="70F812D7" w14:textId="77777777" w:rsidR="00665A86" w:rsidRPr="00541798" w:rsidRDefault="00665A86" w:rsidP="007D3412">
            <w:pPr>
              <w:pStyle w:val="TableTextLeft"/>
              <w:rPr>
                <w:rFonts w:eastAsia="Calibri"/>
                <w:b/>
                <w:bCs/>
                <w:lang w:eastAsia="en-US"/>
              </w:rPr>
            </w:pPr>
            <w:r w:rsidRPr="00541798">
              <w:rPr>
                <w:rFonts w:eastAsia="Calibri"/>
                <w:b/>
                <w:bCs/>
                <w:lang w:eastAsia="en-US"/>
              </w:rPr>
              <w:t>Total</w:t>
            </w:r>
          </w:p>
        </w:tc>
        <w:tc>
          <w:tcPr>
            <w:tcW w:w="521" w:type="pct"/>
            <w:shd w:val="clear" w:color="auto" w:fill="auto"/>
            <w:tcMar>
              <w:top w:w="0" w:type="dxa"/>
              <w:left w:w="108" w:type="dxa"/>
              <w:bottom w:w="0" w:type="dxa"/>
              <w:right w:w="108" w:type="dxa"/>
            </w:tcMar>
          </w:tcPr>
          <w:p w14:paraId="77F7B052"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23.5</w:t>
            </w:r>
          </w:p>
        </w:tc>
        <w:tc>
          <w:tcPr>
            <w:tcW w:w="521" w:type="pct"/>
            <w:shd w:val="clear" w:color="auto" w:fill="auto"/>
            <w:tcMar>
              <w:top w:w="0" w:type="dxa"/>
              <w:left w:w="108" w:type="dxa"/>
              <w:bottom w:w="0" w:type="dxa"/>
              <w:right w:w="108" w:type="dxa"/>
            </w:tcMar>
          </w:tcPr>
          <w:p w14:paraId="7434417B"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13.6</w:t>
            </w:r>
          </w:p>
        </w:tc>
        <w:tc>
          <w:tcPr>
            <w:tcW w:w="521" w:type="pct"/>
            <w:shd w:val="clear" w:color="auto" w:fill="auto"/>
            <w:tcMar>
              <w:top w:w="0" w:type="dxa"/>
              <w:left w:w="108" w:type="dxa"/>
              <w:bottom w:w="0" w:type="dxa"/>
              <w:right w:w="108" w:type="dxa"/>
            </w:tcMar>
          </w:tcPr>
          <w:p w14:paraId="13C10A17"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29.4</w:t>
            </w:r>
          </w:p>
        </w:tc>
        <w:tc>
          <w:tcPr>
            <w:tcW w:w="521" w:type="pct"/>
            <w:shd w:val="clear" w:color="auto" w:fill="auto"/>
            <w:tcMar>
              <w:top w:w="0" w:type="dxa"/>
              <w:left w:w="108" w:type="dxa"/>
              <w:bottom w:w="0" w:type="dxa"/>
              <w:right w:w="108" w:type="dxa"/>
            </w:tcMar>
          </w:tcPr>
          <w:p w14:paraId="6FACD850"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11.2</w:t>
            </w:r>
          </w:p>
        </w:tc>
        <w:tc>
          <w:tcPr>
            <w:tcW w:w="521" w:type="pct"/>
            <w:shd w:val="clear" w:color="auto" w:fill="auto"/>
            <w:tcMar>
              <w:top w:w="0" w:type="dxa"/>
              <w:left w:w="108" w:type="dxa"/>
              <w:bottom w:w="0" w:type="dxa"/>
              <w:right w:w="108" w:type="dxa"/>
            </w:tcMar>
          </w:tcPr>
          <w:p w14:paraId="54F36B99"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25.1</w:t>
            </w:r>
          </w:p>
        </w:tc>
        <w:tc>
          <w:tcPr>
            <w:tcW w:w="521" w:type="pct"/>
            <w:shd w:val="clear" w:color="auto" w:fill="auto"/>
            <w:tcMar>
              <w:top w:w="0" w:type="dxa"/>
              <w:left w:w="108" w:type="dxa"/>
              <w:bottom w:w="0" w:type="dxa"/>
              <w:right w:w="108" w:type="dxa"/>
            </w:tcMar>
          </w:tcPr>
          <w:p w14:paraId="1973B436"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14.5</w:t>
            </w:r>
          </w:p>
        </w:tc>
        <w:tc>
          <w:tcPr>
            <w:tcW w:w="521" w:type="pct"/>
            <w:shd w:val="clear" w:color="auto" w:fill="auto"/>
            <w:tcMar>
              <w:top w:w="0" w:type="dxa"/>
              <w:left w:w="108" w:type="dxa"/>
              <w:bottom w:w="0" w:type="dxa"/>
              <w:right w:w="108" w:type="dxa"/>
            </w:tcMar>
          </w:tcPr>
          <w:p w14:paraId="06D5371D"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25.4</w:t>
            </w:r>
          </w:p>
        </w:tc>
        <w:tc>
          <w:tcPr>
            <w:tcW w:w="521" w:type="pct"/>
            <w:shd w:val="clear" w:color="auto" w:fill="auto"/>
            <w:tcMar>
              <w:top w:w="0" w:type="dxa"/>
              <w:left w:w="108" w:type="dxa"/>
              <w:bottom w:w="0" w:type="dxa"/>
              <w:right w:w="108" w:type="dxa"/>
            </w:tcMar>
          </w:tcPr>
          <w:p w14:paraId="3CB00F8E" w14:textId="77777777" w:rsidR="00665A86" w:rsidRPr="00541798" w:rsidRDefault="00665A86" w:rsidP="009653BB">
            <w:pPr>
              <w:spacing w:before="0" w:after="0"/>
              <w:jc w:val="right"/>
              <w:rPr>
                <w:rFonts w:eastAsia="Calibri" w:cs="Calibri Light"/>
                <w:b/>
                <w:bCs/>
                <w:sz w:val="18"/>
                <w:szCs w:val="18"/>
                <w:lang w:eastAsia="en-US"/>
              </w:rPr>
            </w:pPr>
            <w:r w:rsidRPr="00541798">
              <w:rPr>
                <w:rFonts w:eastAsia="Calibri" w:cs="Calibri Light"/>
                <w:b/>
                <w:bCs/>
                <w:sz w:val="18"/>
                <w:szCs w:val="18"/>
                <w:lang w:eastAsia="en-US"/>
              </w:rPr>
              <w:t>12.9</w:t>
            </w:r>
          </w:p>
        </w:tc>
      </w:tr>
    </w:tbl>
    <w:p w14:paraId="6E8C6DC6" w14:textId="77777777" w:rsidR="00665A86" w:rsidRPr="00541798" w:rsidRDefault="00665A86" w:rsidP="00665A86">
      <w:pPr>
        <w:pStyle w:val="Heading3"/>
      </w:pPr>
      <w:bookmarkStart w:id="135" w:name="_Toc125305205"/>
      <w:bookmarkStart w:id="136" w:name="_Toc129270489"/>
      <w:r w:rsidRPr="00541798">
        <w:lastRenderedPageBreak/>
        <w:t>Analysis and findings</w:t>
      </w:r>
      <w:bookmarkEnd w:id="135"/>
      <w:bookmarkEnd w:id="136"/>
    </w:p>
    <w:p w14:paraId="1C5C2537" w14:textId="79BFCE0C"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In accordance with the requirement that regulatory fees are reviewed every three years, in 2020, ASIC conducted an internal review of fee amounts for 196 fees. In determining the fee amounts, ASIC reviewed the regulatory effort required to assess and process each form by examining time recordings of staff undertaking fees</w:t>
      </w:r>
      <w:r w:rsidR="00BD190B">
        <w:rPr>
          <w:rFonts w:eastAsia="Calibri" w:cs="Calibri Light"/>
          <w:szCs w:val="22"/>
          <w:lang w:eastAsia="en-US"/>
        </w:rPr>
        <w:noBreakHyphen/>
      </w:r>
      <w:r w:rsidRPr="002D4847">
        <w:rPr>
          <w:rFonts w:eastAsia="Calibri" w:cs="Calibri Light"/>
          <w:szCs w:val="22"/>
          <w:lang w:eastAsia="en-US"/>
        </w:rPr>
        <w:t>for</w:t>
      </w:r>
      <w:r w:rsidR="00BD190B">
        <w:rPr>
          <w:rFonts w:eastAsia="Calibri" w:cs="Calibri Light"/>
          <w:szCs w:val="22"/>
          <w:lang w:eastAsia="en-US"/>
        </w:rPr>
        <w:noBreakHyphen/>
      </w:r>
      <w:r w:rsidRPr="002D4847">
        <w:rPr>
          <w:rFonts w:eastAsia="Calibri" w:cs="Calibri Light"/>
          <w:szCs w:val="22"/>
          <w:lang w:eastAsia="en-US"/>
        </w:rPr>
        <w:t>service activities over the past three years and applied up</w:t>
      </w:r>
      <w:r w:rsidR="00BD190B">
        <w:rPr>
          <w:rFonts w:eastAsia="Calibri" w:cs="Calibri Light"/>
          <w:szCs w:val="22"/>
          <w:lang w:eastAsia="en-US"/>
        </w:rPr>
        <w:noBreakHyphen/>
      </w:r>
      <w:r w:rsidRPr="002D4847">
        <w:rPr>
          <w:rFonts w:eastAsia="Calibri" w:cs="Calibri Light"/>
          <w:szCs w:val="22"/>
          <w:lang w:eastAsia="en-US"/>
        </w:rPr>
        <w:t>to</w:t>
      </w:r>
      <w:r w:rsidR="00BD190B">
        <w:rPr>
          <w:rFonts w:eastAsia="Calibri" w:cs="Calibri Light"/>
          <w:szCs w:val="22"/>
          <w:lang w:eastAsia="en-US"/>
        </w:rPr>
        <w:noBreakHyphen/>
      </w:r>
      <w:r w:rsidRPr="002D4847">
        <w:rPr>
          <w:rFonts w:eastAsia="Calibri" w:cs="Calibri Light"/>
          <w:szCs w:val="22"/>
          <w:lang w:eastAsia="en-US"/>
        </w:rPr>
        <w:t xml:space="preserve">date hourly wage rates. </w:t>
      </w:r>
    </w:p>
    <w:p w14:paraId="160C7232" w14:textId="035A2404"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The outcomes of the review indicated that fees for 395 forms needed to increase, and fees for 24 forms needed to decrease. </w:t>
      </w:r>
      <w:r w:rsidR="000D1B89" w:rsidRPr="002D4847">
        <w:rPr>
          <w:rFonts w:eastAsia="Calibri" w:cs="Calibri Light"/>
          <w:szCs w:val="22"/>
          <w:lang w:eastAsia="en-US"/>
        </w:rPr>
        <w:t>Most</w:t>
      </w:r>
      <w:r w:rsidRPr="002D4847">
        <w:rPr>
          <w:rFonts w:eastAsia="Calibri" w:cs="Calibri Light"/>
          <w:szCs w:val="22"/>
          <w:lang w:eastAsia="en-US"/>
        </w:rPr>
        <w:t xml:space="preserve"> fees would need to increase by 6</w:t>
      </w:r>
      <w:r w:rsidR="00BD190B">
        <w:rPr>
          <w:rFonts w:eastAsia="Calibri" w:cs="Calibri Light"/>
          <w:szCs w:val="22"/>
          <w:lang w:eastAsia="en-US"/>
        </w:rPr>
        <w:noBreakHyphen/>
      </w:r>
      <w:r w:rsidRPr="002D4847">
        <w:rPr>
          <w:rFonts w:eastAsia="Calibri" w:cs="Calibri Light"/>
          <w:szCs w:val="22"/>
          <w:lang w:eastAsia="en-US"/>
        </w:rPr>
        <w:t xml:space="preserve">12 per cent as a result of changes in the hourly rate applied (last reviewed in 2017). The methodology by which fees are calculated was not reviewed. </w:t>
      </w:r>
    </w:p>
    <w:p w14:paraId="7E4C18C6" w14:textId="72D839EE"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Although the scheduled 2020 review identified a need for the majority of fee amounts to be adjusted, the Government at the time was unable to consult with industry on the changes due to the COVID</w:t>
      </w:r>
      <w:r w:rsidR="00BD190B">
        <w:rPr>
          <w:rFonts w:eastAsia="Calibri" w:cs="Calibri Light"/>
          <w:szCs w:val="22"/>
          <w:lang w:eastAsia="en-US"/>
        </w:rPr>
        <w:noBreakHyphen/>
      </w:r>
      <w:r w:rsidRPr="002D4847">
        <w:rPr>
          <w:rFonts w:eastAsia="Calibri" w:cs="Calibri Light"/>
          <w:szCs w:val="22"/>
          <w:lang w:eastAsia="en-US"/>
        </w:rPr>
        <w:t xml:space="preserve">19 pandemic. </w:t>
      </w:r>
    </w:p>
    <w:p w14:paraId="485F5A8A" w14:textId="77777777"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The Review finds that the current fee framework, including the methodology used to calculate fee amounts, remains appropriate and the principles underpinning the framework are suitable. </w:t>
      </w:r>
    </w:p>
    <w:p w14:paraId="0D214EA8" w14:textId="6C5185B1"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Consistent with this finding, the Review supports fee amounts to be adjusted to reflect full cost recovery to align with </w:t>
      </w:r>
      <w:r w:rsidR="004F64B8">
        <w:rPr>
          <w:rFonts w:eastAsia="Calibri" w:cs="Calibri Light"/>
          <w:szCs w:val="22"/>
          <w:lang w:eastAsia="en-US"/>
        </w:rPr>
        <w:t>g</w:t>
      </w:r>
      <w:r w:rsidRPr="002D4847">
        <w:rPr>
          <w:rFonts w:eastAsia="Calibri" w:cs="Calibri Light"/>
          <w:szCs w:val="22"/>
          <w:lang w:eastAsia="en-US"/>
        </w:rPr>
        <w:t xml:space="preserve">overnment policy, including the Charging Framework which states that </w:t>
      </w:r>
      <w:r w:rsidR="004F64B8">
        <w:rPr>
          <w:rFonts w:eastAsia="Calibri" w:cs="Calibri Light"/>
          <w:szCs w:val="22"/>
          <w:lang w:eastAsia="en-US"/>
        </w:rPr>
        <w:t>g</w:t>
      </w:r>
      <w:r w:rsidRPr="002D4847">
        <w:rPr>
          <w:rFonts w:eastAsia="Calibri" w:cs="Calibri Light"/>
          <w:szCs w:val="22"/>
          <w:lang w:eastAsia="en-US"/>
        </w:rPr>
        <w:t xml:space="preserve">overnment entities should set charges to recover the full efficient cost of providing specific activities. As the activities and services for which a fee is charged primarily benefits the requesting entity, it is not appropriate that taxpayers fund the shortfall. </w:t>
      </w:r>
    </w:p>
    <w:p w14:paraId="51D3336F" w14:textId="78001F87"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Additionally, it is not appropriate that in certain circumstances entities are being charged more than the cost of ASIC undertaking the activity. For example, in 2022, self</w:t>
      </w:r>
      <w:r w:rsidR="00BD190B">
        <w:rPr>
          <w:rFonts w:eastAsia="Calibri" w:cs="Calibri Light"/>
          <w:szCs w:val="22"/>
          <w:lang w:eastAsia="en-US"/>
        </w:rPr>
        <w:noBreakHyphen/>
      </w:r>
      <w:r w:rsidRPr="002D4847">
        <w:rPr>
          <w:rFonts w:eastAsia="Calibri" w:cs="Calibri Light"/>
          <w:szCs w:val="22"/>
          <w:lang w:eastAsia="en-US"/>
        </w:rPr>
        <w:t>managed super fund (SMSF) auditor fees set out in the Superannuation Auditor Registration Imposition Regulation 2012 were reviewed. The $899 registration cancellation fee for SMSF auditors was revised and decreased to $193 to reflect ASIC</w:t>
      </w:r>
      <w:r w:rsidR="00BD190B">
        <w:rPr>
          <w:rFonts w:eastAsia="Calibri" w:cs="Calibri Light"/>
          <w:szCs w:val="22"/>
          <w:lang w:eastAsia="en-US"/>
        </w:rPr>
        <w:t>’</w:t>
      </w:r>
      <w:r w:rsidRPr="002D4847">
        <w:rPr>
          <w:rFonts w:eastAsia="Calibri" w:cs="Calibri Light"/>
          <w:szCs w:val="22"/>
          <w:lang w:eastAsia="en-US"/>
        </w:rPr>
        <w:t>s costs.</w:t>
      </w:r>
    </w:p>
    <w:p w14:paraId="2E691034" w14:textId="77777777" w:rsidR="00665A86" w:rsidRPr="002D4847"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 xml:space="preserve">Generally, stakeholders are supportive of fee amounts being adjusted to reflect full cost recovery. However, there was some concern that some fee increases could be substantial. Some stakeholders suggested a gradual increase in fees over time until they were cost reflective. That is, fees are adjusted by a certain amount or proportion each year before it is at full cost recovery. </w:t>
      </w:r>
    </w:p>
    <w:p w14:paraId="0F9F5D6E" w14:textId="4DE02CAB" w:rsidR="00665A86" w:rsidRPr="002D4847" w:rsidRDefault="00665A86" w:rsidP="006B2EB3">
      <w:pPr>
        <w:numPr>
          <w:ilvl w:val="1"/>
          <w:numId w:val="19"/>
        </w:numPr>
        <w:spacing w:line="259" w:lineRule="auto"/>
        <w:ind w:left="720" w:hanging="720"/>
        <w:rPr>
          <w:rFonts w:eastAsia="Calibri" w:cs="Calibri Light"/>
          <w:szCs w:val="22"/>
          <w:lang w:eastAsia="en-US"/>
        </w:rPr>
      </w:pPr>
      <w:r w:rsidRPr="00541798">
        <w:rPr>
          <w:rFonts w:eastAsia="Calibri" w:cs="Calibri Light"/>
          <w:szCs w:val="22"/>
          <w:lang w:eastAsia="en-US"/>
        </w:rPr>
        <w:t>The Review does not recommend a gradual approach. Fees should reflect full cost recovery</w:t>
      </w:r>
      <w:r w:rsidR="00901E80">
        <w:rPr>
          <w:rFonts w:eastAsia="Calibri" w:cs="Calibri Light"/>
          <w:szCs w:val="22"/>
          <w:lang w:eastAsia="en-US"/>
        </w:rPr>
        <w:t xml:space="preserve">. </w:t>
      </w:r>
      <w:r w:rsidRPr="002D4847">
        <w:rPr>
          <w:rFonts w:eastAsia="Calibri" w:cs="Calibri Light"/>
          <w:szCs w:val="22"/>
          <w:lang w:eastAsia="en-US"/>
        </w:rPr>
        <w:t xml:space="preserve">While the Review recognises stakeholder concerns, implementing a gradual approach to fee increases would be administratively burdensome and complex to administer. The Review considers that stakeholder concerns can be mitigated by </w:t>
      </w:r>
      <w:r w:rsidRPr="00541798">
        <w:rPr>
          <w:rFonts w:eastAsia="Calibri" w:cs="Calibri Light"/>
          <w:szCs w:val="22"/>
          <w:lang w:eastAsia="en-US"/>
        </w:rPr>
        <w:t xml:space="preserve">providing industry with as much notice as possible of revised fee amounts before they come into effect. Any adjustments to fee amounts in legislation would also involve consultation as per the legislative process. </w:t>
      </w:r>
    </w:p>
    <w:p w14:paraId="6FD003D3" w14:textId="77777777" w:rsidR="00665A86" w:rsidRPr="00541798" w:rsidRDefault="00665A86" w:rsidP="00AB345D">
      <w:pPr>
        <w:tabs>
          <w:tab w:val="left" w:pos="601"/>
        </w:tabs>
        <w:spacing w:line="259" w:lineRule="auto"/>
        <w:ind w:left="567" w:hanging="567"/>
        <w:rPr>
          <w:rFonts w:eastAsia="Calibri" w:cs="Calibri Light"/>
          <w:szCs w:val="22"/>
          <w:lang w:eastAsia="en-US"/>
        </w:rPr>
      </w:pPr>
    </w:p>
    <w:tbl>
      <w:tblPr>
        <w:tblStyle w:val="Style1"/>
        <w:tblpPr w:leftFromText="180" w:rightFromText="180" w:vertAnchor="text" w:horzAnchor="margin" w:tblpXSpec="center" w:tblpY="-50"/>
        <w:tblW w:w="5000" w:type="pct"/>
        <w:tblLook w:val="04A0" w:firstRow="1" w:lastRow="0" w:firstColumn="1" w:lastColumn="0" w:noHBand="0" w:noVBand="1"/>
      </w:tblPr>
      <w:tblGrid>
        <w:gridCol w:w="9072"/>
      </w:tblGrid>
      <w:tr w:rsidR="00665A86" w:rsidRPr="00541798" w14:paraId="78F9F459" w14:textId="77777777" w:rsidTr="005D3ACA">
        <w:trPr>
          <w:trHeight w:val="1319"/>
        </w:trPr>
        <w:tc>
          <w:tcPr>
            <w:tcW w:w="5000" w:type="pct"/>
          </w:tcPr>
          <w:p w14:paraId="1A2F9EB4" w14:textId="77777777" w:rsidR="00665A86" w:rsidRPr="0032739E" w:rsidRDefault="00665A86" w:rsidP="005D3ACA">
            <w:pPr>
              <w:pStyle w:val="BoxHeading"/>
            </w:pPr>
            <w:r w:rsidRPr="00541798">
              <w:lastRenderedPageBreak/>
              <w:t>Key finding</w:t>
            </w:r>
          </w:p>
          <w:p w14:paraId="2FE82C58" w14:textId="53E63438" w:rsidR="00665A86" w:rsidRPr="0032739E" w:rsidRDefault="00665A86" w:rsidP="009F75E0">
            <w:pPr>
              <w:pStyle w:val="BoxText"/>
              <w:rPr>
                <w:iCs/>
                <w:szCs w:val="22"/>
              </w:rPr>
            </w:pPr>
            <w:r w:rsidRPr="00F4630C">
              <w:t xml:space="preserve">Fee amounts no longer align with </w:t>
            </w:r>
            <w:r w:rsidR="004F64B8">
              <w:t>g</w:t>
            </w:r>
            <w:r w:rsidRPr="00F4630C">
              <w:t>overnment policy that fees are set to recover the efficient cost to ASIC. Total fee revenue now only partially recovers ASIC</w:t>
            </w:r>
            <w:r w:rsidR="00BD190B">
              <w:t>’</w:t>
            </w:r>
            <w:r w:rsidRPr="00F4630C">
              <w:t xml:space="preserve">s costs of providing these services, with the shortfall being taxpayer funded. It is not appropriate that taxpayers are funding costs for activities that primarily benefit entities that are requesting those services from ASIC. </w:t>
            </w:r>
          </w:p>
        </w:tc>
      </w:tr>
    </w:tbl>
    <w:p w14:paraId="281FE601" w14:textId="77777777" w:rsidR="00665A86" w:rsidRPr="00541798" w:rsidRDefault="00665A86" w:rsidP="00665A86">
      <w:pPr>
        <w:tabs>
          <w:tab w:val="left" w:pos="601"/>
        </w:tabs>
        <w:rPr>
          <w:rFonts w:cs="Calibri Light"/>
        </w:rPr>
      </w:pPr>
    </w:p>
    <w:tbl>
      <w:tblPr>
        <w:tblStyle w:val="TableGrid11"/>
        <w:tblpPr w:leftFromText="180" w:rightFromText="180" w:vertAnchor="text" w:horzAnchor="margin" w:tblpXSpec="center" w:tblpY="-50"/>
        <w:tblW w:w="5000" w:type="pct"/>
        <w:shd w:val="clear" w:color="auto" w:fill="FBE4D5"/>
        <w:tblCellMar>
          <w:top w:w="227" w:type="dxa"/>
          <w:left w:w="227" w:type="dxa"/>
          <w:bottom w:w="227" w:type="dxa"/>
          <w:right w:w="227" w:type="dxa"/>
        </w:tblCellMar>
        <w:tblLook w:val="04A0" w:firstRow="1" w:lastRow="0" w:firstColumn="1" w:lastColumn="0" w:noHBand="0" w:noVBand="1"/>
      </w:tblPr>
      <w:tblGrid>
        <w:gridCol w:w="9072"/>
      </w:tblGrid>
      <w:tr w:rsidR="00665A86" w:rsidRPr="00541798" w14:paraId="6C0BBA9B" w14:textId="77777777" w:rsidTr="005D3ACA">
        <w:trPr>
          <w:trHeight w:val="807"/>
        </w:trPr>
        <w:tc>
          <w:tcPr>
            <w:tcW w:w="5000" w:type="pct"/>
            <w:shd w:val="clear" w:color="auto" w:fill="F2F9FC"/>
          </w:tcPr>
          <w:p w14:paraId="6AC78EF3" w14:textId="3655E667" w:rsidR="00665A86" w:rsidRPr="00A03302" w:rsidRDefault="00665A86" w:rsidP="005D3ACA">
            <w:pPr>
              <w:pStyle w:val="BoxHeading"/>
            </w:pPr>
            <w:r w:rsidRPr="00A03302">
              <w:t>Recommendation 5</w:t>
            </w:r>
          </w:p>
          <w:p w14:paraId="04C3F146" w14:textId="38A0DC91" w:rsidR="00665A86" w:rsidRPr="0032739E" w:rsidRDefault="00665A86" w:rsidP="009F75E0">
            <w:pPr>
              <w:pStyle w:val="BoxText"/>
              <w:rPr>
                <w:color w:val="000000"/>
              </w:rPr>
            </w:pPr>
            <w:r w:rsidRPr="00976F5C">
              <w:t xml:space="preserve">The Government </w:t>
            </w:r>
            <w:r w:rsidR="00D72884">
              <w:t>should</w:t>
            </w:r>
            <w:r w:rsidRPr="00976F5C">
              <w:t xml:space="preserve"> reaffirm its commitment that regulatory fees should be charged at a level which enables full cost recovery. In line with this, the Government should adjust regulatory fee amounts to a level which facilitates full cost recovery of ASIC</w:t>
            </w:r>
            <w:r w:rsidR="00BD190B">
              <w:t>’</w:t>
            </w:r>
            <w:r w:rsidRPr="00976F5C">
              <w:t>s cost in providing these services, unless the Government has made a decision that no fee or a partial fee should be charged.</w:t>
            </w:r>
            <w:r w:rsidRPr="00F4630C">
              <w:rPr>
                <w:color w:val="000000"/>
                <w:szCs w:val="24"/>
              </w:rPr>
              <w:t xml:space="preserve"> </w:t>
            </w:r>
          </w:p>
        </w:tc>
      </w:tr>
    </w:tbl>
    <w:p w14:paraId="1902C4A5" w14:textId="77777777" w:rsidR="00665A86" w:rsidRPr="00541798" w:rsidRDefault="00665A86" w:rsidP="00665A86">
      <w:pPr>
        <w:pStyle w:val="Heading2"/>
      </w:pPr>
      <w:bookmarkStart w:id="137" w:name="_Toc125305206"/>
      <w:bookmarkStart w:id="138" w:name="_Toc129270490"/>
      <w:bookmarkStart w:id="139" w:name="_Toc115094952"/>
      <w:r w:rsidRPr="00541798">
        <w:t>Flexibility of the fees framework</w:t>
      </w:r>
      <w:bookmarkEnd w:id="137"/>
      <w:bookmarkEnd w:id="138"/>
    </w:p>
    <w:p w14:paraId="1A3EBCFE" w14:textId="17B8CAF4"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 xml:space="preserve">While ASIC administers and charges fees, the types of activities ASIC can charge fees for are set in primary law, with specific chargeable matters and fee amounts set in Regulations by the Government. This provides a high degree of </w:t>
      </w:r>
      <w:r w:rsidR="004F64B8">
        <w:rPr>
          <w:rFonts w:eastAsia="Calibri" w:cs="Calibri Light"/>
          <w:szCs w:val="22"/>
          <w:lang w:eastAsia="en-US"/>
        </w:rPr>
        <w:t>g</w:t>
      </w:r>
      <w:r w:rsidRPr="002D4847">
        <w:rPr>
          <w:rFonts w:eastAsia="Calibri" w:cs="Calibri Light"/>
          <w:szCs w:val="22"/>
          <w:lang w:eastAsia="en-US"/>
        </w:rPr>
        <w:t>overnment oversight.</w:t>
      </w:r>
    </w:p>
    <w:p w14:paraId="73E527F3" w14:textId="77777777" w:rsidR="00665A86" w:rsidRPr="002D4847" w:rsidRDefault="00665A86" w:rsidP="006B2EB3">
      <w:pPr>
        <w:numPr>
          <w:ilvl w:val="1"/>
          <w:numId w:val="19"/>
        </w:numPr>
        <w:spacing w:line="259" w:lineRule="auto"/>
        <w:ind w:left="720" w:hanging="720"/>
        <w:rPr>
          <w:rFonts w:eastAsia="Calibri" w:cs="Calibri Light"/>
          <w:szCs w:val="22"/>
          <w:lang w:eastAsia="en-US"/>
        </w:rPr>
      </w:pPr>
      <w:r w:rsidRPr="002D4847">
        <w:rPr>
          <w:rFonts w:eastAsia="Calibri" w:cs="Calibri Light"/>
          <w:szCs w:val="22"/>
          <w:lang w:eastAsia="en-US"/>
        </w:rPr>
        <w:t>As fee amounts are set in Regulations, any changes to fee amounts needs to follow the usual legislative process. This would generally include:</w:t>
      </w:r>
    </w:p>
    <w:p w14:paraId="393A80A6" w14:textId="55569E67" w:rsidR="00665A86" w:rsidRPr="00541798" w:rsidRDefault="00665A86" w:rsidP="005D3ACA">
      <w:pPr>
        <w:pStyle w:val="Bullet"/>
        <w:ind w:left="1004"/>
      </w:pPr>
      <w:r w:rsidRPr="00541798">
        <w:t>3</w:t>
      </w:r>
      <w:r w:rsidR="00BD190B">
        <w:noBreakHyphen/>
      </w:r>
      <w:r w:rsidRPr="00541798">
        <w:t>6 months for ASIC to review fee amounts</w:t>
      </w:r>
    </w:p>
    <w:p w14:paraId="14664563" w14:textId="02E15988" w:rsidR="00665A86" w:rsidRPr="00541798" w:rsidRDefault="004F64B8" w:rsidP="005D3ACA">
      <w:pPr>
        <w:pStyle w:val="Bullet"/>
        <w:ind w:left="1004"/>
      </w:pPr>
      <w:r>
        <w:t xml:space="preserve">The </w:t>
      </w:r>
      <w:r w:rsidR="00665A86" w:rsidRPr="00541798">
        <w:t>Government to consider the outcomes of the ASIC review including any adjustments that are required to fee amounts</w:t>
      </w:r>
    </w:p>
    <w:p w14:paraId="32809BB7" w14:textId="712F471F" w:rsidR="00665A86" w:rsidRPr="00541798" w:rsidRDefault="00665A86" w:rsidP="005D3ACA">
      <w:pPr>
        <w:pStyle w:val="Bullet"/>
        <w:ind w:left="1004"/>
      </w:pPr>
      <w:r w:rsidRPr="00541798">
        <w:t>Legislative drafting process to reflect proposed changes to Regulations</w:t>
      </w:r>
    </w:p>
    <w:p w14:paraId="0AE29087" w14:textId="28E41FB0" w:rsidR="00665A86" w:rsidRPr="00541798" w:rsidRDefault="004F64B8" w:rsidP="005D3ACA">
      <w:pPr>
        <w:pStyle w:val="Bullet"/>
        <w:ind w:left="1004"/>
      </w:pPr>
      <w:r>
        <w:t xml:space="preserve">The </w:t>
      </w:r>
      <w:r w:rsidR="00665A86" w:rsidRPr="00541798">
        <w:t>Government to consult on proposed changes to Regulations</w:t>
      </w:r>
    </w:p>
    <w:p w14:paraId="30CF44BD" w14:textId="0B2BE127" w:rsidR="00665A86" w:rsidRPr="00541798" w:rsidRDefault="00665A86" w:rsidP="005D3ACA">
      <w:pPr>
        <w:pStyle w:val="Bullet"/>
        <w:ind w:left="1004"/>
      </w:pPr>
      <w:r w:rsidRPr="00541798">
        <w:t>Finalisation of amendments to Regulations</w:t>
      </w:r>
    </w:p>
    <w:p w14:paraId="1A8CDB42" w14:textId="7C6E0D8F" w:rsidR="00665A86" w:rsidRPr="00541798" w:rsidRDefault="004F64B8" w:rsidP="005D3ACA">
      <w:pPr>
        <w:pStyle w:val="Bullet"/>
        <w:ind w:left="1004"/>
      </w:pPr>
      <w:r>
        <w:t xml:space="preserve">The </w:t>
      </w:r>
      <w:r w:rsidR="00665A86" w:rsidRPr="00541798">
        <w:t>Governor</w:t>
      </w:r>
      <w:r w:rsidR="00BD190B">
        <w:noBreakHyphen/>
      </w:r>
      <w:r w:rsidR="00665A86" w:rsidRPr="00541798">
        <w:t xml:space="preserve">General to agree to amended Regulations via the Executive Council process. </w:t>
      </w:r>
    </w:p>
    <w:p w14:paraId="28C4293A" w14:textId="77777777" w:rsidR="00665A86" w:rsidRPr="00541798" w:rsidRDefault="00665A86" w:rsidP="006B2EB3">
      <w:pPr>
        <w:numPr>
          <w:ilvl w:val="1"/>
          <w:numId w:val="19"/>
        </w:numPr>
        <w:spacing w:line="259" w:lineRule="auto"/>
        <w:ind w:left="720" w:hanging="720"/>
        <w:rPr>
          <w:rFonts w:cs="Calibri Light"/>
        </w:rPr>
      </w:pPr>
      <w:r w:rsidRPr="002D4847">
        <w:rPr>
          <w:rFonts w:eastAsia="Calibri" w:cs="Calibri Light"/>
          <w:szCs w:val="22"/>
          <w:lang w:eastAsia="en-US"/>
        </w:rPr>
        <w:t>While</w:t>
      </w:r>
      <w:r w:rsidRPr="00541798">
        <w:rPr>
          <w:rFonts w:cs="Calibri Light"/>
        </w:rPr>
        <w:t xml:space="preserve"> there have been legislative amendments to specific fees on an ad hoc basis, which have included amendments to enable ASIC to charge new fees, there has been no wholesale change to the fees framework since it was introduced in 2018. </w:t>
      </w:r>
    </w:p>
    <w:p w14:paraId="086E5D08" w14:textId="77777777" w:rsidR="00665A86" w:rsidRPr="00541798" w:rsidRDefault="00665A86" w:rsidP="00665A86">
      <w:pPr>
        <w:pStyle w:val="Heading3"/>
      </w:pPr>
      <w:bookmarkStart w:id="140" w:name="_Toc129270491"/>
      <w:r w:rsidRPr="00541798">
        <w:t>Analysis and findings</w:t>
      </w:r>
      <w:bookmarkEnd w:id="140"/>
      <w:r w:rsidRPr="00541798">
        <w:t xml:space="preserve"> </w:t>
      </w:r>
    </w:p>
    <w:p w14:paraId="0CF3AFE9" w14:textId="745B8564" w:rsidR="00665A86" w:rsidRPr="00541798" w:rsidRDefault="00665A86" w:rsidP="006B2EB3">
      <w:pPr>
        <w:numPr>
          <w:ilvl w:val="1"/>
          <w:numId w:val="19"/>
        </w:numPr>
        <w:spacing w:line="259" w:lineRule="auto"/>
        <w:ind w:left="720" w:hanging="720"/>
        <w:rPr>
          <w:rFonts w:cs="Calibri Light"/>
        </w:rPr>
      </w:pPr>
      <w:r w:rsidRPr="00541798">
        <w:rPr>
          <w:rFonts w:cs="Calibri Light"/>
        </w:rPr>
        <w:t>Updating fee amounts in Regulations is</w:t>
      </w:r>
      <w:r w:rsidR="00C73B9F">
        <w:rPr>
          <w:rFonts w:cs="Calibri Light"/>
        </w:rPr>
        <w:t xml:space="preserve"> time and</w:t>
      </w:r>
      <w:r w:rsidRPr="00541798">
        <w:rPr>
          <w:rFonts w:cs="Calibri Light"/>
        </w:rPr>
        <w:t xml:space="preserve"> resource intensive</w:t>
      </w:r>
      <w:r w:rsidR="00530BAF">
        <w:rPr>
          <w:rFonts w:cs="Calibri Light"/>
        </w:rPr>
        <w:t xml:space="preserve"> and can divert resources from other </w:t>
      </w:r>
      <w:r w:rsidR="004F64B8">
        <w:rPr>
          <w:rFonts w:cs="Calibri Light"/>
        </w:rPr>
        <w:t>g</w:t>
      </w:r>
      <w:r w:rsidR="00530BAF">
        <w:rPr>
          <w:rFonts w:cs="Calibri Light"/>
        </w:rPr>
        <w:t>overnment priorities. This</w:t>
      </w:r>
      <w:r w:rsidRPr="00541798">
        <w:rPr>
          <w:rFonts w:cs="Calibri Light"/>
        </w:rPr>
        <w:t xml:space="preserve"> limits flexibility to make changes.</w:t>
      </w:r>
      <w:r w:rsidRPr="00541798" w:rsidDel="00B44F05">
        <w:rPr>
          <w:rFonts w:cs="Calibri Light"/>
        </w:rPr>
        <w:t xml:space="preserve"> </w:t>
      </w:r>
      <w:r w:rsidRPr="00541798">
        <w:rPr>
          <w:rFonts w:cs="Calibri Light"/>
        </w:rPr>
        <w:t xml:space="preserve">Additionally, </w:t>
      </w:r>
      <w:r w:rsidR="003B1590">
        <w:rPr>
          <w:rFonts w:cs="Calibri Light"/>
        </w:rPr>
        <w:t xml:space="preserve">the </w:t>
      </w:r>
      <w:r w:rsidRPr="00541798">
        <w:rPr>
          <w:rFonts w:cs="Calibri Light"/>
        </w:rPr>
        <w:t xml:space="preserve">Government </w:t>
      </w:r>
      <w:r w:rsidR="003B1590">
        <w:rPr>
          <w:rFonts w:cs="Calibri Light"/>
        </w:rPr>
        <w:t>is not best placed to</w:t>
      </w:r>
      <w:r w:rsidRPr="00541798">
        <w:rPr>
          <w:rFonts w:cs="Calibri Light"/>
        </w:rPr>
        <w:t xml:space="preserve"> ensure fees and fee amounts remain up</w:t>
      </w:r>
      <w:r w:rsidR="00BD190B">
        <w:rPr>
          <w:rFonts w:cs="Calibri Light"/>
        </w:rPr>
        <w:noBreakHyphen/>
      </w:r>
      <w:r w:rsidRPr="00541798">
        <w:rPr>
          <w:rFonts w:cs="Calibri Light"/>
        </w:rPr>
        <w:t>to</w:t>
      </w:r>
      <w:r w:rsidR="00BD190B">
        <w:rPr>
          <w:rFonts w:cs="Calibri Light"/>
        </w:rPr>
        <w:noBreakHyphen/>
      </w:r>
      <w:r w:rsidRPr="00541798">
        <w:rPr>
          <w:rFonts w:cs="Calibri Light"/>
        </w:rPr>
        <w:t>date and fully recover ASIC</w:t>
      </w:r>
      <w:r w:rsidR="00BD190B">
        <w:rPr>
          <w:rFonts w:cs="Calibri Light"/>
        </w:rPr>
        <w:t>’</w:t>
      </w:r>
      <w:r w:rsidRPr="00541798">
        <w:rPr>
          <w:rFonts w:cs="Calibri Light"/>
        </w:rPr>
        <w:t xml:space="preserve">s costs. </w:t>
      </w:r>
    </w:p>
    <w:p w14:paraId="7BB0335D" w14:textId="11F4181D" w:rsidR="00665A86" w:rsidRPr="00541798" w:rsidRDefault="00665A86" w:rsidP="006B2EB3">
      <w:pPr>
        <w:numPr>
          <w:ilvl w:val="1"/>
          <w:numId w:val="19"/>
        </w:numPr>
        <w:spacing w:line="259" w:lineRule="auto"/>
        <w:ind w:left="720" w:hanging="720"/>
        <w:rPr>
          <w:rFonts w:cs="Calibri Light"/>
        </w:rPr>
      </w:pPr>
      <w:r w:rsidRPr="00541798">
        <w:rPr>
          <w:rFonts w:cs="Calibri Light"/>
        </w:rPr>
        <w:lastRenderedPageBreak/>
        <w:t xml:space="preserve">For example, while ASIC was able to conduct a review of the fees framework in 2020, any subsequent consultation on the outcomes of the review were not able to be progressed by </w:t>
      </w:r>
      <w:r w:rsidR="004F64B8">
        <w:rPr>
          <w:rFonts w:cs="Calibri Light"/>
        </w:rPr>
        <w:t xml:space="preserve">the </w:t>
      </w:r>
      <w:r w:rsidRPr="00541798">
        <w:rPr>
          <w:rFonts w:cs="Calibri Light"/>
        </w:rPr>
        <w:t>Government due to the COVID</w:t>
      </w:r>
      <w:r w:rsidR="00BD190B">
        <w:rPr>
          <w:rFonts w:cs="Calibri Light"/>
        </w:rPr>
        <w:noBreakHyphen/>
      </w:r>
      <w:r w:rsidRPr="00541798">
        <w:rPr>
          <w:rFonts w:cs="Calibri Light"/>
        </w:rPr>
        <w:t xml:space="preserve">19 pandemic and other priorities. </w:t>
      </w:r>
    </w:p>
    <w:p w14:paraId="31AF800E" w14:textId="42645BE0" w:rsidR="00665A86" w:rsidRPr="00541798" w:rsidRDefault="00665A86" w:rsidP="006B2EB3">
      <w:pPr>
        <w:numPr>
          <w:ilvl w:val="1"/>
          <w:numId w:val="19"/>
        </w:numPr>
        <w:spacing w:line="259" w:lineRule="auto"/>
        <w:ind w:left="720" w:hanging="720"/>
        <w:rPr>
          <w:rFonts w:cs="Calibri Light"/>
        </w:rPr>
      </w:pPr>
      <w:r w:rsidRPr="00541798">
        <w:rPr>
          <w:rFonts w:cs="Calibri Light"/>
        </w:rPr>
        <w:t>Whil</w:t>
      </w:r>
      <w:r w:rsidR="002F4B54">
        <w:rPr>
          <w:rFonts w:cs="Calibri Light"/>
        </w:rPr>
        <w:t>e</w:t>
      </w:r>
      <w:r w:rsidRPr="00541798">
        <w:rPr>
          <w:rFonts w:cs="Calibri Light"/>
        </w:rPr>
        <w:t xml:space="preserve"> this current Review has presented an opportunity to examine and consult on the fees framework, there is a risk that the Government may not be able to prioritise subsequent reviews undertaken by ASIC if other and more pressing matters arise. This would result in the continuation of the current situation where fee revenue only partially recovers ASIC</w:t>
      </w:r>
      <w:r w:rsidR="00BD190B">
        <w:rPr>
          <w:rFonts w:cs="Calibri Light"/>
        </w:rPr>
        <w:t>’</w:t>
      </w:r>
      <w:r w:rsidRPr="00541798">
        <w:rPr>
          <w:rFonts w:cs="Calibri Light"/>
        </w:rPr>
        <w:t xml:space="preserve">s costs. </w:t>
      </w:r>
    </w:p>
    <w:p w14:paraId="34D069EF" w14:textId="2AB3C37E"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Currently the shortfall is borne by general taxpayers, which does not align with </w:t>
      </w:r>
      <w:r w:rsidR="004F64B8">
        <w:rPr>
          <w:rFonts w:cs="Calibri Light"/>
        </w:rPr>
        <w:t>g</w:t>
      </w:r>
      <w:r w:rsidRPr="00541798">
        <w:rPr>
          <w:rFonts w:cs="Calibri Light"/>
        </w:rPr>
        <w:t xml:space="preserve">overnment policy or the overarching principle in the Charging Framework that entities who cause the need for regulation are charged for it. </w:t>
      </w:r>
    </w:p>
    <w:p w14:paraId="3A7CCF4A" w14:textId="7DD3CA5F" w:rsidR="00665A86" w:rsidRPr="00541798" w:rsidRDefault="00665A86" w:rsidP="006B2EB3">
      <w:pPr>
        <w:numPr>
          <w:ilvl w:val="1"/>
          <w:numId w:val="19"/>
        </w:numPr>
        <w:spacing w:line="259" w:lineRule="auto"/>
        <w:ind w:left="720" w:hanging="720"/>
        <w:rPr>
          <w:rFonts w:cs="Calibri Light"/>
        </w:rPr>
      </w:pPr>
      <w:r w:rsidRPr="00541798">
        <w:rPr>
          <w:rFonts w:cs="Calibri Light"/>
        </w:rPr>
        <w:t>To mitigate these issues, the Review considers that it is appropriate for the Government to delegate to ASIC the power to set fee amounts in subordinate legislation. This will enable ASIC to review and update fee amounts periodically if there is an increase or decrease in ASIC</w:t>
      </w:r>
      <w:r w:rsidR="00BD190B">
        <w:rPr>
          <w:rFonts w:cs="Calibri Light"/>
        </w:rPr>
        <w:t>’</w:t>
      </w:r>
      <w:r w:rsidRPr="00541798">
        <w:rPr>
          <w:rFonts w:cs="Calibri Light"/>
        </w:rPr>
        <w:t xml:space="preserve">s costs of providing their services, which will ensure full cost recovery. </w:t>
      </w:r>
    </w:p>
    <w:p w14:paraId="61291F13" w14:textId="30BB5DDD" w:rsidR="00665A86" w:rsidRPr="00541798" w:rsidRDefault="00665A86" w:rsidP="006B2EB3">
      <w:pPr>
        <w:numPr>
          <w:ilvl w:val="1"/>
          <w:numId w:val="19"/>
        </w:numPr>
        <w:spacing w:line="259" w:lineRule="auto"/>
        <w:ind w:left="720" w:hanging="720"/>
        <w:rPr>
          <w:rFonts w:cs="Calibri Light"/>
        </w:rPr>
      </w:pPr>
      <w:r w:rsidRPr="00541798">
        <w:rPr>
          <w:rFonts w:cs="Calibri Light"/>
        </w:rPr>
        <w:t>The Review considers it appropriate that ASIC review and update fee amounts every three years. ASIC have an established fee review process which was developed for their 2020 review. ASIC can continue to leverage this process for future reviews, which minimises the impost to ASIC in delegating the fee</w:t>
      </w:r>
      <w:r w:rsidR="00BD190B">
        <w:rPr>
          <w:rFonts w:cs="Calibri Light"/>
        </w:rPr>
        <w:noBreakHyphen/>
      </w:r>
      <w:r w:rsidRPr="00541798">
        <w:rPr>
          <w:rFonts w:cs="Calibri Light"/>
        </w:rPr>
        <w:t xml:space="preserve">setting power. </w:t>
      </w:r>
    </w:p>
    <w:p w14:paraId="169F53B0" w14:textId="65106E66" w:rsidR="00E03A44" w:rsidRDefault="00665A86" w:rsidP="006B2EB3">
      <w:pPr>
        <w:numPr>
          <w:ilvl w:val="1"/>
          <w:numId w:val="19"/>
        </w:numPr>
        <w:spacing w:line="259" w:lineRule="auto"/>
        <w:ind w:left="720" w:hanging="720"/>
        <w:rPr>
          <w:rFonts w:cs="Calibri Light"/>
        </w:rPr>
      </w:pPr>
      <w:r w:rsidRPr="00D76A72">
        <w:rPr>
          <w:rFonts w:cs="Calibri Light"/>
        </w:rPr>
        <w:t>Delegating ASIC the fee</w:t>
      </w:r>
      <w:r w:rsidR="00BD190B">
        <w:rPr>
          <w:rFonts w:cs="Calibri Light"/>
        </w:rPr>
        <w:noBreakHyphen/>
      </w:r>
      <w:r w:rsidRPr="00D76A72">
        <w:rPr>
          <w:rFonts w:cs="Calibri Light"/>
        </w:rPr>
        <w:t xml:space="preserve">setting power will also align with other </w:t>
      </w:r>
      <w:r w:rsidR="004F64B8">
        <w:rPr>
          <w:rFonts w:cs="Calibri Light"/>
        </w:rPr>
        <w:t>g</w:t>
      </w:r>
      <w:r w:rsidRPr="00D76A72">
        <w:rPr>
          <w:rFonts w:cs="Calibri Light"/>
        </w:rPr>
        <w:t>overnment agencies and regulators that have the power to set their own fees. For example, APRA</w:t>
      </w:r>
      <w:r w:rsidR="0013444A">
        <w:rPr>
          <w:rFonts w:cs="Calibri Light"/>
        </w:rPr>
        <w:t>,</w:t>
      </w:r>
      <w:r w:rsidRPr="00D76A72">
        <w:rPr>
          <w:rFonts w:cs="Calibri Light"/>
        </w:rPr>
        <w:t xml:space="preserve"> which also operates an industry funded cost recovery model, has been delegated the authority to set fee amounts for its regulated population. APRA, like ASIC, charges fees for user</w:t>
      </w:r>
      <w:r w:rsidR="00BD190B">
        <w:rPr>
          <w:rFonts w:cs="Calibri Light"/>
        </w:rPr>
        <w:noBreakHyphen/>
      </w:r>
      <w:r w:rsidRPr="00D76A72">
        <w:rPr>
          <w:rFonts w:cs="Calibri Light"/>
        </w:rPr>
        <w:t>initiated and transaction</w:t>
      </w:r>
      <w:r w:rsidR="00BD190B">
        <w:rPr>
          <w:rFonts w:cs="Calibri Light"/>
        </w:rPr>
        <w:noBreakHyphen/>
      </w:r>
      <w:r w:rsidRPr="00D76A72">
        <w:rPr>
          <w:rFonts w:cs="Calibri Light"/>
        </w:rPr>
        <w:t xml:space="preserve">based activities services such as licensing and application fees. </w:t>
      </w:r>
      <w:bookmarkStart w:id="141" w:name="_Toc125305207"/>
    </w:p>
    <w:p w14:paraId="0D7A88E9" w14:textId="6FB1E4B1" w:rsidR="00665A86" w:rsidRPr="002D4847" w:rsidRDefault="00665A86" w:rsidP="00E03A44">
      <w:pPr>
        <w:pStyle w:val="Heading4"/>
      </w:pPr>
      <w:r w:rsidRPr="002D4847">
        <w:t>Appropriate transparency, accountability, and oversight mechanisms</w:t>
      </w:r>
      <w:bookmarkEnd w:id="141"/>
    </w:p>
    <w:p w14:paraId="30E309A5" w14:textId="5A60FB3F" w:rsidR="00665A86" w:rsidRPr="002D4847" w:rsidRDefault="00665A86" w:rsidP="006B2EB3">
      <w:pPr>
        <w:numPr>
          <w:ilvl w:val="1"/>
          <w:numId w:val="19"/>
        </w:numPr>
        <w:spacing w:line="259" w:lineRule="auto"/>
        <w:ind w:left="720" w:hanging="720"/>
        <w:rPr>
          <w:rFonts w:cs="Calibri Light"/>
        </w:rPr>
      </w:pPr>
      <w:r w:rsidRPr="002D4847">
        <w:rPr>
          <w:rFonts w:cs="Calibri Light"/>
        </w:rPr>
        <w:t>During consultation, stakeholders were concerned that delegating ASIC the fee</w:t>
      </w:r>
      <w:r w:rsidR="00BD190B">
        <w:rPr>
          <w:rFonts w:cs="Calibri Light"/>
        </w:rPr>
        <w:noBreakHyphen/>
      </w:r>
      <w:r w:rsidRPr="002D4847">
        <w:rPr>
          <w:rFonts w:cs="Calibri Light"/>
        </w:rPr>
        <w:t xml:space="preserve">setting power would remove </w:t>
      </w:r>
      <w:r w:rsidR="004F64B8">
        <w:rPr>
          <w:rFonts w:cs="Calibri Light"/>
        </w:rPr>
        <w:t>g</w:t>
      </w:r>
      <w:r w:rsidRPr="002D4847">
        <w:rPr>
          <w:rFonts w:cs="Calibri Light"/>
        </w:rPr>
        <w:t>overnment oversight of ASIC</w:t>
      </w:r>
      <w:r w:rsidR="00BD190B">
        <w:rPr>
          <w:rFonts w:cs="Calibri Light"/>
        </w:rPr>
        <w:t>’</w:t>
      </w:r>
      <w:r w:rsidRPr="002D4847">
        <w:rPr>
          <w:rFonts w:cs="Calibri Light"/>
        </w:rPr>
        <w:t>s administration of the fees framework and reduce the incentive for ASIC to be efficient in administering regulatory activities and services for which fees are charged</w:t>
      </w:r>
      <w:r w:rsidR="00901E80">
        <w:rPr>
          <w:rFonts w:cs="Calibri Light"/>
        </w:rPr>
        <w:t xml:space="preserve">. </w:t>
      </w:r>
    </w:p>
    <w:p w14:paraId="10F5CA5C" w14:textId="40ECC897" w:rsidR="00665A86" w:rsidRPr="002D4847" w:rsidRDefault="00665A86" w:rsidP="006B2EB3">
      <w:pPr>
        <w:numPr>
          <w:ilvl w:val="1"/>
          <w:numId w:val="19"/>
        </w:numPr>
        <w:spacing w:line="259" w:lineRule="auto"/>
        <w:ind w:left="720" w:hanging="720"/>
        <w:rPr>
          <w:rFonts w:cs="Calibri Light"/>
        </w:rPr>
      </w:pPr>
      <w:r w:rsidRPr="002D4847">
        <w:rPr>
          <w:rFonts w:cs="Calibri Light"/>
        </w:rPr>
        <w:t>Stakeholders noted that if ASIC were delegated the fee</w:t>
      </w:r>
      <w:r w:rsidR="00BD190B">
        <w:rPr>
          <w:rFonts w:cs="Calibri Light"/>
        </w:rPr>
        <w:noBreakHyphen/>
      </w:r>
      <w:r w:rsidRPr="002D4847">
        <w:rPr>
          <w:rFonts w:cs="Calibri Light"/>
        </w:rPr>
        <w:t xml:space="preserve">setting power, there should be adequate transparency and accountability mechanisms in place for ASIC, including appropriate oversight by the Government. </w:t>
      </w:r>
    </w:p>
    <w:p w14:paraId="4060EB39" w14:textId="3B75E6D2" w:rsidR="00665A86" w:rsidRPr="002D4847" w:rsidRDefault="00665A86" w:rsidP="006B2EB3">
      <w:pPr>
        <w:numPr>
          <w:ilvl w:val="1"/>
          <w:numId w:val="19"/>
        </w:numPr>
        <w:spacing w:line="259" w:lineRule="auto"/>
        <w:ind w:left="720" w:hanging="720"/>
        <w:rPr>
          <w:rFonts w:cs="Calibri Light"/>
        </w:rPr>
      </w:pPr>
      <w:r w:rsidRPr="002D4847">
        <w:rPr>
          <w:rFonts w:cs="Calibri Light"/>
        </w:rPr>
        <w:t>The Review acknowledges stakeholder concerns and agrees that appropriate transparency, accountability, and oversight mechanisms should be maintained if the fee</w:t>
      </w:r>
      <w:r w:rsidR="00BD190B">
        <w:rPr>
          <w:rFonts w:cs="Calibri Light"/>
        </w:rPr>
        <w:noBreakHyphen/>
      </w:r>
      <w:r w:rsidRPr="002D4847">
        <w:rPr>
          <w:rFonts w:cs="Calibri Light"/>
        </w:rPr>
        <w:t xml:space="preserve">setting power is delegated to ASIC. </w:t>
      </w:r>
    </w:p>
    <w:p w14:paraId="612CC9F3" w14:textId="172D8646" w:rsidR="00665A86" w:rsidRPr="002D4847" w:rsidRDefault="00665A86" w:rsidP="006B2EB3">
      <w:pPr>
        <w:numPr>
          <w:ilvl w:val="1"/>
          <w:numId w:val="19"/>
        </w:numPr>
        <w:spacing w:line="259" w:lineRule="auto"/>
        <w:ind w:left="720" w:hanging="720"/>
        <w:rPr>
          <w:rFonts w:cs="Calibri Light"/>
        </w:rPr>
      </w:pPr>
      <w:r w:rsidRPr="002D4847">
        <w:rPr>
          <w:rFonts w:cs="Calibri Light"/>
        </w:rPr>
        <w:t>How ASIC allocates resources to deliver on its mandate, including how efficiently it administers fees</w:t>
      </w:r>
      <w:r w:rsidR="00BD190B">
        <w:rPr>
          <w:rFonts w:cs="Calibri Light"/>
        </w:rPr>
        <w:noBreakHyphen/>
      </w:r>
      <w:r w:rsidRPr="002D4847">
        <w:rPr>
          <w:rFonts w:cs="Calibri Light"/>
        </w:rPr>
        <w:t>for</w:t>
      </w:r>
      <w:r w:rsidR="00BD190B">
        <w:rPr>
          <w:rFonts w:cs="Calibri Light"/>
        </w:rPr>
        <w:noBreakHyphen/>
      </w:r>
      <w:r w:rsidRPr="002D4847">
        <w:rPr>
          <w:rFonts w:cs="Calibri Light"/>
        </w:rPr>
        <w:t xml:space="preserve">service activities, is not within the scope of this Review. However, the Review notes that ASIC must administer these regulatory activities and services within their total operating budget which is set by the Government. </w:t>
      </w:r>
    </w:p>
    <w:p w14:paraId="0E4C6884" w14:textId="65D620BF" w:rsidR="00665A86" w:rsidRPr="00541798" w:rsidRDefault="00665A86" w:rsidP="006B2EB3">
      <w:pPr>
        <w:numPr>
          <w:ilvl w:val="1"/>
          <w:numId w:val="19"/>
        </w:numPr>
        <w:spacing w:line="259" w:lineRule="auto"/>
        <w:ind w:left="720" w:hanging="720"/>
        <w:rPr>
          <w:rFonts w:cs="Calibri Light"/>
          <w:szCs w:val="22"/>
        </w:rPr>
      </w:pPr>
      <w:r w:rsidRPr="002D4847">
        <w:rPr>
          <w:rFonts w:cs="Calibri Light"/>
        </w:rPr>
        <w:t>There was also concern from stakeholders that by delegating ASIC the fee</w:t>
      </w:r>
      <w:r w:rsidR="00BD190B">
        <w:rPr>
          <w:rFonts w:cs="Calibri Light"/>
        </w:rPr>
        <w:noBreakHyphen/>
      </w:r>
      <w:r w:rsidRPr="002D4847">
        <w:rPr>
          <w:rFonts w:cs="Calibri Light"/>
        </w:rPr>
        <w:t>setting power, ASIC would have the ability to determine the regulatory activities and services for which</w:t>
      </w:r>
      <w:r w:rsidRPr="00541798">
        <w:rPr>
          <w:rFonts w:cs="Calibri Light"/>
          <w:szCs w:val="22"/>
        </w:rPr>
        <w:t xml:space="preserve"> fees should be charged and/or establish new fees. The Review considers it appropriate that the </w:t>
      </w:r>
      <w:r w:rsidRPr="00541798">
        <w:rPr>
          <w:rFonts w:cs="Calibri Light"/>
          <w:szCs w:val="22"/>
        </w:rPr>
        <w:lastRenderedPageBreak/>
        <w:t>Government remains the decision</w:t>
      </w:r>
      <w:r w:rsidR="00BD190B">
        <w:rPr>
          <w:rFonts w:cs="Calibri Light"/>
          <w:szCs w:val="22"/>
        </w:rPr>
        <w:noBreakHyphen/>
      </w:r>
      <w:r w:rsidRPr="00541798">
        <w:rPr>
          <w:rFonts w:cs="Calibri Light"/>
          <w:szCs w:val="22"/>
        </w:rPr>
        <w:t>maker to determine the regulatory activities and services for which a fee should be charged by ASIC.</w:t>
      </w:r>
    </w:p>
    <w:p w14:paraId="24523F62" w14:textId="10C0DF5C" w:rsidR="00665A86" w:rsidRPr="00541798" w:rsidRDefault="00665A86" w:rsidP="006B2EB3">
      <w:pPr>
        <w:numPr>
          <w:ilvl w:val="1"/>
          <w:numId w:val="19"/>
        </w:numPr>
        <w:spacing w:line="259" w:lineRule="auto"/>
        <w:ind w:left="720" w:hanging="720"/>
        <w:rPr>
          <w:rFonts w:cs="Calibri Light"/>
          <w:szCs w:val="22"/>
        </w:rPr>
      </w:pPr>
      <w:r w:rsidRPr="00541798">
        <w:rPr>
          <w:rFonts w:cs="Calibri Light"/>
          <w:szCs w:val="22"/>
        </w:rPr>
        <w:t xml:space="preserve">The Review considers the following mechanisms and controls would be appropriate if ASIC is delegated the </w:t>
      </w:r>
      <w:r w:rsidRPr="002D4847">
        <w:rPr>
          <w:rFonts w:cs="Calibri Light"/>
        </w:rPr>
        <w:t>fee</w:t>
      </w:r>
      <w:r w:rsidR="00BD190B">
        <w:rPr>
          <w:rFonts w:cs="Calibri Light"/>
          <w:szCs w:val="22"/>
        </w:rPr>
        <w:noBreakHyphen/>
      </w:r>
      <w:r w:rsidRPr="00541798">
        <w:rPr>
          <w:rFonts w:cs="Calibri Light"/>
          <w:szCs w:val="22"/>
        </w:rPr>
        <w:t>setting power:</w:t>
      </w:r>
    </w:p>
    <w:p w14:paraId="02566B9F" w14:textId="004F1686" w:rsidR="00665A86" w:rsidRPr="00541798" w:rsidRDefault="00665A86" w:rsidP="006B2EB3">
      <w:pPr>
        <w:numPr>
          <w:ilvl w:val="0"/>
          <w:numId w:val="24"/>
        </w:numPr>
        <w:tabs>
          <w:tab w:val="left" w:pos="601"/>
        </w:tabs>
        <w:spacing w:line="259" w:lineRule="auto"/>
        <w:ind w:left="1080"/>
        <w:rPr>
          <w:rFonts w:cs="Calibri Light"/>
          <w:szCs w:val="22"/>
        </w:rPr>
      </w:pPr>
      <w:r w:rsidRPr="00541798">
        <w:rPr>
          <w:rFonts w:cs="Calibri Light"/>
          <w:szCs w:val="22"/>
        </w:rPr>
        <w:t>The Government retains the power and responsibility to identify activities and services for which a fee should be charged</w:t>
      </w:r>
    </w:p>
    <w:p w14:paraId="486B5E25" w14:textId="30E09A72" w:rsidR="00665A86" w:rsidRPr="00541798" w:rsidRDefault="00665A86" w:rsidP="006B2EB3">
      <w:pPr>
        <w:numPr>
          <w:ilvl w:val="0"/>
          <w:numId w:val="24"/>
        </w:numPr>
        <w:tabs>
          <w:tab w:val="left" w:pos="601"/>
        </w:tabs>
        <w:spacing w:line="259" w:lineRule="auto"/>
        <w:ind w:left="1080"/>
        <w:rPr>
          <w:rFonts w:cs="Calibri Light"/>
          <w:szCs w:val="22"/>
        </w:rPr>
      </w:pPr>
      <w:r w:rsidRPr="00541798">
        <w:rPr>
          <w:rFonts w:cs="Calibri Light"/>
          <w:szCs w:val="22"/>
        </w:rPr>
        <w:t xml:space="preserve">The Government retains the power and responsibility to identify which activities and services a partial fee or </w:t>
      </w:r>
      <w:r w:rsidR="00BD190B">
        <w:rPr>
          <w:rFonts w:cs="Calibri Light"/>
          <w:szCs w:val="22"/>
        </w:rPr>
        <w:t>‘</w:t>
      </w:r>
      <w:r w:rsidRPr="00541798">
        <w:rPr>
          <w:rFonts w:cs="Calibri Light"/>
          <w:szCs w:val="22"/>
        </w:rPr>
        <w:t>no fee</w:t>
      </w:r>
      <w:r w:rsidR="00BD190B">
        <w:rPr>
          <w:rFonts w:cs="Calibri Light"/>
          <w:szCs w:val="22"/>
        </w:rPr>
        <w:t>’</w:t>
      </w:r>
      <w:r w:rsidRPr="00541798">
        <w:rPr>
          <w:rFonts w:cs="Calibri Light"/>
          <w:szCs w:val="22"/>
        </w:rPr>
        <w:t xml:space="preserve"> should be charged</w:t>
      </w:r>
    </w:p>
    <w:p w14:paraId="5A0791CD" w14:textId="38B9355B" w:rsidR="00665A86" w:rsidRPr="00541798" w:rsidRDefault="00665A86" w:rsidP="006B2EB3">
      <w:pPr>
        <w:numPr>
          <w:ilvl w:val="0"/>
          <w:numId w:val="24"/>
        </w:numPr>
        <w:tabs>
          <w:tab w:val="left" w:pos="601"/>
        </w:tabs>
        <w:spacing w:line="259" w:lineRule="auto"/>
        <w:ind w:left="1080"/>
        <w:rPr>
          <w:rFonts w:cs="Calibri Light"/>
          <w:szCs w:val="22"/>
        </w:rPr>
      </w:pPr>
      <w:r w:rsidRPr="00541798">
        <w:rPr>
          <w:rFonts w:cs="Calibri Light"/>
          <w:szCs w:val="22"/>
        </w:rPr>
        <w:t xml:space="preserve">Where the Government does not set a partial fee or </w:t>
      </w:r>
      <w:r w:rsidR="00BD190B">
        <w:rPr>
          <w:rFonts w:cs="Calibri Light"/>
          <w:szCs w:val="22"/>
        </w:rPr>
        <w:t>‘</w:t>
      </w:r>
      <w:r w:rsidRPr="00541798">
        <w:rPr>
          <w:rFonts w:cs="Calibri Light"/>
          <w:szCs w:val="22"/>
        </w:rPr>
        <w:t>no fee</w:t>
      </w:r>
      <w:r w:rsidR="00BD190B">
        <w:rPr>
          <w:rFonts w:cs="Calibri Light"/>
          <w:szCs w:val="22"/>
        </w:rPr>
        <w:t>’</w:t>
      </w:r>
      <w:r w:rsidRPr="00541798">
        <w:rPr>
          <w:rFonts w:cs="Calibri Light"/>
          <w:szCs w:val="22"/>
        </w:rPr>
        <w:t xml:space="preserve"> amount in the Regulations, ASIC is to set a fee in subordinate legislation that reflects full cost recovery </w:t>
      </w:r>
    </w:p>
    <w:p w14:paraId="6F714694" w14:textId="61EB11AA" w:rsidR="00665A86" w:rsidRPr="00541798" w:rsidRDefault="00665A86" w:rsidP="006B2EB3">
      <w:pPr>
        <w:numPr>
          <w:ilvl w:val="0"/>
          <w:numId w:val="24"/>
        </w:numPr>
        <w:tabs>
          <w:tab w:val="left" w:pos="601"/>
        </w:tabs>
        <w:spacing w:line="259" w:lineRule="auto"/>
        <w:ind w:left="1080"/>
        <w:rPr>
          <w:rFonts w:cs="Calibri Light"/>
          <w:szCs w:val="22"/>
        </w:rPr>
      </w:pPr>
      <w:r w:rsidRPr="00541798">
        <w:rPr>
          <w:rFonts w:cs="Calibri Light"/>
          <w:szCs w:val="22"/>
        </w:rPr>
        <w:t xml:space="preserve">Legislating the requirement for ASIC to </w:t>
      </w:r>
      <w:r w:rsidR="00030E24">
        <w:rPr>
          <w:rFonts w:cs="Calibri Light"/>
          <w:szCs w:val="22"/>
        </w:rPr>
        <w:t xml:space="preserve">formally </w:t>
      </w:r>
      <w:r w:rsidRPr="00541798">
        <w:rPr>
          <w:rFonts w:cs="Calibri Light"/>
          <w:szCs w:val="22"/>
        </w:rPr>
        <w:t>review the fees framework every three years</w:t>
      </w:r>
    </w:p>
    <w:p w14:paraId="67AD8530" w14:textId="5028A223" w:rsidR="00665A86" w:rsidRPr="00541798" w:rsidRDefault="00665A86" w:rsidP="006B2EB3">
      <w:pPr>
        <w:numPr>
          <w:ilvl w:val="0"/>
          <w:numId w:val="24"/>
        </w:numPr>
        <w:tabs>
          <w:tab w:val="left" w:pos="601"/>
        </w:tabs>
        <w:spacing w:line="259" w:lineRule="auto"/>
        <w:ind w:left="1080"/>
        <w:rPr>
          <w:rFonts w:cs="Calibri Light"/>
          <w:szCs w:val="22"/>
        </w:rPr>
      </w:pPr>
      <w:r w:rsidRPr="00541798">
        <w:rPr>
          <w:rFonts w:cs="Calibri Light"/>
          <w:szCs w:val="22"/>
        </w:rPr>
        <w:t>Legislating the requirement for ASIC to notify the relevant Minister of outcomes of the three</w:t>
      </w:r>
      <w:r w:rsidR="00BD190B">
        <w:rPr>
          <w:rFonts w:cs="Calibri Light"/>
          <w:szCs w:val="22"/>
        </w:rPr>
        <w:noBreakHyphen/>
      </w:r>
      <w:r w:rsidRPr="00541798">
        <w:rPr>
          <w:rFonts w:cs="Calibri Light"/>
          <w:szCs w:val="22"/>
        </w:rPr>
        <w:t xml:space="preserve">yearly reviews, including any proposed adjustments to fee amounts </w:t>
      </w:r>
    </w:p>
    <w:p w14:paraId="06DB7229" w14:textId="3266E963" w:rsidR="00665A86" w:rsidRPr="00541798" w:rsidRDefault="00665A86" w:rsidP="006B2EB3">
      <w:pPr>
        <w:numPr>
          <w:ilvl w:val="0"/>
          <w:numId w:val="24"/>
        </w:numPr>
        <w:tabs>
          <w:tab w:val="left" w:pos="601"/>
        </w:tabs>
        <w:spacing w:line="259" w:lineRule="auto"/>
        <w:ind w:left="1080"/>
        <w:rPr>
          <w:rFonts w:cs="Calibri Light"/>
          <w:szCs w:val="22"/>
        </w:rPr>
      </w:pPr>
      <w:r w:rsidRPr="00541798">
        <w:rPr>
          <w:rFonts w:cs="Calibri Light"/>
          <w:szCs w:val="22"/>
        </w:rPr>
        <w:t xml:space="preserve">Maintaining the cap in </w:t>
      </w:r>
      <w:r w:rsidRPr="00541798">
        <w:rPr>
          <w:rFonts w:cs="Calibri Light"/>
          <w:i/>
          <w:iCs/>
          <w:szCs w:val="22"/>
        </w:rPr>
        <w:t>Corporations (Fees) Act 2001</w:t>
      </w:r>
      <w:r w:rsidRPr="00541798">
        <w:rPr>
          <w:rFonts w:cs="Calibri Light"/>
          <w:szCs w:val="22"/>
        </w:rPr>
        <w:t xml:space="preserve"> which limits the amount that can be charged for a fee</w:t>
      </w:r>
    </w:p>
    <w:p w14:paraId="2BB73BB4" w14:textId="683541D3" w:rsidR="00665A86" w:rsidRPr="00541798" w:rsidRDefault="00665A86" w:rsidP="006B2EB3">
      <w:pPr>
        <w:numPr>
          <w:ilvl w:val="0"/>
          <w:numId w:val="24"/>
        </w:numPr>
        <w:tabs>
          <w:tab w:val="left" w:pos="601"/>
        </w:tabs>
        <w:spacing w:line="259" w:lineRule="auto"/>
        <w:ind w:left="1080"/>
        <w:rPr>
          <w:rFonts w:cs="Calibri Light"/>
          <w:szCs w:val="22"/>
        </w:rPr>
      </w:pPr>
      <w:r w:rsidRPr="00541798">
        <w:rPr>
          <w:rFonts w:cs="Calibri Light"/>
          <w:szCs w:val="22"/>
        </w:rPr>
        <w:t xml:space="preserve">ASIC to set fee amounts in subordinate legislation (such as in a legislative instrument) which would be subject to consultation requirements as per the usual legislative process, and Parliamentary oversight and disallowance </w:t>
      </w:r>
    </w:p>
    <w:p w14:paraId="2F7A33B2" w14:textId="75102C72" w:rsidR="00665A86" w:rsidRPr="00541798" w:rsidRDefault="00665A86" w:rsidP="006B2EB3">
      <w:pPr>
        <w:numPr>
          <w:ilvl w:val="1"/>
          <w:numId w:val="19"/>
        </w:numPr>
        <w:spacing w:line="259" w:lineRule="auto"/>
        <w:ind w:left="720" w:hanging="720"/>
        <w:rPr>
          <w:rFonts w:cs="Calibri Light"/>
          <w:szCs w:val="22"/>
        </w:rPr>
      </w:pPr>
      <w:r w:rsidRPr="00541798">
        <w:rPr>
          <w:rFonts w:cs="Calibri Light"/>
          <w:szCs w:val="22"/>
        </w:rPr>
        <w:t>The Review notes that there are other mechanisms in place to ensure that if ASIC is delegated the fee</w:t>
      </w:r>
      <w:r w:rsidR="00BD190B">
        <w:rPr>
          <w:rFonts w:cs="Calibri Light"/>
          <w:szCs w:val="22"/>
        </w:rPr>
        <w:noBreakHyphen/>
      </w:r>
      <w:r w:rsidRPr="00541798">
        <w:rPr>
          <w:rFonts w:cs="Calibri Light"/>
          <w:szCs w:val="22"/>
        </w:rPr>
        <w:t>setting power, the fees that are being set are appropriate. This includes annual audits undertaken by the ANAO on ASIC</w:t>
      </w:r>
      <w:r w:rsidR="00BD190B">
        <w:rPr>
          <w:rFonts w:cs="Calibri Light"/>
          <w:szCs w:val="22"/>
        </w:rPr>
        <w:t>’</w:t>
      </w:r>
      <w:r w:rsidRPr="00541798">
        <w:rPr>
          <w:rFonts w:cs="Calibri Light"/>
          <w:szCs w:val="22"/>
        </w:rPr>
        <w:t>s financial performance and the five</w:t>
      </w:r>
      <w:r w:rsidR="00BD190B">
        <w:rPr>
          <w:rFonts w:cs="Calibri Light"/>
          <w:szCs w:val="22"/>
        </w:rPr>
        <w:noBreakHyphen/>
      </w:r>
      <w:r w:rsidRPr="00541798">
        <w:rPr>
          <w:rFonts w:cs="Calibri Light"/>
          <w:szCs w:val="22"/>
        </w:rPr>
        <w:t>yearly Portfolio Charging Reviews that evaluate the performance of ASIC</w:t>
      </w:r>
      <w:r w:rsidR="00BD190B">
        <w:rPr>
          <w:rFonts w:cs="Calibri Light"/>
          <w:szCs w:val="22"/>
        </w:rPr>
        <w:t>’</w:t>
      </w:r>
      <w:r w:rsidRPr="00541798">
        <w:rPr>
          <w:rFonts w:cs="Calibri Light"/>
          <w:szCs w:val="22"/>
        </w:rPr>
        <w:t>s cost recovered activities and ensure the charging remains appropriate. ASIC may also consider engaging an external, independent expert to audit its fee</w:t>
      </w:r>
      <w:r w:rsidR="00BD190B">
        <w:rPr>
          <w:rFonts w:cs="Calibri Light"/>
          <w:szCs w:val="22"/>
        </w:rPr>
        <w:noBreakHyphen/>
      </w:r>
      <w:r w:rsidRPr="00541798">
        <w:rPr>
          <w:rFonts w:cs="Calibri Light"/>
          <w:szCs w:val="22"/>
        </w:rPr>
        <w:t xml:space="preserve">setting approach and fee amounts to provide additional oversight. </w:t>
      </w:r>
    </w:p>
    <w:p w14:paraId="2A104FAB" w14:textId="77777777" w:rsidR="00665A86" w:rsidRPr="00541798" w:rsidRDefault="00665A86" w:rsidP="005D3ACA">
      <w:pPr>
        <w:pStyle w:val="SingleParagraph"/>
        <w:rPr>
          <w:highlight w:val="lightGray"/>
        </w:rPr>
      </w:pPr>
    </w:p>
    <w:tbl>
      <w:tblPr>
        <w:tblStyle w:val="Style1"/>
        <w:tblW w:w="5000" w:type="pct"/>
        <w:tblLook w:val="04A0" w:firstRow="1" w:lastRow="0" w:firstColumn="1" w:lastColumn="0" w:noHBand="0" w:noVBand="1"/>
      </w:tblPr>
      <w:tblGrid>
        <w:gridCol w:w="9072"/>
      </w:tblGrid>
      <w:tr w:rsidR="00665A86" w:rsidRPr="00541798" w14:paraId="5D99BB8C" w14:textId="77777777" w:rsidTr="005D3ACA">
        <w:tc>
          <w:tcPr>
            <w:tcW w:w="5000" w:type="pct"/>
          </w:tcPr>
          <w:p w14:paraId="4ECD2252" w14:textId="77777777" w:rsidR="00665A86" w:rsidRPr="00A03302" w:rsidRDefault="00665A86" w:rsidP="005D3ACA">
            <w:pPr>
              <w:pStyle w:val="BoxHeading"/>
            </w:pPr>
            <w:r w:rsidRPr="00A03302">
              <w:t xml:space="preserve">Key finding  </w:t>
            </w:r>
          </w:p>
          <w:p w14:paraId="2EAA7D68" w14:textId="77777777" w:rsidR="00665A86" w:rsidRPr="0066607E" w:rsidRDefault="00665A86" w:rsidP="00585AD0">
            <w:pPr>
              <w:pStyle w:val="BoxText"/>
            </w:pPr>
            <w:r w:rsidRPr="00A03302">
              <w:t>The Review finds that the current fee framework is appropriate and the principles underpinning the framework are suitable. However, t</w:t>
            </w:r>
            <w:r w:rsidRPr="00A03302">
              <w:rPr>
                <w:iCs/>
                <w:color w:val="000000"/>
              </w:rPr>
              <w:t xml:space="preserve">he design and legislative framework of the fees component of the IFM does not provide the </w:t>
            </w:r>
            <w:r w:rsidRPr="00585AD0">
              <w:t>flexibility</w:t>
            </w:r>
            <w:r w:rsidRPr="00A03302">
              <w:rPr>
                <w:iCs/>
                <w:color w:val="000000"/>
              </w:rPr>
              <w:t xml:space="preserve"> required to ensure fee amounts are regularly reviewed and updated. This has resulted in fee amounts not being updated since the commencement of the fees framework in 2018.</w:t>
            </w:r>
            <w:r w:rsidRPr="00A03302">
              <w:t xml:space="preserve"> </w:t>
            </w:r>
          </w:p>
        </w:tc>
      </w:tr>
    </w:tbl>
    <w:p w14:paraId="6DBCCF9C" w14:textId="77777777" w:rsidR="00665A86" w:rsidRPr="00541798" w:rsidRDefault="00665A86" w:rsidP="005D3ACA">
      <w:pPr>
        <w:pStyle w:val="SingleParagraph"/>
      </w:pPr>
    </w:p>
    <w:tbl>
      <w:tblPr>
        <w:tblStyle w:val="TableGrid11"/>
        <w:tblW w:w="5000" w:type="pct"/>
        <w:shd w:val="clear" w:color="auto" w:fill="FBE4D5"/>
        <w:tblCellMar>
          <w:top w:w="227" w:type="dxa"/>
          <w:left w:w="227" w:type="dxa"/>
          <w:bottom w:w="227" w:type="dxa"/>
          <w:right w:w="227" w:type="dxa"/>
        </w:tblCellMar>
        <w:tblLook w:val="04A0" w:firstRow="1" w:lastRow="0" w:firstColumn="1" w:lastColumn="0" w:noHBand="0" w:noVBand="1"/>
      </w:tblPr>
      <w:tblGrid>
        <w:gridCol w:w="9072"/>
      </w:tblGrid>
      <w:tr w:rsidR="00665A86" w:rsidRPr="00541798" w14:paraId="30B29648" w14:textId="77777777" w:rsidTr="005D3ACA">
        <w:tc>
          <w:tcPr>
            <w:tcW w:w="5000" w:type="pct"/>
            <w:shd w:val="clear" w:color="auto" w:fill="F2F9FC"/>
          </w:tcPr>
          <w:p w14:paraId="7F758722" w14:textId="091634D4" w:rsidR="00665A86" w:rsidRPr="00A03302" w:rsidRDefault="00665A86" w:rsidP="005D3ACA">
            <w:pPr>
              <w:pStyle w:val="BoxHeading"/>
            </w:pPr>
            <w:r w:rsidRPr="00A03302">
              <w:lastRenderedPageBreak/>
              <w:t xml:space="preserve">Recommendation 6  </w:t>
            </w:r>
          </w:p>
          <w:p w14:paraId="5ACE201B" w14:textId="7C0830D1" w:rsidR="00665A86" w:rsidRPr="0066607E" w:rsidRDefault="00665A86" w:rsidP="00585AD0">
            <w:pPr>
              <w:pStyle w:val="BoxText"/>
              <w:rPr>
                <w:color w:val="000000"/>
              </w:rPr>
            </w:pPr>
            <w:r w:rsidRPr="00585AD0">
              <w:rPr>
                <w:iCs/>
                <w:color w:val="000000"/>
                <w:sz w:val="22"/>
              </w:rPr>
              <w:t xml:space="preserve">The Government </w:t>
            </w:r>
            <w:r w:rsidR="00D72884" w:rsidRPr="00585AD0">
              <w:rPr>
                <w:iCs/>
                <w:color w:val="000000"/>
                <w:sz w:val="22"/>
              </w:rPr>
              <w:t>should</w:t>
            </w:r>
            <w:r w:rsidRPr="00585AD0">
              <w:rPr>
                <w:iCs/>
                <w:color w:val="000000"/>
                <w:sz w:val="22"/>
              </w:rPr>
              <w:t xml:space="preserve"> delegate to ASIC the power to set and adjust fee amounts in subordinate legislation, with fee amounts to be reviewed every three years to reflect full cost recovery.</w:t>
            </w:r>
            <w:r w:rsidRPr="00A03302">
              <w:rPr>
                <w:color w:val="000000"/>
              </w:rPr>
              <w:t xml:space="preserve"> </w:t>
            </w:r>
          </w:p>
        </w:tc>
      </w:tr>
    </w:tbl>
    <w:p w14:paraId="7494DDEF" w14:textId="77777777" w:rsidR="00665A86" w:rsidRPr="00541798" w:rsidRDefault="00665A86" w:rsidP="00665A86">
      <w:pPr>
        <w:pStyle w:val="Heading2"/>
      </w:pPr>
      <w:bookmarkStart w:id="142" w:name="_Toc129270492"/>
      <w:r w:rsidRPr="00541798">
        <w:t>Types of costs recovered through fees</w:t>
      </w:r>
      <w:bookmarkEnd w:id="142"/>
      <w:r w:rsidRPr="00541798">
        <w:t xml:space="preserve"> </w:t>
      </w:r>
    </w:p>
    <w:p w14:paraId="0E1314DC" w14:textId="0C89087F"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t>Broadly, stakeholder feedback indicates that industry supports the principle that a fee should be paid to ASIC for user</w:t>
      </w:r>
      <w:r w:rsidR="00BD190B">
        <w:rPr>
          <w:rFonts w:cs="Calibri Light"/>
          <w:szCs w:val="22"/>
        </w:rPr>
        <w:noBreakHyphen/>
      </w:r>
      <w:r w:rsidRPr="002D4847">
        <w:rPr>
          <w:rFonts w:cs="Calibri Light"/>
          <w:szCs w:val="22"/>
        </w:rPr>
        <w:t>initiated and transaction</w:t>
      </w:r>
      <w:r w:rsidR="00BD190B">
        <w:rPr>
          <w:rFonts w:cs="Calibri Light"/>
          <w:szCs w:val="22"/>
        </w:rPr>
        <w:noBreakHyphen/>
      </w:r>
      <w:r w:rsidRPr="002D4847">
        <w:rPr>
          <w:rFonts w:cs="Calibri Light"/>
          <w:szCs w:val="22"/>
        </w:rPr>
        <w:t>based activities and generally agree with the types of costs that are recovered through fees</w:t>
      </w:r>
      <w:r w:rsidR="00901E80">
        <w:rPr>
          <w:rFonts w:cs="Calibri Light"/>
          <w:szCs w:val="22"/>
        </w:rPr>
        <w:t xml:space="preserve">. </w:t>
      </w:r>
    </w:p>
    <w:p w14:paraId="0D13F94B" w14:textId="77777777"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t xml:space="preserve">However, some stakeholders have raised concerns that certain fees create disincentives which lead to perverse outcomes or are being incorrectly charged and would be more appropriately recovered through industry funding levies. </w:t>
      </w:r>
    </w:p>
    <w:p w14:paraId="49A26B87" w14:textId="38542DC6" w:rsidR="00665A86" w:rsidRPr="00541798" w:rsidRDefault="00665A86" w:rsidP="00665A86">
      <w:pPr>
        <w:pStyle w:val="Heading3"/>
      </w:pPr>
      <w:bookmarkStart w:id="143" w:name="_Toc129270493"/>
      <w:r w:rsidRPr="00541798">
        <w:t>Analysis and findings</w:t>
      </w:r>
      <w:bookmarkEnd w:id="143"/>
    </w:p>
    <w:p w14:paraId="7703F35B" w14:textId="77777777" w:rsidR="00665A86" w:rsidRPr="00541798" w:rsidRDefault="00665A86" w:rsidP="00665A86">
      <w:pPr>
        <w:pStyle w:val="Heading4"/>
        <w:rPr>
          <w:rFonts w:eastAsia="Yu Gothic Light"/>
          <w:lang w:eastAsia="en-US"/>
        </w:rPr>
      </w:pPr>
      <w:bookmarkStart w:id="144" w:name="_Toc125305208"/>
      <w:r w:rsidRPr="00541798">
        <w:rPr>
          <w:rFonts w:eastAsia="Yu Gothic Light"/>
          <w:lang w:eastAsia="en-US"/>
        </w:rPr>
        <w:t>Fee charges for licence and registration cancellations</w:t>
      </w:r>
      <w:bookmarkEnd w:id="144"/>
    </w:p>
    <w:p w14:paraId="6D9BD7AD" w14:textId="28F78CA9"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t>ASIC charges fees for licence and registration cancellations. There are six flat fees which relate to licence and registration cancellations for AFSL holders, benchmark administrators, Self</w:t>
      </w:r>
      <w:r w:rsidR="00BD190B">
        <w:rPr>
          <w:rFonts w:cs="Calibri Light"/>
          <w:szCs w:val="22"/>
        </w:rPr>
        <w:noBreakHyphen/>
      </w:r>
      <w:r w:rsidRPr="002D4847">
        <w:rPr>
          <w:rFonts w:cs="Calibri Light"/>
          <w:szCs w:val="22"/>
        </w:rPr>
        <w:t>Managed Super Fund (SMSF) auditors and liquidators. There are also three licence cancellation activities that have no fee, which relate to clearing and settlement facility, trade repository and Australian market licen</w:t>
      </w:r>
      <w:r w:rsidR="004F64B8">
        <w:rPr>
          <w:rFonts w:cs="Calibri Light"/>
          <w:szCs w:val="22"/>
        </w:rPr>
        <w:t>c</w:t>
      </w:r>
      <w:r w:rsidRPr="002D4847">
        <w:rPr>
          <w:rFonts w:cs="Calibri Light"/>
          <w:szCs w:val="22"/>
        </w:rPr>
        <w:t xml:space="preserve">es. </w:t>
      </w:r>
    </w:p>
    <w:p w14:paraId="0EADFE2A" w14:textId="17734DC6"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t>ASIC undertakes a number of steps before cancelling a licence which can include consultation with APRA (if the entity is APRA</w:t>
      </w:r>
      <w:r w:rsidR="00BD190B">
        <w:rPr>
          <w:rFonts w:cs="Calibri Light"/>
          <w:szCs w:val="22"/>
        </w:rPr>
        <w:noBreakHyphen/>
      </w:r>
      <w:r w:rsidRPr="002D4847">
        <w:rPr>
          <w:rFonts w:cs="Calibri Light"/>
          <w:szCs w:val="22"/>
        </w:rPr>
        <w:t>regulated), a review of open disputes with the Australian Financial Complaints Authority (AFCA) confirming there are no outstanding financial statements or auditor</w:t>
      </w:r>
      <w:r w:rsidR="00BD190B">
        <w:rPr>
          <w:rFonts w:cs="Calibri Light"/>
          <w:szCs w:val="22"/>
        </w:rPr>
        <w:t>’</w:t>
      </w:r>
      <w:r w:rsidRPr="002D4847">
        <w:rPr>
          <w:rFonts w:cs="Calibri Light"/>
          <w:szCs w:val="22"/>
        </w:rPr>
        <w:t>s reports, and conducting intelligence searches to identify if there are any reasons not to cancel the licence.</w:t>
      </w:r>
    </w:p>
    <w:p w14:paraId="43FC3D8A" w14:textId="77777777"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t xml:space="preserve">Some stakeholders have expressed concerns about these fees. In some cases, these concerns arise from a lack of understanding of the work involved for ASIC. Stakeholders have also raised concerns that licence cancellation fees are not universal, with some significantly more expensive than others, and some charged no fee at all. Stakeholders have also suggested that charging fees for this type of service may function as a disincentive for entities to engage with the process, potentially leading to individuals and businesses retaining a licence or registration unnecessarily. </w:t>
      </w:r>
    </w:p>
    <w:p w14:paraId="3ED1BE62" w14:textId="54532360"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t>While the Review notes stakeholder concerns, it has not found sufficient evidence to suggest that individuals and business are retaining a licence unnecessarily to avoid cancellation fees. Retaining a licence or registration would result in other ongoing compliance requirements and costs for entities that would generally exceed the cost of cancelling a licence or registration</w:t>
      </w:r>
      <w:r w:rsidR="00901E80">
        <w:rPr>
          <w:rFonts w:cs="Calibri Light"/>
          <w:szCs w:val="22"/>
        </w:rPr>
        <w:t xml:space="preserve">. </w:t>
      </w:r>
      <w:r w:rsidRPr="002D4847">
        <w:rPr>
          <w:rFonts w:cs="Calibri Light"/>
          <w:szCs w:val="22"/>
        </w:rPr>
        <w:t>Fees should not disincentivise the cancellation of licen</w:t>
      </w:r>
      <w:r w:rsidR="004F64B8">
        <w:rPr>
          <w:rFonts w:cs="Calibri Light"/>
          <w:szCs w:val="22"/>
        </w:rPr>
        <w:t>c</w:t>
      </w:r>
      <w:r w:rsidRPr="002D4847">
        <w:rPr>
          <w:rFonts w:cs="Calibri Light"/>
          <w:szCs w:val="22"/>
        </w:rPr>
        <w:t xml:space="preserve">es or registrations from those exiting the industry, particularly noting the risks associated with individuals and entities not pursuing cancellations. </w:t>
      </w:r>
    </w:p>
    <w:p w14:paraId="0F819AFC" w14:textId="77777777"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lastRenderedPageBreak/>
        <w:t xml:space="preserve">The Review also finds that it is not appropriate for costs relating to licence and registration cancellation to be recovered via industry funding levies. The cost and benefit of licence and registration cancellation is solely attributable to the entity or organisation seeking to have their licence or registration cancelled. This approach would also be inconsistent with the requirements of the Charging Framework which state that a cost recovery fee is charged when the activity and its costs can be linked to a specific individual or organisation that requests the regulatory service or creates the need for it. </w:t>
      </w:r>
    </w:p>
    <w:p w14:paraId="7A235FCE" w14:textId="408DF8DC" w:rsidR="00665A86" w:rsidRPr="002D4847" w:rsidRDefault="00665A86" w:rsidP="006B2EB3">
      <w:pPr>
        <w:numPr>
          <w:ilvl w:val="1"/>
          <w:numId w:val="19"/>
        </w:numPr>
        <w:spacing w:line="259" w:lineRule="auto"/>
        <w:ind w:left="720" w:hanging="720"/>
        <w:rPr>
          <w:rFonts w:cs="Calibri Light"/>
          <w:szCs w:val="22"/>
        </w:rPr>
      </w:pPr>
      <w:r w:rsidRPr="002D4847">
        <w:rPr>
          <w:rFonts w:cs="Calibri Light"/>
          <w:szCs w:val="22"/>
        </w:rPr>
        <w:t>The Review considers it appropriate that a fee is charged for the cancellation of a licence or registration that is cost reflective of ASIC</w:t>
      </w:r>
      <w:r w:rsidR="00BD190B">
        <w:rPr>
          <w:rFonts w:cs="Calibri Light"/>
          <w:szCs w:val="22"/>
        </w:rPr>
        <w:t>’</w:t>
      </w:r>
      <w:r w:rsidRPr="002D4847">
        <w:rPr>
          <w:rFonts w:cs="Calibri Light"/>
          <w:szCs w:val="22"/>
        </w:rPr>
        <w:t xml:space="preserve">s regulatory effort. The benefit of this work ensures that entities are appropriately removed from the industry and that there are no outstanding matters that preclude the cancellation of a licence or registration. </w:t>
      </w:r>
    </w:p>
    <w:tbl>
      <w:tblPr>
        <w:tblStyle w:val="Style1"/>
        <w:tblW w:w="5000" w:type="pct"/>
        <w:tblLook w:val="04A0" w:firstRow="1" w:lastRow="0" w:firstColumn="1" w:lastColumn="0" w:noHBand="0" w:noVBand="1"/>
      </w:tblPr>
      <w:tblGrid>
        <w:gridCol w:w="9072"/>
      </w:tblGrid>
      <w:tr w:rsidR="00665A86" w:rsidRPr="00541798" w14:paraId="1382C246" w14:textId="77777777" w:rsidTr="00894619">
        <w:trPr>
          <w:trHeight w:val="2098"/>
        </w:trPr>
        <w:tc>
          <w:tcPr>
            <w:tcW w:w="5000" w:type="pct"/>
          </w:tcPr>
          <w:p w14:paraId="5DD0901B" w14:textId="77777777" w:rsidR="00665A86" w:rsidRPr="00541798" w:rsidRDefault="00665A86" w:rsidP="00894619">
            <w:pPr>
              <w:pStyle w:val="BoxHeading"/>
            </w:pPr>
            <w:r w:rsidRPr="00541798">
              <w:t xml:space="preserve">Key finding </w:t>
            </w:r>
            <w:r w:rsidRPr="00A03302">
              <w:t xml:space="preserve"> </w:t>
            </w:r>
          </w:p>
          <w:p w14:paraId="25354FA6" w14:textId="77777777" w:rsidR="00665A86" w:rsidRPr="00A03302" w:rsidRDefault="00665A86" w:rsidP="00585AD0">
            <w:pPr>
              <w:pStyle w:val="BoxText"/>
            </w:pPr>
            <w:r w:rsidRPr="00A03302">
              <w:t xml:space="preserve">Fees associated with licence and registration cancellations are not an incentive for entities to retain their licence or registration unnecessarily, as there are other compliance requirements and costs associated with holding a licence or registration that would generally exceed the cost of cancelling a licence or registration. </w:t>
            </w:r>
          </w:p>
          <w:p w14:paraId="093D661B" w14:textId="77777777" w:rsidR="00665A86" w:rsidRPr="00541798" w:rsidRDefault="00665A86" w:rsidP="00585AD0">
            <w:pPr>
              <w:pStyle w:val="BoxText"/>
            </w:pPr>
            <w:r w:rsidRPr="00A03302">
              <w:t>It is appropriate that a fee is charged to entities or organisations that are seeking a licence or registration cancellation that is cost reflective of the work required by ASIC to undertake these cancellations.</w:t>
            </w:r>
            <w:r w:rsidRPr="00543F52">
              <w:rPr>
                <w:szCs w:val="22"/>
              </w:rPr>
              <w:t xml:space="preserve"> </w:t>
            </w:r>
          </w:p>
        </w:tc>
      </w:tr>
    </w:tbl>
    <w:p w14:paraId="7D1ED242" w14:textId="77777777" w:rsidR="00665A86" w:rsidRPr="00541798" w:rsidRDefault="00665A86" w:rsidP="00665A86">
      <w:pPr>
        <w:pStyle w:val="Heading4"/>
        <w:rPr>
          <w:rFonts w:eastAsia="Yu Gothic Light"/>
          <w:lang w:eastAsia="en-US"/>
        </w:rPr>
      </w:pPr>
      <w:bookmarkStart w:id="145" w:name="_Toc125305209"/>
      <w:r w:rsidRPr="00541798">
        <w:rPr>
          <w:rFonts w:eastAsia="Yu Gothic Light"/>
          <w:lang w:eastAsia="en-US"/>
        </w:rPr>
        <w:t>Fees charged for relief applications</w:t>
      </w:r>
      <w:bookmarkEnd w:id="145"/>
      <w:r w:rsidRPr="00541798">
        <w:rPr>
          <w:rFonts w:eastAsia="Yu Gothic Light"/>
          <w:lang w:eastAsia="en-US"/>
        </w:rPr>
        <w:t xml:space="preserve"> </w:t>
      </w:r>
    </w:p>
    <w:p w14:paraId="22753839"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ASIC charges a fee to consider individual applications to grant relief from certain provisions in the legislation that ASIC is responsible for administering. Relief can be provided on an individual basis or to a class of entities (class orders). </w:t>
      </w:r>
    </w:p>
    <w:p w14:paraId="05FA9B22"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ASIC has discretionary powers to grant relief from certain provisions of: </w:t>
      </w:r>
    </w:p>
    <w:p w14:paraId="7A1E1235" w14:textId="398A33F9" w:rsidR="00665A86" w:rsidRPr="00DE62F7" w:rsidRDefault="00665A86" w:rsidP="00894619">
      <w:pPr>
        <w:pStyle w:val="Bullet"/>
        <w:ind w:left="1004"/>
      </w:pPr>
      <w:r w:rsidRPr="00DE62F7">
        <w:t>the Corporations A</w:t>
      </w:r>
      <w:r w:rsidR="00DE62F7" w:rsidRPr="00DE62F7">
        <w:t>ct</w:t>
      </w:r>
    </w:p>
    <w:p w14:paraId="6EAD778F" w14:textId="3D7CE840" w:rsidR="00665A86" w:rsidRPr="00DE62F7" w:rsidRDefault="00665A86" w:rsidP="00894619">
      <w:pPr>
        <w:pStyle w:val="Bullet"/>
        <w:ind w:left="1004"/>
      </w:pPr>
      <w:r w:rsidRPr="00DE62F7">
        <w:t xml:space="preserve">the </w:t>
      </w:r>
      <w:r w:rsidR="00DE62F7" w:rsidRPr="00DE62F7">
        <w:t>SIS Act</w:t>
      </w:r>
      <w:r w:rsidRPr="00DE62F7">
        <w:t xml:space="preserve"> </w:t>
      </w:r>
    </w:p>
    <w:p w14:paraId="0FD08FFB" w14:textId="708AB029" w:rsidR="00665A86" w:rsidRPr="00DE62F7" w:rsidRDefault="00DE62F7" w:rsidP="00894619">
      <w:pPr>
        <w:pStyle w:val="Bullet"/>
        <w:ind w:left="1004"/>
      </w:pPr>
      <w:r>
        <w:t>the Credit Act</w:t>
      </w:r>
    </w:p>
    <w:p w14:paraId="4F303A5E" w14:textId="287B4CBB" w:rsidR="00665A86" w:rsidRPr="00894619" w:rsidRDefault="00665A86" w:rsidP="00894619">
      <w:pPr>
        <w:pStyle w:val="Bullet"/>
        <w:ind w:left="1004"/>
        <w:rPr>
          <w:i/>
          <w:iCs/>
        </w:rPr>
      </w:pPr>
      <w:r w:rsidRPr="00561098">
        <w:t>the</w:t>
      </w:r>
      <w:r w:rsidRPr="00894619">
        <w:rPr>
          <w:i/>
          <w:iCs/>
        </w:rPr>
        <w:t xml:space="preserve"> National Consumer Credit Protection (Transitional and Consequential Provisions) Act 2009</w:t>
      </w:r>
    </w:p>
    <w:p w14:paraId="083C0C1B" w14:textId="77777777" w:rsidR="00665A86" w:rsidRPr="00541798" w:rsidRDefault="00665A86" w:rsidP="00894619">
      <w:pPr>
        <w:pStyle w:val="Heading3"/>
        <w:rPr>
          <w:rFonts w:eastAsia="Yu Gothic Light"/>
        </w:rPr>
      </w:pPr>
      <w:bookmarkStart w:id="146" w:name="_Toc125305210"/>
      <w:bookmarkStart w:id="147" w:name="_Toc129270494"/>
      <w:r w:rsidRPr="00541798">
        <w:rPr>
          <w:rFonts w:eastAsia="Yu Gothic Light"/>
        </w:rPr>
        <w:t>Individual relief applications</w:t>
      </w:r>
      <w:bookmarkEnd w:id="146"/>
      <w:bookmarkEnd w:id="147"/>
      <w:r w:rsidRPr="00541798">
        <w:rPr>
          <w:rFonts w:eastAsia="Yu Gothic Light"/>
        </w:rPr>
        <w:t xml:space="preserve"> </w:t>
      </w:r>
    </w:p>
    <w:p w14:paraId="02A92721" w14:textId="5717FBB4"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Individual applications for relief attract a single fee of $3,487. This is irrespective of whether the relief application is </w:t>
      </w:r>
      <w:r w:rsidR="00BD190B">
        <w:rPr>
          <w:rFonts w:cs="Calibri Light"/>
        </w:rPr>
        <w:t>‘</w:t>
      </w:r>
      <w:r w:rsidRPr="00541798">
        <w:rPr>
          <w:rFonts w:cs="Calibri Light"/>
        </w:rPr>
        <w:t>standard</w:t>
      </w:r>
      <w:r w:rsidR="00BD190B">
        <w:rPr>
          <w:rFonts w:cs="Calibri Light"/>
        </w:rPr>
        <w:t>’</w:t>
      </w:r>
      <w:r w:rsidRPr="00541798">
        <w:rPr>
          <w:rFonts w:cs="Calibri Light"/>
        </w:rPr>
        <w:t xml:space="preserve"> or </w:t>
      </w:r>
      <w:r w:rsidR="00BD190B">
        <w:rPr>
          <w:rFonts w:cs="Calibri Light"/>
        </w:rPr>
        <w:t>‘</w:t>
      </w:r>
      <w:r w:rsidRPr="00541798">
        <w:rPr>
          <w:rFonts w:cs="Calibri Light"/>
        </w:rPr>
        <w:t>novel</w:t>
      </w:r>
      <w:r w:rsidR="00BD190B">
        <w:rPr>
          <w:rFonts w:cs="Calibri Light"/>
        </w:rPr>
        <w:t>’</w:t>
      </w:r>
      <w:r w:rsidRPr="00541798">
        <w:rPr>
          <w:rFonts w:cs="Calibri Light"/>
        </w:rPr>
        <w:t xml:space="preserve">. </w:t>
      </w:r>
    </w:p>
    <w:p w14:paraId="2E4EBCC2" w14:textId="3DF32637" w:rsidR="00665A86" w:rsidRPr="00541798" w:rsidRDefault="00665A86" w:rsidP="006B2EB3">
      <w:pPr>
        <w:numPr>
          <w:ilvl w:val="1"/>
          <w:numId w:val="19"/>
        </w:numPr>
        <w:spacing w:line="259" w:lineRule="auto"/>
        <w:ind w:left="720" w:hanging="720"/>
        <w:rPr>
          <w:rFonts w:cs="Calibri Light"/>
        </w:rPr>
      </w:pPr>
      <w:r w:rsidRPr="00541798">
        <w:rPr>
          <w:rFonts w:cs="Calibri Light"/>
        </w:rPr>
        <w:t>A single fee is charged for standard relief applications. Although each standard relief application may be different in nature, the time and effort it takes ASIC to consider these types of applications is generally consistent</w:t>
      </w:r>
      <w:r w:rsidR="0047601F">
        <w:rPr>
          <w:rFonts w:cs="Calibri Light"/>
        </w:rPr>
        <w:t xml:space="preserve">. </w:t>
      </w:r>
    </w:p>
    <w:p w14:paraId="1DAC38EB" w14:textId="3A826AE7" w:rsidR="00665A86" w:rsidRPr="00541798" w:rsidRDefault="00665A86" w:rsidP="006B2EB3">
      <w:pPr>
        <w:numPr>
          <w:ilvl w:val="1"/>
          <w:numId w:val="19"/>
        </w:numPr>
        <w:spacing w:line="259" w:lineRule="auto"/>
        <w:ind w:left="720" w:hanging="720"/>
        <w:rPr>
          <w:rFonts w:cs="Calibri Light"/>
        </w:rPr>
      </w:pPr>
      <w:r w:rsidRPr="00541798">
        <w:rPr>
          <w:rFonts w:cs="Calibri Light"/>
        </w:rPr>
        <w:lastRenderedPageBreak/>
        <w:t>The Review considers it appropriate that a single fee is charged for standard relief applications that is cost reflective of ASIC</w:t>
      </w:r>
      <w:r w:rsidR="00BD190B">
        <w:rPr>
          <w:rFonts w:cs="Calibri Light"/>
        </w:rPr>
        <w:t>’</w:t>
      </w:r>
      <w:r w:rsidRPr="00541798">
        <w:rPr>
          <w:rFonts w:cs="Calibri Light"/>
        </w:rPr>
        <w:t>s regulatory effort. However, the Review notes that since the fee has not been reviewed since the commencement of the fees framework in 2018, the fee amount is likely to increase to better reflect ASIC</w:t>
      </w:r>
      <w:r w:rsidR="00BD190B">
        <w:rPr>
          <w:rFonts w:cs="Calibri Light"/>
        </w:rPr>
        <w:t>’</w:t>
      </w:r>
      <w:r w:rsidRPr="00541798">
        <w:rPr>
          <w:rFonts w:cs="Calibri Light"/>
        </w:rPr>
        <w:t>s costs</w:t>
      </w:r>
      <w:r w:rsidR="00901E80">
        <w:rPr>
          <w:rFonts w:cs="Calibri Light"/>
        </w:rPr>
        <w:t xml:space="preserve">. </w:t>
      </w:r>
    </w:p>
    <w:p w14:paraId="73106310"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It is not appropriate for costs relating to standard relief applications to be recovered via levies as the benefit from that relief application is directly attributable to the individual or organisation seeking the relief. </w:t>
      </w:r>
    </w:p>
    <w:p w14:paraId="56B558E5"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Novel relief applications require ASIC to formulate substantive new policy. This may be because it raises new policy considerations, involves more than minor or technical variations to existing policy, or involves a significant change to (or reversal of) existing policy. </w:t>
      </w:r>
    </w:p>
    <w:p w14:paraId="06201B3E" w14:textId="6B6BD519"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In 2018, the </w:t>
      </w:r>
      <w:r w:rsidR="004F64B8">
        <w:rPr>
          <w:rFonts w:cs="Calibri Light"/>
        </w:rPr>
        <w:t>former government</w:t>
      </w:r>
      <w:r w:rsidRPr="00541798">
        <w:rPr>
          <w:rFonts w:cs="Calibri Light"/>
        </w:rPr>
        <w:t xml:space="preserve"> agreed to set a partial fee for novel relief applications in recognition of the industry</w:t>
      </w:r>
      <w:r w:rsidR="00BD190B">
        <w:rPr>
          <w:rFonts w:cs="Calibri Light"/>
        </w:rPr>
        <w:noBreakHyphen/>
      </w:r>
      <w:r w:rsidRPr="00541798">
        <w:rPr>
          <w:rFonts w:cs="Calibri Light"/>
        </w:rPr>
        <w:t>wide benefits that often result from these activities.</w:t>
      </w:r>
    </w:p>
    <w:p w14:paraId="18C1C908"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The single fee for novel relief applications has been set as a partial fee of $3,487 (the same fee as standard relief applications), with any additional costs associated with novel relief applications over and above the single fee recovered via levies. This is because: </w:t>
      </w:r>
    </w:p>
    <w:p w14:paraId="5D49F186" w14:textId="468FBEC8" w:rsidR="00665A86" w:rsidRPr="00541798" w:rsidRDefault="00665A86" w:rsidP="00894619">
      <w:pPr>
        <w:pStyle w:val="Bullet"/>
        <w:ind w:left="1004"/>
      </w:pPr>
      <w:r w:rsidRPr="00541798">
        <w:t xml:space="preserve">novel applications often have a wider industry benefit </w:t>
      </w:r>
    </w:p>
    <w:p w14:paraId="78C395AA" w14:textId="1DD9DF9F" w:rsidR="00665A86" w:rsidRPr="00541798" w:rsidRDefault="00665A86" w:rsidP="00894619">
      <w:pPr>
        <w:pStyle w:val="Bullet"/>
        <w:ind w:left="1004"/>
      </w:pPr>
      <w:r w:rsidRPr="00541798">
        <w:t>the significantly higher costs associated with novel applications may deter applicants from seeking relief</w:t>
      </w:r>
    </w:p>
    <w:p w14:paraId="0251A1DC" w14:textId="296A5909" w:rsidR="00665A86" w:rsidRPr="00541798" w:rsidRDefault="00665A86" w:rsidP="00894619">
      <w:pPr>
        <w:pStyle w:val="Bullet"/>
        <w:ind w:left="1004"/>
      </w:pPr>
      <w:r w:rsidRPr="00541798">
        <w:t xml:space="preserve">a subsequent decrease in novel applications may mean that individually, entities face an increased regulatory burden </w:t>
      </w:r>
    </w:p>
    <w:p w14:paraId="10BB1538" w14:textId="7A0CEA50" w:rsidR="00665A86" w:rsidRPr="00541798" w:rsidRDefault="00665A86" w:rsidP="006B2EB3">
      <w:pPr>
        <w:numPr>
          <w:ilvl w:val="1"/>
          <w:numId w:val="19"/>
        </w:numPr>
        <w:spacing w:line="259" w:lineRule="auto"/>
        <w:ind w:left="720" w:hanging="720"/>
        <w:rPr>
          <w:rFonts w:cs="Calibri Light"/>
        </w:rPr>
      </w:pPr>
      <w:r w:rsidRPr="00541798">
        <w:rPr>
          <w:rFonts w:cs="Calibri Light"/>
        </w:rPr>
        <w:t>The Review finds it appropriate that a single fee is charged for novel relief applications on a partial cost recovery basis in recognition that a full cost recovery fee would be significant and likely disincentivise individuals from seeking relief regarding areas of law where regulatory change is desirable. Therefore, the fee amount that is charged for standard applications should remain the fee amount for novel applications with any additional costs to be recovered via levies in recognition that novel relief applications often have a wider industry benefit</w:t>
      </w:r>
      <w:r w:rsidR="00901E80">
        <w:rPr>
          <w:rFonts w:cs="Calibri Light"/>
        </w:rPr>
        <w:t xml:space="preserve">. </w:t>
      </w:r>
    </w:p>
    <w:p w14:paraId="7429C3D5" w14:textId="194190B7" w:rsidR="00665A86" w:rsidRPr="00541798" w:rsidRDefault="00665A86" w:rsidP="006B2EB3">
      <w:pPr>
        <w:numPr>
          <w:ilvl w:val="1"/>
          <w:numId w:val="19"/>
        </w:numPr>
        <w:spacing w:line="259" w:lineRule="auto"/>
        <w:ind w:left="720" w:hanging="720"/>
        <w:rPr>
          <w:rFonts w:cs="Calibri Light"/>
        </w:rPr>
      </w:pPr>
      <w:r w:rsidRPr="00541798">
        <w:rPr>
          <w:rFonts w:cs="Calibri Light"/>
        </w:rPr>
        <w:t>In a written submission, a stakeholder noted a scenario where an application for financial reporting relief is made for a number of companies under a single corporate group. The stakeholder noted that in this situation there is generally a single substantive application for review and assessment by ASIC, but the fee is charged to each company within the corporate group in respect of which the relief is sought. Therefore, if there are 15 companies in the corporate group, each company is charged the relief application fee</w:t>
      </w:r>
      <w:r w:rsidR="00901E80">
        <w:rPr>
          <w:rFonts w:cs="Calibri Light"/>
        </w:rPr>
        <w:t xml:space="preserve">. </w:t>
      </w:r>
    </w:p>
    <w:p w14:paraId="014AC5F5" w14:textId="15AFB804" w:rsidR="00585AD0" w:rsidRDefault="00665A86" w:rsidP="006B2EB3">
      <w:pPr>
        <w:numPr>
          <w:ilvl w:val="1"/>
          <w:numId w:val="19"/>
        </w:numPr>
        <w:spacing w:line="259" w:lineRule="auto"/>
        <w:ind w:left="720" w:hanging="720"/>
        <w:rPr>
          <w:rFonts w:cs="Calibri Light"/>
        </w:rPr>
      </w:pPr>
      <w:r w:rsidRPr="00541798">
        <w:rPr>
          <w:rFonts w:cs="Calibri Light"/>
        </w:rPr>
        <w:t>The Review finds that it is appropriate that a fee is charged for each individual company as ASIC is required to consider the relief application based on the facts relating to each company which requires time and effort by ASIC to consider. However, the Review notes that in this scenario, the corporate group may wish to seek a fee waiver by ASIC (</w:t>
      </w:r>
      <w:r w:rsidR="0000236F">
        <w:rPr>
          <w:rFonts w:cs="Calibri Light"/>
        </w:rPr>
        <w:t xml:space="preserve">noting that </w:t>
      </w:r>
      <w:r w:rsidR="00EA688B" w:rsidRPr="00EA688B">
        <w:rPr>
          <w:rFonts w:cs="Calibri Light"/>
        </w:rPr>
        <w:t xml:space="preserve">ASIC only has the power to waive </w:t>
      </w:r>
      <w:r w:rsidR="00EA688B">
        <w:rPr>
          <w:rFonts w:cs="Calibri Light"/>
        </w:rPr>
        <w:t xml:space="preserve">fees </w:t>
      </w:r>
      <w:r w:rsidR="00EA688B" w:rsidRPr="00EA688B">
        <w:rPr>
          <w:rFonts w:cs="Calibri Light"/>
        </w:rPr>
        <w:t>up to</w:t>
      </w:r>
      <w:r w:rsidRPr="00541798">
        <w:rPr>
          <w:rFonts w:cs="Calibri Light"/>
        </w:rPr>
        <w:t xml:space="preserve"> $5,000)</w:t>
      </w:r>
      <w:r w:rsidR="00EA688B">
        <w:rPr>
          <w:rFonts w:cs="Calibri Light"/>
        </w:rPr>
        <w:t>.</w:t>
      </w:r>
      <w:r w:rsidRPr="00541798">
        <w:rPr>
          <w:rFonts w:cs="Calibri Light"/>
        </w:rPr>
        <w:t xml:space="preserve"> </w:t>
      </w:r>
      <w:r w:rsidR="00585AD0">
        <w:rPr>
          <w:rFonts w:cs="Calibri Light"/>
        </w:rPr>
        <w:br w:type="page"/>
      </w:r>
    </w:p>
    <w:p w14:paraId="2C98F9FC" w14:textId="77777777" w:rsidR="00665A86" w:rsidRPr="0032739E" w:rsidRDefault="00665A86" w:rsidP="0032739E">
      <w:pPr>
        <w:pStyle w:val="Heading4"/>
        <w:ind w:left="-284" w:firstLine="142"/>
      </w:pPr>
      <w:bookmarkStart w:id="148" w:name="_Toc125305211"/>
      <w:r w:rsidRPr="0032739E">
        <w:lastRenderedPageBreak/>
        <w:t>Class orders</w:t>
      </w:r>
      <w:bookmarkEnd w:id="148"/>
    </w:p>
    <w:p w14:paraId="03BAF1F2"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Class orders are legislative instruments that ASIC issues to:</w:t>
      </w:r>
    </w:p>
    <w:p w14:paraId="35E09523" w14:textId="1336AB97" w:rsidR="00665A86" w:rsidRPr="00541798" w:rsidRDefault="00665A86" w:rsidP="00894619">
      <w:pPr>
        <w:pStyle w:val="Bullet"/>
        <w:ind w:left="1004"/>
      </w:pPr>
      <w:r w:rsidRPr="00541798">
        <w:t>exempt a person(s) from certain provisions in legislation that ASIC administers</w:t>
      </w:r>
    </w:p>
    <w:p w14:paraId="03C6351A" w14:textId="47872298" w:rsidR="00665A86" w:rsidRPr="00541798" w:rsidRDefault="00665A86" w:rsidP="00894619">
      <w:pPr>
        <w:pStyle w:val="Bullet"/>
        <w:ind w:left="1004"/>
      </w:pPr>
      <w:r w:rsidRPr="00541798">
        <w:t>modify or clarify the operation of certain provisions</w:t>
      </w:r>
    </w:p>
    <w:p w14:paraId="65EFC5EA" w14:textId="56EB8F51" w:rsidR="00665A86" w:rsidRPr="00541798" w:rsidRDefault="00665A86" w:rsidP="00894619">
      <w:pPr>
        <w:pStyle w:val="Bullet"/>
        <w:ind w:left="1004"/>
      </w:pPr>
      <w:r w:rsidRPr="00541798">
        <w:t xml:space="preserve">make declarations about a person(s) who is subject to a particular provision </w:t>
      </w:r>
    </w:p>
    <w:p w14:paraId="3A8886F0"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These legislative instruments generally apply to a class of persons or entities who carry out a particular activity in certain circumstances. </w:t>
      </w:r>
    </w:p>
    <w:p w14:paraId="22AD725E" w14:textId="52274246" w:rsidR="00665A86" w:rsidRPr="00541798" w:rsidRDefault="00665A86" w:rsidP="006B2EB3">
      <w:pPr>
        <w:numPr>
          <w:ilvl w:val="1"/>
          <w:numId w:val="19"/>
        </w:numPr>
        <w:spacing w:line="259" w:lineRule="auto"/>
        <w:ind w:left="720" w:hanging="720"/>
        <w:rPr>
          <w:rFonts w:cs="Calibri Light"/>
        </w:rPr>
      </w:pPr>
      <w:r w:rsidRPr="00541798">
        <w:rPr>
          <w:rFonts w:cs="Calibri Light"/>
        </w:rPr>
        <w:t>ASIC</w:t>
      </w:r>
      <w:r w:rsidR="00BD190B">
        <w:rPr>
          <w:rFonts w:cs="Calibri Light"/>
        </w:rPr>
        <w:t>’</w:t>
      </w:r>
      <w:r w:rsidRPr="00541798">
        <w:rPr>
          <w:rFonts w:cs="Calibri Light"/>
        </w:rPr>
        <w:t>s regulatory effort relating to relief provided to a class of entities is recovered via industry levies from the relevant sub</w:t>
      </w:r>
      <w:r w:rsidR="00BD190B">
        <w:rPr>
          <w:rFonts w:cs="Calibri Light"/>
        </w:rPr>
        <w:noBreakHyphen/>
      </w:r>
      <w:r w:rsidRPr="00541798">
        <w:rPr>
          <w:rFonts w:cs="Calibri Light"/>
        </w:rPr>
        <w:t xml:space="preserve">sector. Such relief has a benefit that is spread across a class of entities, and it would therefore be inappropriate to charge a single entity. The Review finds that this remains appropriate. </w:t>
      </w:r>
    </w:p>
    <w:p w14:paraId="73093711"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During consultation, a stakeholder shared a scenario where an individual relief application subsequently resulted in a class order being made (in recognition of the relief being applicable to a class of entities). </w:t>
      </w:r>
    </w:p>
    <w:p w14:paraId="43928CD9" w14:textId="186E0416" w:rsidR="00665A86" w:rsidRPr="00541798" w:rsidRDefault="00665A86" w:rsidP="006B2EB3">
      <w:pPr>
        <w:numPr>
          <w:ilvl w:val="1"/>
          <w:numId w:val="19"/>
        </w:numPr>
        <w:spacing w:line="259" w:lineRule="auto"/>
        <w:ind w:left="720" w:hanging="720"/>
        <w:rPr>
          <w:rFonts w:cs="Calibri Light"/>
        </w:rPr>
      </w:pPr>
      <w:r w:rsidRPr="00541798">
        <w:rPr>
          <w:rFonts w:cs="Calibri Light"/>
        </w:rPr>
        <w:t>While rare, there may be instances when an entity applies for individual relief, and based on that relief application, ASIC later makes a class order. The entity is charged a fee because it is seeking a service from ASIC and receives the benefit of it. At a later stage, when the class order is applied, the entity does not receive a refund for the fee it paid</w:t>
      </w:r>
      <w:r w:rsidR="00901E80">
        <w:rPr>
          <w:rFonts w:cs="Calibri Light"/>
        </w:rPr>
        <w:t xml:space="preserve">. </w:t>
      </w:r>
    </w:p>
    <w:p w14:paraId="68323C78" w14:textId="24E30BE9" w:rsidR="00665A86" w:rsidRPr="00541798" w:rsidRDefault="00665A86" w:rsidP="006B2EB3">
      <w:pPr>
        <w:numPr>
          <w:ilvl w:val="1"/>
          <w:numId w:val="19"/>
        </w:numPr>
        <w:spacing w:line="259" w:lineRule="auto"/>
        <w:ind w:left="720" w:hanging="720"/>
        <w:rPr>
          <w:rFonts w:cs="Calibri Light"/>
        </w:rPr>
      </w:pPr>
      <w:r w:rsidRPr="00541798">
        <w:rPr>
          <w:rFonts w:cs="Calibri Light"/>
        </w:rPr>
        <w:t>The Review considers it appropriate that a fee is charged for individual relief applications that is cost reflective of ASIC</w:t>
      </w:r>
      <w:r w:rsidR="00BD190B">
        <w:rPr>
          <w:rFonts w:cs="Calibri Light"/>
        </w:rPr>
        <w:t>’</w:t>
      </w:r>
      <w:r w:rsidRPr="00541798">
        <w:rPr>
          <w:rFonts w:cs="Calibri Light"/>
        </w:rPr>
        <w:t>s regulatory effort, even when a class order is later applied. This is because the individual initiated the relief application and received a benefit at the time the relief was granted</w:t>
      </w:r>
      <w:r w:rsidR="0047601F">
        <w:rPr>
          <w:rFonts w:cs="Calibri Light"/>
        </w:rPr>
        <w:t xml:space="preserve">. </w:t>
      </w:r>
    </w:p>
    <w:tbl>
      <w:tblPr>
        <w:tblStyle w:val="Style1"/>
        <w:tblW w:w="5000" w:type="pct"/>
        <w:tblLook w:val="04A0" w:firstRow="1" w:lastRow="0" w:firstColumn="1" w:lastColumn="0" w:noHBand="0" w:noVBand="1"/>
      </w:tblPr>
      <w:tblGrid>
        <w:gridCol w:w="9072"/>
      </w:tblGrid>
      <w:tr w:rsidR="00665A86" w:rsidRPr="00541798" w14:paraId="518599FA" w14:textId="77777777" w:rsidTr="00894619">
        <w:trPr>
          <w:trHeight w:val="967"/>
        </w:trPr>
        <w:tc>
          <w:tcPr>
            <w:tcW w:w="5000" w:type="pct"/>
          </w:tcPr>
          <w:bookmarkEnd w:id="139"/>
          <w:p w14:paraId="3383874C" w14:textId="77777777" w:rsidR="00665A86" w:rsidRPr="00541798" w:rsidRDefault="00665A86" w:rsidP="00894619">
            <w:pPr>
              <w:pStyle w:val="BoxHeading"/>
            </w:pPr>
            <w:r w:rsidRPr="00541798">
              <w:t xml:space="preserve">Key finding </w:t>
            </w:r>
            <w:r w:rsidRPr="00A03302">
              <w:t xml:space="preserve"> </w:t>
            </w:r>
          </w:p>
          <w:p w14:paraId="57EA45D3" w14:textId="77777777" w:rsidR="00665A86" w:rsidRPr="00A03302" w:rsidRDefault="00665A86" w:rsidP="00585AD0">
            <w:pPr>
              <w:pStyle w:val="BoxText"/>
            </w:pPr>
            <w:r w:rsidRPr="00A03302">
              <w:t>Overall, the Review finds that the types of costs that are currently recovered through fees remains appropriate and has not found evidence that any costs currently recovered solely through fees should be recovered via levies instead</w:t>
            </w:r>
            <w:r w:rsidRPr="00ED1730">
              <w:t xml:space="preserve">. </w:t>
            </w:r>
          </w:p>
        </w:tc>
      </w:tr>
    </w:tbl>
    <w:p w14:paraId="374A1742" w14:textId="77777777" w:rsidR="00894619" w:rsidRDefault="00894619" w:rsidP="00894619">
      <w:pPr>
        <w:pStyle w:val="SingleParagraph"/>
      </w:pPr>
    </w:p>
    <w:p w14:paraId="16A6E6FB" w14:textId="77777777" w:rsidR="00894619" w:rsidRDefault="00894619">
      <w:pPr>
        <w:spacing w:before="0" w:after="160" w:line="259" w:lineRule="auto"/>
        <w:rPr>
          <w:rFonts w:ascii="Calibri" w:hAnsi="Calibri" w:cs="Arial"/>
          <w:iCs/>
          <w:color w:val="2C384A" w:themeColor="accent1"/>
          <w:kern w:val="32"/>
          <w:sz w:val="36"/>
          <w:szCs w:val="28"/>
        </w:rPr>
      </w:pPr>
      <w:r>
        <w:br w:type="page"/>
      </w:r>
    </w:p>
    <w:p w14:paraId="3DB486C0" w14:textId="306B1239" w:rsidR="00665A86" w:rsidRPr="00541798" w:rsidRDefault="00665A86" w:rsidP="00665A86">
      <w:pPr>
        <w:pStyle w:val="Heading2"/>
      </w:pPr>
      <w:bookmarkStart w:id="149" w:name="_Toc129270495"/>
      <w:r w:rsidRPr="00541798">
        <w:lastRenderedPageBreak/>
        <w:t>Costs recovered through fees and levies</w:t>
      </w:r>
      <w:bookmarkEnd w:id="149"/>
    </w:p>
    <w:p w14:paraId="51A247AB"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In some circumstances, the costs of an activity may be recovered using a combination of both fees and levies. </w:t>
      </w:r>
    </w:p>
    <w:p w14:paraId="59A455BE" w14:textId="10EF89E8" w:rsidR="00665A86" w:rsidRPr="00541798" w:rsidRDefault="00665A86" w:rsidP="006B2EB3">
      <w:pPr>
        <w:numPr>
          <w:ilvl w:val="1"/>
          <w:numId w:val="19"/>
        </w:numPr>
        <w:spacing w:line="259" w:lineRule="auto"/>
        <w:ind w:left="720" w:hanging="720"/>
        <w:rPr>
          <w:rFonts w:cs="Calibri Light"/>
        </w:rPr>
      </w:pPr>
      <w:r w:rsidRPr="00541798">
        <w:rPr>
          <w:rFonts w:cs="Calibri Light"/>
        </w:rPr>
        <w:t>For example, a fee may be charged to recover the costs of a licence application as this cost is directly attributable to an individual entity, while a levy may be used to recover the cost of ASIC developing regulatory guidance on how to apply for a licence in recognition of the wider industry benefits in providing this guidance</w:t>
      </w:r>
      <w:r w:rsidR="00901E80">
        <w:rPr>
          <w:rFonts w:cs="Calibri Light"/>
        </w:rPr>
        <w:t xml:space="preserve">. </w:t>
      </w:r>
    </w:p>
    <w:p w14:paraId="107A4613" w14:textId="1FC5BAC6" w:rsidR="00665A86" w:rsidRPr="00541798" w:rsidRDefault="00665A86" w:rsidP="006B2EB3">
      <w:pPr>
        <w:numPr>
          <w:ilvl w:val="1"/>
          <w:numId w:val="19"/>
        </w:numPr>
        <w:spacing w:line="259" w:lineRule="auto"/>
        <w:ind w:left="720" w:hanging="720"/>
        <w:rPr>
          <w:rFonts w:cs="Calibri Light"/>
        </w:rPr>
      </w:pPr>
      <w:r w:rsidRPr="00541798">
        <w:rPr>
          <w:rFonts w:cs="Calibri Light"/>
        </w:rPr>
        <w:t>Another example is in relation to capital costs – that is, the costs associated with ASIC</w:t>
      </w:r>
      <w:r w:rsidR="00BD190B">
        <w:rPr>
          <w:rFonts w:cs="Calibri Light"/>
        </w:rPr>
        <w:t>’</w:t>
      </w:r>
      <w:r w:rsidRPr="00541798">
        <w:rPr>
          <w:rFonts w:cs="Calibri Light"/>
        </w:rPr>
        <w:t>s information technology (IT) and systems. No aspect of ASIC</w:t>
      </w:r>
      <w:r w:rsidR="00BD190B">
        <w:rPr>
          <w:rFonts w:cs="Calibri Light"/>
        </w:rPr>
        <w:t>’</w:t>
      </w:r>
      <w:r w:rsidRPr="00541798">
        <w:rPr>
          <w:rFonts w:cs="Calibri Light"/>
        </w:rPr>
        <w:t>s capital costs is recovered via fees – that is, the cost of building or updating IT infrastructure or systems to provide a fees</w:t>
      </w:r>
      <w:r w:rsidR="00BD190B">
        <w:rPr>
          <w:rFonts w:cs="Calibri Light"/>
        </w:rPr>
        <w:noBreakHyphen/>
      </w:r>
      <w:r w:rsidRPr="00541798">
        <w:rPr>
          <w:rFonts w:cs="Calibri Light"/>
        </w:rPr>
        <w:t>for</w:t>
      </w:r>
      <w:r w:rsidR="00BD190B">
        <w:rPr>
          <w:rFonts w:cs="Calibri Light"/>
        </w:rPr>
        <w:noBreakHyphen/>
      </w:r>
      <w:r w:rsidRPr="00541798">
        <w:rPr>
          <w:rFonts w:cs="Calibri Light"/>
        </w:rPr>
        <w:t xml:space="preserve">service is not recovered via fees. These costs are recovered via levies. </w:t>
      </w:r>
    </w:p>
    <w:p w14:paraId="29EC672D" w14:textId="7B507938" w:rsidR="002F177E" w:rsidRDefault="002F177E" w:rsidP="006B2EB3">
      <w:pPr>
        <w:numPr>
          <w:ilvl w:val="1"/>
          <w:numId w:val="19"/>
        </w:numPr>
        <w:spacing w:line="259" w:lineRule="auto"/>
        <w:ind w:left="720" w:hanging="720"/>
        <w:rPr>
          <w:rFonts w:cs="Calibri Light"/>
        </w:rPr>
      </w:pPr>
      <w:r w:rsidRPr="00541798">
        <w:rPr>
          <w:rFonts w:cs="Calibri Light"/>
        </w:rPr>
        <w:t>For example, while ASIC charges a fee for an individual entity to apply for a licence</w:t>
      </w:r>
      <w:r w:rsidR="00763457">
        <w:rPr>
          <w:rFonts w:cs="Calibri Light"/>
        </w:rPr>
        <w:t xml:space="preserve"> (the cost of which only reflects ASIC</w:t>
      </w:r>
      <w:r w:rsidR="00BD190B">
        <w:rPr>
          <w:rFonts w:cs="Calibri Light"/>
        </w:rPr>
        <w:t>’</w:t>
      </w:r>
      <w:r w:rsidR="00763457">
        <w:rPr>
          <w:rFonts w:cs="Calibri Light"/>
        </w:rPr>
        <w:t>s cost in processing the application)</w:t>
      </w:r>
      <w:r w:rsidRPr="00541798">
        <w:rPr>
          <w:rFonts w:cs="Calibri Light"/>
        </w:rPr>
        <w:t>, the costs of the IT system associated with the licence application (that is, the portal through which the application is received) is recovered via levies. This is in recognition that the cost of the IT infrastructure or system cannot be directly attributable to an individual entity and provides wider industry benefits</w:t>
      </w:r>
      <w:r w:rsidR="00BD190B">
        <w:rPr>
          <w:rFonts w:cs="Calibri Light"/>
        </w:rPr>
        <w:t xml:space="preserve">. </w:t>
      </w:r>
    </w:p>
    <w:p w14:paraId="22C4EE92" w14:textId="3AFFEF54" w:rsidR="002276AF" w:rsidRPr="00541798" w:rsidRDefault="002276AF" w:rsidP="006B2EB3">
      <w:pPr>
        <w:numPr>
          <w:ilvl w:val="1"/>
          <w:numId w:val="19"/>
        </w:numPr>
        <w:spacing w:line="259" w:lineRule="auto"/>
        <w:ind w:left="720" w:hanging="720"/>
        <w:rPr>
          <w:rFonts w:cs="Calibri Light"/>
        </w:rPr>
      </w:pPr>
      <w:r>
        <w:rPr>
          <w:rFonts w:cs="Calibri Light"/>
        </w:rPr>
        <w:t xml:space="preserve">Other types of costs that are recovered through both fees and levies includes the costs associated with novel relief applications – see Section </w:t>
      </w:r>
      <w:r w:rsidR="00BD190B">
        <w:rPr>
          <w:rFonts w:cs="Calibri Light"/>
        </w:rPr>
        <w:t>‘</w:t>
      </w:r>
      <w:r>
        <w:rPr>
          <w:rFonts w:cs="Calibri Light"/>
        </w:rPr>
        <w:t>Types of costs recovered through fees</w:t>
      </w:r>
      <w:r w:rsidR="00BD190B">
        <w:rPr>
          <w:rFonts w:cs="Calibri Light"/>
        </w:rPr>
        <w:t>’</w:t>
      </w:r>
      <w:r>
        <w:rPr>
          <w:rFonts w:cs="Calibri Light"/>
        </w:rPr>
        <w:t xml:space="preserve">. </w:t>
      </w:r>
    </w:p>
    <w:p w14:paraId="74690E5C" w14:textId="77777777" w:rsidR="00665A86" w:rsidRPr="00541798" w:rsidRDefault="00665A86" w:rsidP="00665A86">
      <w:pPr>
        <w:pStyle w:val="Heading3"/>
      </w:pPr>
      <w:bookmarkStart w:id="150" w:name="_Toc129270496"/>
      <w:r w:rsidRPr="00541798">
        <w:t>Analysis and findings</w:t>
      </w:r>
      <w:bookmarkEnd w:id="150"/>
    </w:p>
    <w:p w14:paraId="7D58C5D8" w14:textId="77777777" w:rsidR="00665A86" w:rsidRPr="00541798" w:rsidRDefault="00665A86" w:rsidP="006B2EB3">
      <w:pPr>
        <w:numPr>
          <w:ilvl w:val="1"/>
          <w:numId w:val="19"/>
        </w:numPr>
        <w:spacing w:line="259" w:lineRule="auto"/>
        <w:ind w:left="720" w:hanging="720"/>
        <w:rPr>
          <w:rFonts w:cs="Calibri Light"/>
        </w:rPr>
      </w:pPr>
      <w:r w:rsidRPr="00541798">
        <w:rPr>
          <w:rFonts w:cs="Calibri Light"/>
        </w:rPr>
        <w:t xml:space="preserve">The Review finds it appropriate that </w:t>
      </w:r>
      <w:r w:rsidRPr="00541798">
        <w:rPr>
          <w:rFonts w:eastAsia="Calibri" w:cs="Calibri Light"/>
          <w:szCs w:val="22"/>
          <w:lang w:eastAsia="en-US"/>
        </w:rPr>
        <w:t xml:space="preserve">in certain circumstances costs are recovered through both levies and fees, where it is clear that: </w:t>
      </w:r>
    </w:p>
    <w:p w14:paraId="51AAFB5C" w14:textId="77777777" w:rsidR="00665A86" w:rsidRPr="00541798" w:rsidRDefault="00665A86" w:rsidP="00894619">
      <w:pPr>
        <w:pStyle w:val="Bullet"/>
        <w:ind w:left="1004"/>
      </w:pPr>
      <w:r w:rsidRPr="00541798">
        <w:rPr>
          <w:rFonts w:eastAsia="Calibri"/>
          <w:lang w:eastAsia="en-US"/>
        </w:rPr>
        <w:t xml:space="preserve">the benefit and cost of an activity is directly attributable to an individual (and therefore a portion of the cost is recovered via fees); and </w:t>
      </w:r>
    </w:p>
    <w:p w14:paraId="2779D70F" w14:textId="77777777" w:rsidR="00665A86" w:rsidRPr="00541798" w:rsidRDefault="00665A86" w:rsidP="00894619">
      <w:pPr>
        <w:pStyle w:val="Bullet"/>
        <w:ind w:left="1004"/>
      </w:pPr>
      <w:r w:rsidRPr="00541798">
        <w:rPr>
          <w:rFonts w:eastAsia="Calibri"/>
          <w:lang w:eastAsia="en-US"/>
        </w:rPr>
        <w:t>there are wider industry benefits from the activity (and therefore a portion of the cost is recovered via levies).</w:t>
      </w:r>
    </w:p>
    <w:p w14:paraId="054D937C" w14:textId="102C4D04" w:rsidR="00665A86" w:rsidRPr="00894619" w:rsidRDefault="00665A86" w:rsidP="006B2EB3">
      <w:pPr>
        <w:numPr>
          <w:ilvl w:val="1"/>
          <w:numId w:val="19"/>
        </w:numPr>
        <w:spacing w:line="259" w:lineRule="auto"/>
        <w:ind w:left="720" w:hanging="720"/>
      </w:pPr>
      <w:r w:rsidRPr="00894619">
        <w:rPr>
          <w:rFonts w:cs="Calibri Light"/>
        </w:rPr>
        <w:t xml:space="preserve">The Review finds that the arrangements for activities where costs are currently recovered through both fees and levies remains appropriate. </w:t>
      </w:r>
    </w:p>
    <w:p w14:paraId="60F71F03" w14:textId="77777777" w:rsidR="00176C38" w:rsidRPr="00894619" w:rsidRDefault="00176C38" w:rsidP="00176C38">
      <w:pPr>
        <w:spacing w:line="259" w:lineRule="auto"/>
        <w:ind w:left="720"/>
      </w:pPr>
    </w:p>
    <w:tbl>
      <w:tblPr>
        <w:tblStyle w:val="Style1"/>
        <w:tblpPr w:leftFromText="180" w:rightFromText="180" w:vertAnchor="text" w:horzAnchor="margin" w:tblpXSpec="right" w:tblpY="-25"/>
        <w:tblW w:w="5000" w:type="pct"/>
        <w:tblLook w:val="04A0" w:firstRow="1" w:lastRow="0" w:firstColumn="1" w:lastColumn="0" w:noHBand="0" w:noVBand="1"/>
      </w:tblPr>
      <w:tblGrid>
        <w:gridCol w:w="9072"/>
      </w:tblGrid>
      <w:tr w:rsidR="00665A86" w:rsidRPr="00541798" w14:paraId="65A78B0B" w14:textId="77777777" w:rsidTr="00894619">
        <w:trPr>
          <w:trHeight w:val="1533"/>
        </w:trPr>
        <w:tc>
          <w:tcPr>
            <w:tcW w:w="5000" w:type="pct"/>
          </w:tcPr>
          <w:p w14:paraId="0C1FBBE4" w14:textId="77777777" w:rsidR="00665A86" w:rsidRPr="00541798" w:rsidRDefault="00665A86" w:rsidP="00894619">
            <w:pPr>
              <w:pStyle w:val="BoxHeading"/>
            </w:pPr>
            <w:r w:rsidRPr="00541798">
              <w:t xml:space="preserve">Key finding  </w:t>
            </w:r>
          </w:p>
          <w:p w14:paraId="3877C403" w14:textId="77777777" w:rsidR="00665A86" w:rsidRPr="00A03302" w:rsidRDefault="00665A86" w:rsidP="00585AD0">
            <w:pPr>
              <w:pStyle w:val="BoxText"/>
            </w:pPr>
            <w:r w:rsidRPr="00894619">
              <w:t>The Review finds that it is appropriate in certain circumstances for costs to be recovered through both levies and fees, where it is clearly delineated that the benefit and cost of an activity is directly attributable to an individual (and therefore the cost is recovered via fees) or the wider industry (and therefore the cost is recovered via levies).</w:t>
            </w:r>
          </w:p>
        </w:tc>
      </w:tr>
    </w:tbl>
    <w:p w14:paraId="678E0AAC" w14:textId="77777777" w:rsidR="00665A86" w:rsidRPr="00541798" w:rsidRDefault="00665A86" w:rsidP="00665A86">
      <w:pPr>
        <w:spacing w:before="0" w:after="160" w:line="259" w:lineRule="auto"/>
        <w:rPr>
          <w:rFonts w:ascii="Calibri" w:eastAsia="Calibri" w:hAnsi="Calibri" w:cs="Arial"/>
          <w:szCs w:val="22"/>
          <w:lang w:eastAsia="en-US"/>
        </w:rPr>
      </w:pPr>
    </w:p>
    <w:p w14:paraId="4F3C54FB" w14:textId="77777777" w:rsidR="00665A86" w:rsidRPr="001560B2" w:rsidRDefault="00665A86" w:rsidP="00232046">
      <w:pPr>
        <w:spacing w:before="0" w:after="240" w:line="260" w:lineRule="exact"/>
        <w:rPr>
          <w:color w:val="2F5496"/>
          <w:sz w:val="26"/>
          <w:szCs w:val="26"/>
          <w:lang w:eastAsia="en-US"/>
        </w:rPr>
      </w:pPr>
      <w:r w:rsidRPr="00541798">
        <w:rPr>
          <w:rFonts w:ascii="Calibri" w:hAnsi="Calibri" w:cs="Arial"/>
          <w:szCs w:val="22"/>
          <w:lang w:eastAsia="en-US"/>
        </w:rPr>
        <w:br w:type="page"/>
      </w:r>
    </w:p>
    <w:p w14:paraId="5894FB9F" w14:textId="77777777" w:rsidR="00665A86" w:rsidRPr="004C5684" w:rsidRDefault="00665A86" w:rsidP="00585AD0">
      <w:pPr>
        <w:pStyle w:val="Heading1"/>
      </w:pPr>
      <w:bookmarkStart w:id="151" w:name="_Toc125305212"/>
      <w:bookmarkStart w:id="152" w:name="_Toc129270497"/>
      <w:r w:rsidRPr="00DE590F">
        <w:lastRenderedPageBreak/>
        <w:t xml:space="preserve">Chapter </w:t>
      </w:r>
      <w:r>
        <w:t>5</w:t>
      </w:r>
      <w:r w:rsidRPr="00DE590F">
        <w:t>: Reporting, transparency and consultation</w:t>
      </w:r>
      <w:bookmarkEnd w:id="118"/>
      <w:r w:rsidRPr="004C5684">
        <w:t xml:space="preserve"> on the ASIC IFM</w:t>
      </w:r>
      <w:bookmarkEnd w:id="151"/>
      <w:bookmarkEnd w:id="152"/>
    </w:p>
    <w:p w14:paraId="6685E5D1" w14:textId="77777777" w:rsidR="00665A86" w:rsidRPr="00293B59" w:rsidRDefault="00665A86" w:rsidP="00665A86">
      <w:pPr>
        <w:pStyle w:val="Heading2"/>
      </w:pPr>
      <w:bookmarkStart w:id="153" w:name="_Toc125305213"/>
      <w:bookmarkStart w:id="154" w:name="_Toc129270498"/>
      <w:r w:rsidRPr="00293B59">
        <w:t>Introduction</w:t>
      </w:r>
      <w:bookmarkEnd w:id="153"/>
      <w:bookmarkEnd w:id="154"/>
    </w:p>
    <w:p w14:paraId="39CE61B6" w14:textId="02BFD737" w:rsidR="00665A86" w:rsidRPr="00293B59" w:rsidRDefault="00665A86" w:rsidP="006B2EB3">
      <w:pPr>
        <w:pStyle w:val="numberedtext"/>
        <w:numPr>
          <w:ilvl w:val="0"/>
          <w:numId w:val="17"/>
        </w:numPr>
        <w:ind w:hanging="720"/>
        <w:rPr>
          <w:rFonts w:ascii="Calibri Light" w:eastAsia="Times New Roman" w:hAnsi="Calibri Light" w:cs="Calibri Light"/>
          <w:szCs w:val="20"/>
          <w:lang w:eastAsia="en-AU"/>
        </w:rPr>
      </w:pPr>
      <w:r w:rsidRPr="00293B59">
        <w:rPr>
          <w:rFonts w:ascii="Calibri Light" w:eastAsia="Times New Roman" w:hAnsi="Calibri Light" w:cs="Calibri Light"/>
          <w:szCs w:val="20"/>
          <w:lang w:eastAsia="en-AU"/>
        </w:rPr>
        <w:t>The Review</w:t>
      </w:r>
      <w:r w:rsidR="00BD190B">
        <w:rPr>
          <w:rFonts w:ascii="Calibri Light" w:eastAsia="Times New Roman" w:hAnsi="Calibri Light" w:cs="Calibri Light"/>
          <w:szCs w:val="20"/>
          <w:lang w:eastAsia="en-AU"/>
        </w:rPr>
        <w:t>’</w:t>
      </w:r>
      <w:r w:rsidRPr="00293B59">
        <w:rPr>
          <w:rFonts w:ascii="Calibri Light" w:eastAsia="Times New Roman" w:hAnsi="Calibri Light" w:cs="Calibri Light"/>
          <w:szCs w:val="20"/>
          <w:lang w:eastAsia="en-AU"/>
        </w:rPr>
        <w:t>s Terms of Reference requires the Review to consider the suitability of ASIC</w:t>
      </w:r>
      <w:r w:rsidR="00BD190B">
        <w:rPr>
          <w:rFonts w:ascii="Calibri Light" w:eastAsia="Times New Roman" w:hAnsi="Calibri Light" w:cs="Calibri Light"/>
          <w:szCs w:val="20"/>
          <w:lang w:eastAsia="en-AU"/>
        </w:rPr>
        <w:t>’</w:t>
      </w:r>
      <w:r w:rsidRPr="00293B59">
        <w:rPr>
          <w:rFonts w:ascii="Calibri Light" w:eastAsia="Times New Roman" w:hAnsi="Calibri Light" w:cs="Calibri Light"/>
          <w:szCs w:val="20"/>
          <w:lang w:eastAsia="en-AU"/>
        </w:rPr>
        <w:t>s transparency and consultation mechanisms, including the CRIS, and how ASIC could improve the accuracy of its estimates of costs to sub</w:t>
      </w:r>
      <w:r w:rsidR="00BD190B">
        <w:rPr>
          <w:rFonts w:ascii="Calibri Light" w:eastAsia="Times New Roman" w:hAnsi="Calibri Light" w:cs="Calibri Light"/>
          <w:szCs w:val="20"/>
          <w:lang w:eastAsia="en-AU"/>
        </w:rPr>
        <w:noBreakHyphen/>
      </w:r>
      <w:r w:rsidRPr="00293B59">
        <w:rPr>
          <w:rFonts w:ascii="Calibri Light" w:eastAsia="Times New Roman" w:hAnsi="Calibri Light" w:cs="Calibri Light"/>
          <w:szCs w:val="20"/>
          <w:lang w:eastAsia="en-AU"/>
        </w:rPr>
        <w:t xml:space="preserve">sectors. </w:t>
      </w:r>
    </w:p>
    <w:p w14:paraId="3D875457" w14:textId="4878A58E" w:rsidR="00665A86" w:rsidRPr="00293B59" w:rsidRDefault="00665A86" w:rsidP="006B2EB3">
      <w:pPr>
        <w:pStyle w:val="numberedtext"/>
        <w:numPr>
          <w:ilvl w:val="0"/>
          <w:numId w:val="17"/>
        </w:numPr>
        <w:ind w:hanging="720"/>
        <w:rPr>
          <w:rFonts w:ascii="Calibri Light" w:eastAsia="Times New Roman" w:hAnsi="Calibri Light" w:cs="Calibri Light"/>
          <w:szCs w:val="20"/>
          <w:lang w:eastAsia="en-AU"/>
        </w:rPr>
      </w:pPr>
      <w:r w:rsidRPr="00293B59">
        <w:rPr>
          <w:rFonts w:ascii="Calibri Light" w:eastAsia="Times New Roman" w:hAnsi="Calibri Light" w:cs="Calibri Light"/>
          <w:lang w:eastAsia="en-AU"/>
        </w:rPr>
        <w:t>This chapter considers the suitability of ASIC</w:t>
      </w:r>
      <w:r w:rsidR="00BD190B">
        <w:rPr>
          <w:rFonts w:ascii="Calibri Light" w:eastAsia="Times New Roman" w:hAnsi="Calibri Light" w:cs="Calibri Light"/>
          <w:lang w:eastAsia="en-AU"/>
        </w:rPr>
        <w:t>’</w:t>
      </w:r>
      <w:r w:rsidRPr="00293B59">
        <w:rPr>
          <w:rFonts w:ascii="Calibri Light" w:eastAsia="Times New Roman" w:hAnsi="Calibri Light" w:cs="Calibri Light"/>
          <w:lang w:eastAsia="en-AU"/>
        </w:rPr>
        <w:t xml:space="preserve">s reporting, transparency and consultation </w:t>
      </w:r>
      <w:r w:rsidRPr="00293B59">
        <w:rPr>
          <w:rFonts w:ascii="Calibri Light" w:hAnsi="Calibri Light" w:cs="Calibri Light"/>
        </w:rPr>
        <w:t xml:space="preserve">arrangements in relation to the ASIC IFM, as a means to ensure key information is available to stakeholders to enable an appropriate level of accountability to </w:t>
      </w:r>
      <w:r w:rsidR="008F3F1E">
        <w:rPr>
          <w:rFonts w:ascii="Calibri Light" w:hAnsi="Calibri Light" w:cs="Calibri Light"/>
        </w:rPr>
        <w:t>stakeholders</w:t>
      </w:r>
      <w:r w:rsidRPr="00293B59">
        <w:rPr>
          <w:rFonts w:ascii="Calibri Light" w:hAnsi="Calibri Light" w:cs="Calibri Light"/>
        </w:rPr>
        <w:t xml:space="preserve"> on ASIC</w:t>
      </w:r>
      <w:r w:rsidR="00BD190B">
        <w:rPr>
          <w:rFonts w:ascii="Calibri Light" w:hAnsi="Calibri Light" w:cs="Calibri Light"/>
        </w:rPr>
        <w:t>’</w:t>
      </w:r>
      <w:r w:rsidRPr="00293B59">
        <w:rPr>
          <w:rFonts w:ascii="Calibri Light" w:hAnsi="Calibri Light" w:cs="Calibri Light"/>
        </w:rPr>
        <w:t>s regulatory activities and costs.</w:t>
      </w:r>
    </w:p>
    <w:p w14:paraId="0BBB638D" w14:textId="1C74DFF1" w:rsidR="00665A86" w:rsidRPr="00293B59" w:rsidRDefault="00665A86" w:rsidP="00665A86">
      <w:pPr>
        <w:pStyle w:val="Heading2"/>
      </w:pPr>
      <w:bookmarkStart w:id="155" w:name="_Toc125305214"/>
      <w:bookmarkStart w:id="156" w:name="_Toc129270499"/>
      <w:r w:rsidRPr="00293B59">
        <w:t>ASIC</w:t>
      </w:r>
      <w:r w:rsidR="00BD190B">
        <w:t>’</w:t>
      </w:r>
      <w:r w:rsidRPr="00293B59">
        <w:t>s reporting, transparency and consultation framework</w:t>
      </w:r>
      <w:bookmarkEnd w:id="155"/>
      <w:bookmarkEnd w:id="156"/>
    </w:p>
    <w:p w14:paraId="2EE6D8D0" w14:textId="77777777" w:rsidR="00665A86" w:rsidRPr="00293B59" w:rsidRDefault="00665A86" w:rsidP="006B2EB3">
      <w:pPr>
        <w:pStyle w:val="numberedtext"/>
        <w:numPr>
          <w:ilvl w:val="0"/>
          <w:numId w:val="17"/>
        </w:numPr>
        <w:ind w:hanging="720"/>
        <w:rPr>
          <w:rFonts w:ascii="Calibri Light" w:eastAsia="Times New Roman" w:hAnsi="Calibri Light" w:cs="Calibri Light"/>
          <w:lang w:eastAsia="en-AU"/>
        </w:rPr>
      </w:pPr>
      <w:r w:rsidRPr="00293B59">
        <w:rPr>
          <w:rFonts w:ascii="Calibri Light" w:eastAsia="Times New Roman" w:hAnsi="Calibri Light" w:cs="Calibri Light"/>
          <w:lang w:eastAsia="en-AU"/>
        </w:rPr>
        <w:t xml:space="preserve">Reporting, transparency and consultation arrangements for the ASIC IFM are intended to ensure key information is available to stakeholders. </w:t>
      </w:r>
    </w:p>
    <w:p w14:paraId="69186D11" w14:textId="77777777" w:rsidR="00665A86" w:rsidRPr="00293B59" w:rsidRDefault="00665A86" w:rsidP="006B2EB3">
      <w:pPr>
        <w:pStyle w:val="numberedtext"/>
        <w:numPr>
          <w:ilvl w:val="0"/>
          <w:numId w:val="17"/>
        </w:numPr>
        <w:ind w:hanging="720"/>
        <w:rPr>
          <w:rFonts w:ascii="Calibri Light" w:eastAsia="Times New Roman" w:hAnsi="Calibri Light" w:cs="Calibri Light"/>
          <w:lang w:eastAsia="en-AU"/>
        </w:rPr>
      </w:pPr>
      <w:r w:rsidRPr="00293B59">
        <w:rPr>
          <w:rFonts w:ascii="Calibri Light" w:eastAsia="Times New Roman" w:hAnsi="Calibri Light" w:cs="Calibri Light"/>
          <w:lang w:eastAsia="en-AU"/>
        </w:rPr>
        <w:t xml:space="preserve">The Explanatory Memorandum to the ASIC Supervisory Cost Recovery Levy Bill 2017 and related Bills noted that the ASIC IFM will include measures to support ASIC to become a stronger regulator through increased accountability, transparency and engagement with consumers and its regulated entities. </w:t>
      </w:r>
    </w:p>
    <w:p w14:paraId="691D0648" w14:textId="7DB5C16D" w:rsidR="00665A86" w:rsidRPr="00293B59" w:rsidRDefault="00665A86" w:rsidP="006B2EB3">
      <w:pPr>
        <w:pStyle w:val="numberedtext"/>
        <w:numPr>
          <w:ilvl w:val="0"/>
          <w:numId w:val="17"/>
        </w:numPr>
        <w:ind w:hanging="720"/>
        <w:rPr>
          <w:rFonts w:ascii="Calibri Light" w:eastAsia="Times New Roman" w:hAnsi="Calibri Light" w:cs="Calibri Light"/>
          <w:lang w:eastAsia="en-AU"/>
        </w:rPr>
      </w:pPr>
      <w:r w:rsidRPr="00293B59">
        <w:rPr>
          <w:rFonts w:ascii="Calibri Light" w:eastAsia="Times New Roman" w:hAnsi="Calibri Light" w:cs="Calibri Light"/>
          <w:lang w:eastAsia="en-AU"/>
        </w:rPr>
        <w:t xml:space="preserve">Figure 5.1 outlines the legislative and broader </w:t>
      </w:r>
      <w:r w:rsidR="00B327E2">
        <w:rPr>
          <w:rFonts w:ascii="Calibri Light" w:eastAsia="Times New Roman" w:hAnsi="Calibri Light" w:cs="Calibri Light"/>
          <w:lang w:eastAsia="en-AU"/>
        </w:rPr>
        <w:t>g</w:t>
      </w:r>
      <w:r w:rsidRPr="00293B59">
        <w:rPr>
          <w:rFonts w:ascii="Calibri Light" w:eastAsia="Times New Roman" w:hAnsi="Calibri Light" w:cs="Calibri Light"/>
          <w:lang w:eastAsia="en-AU"/>
        </w:rPr>
        <w:t>overnment arrangements that require ASIC to make available information about its regulatory activities, regulatory costs and charges</w:t>
      </w:r>
      <w:r w:rsidR="00901E80">
        <w:rPr>
          <w:rFonts w:ascii="Calibri Light" w:eastAsia="Times New Roman" w:hAnsi="Calibri Light" w:cs="Calibri Light"/>
          <w:lang w:eastAsia="en-AU"/>
        </w:rPr>
        <w:t xml:space="preserve">. </w:t>
      </w:r>
    </w:p>
    <w:p w14:paraId="6688DA68" w14:textId="75B731EE" w:rsidR="00665A86" w:rsidRPr="00D55557" w:rsidRDefault="00665A86" w:rsidP="003351FA">
      <w:pPr>
        <w:pStyle w:val="ChartMainHeading"/>
      </w:pPr>
      <w:bookmarkStart w:id="157" w:name="_Toc129270500"/>
      <w:r w:rsidRPr="009E7450">
        <w:t>Figure 5.1: ASIC</w:t>
      </w:r>
      <w:r w:rsidR="00BD190B">
        <w:t>’</w:t>
      </w:r>
      <w:r w:rsidRPr="009E7450">
        <w:t xml:space="preserve">s </w:t>
      </w:r>
      <w:r w:rsidRPr="00D5612D">
        <w:t xml:space="preserve">current reporting, transparency </w:t>
      </w:r>
      <w:r w:rsidRPr="009E7450">
        <w:t>and consultation mechanis</w:t>
      </w:r>
      <w:r w:rsidRPr="003D2310">
        <w:t>ms</w:t>
      </w:r>
      <w:bookmarkEnd w:id="157"/>
    </w:p>
    <w:p w14:paraId="2B2FBA59" w14:textId="638C82D3" w:rsidR="00665A86" w:rsidRPr="00D55557" w:rsidRDefault="00665A86" w:rsidP="003351FA">
      <w:pPr>
        <w:pStyle w:val="ChartGraphic"/>
        <w:rPr>
          <w:rFonts w:asciiTheme="majorHAnsi" w:hAnsiTheme="majorHAnsi" w:cstheme="majorHAnsi"/>
          <w:b/>
          <w:bCs/>
        </w:rPr>
      </w:pPr>
      <w:r>
        <w:rPr>
          <w:noProof/>
        </w:rPr>
        <w:drawing>
          <wp:inline distT="0" distB="0" distL="0" distR="0" wp14:anchorId="3B5F7BD6" wp14:editId="49F0C4F9">
            <wp:extent cx="5760720" cy="2531745"/>
            <wp:effectExtent l="0" t="0" r="0" b="1905"/>
            <wp:docPr id="5" name="Picture 5" descr="This figure shows ASIC’s current reporting, transparency, and consultation requirements under the PGPA Act, ASIC Act, Charging Framework, Cost Recovery Levy Act and other mech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figure shows ASIC’s current reporting, transparency, and consultation requirements under the PGPA Act, ASIC Act, Charging Framework, Cost Recovery Levy Act and other mechanisms."/>
                    <pic:cNvPicPr/>
                  </pic:nvPicPr>
                  <pic:blipFill>
                    <a:blip r:embed="rId30"/>
                    <a:stretch>
                      <a:fillRect/>
                    </a:stretch>
                  </pic:blipFill>
                  <pic:spPr>
                    <a:xfrm>
                      <a:off x="0" y="0"/>
                      <a:ext cx="5760720" cy="2531745"/>
                    </a:xfrm>
                    <a:prstGeom prst="rect">
                      <a:avLst/>
                    </a:prstGeom>
                  </pic:spPr>
                </pic:pic>
              </a:graphicData>
            </a:graphic>
          </wp:inline>
        </w:drawing>
      </w:r>
    </w:p>
    <w:p w14:paraId="6385F760" w14:textId="77777777" w:rsidR="00C53B23" w:rsidRDefault="00C53B23">
      <w:pPr>
        <w:spacing w:before="0" w:after="160" w:line="259" w:lineRule="auto"/>
        <w:rPr>
          <w:rFonts w:ascii="Calibri" w:hAnsi="Calibri" w:cs="Arial"/>
          <w:iCs/>
          <w:color w:val="2C384A" w:themeColor="accent1"/>
          <w:kern w:val="32"/>
          <w:sz w:val="36"/>
          <w:szCs w:val="28"/>
        </w:rPr>
      </w:pPr>
      <w:bookmarkStart w:id="158" w:name="_Toc125305215"/>
      <w:r>
        <w:br w:type="page"/>
      </w:r>
    </w:p>
    <w:p w14:paraId="610CB7C1" w14:textId="0F3E4912" w:rsidR="00665A86" w:rsidRPr="00293B59" w:rsidRDefault="00665A86" w:rsidP="00665A86">
      <w:pPr>
        <w:pStyle w:val="Heading2"/>
      </w:pPr>
      <w:bookmarkStart w:id="159" w:name="_Toc129270501"/>
      <w:r w:rsidRPr="00293B59">
        <w:lastRenderedPageBreak/>
        <w:t>Purpose and process of the CRIS</w:t>
      </w:r>
      <w:bookmarkEnd w:id="158"/>
      <w:bookmarkEnd w:id="159"/>
      <w:r w:rsidRPr="00293B59">
        <w:t xml:space="preserve"> </w:t>
      </w:r>
    </w:p>
    <w:p w14:paraId="3FF255A2" w14:textId="243C7096"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Charging Framework requires </w:t>
      </w:r>
      <w:r w:rsidR="00B327E2">
        <w:rPr>
          <w:rFonts w:ascii="Calibri Light" w:hAnsi="Calibri Light" w:cs="Calibri Light"/>
        </w:rPr>
        <w:t>g</w:t>
      </w:r>
      <w:r w:rsidRPr="00293B59">
        <w:rPr>
          <w:rFonts w:ascii="Calibri Light" w:hAnsi="Calibri Light" w:cs="Calibri Light"/>
        </w:rPr>
        <w:t xml:space="preserve">overnment entities to document in a CRIS key information on how cost recovery for a specific </w:t>
      </w:r>
      <w:r w:rsidR="00B327E2">
        <w:rPr>
          <w:rFonts w:ascii="Calibri Light" w:hAnsi="Calibri Light" w:cs="Calibri Light"/>
        </w:rPr>
        <w:t>g</w:t>
      </w:r>
      <w:r w:rsidRPr="00293B59">
        <w:rPr>
          <w:rFonts w:ascii="Calibri Light" w:hAnsi="Calibri Light" w:cs="Calibri Light"/>
        </w:rPr>
        <w:t xml:space="preserve">overnment activity is implemented. </w:t>
      </w:r>
    </w:p>
    <w:p w14:paraId="4ECBFE9E" w14:textId="07035B40"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ASIC</w:t>
      </w:r>
      <w:r w:rsidR="00BD190B">
        <w:rPr>
          <w:rFonts w:ascii="Calibri Light" w:hAnsi="Calibri Light" w:cs="Calibri Light"/>
        </w:rPr>
        <w:t>’</w:t>
      </w:r>
      <w:r w:rsidRPr="00293B59">
        <w:rPr>
          <w:rFonts w:ascii="Calibri Light" w:hAnsi="Calibri Light" w:cs="Calibri Light"/>
        </w:rPr>
        <w:t xml:space="preserve">s CRIS is used by regulated entities for the following purposes: </w:t>
      </w:r>
    </w:p>
    <w:p w14:paraId="02F3DA47" w14:textId="24426CE5" w:rsidR="00665A86" w:rsidRPr="00293B59" w:rsidRDefault="00665A86" w:rsidP="006B2EB3">
      <w:pPr>
        <w:pStyle w:val="numberedtext"/>
        <w:numPr>
          <w:ilvl w:val="0"/>
          <w:numId w:val="18"/>
        </w:numPr>
        <w:ind w:left="1080"/>
        <w:rPr>
          <w:rFonts w:ascii="Calibri Light" w:hAnsi="Calibri Light" w:cs="Calibri Light"/>
        </w:rPr>
      </w:pPr>
      <w:r w:rsidRPr="00293B59">
        <w:rPr>
          <w:rFonts w:ascii="Calibri Light" w:hAnsi="Calibri Light" w:cs="Calibri Light"/>
        </w:rPr>
        <w:t xml:space="preserve">as a transparency tool for </w:t>
      </w:r>
      <w:r w:rsidR="00C678FC">
        <w:rPr>
          <w:rFonts w:ascii="Calibri Light" w:hAnsi="Calibri Light" w:cs="Calibri Light"/>
        </w:rPr>
        <w:t xml:space="preserve">regulated entities </w:t>
      </w:r>
      <w:r w:rsidRPr="00293B59">
        <w:rPr>
          <w:rFonts w:ascii="Calibri Light" w:hAnsi="Calibri Light" w:cs="Calibri Light"/>
        </w:rPr>
        <w:t>to understand how the costs of ASIC</w:t>
      </w:r>
      <w:r w:rsidR="00BD190B">
        <w:rPr>
          <w:rFonts w:ascii="Calibri Light" w:hAnsi="Calibri Light" w:cs="Calibri Light"/>
        </w:rPr>
        <w:t>’</w:t>
      </w:r>
      <w:r w:rsidRPr="00293B59">
        <w:rPr>
          <w:rFonts w:ascii="Calibri Light" w:hAnsi="Calibri Light" w:cs="Calibri Light"/>
        </w:rPr>
        <w:t xml:space="preserve">s regulatory activities will be recovered </w:t>
      </w:r>
    </w:p>
    <w:p w14:paraId="60099854" w14:textId="500079C9" w:rsidR="00665A86" w:rsidRPr="00293B59" w:rsidRDefault="00665A86" w:rsidP="006B2EB3">
      <w:pPr>
        <w:pStyle w:val="numberedtext"/>
        <w:numPr>
          <w:ilvl w:val="0"/>
          <w:numId w:val="18"/>
        </w:numPr>
        <w:ind w:left="1080"/>
        <w:rPr>
          <w:rFonts w:ascii="Calibri Light" w:hAnsi="Calibri Light" w:cs="Calibri Light"/>
        </w:rPr>
      </w:pPr>
      <w:r w:rsidRPr="00293B59">
        <w:rPr>
          <w:rFonts w:ascii="Calibri Light" w:hAnsi="Calibri Light" w:cs="Calibri Light"/>
        </w:rPr>
        <w:t xml:space="preserve">as a budgeting tool for regulated entities to estimate their levy invoices for that year </w:t>
      </w:r>
    </w:p>
    <w:p w14:paraId="6B25B3BE" w14:textId="19DAD7A4" w:rsidR="00665A86" w:rsidRPr="00293B59" w:rsidRDefault="00665A86" w:rsidP="006B2EB3">
      <w:pPr>
        <w:pStyle w:val="numberedtext"/>
        <w:numPr>
          <w:ilvl w:val="0"/>
          <w:numId w:val="18"/>
        </w:numPr>
        <w:ind w:left="1080"/>
        <w:rPr>
          <w:rFonts w:ascii="Calibri Light" w:hAnsi="Calibri Light" w:cs="Calibri Light"/>
        </w:rPr>
      </w:pPr>
      <w:r w:rsidRPr="00293B59">
        <w:rPr>
          <w:rFonts w:ascii="Calibri Light" w:hAnsi="Calibri Light" w:cs="Calibri Light"/>
        </w:rPr>
        <w:t xml:space="preserve">as a consultation mechanism for stakeholders to engage and provide feedback on the IFM </w:t>
      </w:r>
    </w:p>
    <w:p w14:paraId="206D8014" w14:textId="1113B3FA"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Each year, the ASIC levies process commences in November when ASIC starts preparing estimated levies to be published in the draft CRIS to give regulated entities an indication of what levy costs to expect. The estimated levies are ASIC</w:t>
      </w:r>
      <w:r w:rsidR="00BD190B">
        <w:rPr>
          <w:rFonts w:ascii="Calibri Light" w:hAnsi="Calibri Light" w:cs="Calibri Light"/>
        </w:rPr>
        <w:t>’</w:t>
      </w:r>
      <w:r w:rsidRPr="00293B59">
        <w:rPr>
          <w:rFonts w:ascii="Calibri Light" w:hAnsi="Calibri Light" w:cs="Calibri Light"/>
        </w:rPr>
        <w:t xml:space="preserve">s best estimate based on available information at the time. Entities can use the data in the draft CRIS to estimate their invoice for that year, noting that the figures remain an estimate and are likely to change. The draft CRIS is currently the key process through which </w:t>
      </w:r>
      <w:r w:rsidR="008B3067">
        <w:rPr>
          <w:rFonts w:ascii="Calibri Light" w:hAnsi="Calibri Light" w:cs="Calibri Light"/>
        </w:rPr>
        <w:t>stakeholders</w:t>
      </w:r>
      <w:r w:rsidRPr="00293B59">
        <w:rPr>
          <w:rFonts w:ascii="Calibri Light" w:hAnsi="Calibri Light" w:cs="Calibri Light"/>
        </w:rPr>
        <w:t xml:space="preserve"> can engage with ASIC on the IFM. </w:t>
      </w:r>
    </w:p>
    <w:p w14:paraId="23D74314" w14:textId="72DAD7DC"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 final CRIS is published that summarises the stakeholder feedback ASIC received during the consultation process on the draft CRIS and ASIC</w:t>
      </w:r>
      <w:r w:rsidR="00BD190B">
        <w:rPr>
          <w:rFonts w:ascii="Calibri Light" w:hAnsi="Calibri Light" w:cs="Calibri Light"/>
        </w:rPr>
        <w:t>’</w:t>
      </w:r>
      <w:r w:rsidRPr="00293B59">
        <w:rPr>
          <w:rFonts w:ascii="Calibri Light" w:hAnsi="Calibri Light" w:cs="Calibri Light"/>
        </w:rPr>
        <w:t xml:space="preserve">s response to stakeholder feedback. </w:t>
      </w:r>
    </w:p>
    <w:p w14:paraId="14351881" w14:textId="77777777" w:rsidR="00665A86" w:rsidRPr="00DE590F" w:rsidRDefault="00665A86" w:rsidP="00665A86">
      <w:pPr>
        <w:pStyle w:val="Heading3"/>
      </w:pPr>
      <w:bookmarkStart w:id="160" w:name="_Toc129270502"/>
      <w:r w:rsidRPr="00DE590F">
        <w:t>Analysis and findings</w:t>
      </w:r>
      <w:bookmarkEnd w:id="160"/>
      <w:r w:rsidRPr="00DE590F">
        <w:t xml:space="preserve"> </w:t>
      </w:r>
    </w:p>
    <w:p w14:paraId="53F9D638" w14:textId="77AC9F56"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Engagement with stakeholders on the IFM can serve transparency, budgeting and consultation purposes. Transparency, budgeting and consultation are important tools for stakeholders in respect of industry</w:t>
      </w:r>
      <w:r w:rsidR="00BD190B">
        <w:rPr>
          <w:rFonts w:ascii="Calibri Light" w:hAnsi="Calibri Light" w:cs="Calibri Light"/>
        </w:rPr>
        <w:noBreakHyphen/>
      </w:r>
      <w:r w:rsidRPr="00293B59">
        <w:rPr>
          <w:rFonts w:ascii="Calibri Light" w:hAnsi="Calibri Light" w:cs="Calibri Light"/>
        </w:rPr>
        <w:t>funded activities.</w:t>
      </w:r>
    </w:p>
    <w:p w14:paraId="329BF584" w14:textId="77777777" w:rsidR="00665A86" w:rsidRPr="007B3F81" w:rsidRDefault="00665A86" w:rsidP="00665A86">
      <w:pPr>
        <w:pStyle w:val="Heading4"/>
        <w:rPr>
          <w:bCs/>
        </w:rPr>
      </w:pPr>
      <w:bookmarkStart w:id="161" w:name="_Toc125305216"/>
      <w:r w:rsidRPr="00691A4F">
        <w:t>Transparency</w:t>
      </w:r>
      <w:r w:rsidRPr="00044084">
        <w:t xml:space="preserve"> and budgeting</w:t>
      </w:r>
      <w:bookmarkEnd w:id="161"/>
    </w:p>
    <w:p w14:paraId="24269442" w14:textId="05C38C26"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Stakeholders are supportive of the CRIS remaining a transparency and budgeting tool, noting that adjustments should be made to improve both components of the CRIS. See</w:t>
      </w:r>
      <w:r w:rsidR="00080998">
        <w:rPr>
          <w:rFonts w:ascii="Calibri Light" w:hAnsi="Calibri Light" w:cs="Calibri Light"/>
        </w:rPr>
        <w:t xml:space="preserve"> sections</w:t>
      </w:r>
      <w:r w:rsidRPr="00293B59">
        <w:rPr>
          <w:rFonts w:ascii="Calibri Light" w:hAnsi="Calibri Light" w:cs="Calibri Light"/>
        </w:rPr>
        <w:t xml:space="preserve"> </w:t>
      </w:r>
      <w:r w:rsidR="00BD190B">
        <w:rPr>
          <w:rFonts w:ascii="Calibri Light" w:hAnsi="Calibri Light" w:cs="Calibri Light"/>
          <w:iCs/>
        </w:rPr>
        <w:t>‘</w:t>
      </w:r>
      <w:r w:rsidRPr="00080998">
        <w:rPr>
          <w:rFonts w:ascii="Calibri Light" w:hAnsi="Calibri Light" w:cs="Calibri Light"/>
          <w:iCs/>
        </w:rPr>
        <w:t>Structure and information contained in the CRIS</w:t>
      </w:r>
      <w:r w:rsidR="00BD190B">
        <w:rPr>
          <w:rFonts w:ascii="Calibri Light" w:hAnsi="Calibri Light" w:cs="Calibri Light"/>
          <w:iCs/>
        </w:rPr>
        <w:t>’</w:t>
      </w:r>
      <w:r w:rsidRPr="00293B59">
        <w:rPr>
          <w:rFonts w:ascii="Calibri Light" w:hAnsi="Calibri Light" w:cs="Calibri Light"/>
          <w:i/>
        </w:rPr>
        <w:t xml:space="preserve"> </w:t>
      </w:r>
      <w:r w:rsidRPr="00293B59">
        <w:rPr>
          <w:rFonts w:ascii="Calibri Light" w:hAnsi="Calibri Light" w:cs="Calibri Light"/>
        </w:rPr>
        <w:t xml:space="preserve">and </w:t>
      </w:r>
      <w:r w:rsidR="00BD190B">
        <w:rPr>
          <w:rFonts w:ascii="Calibri Light" w:hAnsi="Calibri Light" w:cs="Calibri Light"/>
          <w:iCs/>
        </w:rPr>
        <w:t>‘</w:t>
      </w:r>
      <w:r w:rsidRPr="00080998">
        <w:rPr>
          <w:rFonts w:ascii="Calibri Light" w:hAnsi="Calibri Light" w:cs="Calibri Light"/>
          <w:iCs/>
        </w:rPr>
        <w:t>Timing of the levies and CRIS process</w:t>
      </w:r>
      <w:r w:rsidR="00BD190B">
        <w:rPr>
          <w:rFonts w:ascii="Calibri Light" w:hAnsi="Calibri Light" w:cs="Calibri Light"/>
          <w:iCs/>
        </w:rPr>
        <w:t>’</w:t>
      </w:r>
      <w:r w:rsidR="00080998">
        <w:rPr>
          <w:rFonts w:ascii="Calibri Light" w:hAnsi="Calibri Light" w:cs="Calibri Light"/>
          <w:i/>
        </w:rPr>
        <w:t xml:space="preserve"> </w:t>
      </w:r>
      <w:r w:rsidRPr="00293B59">
        <w:rPr>
          <w:rFonts w:ascii="Calibri Light" w:hAnsi="Calibri Light" w:cs="Calibri Light"/>
        </w:rPr>
        <w:t xml:space="preserve">for further information on these aspects. </w:t>
      </w:r>
    </w:p>
    <w:p w14:paraId="77127081" w14:textId="77777777" w:rsidR="00665A86" w:rsidRPr="00D55557" w:rsidRDefault="00665A86" w:rsidP="00665A86">
      <w:pPr>
        <w:pStyle w:val="Heading4"/>
      </w:pPr>
      <w:bookmarkStart w:id="162" w:name="_Toc125305217"/>
      <w:r w:rsidRPr="00DE590F">
        <w:t>Consultation</w:t>
      </w:r>
      <w:bookmarkEnd w:id="162"/>
      <w:r w:rsidRPr="00DE590F">
        <w:t xml:space="preserve"> </w:t>
      </w:r>
    </w:p>
    <w:p w14:paraId="1972FE79"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Stakeholder feedback has indicated relatively low levels of engagement on the CRIS. One of the contributing factors has been that stakeholders view the consultation aspect of the CRIS as having little benefit, noting that past feedback has not led to changes to levies or the IFM more broadly. Several factors contribute to this, including:</w:t>
      </w:r>
    </w:p>
    <w:p w14:paraId="6B993A4D" w14:textId="0669A4A8" w:rsidR="00665A86" w:rsidRPr="00293B59" w:rsidRDefault="00665A86" w:rsidP="003351FA">
      <w:pPr>
        <w:pStyle w:val="Bullet"/>
        <w:ind w:left="1004"/>
      </w:pPr>
      <w:r w:rsidRPr="00293B59">
        <w:t>feedback submitted by stakeholders often relates to matters outside of ASIC</w:t>
      </w:r>
      <w:r w:rsidR="00BD190B">
        <w:t>’</w:t>
      </w:r>
      <w:r w:rsidRPr="00293B59">
        <w:t>s remit – stakeholders often raise concerns related to the design of the IFM, which are matters for the Government; and</w:t>
      </w:r>
    </w:p>
    <w:p w14:paraId="705E8DB6" w14:textId="7073A4E0" w:rsidR="00665A86" w:rsidRPr="00293B59" w:rsidRDefault="00665A86" w:rsidP="003351FA">
      <w:pPr>
        <w:pStyle w:val="Bullet"/>
        <w:ind w:left="1004"/>
      </w:pPr>
      <w:r w:rsidRPr="00293B59">
        <w:t>the nature of consultation in an ex</w:t>
      </w:r>
      <w:r w:rsidR="00BD190B">
        <w:noBreakHyphen/>
      </w:r>
      <w:r w:rsidRPr="00293B59">
        <w:t>post cost recovery model – levy amounts and the allocation of regulatory costs to sub</w:t>
      </w:r>
      <w:r w:rsidR="00BD190B">
        <w:noBreakHyphen/>
      </w:r>
      <w:r w:rsidRPr="00293B59">
        <w:t>sectors are determined based on the regulatory effort ASIC has expended, and there is therefore little capacity for change in response to stakeholder feedback unless the Government intervenes</w:t>
      </w:r>
      <w:r w:rsidR="00901E80">
        <w:t xml:space="preserve">. </w:t>
      </w:r>
    </w:p>
    <w:p w14:paraId="766F7520" w14:textId="68A1F0E5"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lastRenderedPageBreak/>
        <w:t>During consultation on this Review, stakeholders were supportive of the consultation component being removed from the CRIS process, and a less frequent but more substantive consultation mechanism being established. Stakeholders broadly thought a three</w:t>
      </w:r>
      <w:r w:rsidR="00BD190B">
        <w:rPr>
          <w:rFonts w:ascii="Calibri Light" w:hAnsi="Calibri Light" w:cs="Calibri Light"/>
        </w:rPr>
        <w:noBreakHyphen/>
      </w:r>
      <w:r w:rsidRPr="00293B59">
        <w:rPr>
          <w:rFonts w:ascii="Calibri Light" w:hAnsi="Calibri Light" w:cs="Calibri Light"/>
        </w:rPr>
        <w:t xml:space="preserve">yearly consultation process would be appropriate. </w:t>
      </w:r>
    </w:p>
    <w:p w14:paraId="2CED5020" w14:textId="7B7BA1A2"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Noting stakeholder feedback and the constraints on ASIC acting on feedback received via the CRIS process, the Review finds ASIC</w:t>
      </w:r>
      <w:r w:rsidR="00BD190B">
        <w:rPr>
          <w:rFonts w:ascii="Calibri Light" w:hAnsi="Calibri Light" w:cs="Calibri Light"/>
        </w:rPr>
        <w:t>’</w:t>
      </w:r>
      <w:r w:rsidRPr="00293B59">
        <w:rPr>
          <w:rFonts w:ascii="Calibri Light" w:hAnsi="Calibri Light" w:cs="Calibri Light"/>
        </w:rPr>
        <w:t xml:space="preserve">s purpose of the CRIS should be reframed to be a transparency and budgeting tool only in accordance with the requirements of the Charging Framework. This would result in the consultation component being removed from the CRIS process. </w:t>
      </w:r>
    </w:p>
    <w:p w14:paraId="2727AD13"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However, this Review finds that adjustments should be made to the CRIS to improve the level of transparency provided to stakeholders and enable more accurate estimated levies. </w:t>
      </w:r>
    </w:p>
    <w:p w14:paraId="38277663" w14:textId="465FF499"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recognises the important function of stakeholder consultation and engagement on industry</w:t>
      </w:r>
      <w:r w:rsidR="00BD190B">
        <w:rPr>
          <w:rFonts w:ascii="Calibri Light" w:hAnsi="Calibri Light" w:cs="Calibri Light"/>
        </w:rPr>
        <w:noBreakHyphen/>
      </w:r>
      <w:r w:rsidRPr="00293B59">
        <w:rPr>
          <w:rFonts w:ascii="Calibri Light" w:hAnsi="Calibri Light" w:cs="Calibri Light"/>
        </w:rPr>
        <w:t>funded activities. However, there are also limits to the extent to which ASIC can and should consult with stakeholders on its activities, given the need to maintain clear independence from its regulated population.</w:t>
      </w:r>
    </w:p>
    <w:p w14:paraId="5CF58E8D"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Therefore, the Review agrees that an alternative consultation mechanism is established whereby less frequent but more substantive consultation on the policy settings of the ASIC IFM is undertaken by ASIC and the Treasury (on behalf of the Government). </w:t>
      </w:r>
    </w:p>
    <w:p w14:paraId="536AA837" w14:textId="38EC591C"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Charging Framework provides flexibility for </w:t>
      </w:r>
      <w:r w:rsidR="00B327E2">
        <w:rPr>
          <w:rFonts w:ascii="Calibri Light" w:hAnsi="Calibri Light" w:cs="Calibri Light"/>
        </w:rPr>
        <w:t>g</w:t>
      </w:r>
      <w:r w:rsidRPr="00293B59">
        <w:rPr>
          <w:rFonts w:ascii="Calibri Light" w:hAnsi="Calibri Light" w:cs="Calibri Light"/>
        </w:rPr>
        <w:t xml:space="preserve">overnment entities to determine the most appropriate method of consultation on their industry funding arrangements and does not require consultation to take place on an annual basis. Less frequent but more substantive consultation on the ASIC IFM is compliant with the Charging Framework. </w:t>
      </w:r>
    </w:p>
    <w:p w14:paraId="3DC41C86"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While the Review recognises the benefit of undertaking this consultation process every three years, the provision of this new consultation would impose additional demands and costs on ASIC and the Treasury and would need to be appropriately balanced with the potential benefits for regulated entities and other stakeholders. </w:t>
      </w:r>
    </w:p>
    <w:p w14:paraId="278712A7" w14:textId="286A62D9"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Any potential adjustments to the IFM as a result of this Review and future consultation may take some time to implement, particularly if legislative changes are required, and a three</w:t>
      </w:r>
      <w:r w:rsidR="00BD190B">
        <w:rPr>
          <w:rFonts w:ascii="Calibri Light" w:hAnsi="Calibri Light" w:cs="Calibri Light"/>
        </w:rPr>
        <w:noBreakHyphen/>
      </w:r>
      <w:r w:rsidRPr="00293B59">
        <w:rPr>
          <w:rFonts w:ascii="Calibri Light" w:hAnsi="Calibri Light" w:cs="Calibri Light"/>
        </w:rPr>
        <w:t>yearly consultation process may be too frequent for the impacts of the changes to be felt given the ex</w:t>
      </w:r>
      <w:r w:rsidR="00BD190B">
        <w:rPr>
          <w:rFonts w:ascii="Calibri Light" w:hAnsi="Calibri Light" w:cs="Calibri Light"/>
        </w:rPr>
        <w:noBreakHyphen/>
      </w:r>
      <w:r w:rsidRPr="00293B59">
        <w:rPr>
          <w:rFonts w:ascii="Calibri Light" w:hAnsi="Calibri Light" w:cs="Calibri Light"/>
        </w:rPr>
        <w:t xml:space="preserve">post nature of the model. </w:t>
      </w:r>
    </w:p>
    <w:p w14:paraId="03E35F92" w14:textId="1A42F27D"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Therefore, the Review finds that a more appropriate consultation timeframe would be every five years from the completion of this Review. If this alternative consultation process leads to changes to the IFM that requires legislative change, there would also generally be consultation on the draft legislation separate to the five</w:t>
      </w:r>
      <w:r w:rsidR="00BD190B">
        <w:rPr>
          <w:rFonts w:ascii="Calibri Light" w:hAnsi="Calibri Light" w:cs="Calibri Light"/>
        </w:rPr>
        <w:noBreakHyphen/>
      </w:r>
      <w:r w:rsidRPr="00293B59">
        <w:rPr>
          <w:rFonts w:ascii="Calibri Light" w:hAnsi="Calibri Light" w:cs="Calibri Light"/>
        </w:rPr>
        <w:t>yearly consultation process</w:t>
      </w:r>
      <w:r w:rsidR="00901E80">
        <w:rPr>
          <w:rFonts w:ascii="Calibri Light" w:hAnsi="Calibri Light" w:cs="Calibri Light"/>
        </w:rPr>
        <w:t xml:space="preserve">. </w:t>
      </w:r>
    </w:p>
    <w:p w14:paraId="44D621C8" w14:textId="5ADE0A24"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expects this alternative consultation mechanism to be an open process that gives the opportunity for all of ASIC</w:t>
      </w:r>
      <w:r w:rsidR="00BD190B">
        <w:rPr>
          <w:rFonts w:ascii="Calibri Light" w:hAnsi="Calibri Light" w:cs="Calibri Light"/>
        </w:rPr>
        <w:t>’</w:t>
      </w:r>
      <w:r w:rsidRPr="00293B59">
        <w:rPr>
          <w:rFonts w:ascii="Calibri Light" w:hAnsi="Calibri Light" w:cs="Calibri Light"/>
        </w:rPr>
        <w:t xml:space="preserve">s regulated population and other interested stakeholders to provide written feedback on the ASIC IFM. Prior to consultation commencing, ASIC and Treasury should determine the most effective means of reaching stakeholders, including consideration of whether a supplementary paper for stakeholders (such as a discussion paper) and/or bilateral and multilateral meetings is appropriate to help stakeholders engage and provide feedback on the ASIC IFM. </w:t>
      </w:r>
    </w:p>
    <w:p w14:paraId="65DAC2E8" w14:textId="38B4D34F"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does not recommend legislating the consultation process as this will provide ASIC and Treasury the flexibility to adjust the consultation process if required. For example, undertaking consultation more frequently than on a five</w:t>
      </w:r>
      <w:r w:rsidR="00BD190B">
        <w:rPr>
          <w:rFonts w:ascii="Calibri Light" w:hAnsi="Calibri Light" w:cs="Calibri Light"/>
        </w:rPr>
        <w:noBreakHyphen/>
      </w:r>
      <w:r w:rsidRPr="00293B59">
        <w:rPr>
          <w:rFonts w:ascii="Calibri Light" w:hAnsi="Calibri Light" w:cs="Calibri Light"/>
        </w:rPr>
        <w:t>yearly basis or adjusting the consultation approach.</w:t>
      </w:r>
    </w:p>
    <w:p w14:paraId="7ACB0857" w14:textId="01356762" w:rsidR="007C3835" w:rsidRPr="00293B59" w:rsidRDefault="007C3835" w:rsidP="006B2EB3">
      <w:pPr>
        <w:pStyle w:val="numberedtext"/>
        <w:numPr>
          <w:ilvl w:val="0"/>
          <w:numId w:val="17"/>
        </w:numPr>
        <w:ind w:hanging="720"/>
        <w:rPr>
          <w:rFonts w:ascii="Calibri Light" w:hAnsi="Calibri Light" w:cs="Calibri Light"/>
        </w:rPr>
      </w:pPr>
      <w:r w:rsidRPr="00293B59">
        <w:rPr>
          <w:rFonts w:ascii="Calibri Light" w:hAnsi="Calibri Light" w:cs="Calibri Light"/>
        </w:rPr>
        <w:lastRenderedPageBreak/>
        <w:t xml:space="preserve">However, the Review </w:t>
      </w:r>
      <w:r w:rsidR="008873B8" w:rsidRPr="00293B59">
        <w:rPr>
          <w:rFonts w:ascii="Calibri Light" w:hAnsi="Calibri Light" w:cs="Calibri Light"/>
        </w:rPr>
        <w:t>reco</w:t>
      </w:r>
      <w:r w:rsidR="008873B8">
        <w:rPr>
          <w:rFonts w:ascii="Calibri Light" w:hAnsi="Calibri Light" w:cs="Calibri Light"/>
        </w:rPr>
        <w:t>gnises</w:t>
      </w:r>
      <w:r w:rsidR="008873B8" w:rsidRPr="00293B59">
        <w:rPr>
          <w:rFonts w:ascii="Calibri Light" w:hAnsi="Calibri Light" w:cs="Calibri Light"/>
        </w:rPr>
        <w:t xml:space="preserve"> </w:t>
      </w:r>
      <w:r w:rsidRPr="00293B59">
        <w:rPr>
          <w:rFonts w:ascii="Calibri Light" w:hAnsi="Calibri Light" w:cs="Calibri Light"/>
        </w:rPr>
        <w:t xml:space="preserve">that the details of the stakeholder engagement strategy, including a summary of the most recent consultation and stakeholder views are included in the next available CRIS or via another publicly available format. This would be compliant with the Charging Framework and give stakeholders certainty of the consultation process and timing going forward. </w:t>
      </w:r>
    </w:p>
    <w:p w14:paraId="465DBCF5" w14:textId="1C25B144"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benefits of undertaking less frequent but more substantive consultation would enable more meaningful consultation and consultation outcomes, greater engagement from stakeholders, and reduced administrative burden and cost to ASIC </w:t>
      </w:r>
      <w:r w:rsidR="00DA7467">
        <w:rPr>
          <w:rFonts w:ascii="Calibri Light" w:hAnsi="Calibri Light" w:cs="Calibri Light"/>
        </w:rPr>
        <w:t>and stakeholders (who make submissions each year which result in no changes to the IFM)</w:t>
      </w:r>
      <w:r w:rsidRPr="00293B59">
        <w:rPr>
          <w:rFonts w:ascii="Calibri Light" w:hAnsi="Calibri Light" w:cs="Calibri Light"/>
        </w:rPr>
        <w:t xml:space="preserve"> by no longer undertaking an annual consultation process that does not lead to substantive outcomes. </w:t>
      </w:r>
    </w:p>
    <w:tbl>
      <w:tblPr>
        <w:tblStyle w:val="Style1"/>
        <w:tblW w:w="5000" w:type="pct"/>
        <w:tblLook w:val="04A0" w:firstRow="1" w:lastRow="0" w:firstColumn="1" w:lastColumn="0" w:noHBand="0" w:noVBand="1"/>
      </w:tblPr>
      <w:tblGrid>
        <w:gridCol w:w="9072"/>
      </w:tblGrid>
      <w:tr w:rsidR="00665A86" w:rsidRPr="00DE590F" w14:paraId="0F21E8BF" w14:textId="77777777" w:rsidTr="003351FA">
        <w:tc>
          <w:tcPr>
            <w:tcW w:w="8459" w:type="dxa"/>
          </w:tcPr>
          <w:p w14:paraId="0F467865" w14:textId="77777777" w:rsidR="00665A86" w:rsidRPr="00A03302" w:rsidRDefault="00665A86" w:rsidP="003351FA">
            <w:pPr>
              <w:pStyle w:val="BoxHeading"/>
            </w:pPr>
            <w:r w:rsidRPr="00543F52">
              <w:t xml:space="preserve">Key finding  </w:t>
            </w:r>
          </w:p>
          <w:p w14:paraId="1D85694D" w14:textId="77777777" w:rsidR="00665A86" w:rsidRPr="00A03302" w:rsidRDefault="00665A86" w:rsidP="00585AD0">
            <w:pPr>
              <w:pStyle w:val="BoxText"/>
            </w:pPr>
            <w:r w:rsidRPr="00A03302">
              <w:t xml:space="preserve">The purpose of the CRIS should remain a transparency and budgeting tool for stakeholders. </w:t>
            </w:r>
          </w:p>
          <w:p w14:paraId="222561B4" w14:textId="61A28A35" w:rsidR="00665A86" w:rsidRPr="00DE590F" w:rsidRDefault="00665A86" w:rsidP="00585AD0">
            <w:pPr>
              <w:pStyle w:val="BoxText"/>
              <w:rPr>
                <w:rFonts w:asciiTheme="majorHAnsi" w:hAnsiTheme="majorHAnsi" w:cstheme="majorHAnsi"/>
              </w:rPr>
            </w:pPr>
            <w:r w:rsidRPr="00A03302">
              <w:t>The consultation component of the CRIS process is not effective as stakeholder feedback is generally focussed on the policy settings of the IFM, which are a matter for</w:t>
            </w:r>
            <w:r w:rsidR="00B327E2">
              <w:t xml:space="preserve"> the</w:t>
            </w:r>
            <w:r w:rsidRPr="00A03302">
              <w:t xml:space="preserve"> Government and are not within ASIC</w:t>
            </w:r>
            <w:r w:rsidR="00BD190B">
              <w:t>’</w:t>
            </w:r>
            <w:r w:rsidRPr="00A03302">
              <w:t>s remit to change. This has led to low levels of stakeholder engagement on the CRIS.</w:t>
            </w:r>
            <w:r w:rsidRPr="00543F52">
              <w:rPr>
                <w:rFonts w:asciiTheme="majorHAnsi" w:hAnsiTheme="majorHAnsi" w:cstheme="majorHAnsi"/>
                <w:szCs w:val="22"/>
              </w:rPr>
              <w:t xml:space="preserve"> </w:t>
            </w:r>
          </w:p>
        </w:tc>
      </w:tr>
    </w:tbl>
    <w:p w14:paraId="2A63AF71" w14:textId="77777777" w:rsidR="00B20CFB" w:rsidRDefault="00B20CFB" w:rsidP="003351FA">
      <w:pPr>
        <w:pStyle w:val="SingleParagraph"/>
      </w:pPr>
    </w:p>
    <w:tbl>
      <w:tblPr>
        <w:tblStyle w:val="Style1"/>
        <w:tblW w:w="5000" w:type="pct"/>
        <w:tblLook w:val="04A0" w:firstRow="1" w:lastRow="0" w:firstColumn="1" w:lastColumn="0" w:noHBand="0" w:noVBand="1"/>
      </w:tblPr>
      <w:tblGrid>
        <w:gridCol w:w="9072"/>
      </w:tblGrid>
      <w:tr w:rsidR="00665A86" w:rsidRPr="00DE590F" w14:paraId="7BB25AF1" w14:textId="77777777" w:rsidTr="003351FA">
        <w:tc>
          <w:tcPr>
            <w:tcW w:w="8459" w:type="dxa"/>
            <w:shd w:val="clear" w:color="auto" w:fill="F2F9FC"/>
          </w:tcPr>
          <w:p w14:paraId="6645FC9B" w14:textId="1918BA5E" w:rsidR="00665A86" w:rsidRPr="00A03302" w:rsidRDefault="00665A86" w:rsidP="003351FA">
            <w:pPr>
              <w:pStyle w:val="BoxHeading"/>
            </w:pPr>
            <w:r w:rsidRPr="00A03302">
              <w:t>Recommendation 7</w:t>
            </w:r>
          </w:p>
          <w:p w14:paraId="526EB213" w14:textId="7A6C7CA3" w:rsidR="00665A86" w:rsidRPr="00DE590F" w:rsidRDefault="001B0DD3" w:rsidP="00585AD0">
            <w:pPr>
              <w:pStyle w:val="BoxText"/>
              <w:rPr>
                <w:rFonts w:asciiTheme="majorHAnsi" w:hAnsiTheme="majorHAnsi" w:cstheme="majorHAnsi"/>
              </w:rPr>
            </w:pPr>
            <w:r w:rsidRPr="001B0DD3">
              <w:rPr>
                <w:lang w:eastAsia="en-US"/>
              </w:rPr>
              <w:t xml:space="preserve">ASIC should remove the consultation component from the CRIS process so that the CRIS is a transparency and budgeting </w:t>
            </w:r>
            <w:r w:rsidRPr="00585AD0">
              <w:t>tool</w:t>
            </w:r>
            <w:r w:rsidRPr="001B0DD3">
              <w:rPr>
                <w:lang w:eastAsia="en-US"/>
              </w:rPr>
              <w:t xml:space="preserve"> for ASIC stakeholders. ASIC and Treasury to establish an alternative consultation process with industry stakeholders on a five yearly basis to examine the policy settings of the ASIC IFM</w:t>
            </w:r>
            <w:r w:rsidR="00BD190B">
              <w:rPr>
                <w:lang w:eastAsia="en-US"/>
              </w:rPr>
              <w:t xml:space="preserve">. </w:t>
            </w:r>
          </w:p>
        </w:tc>
      </w:tr>
    </w:tbl>
    <w:p w14:paraId="5E84BAA6" w14:textId="77777777" w:rsidR="00665A86" w:rsidRPr="00293B59" w:rsidRDefault="00665A86" w:rsidP="00665A86">
      <w:pPr>
        <w:pStyle w:val="Heading2"/>
      </w:pPr>
      <w:bookmarkStart w:id="163" w:name="_Toc125305218"/>
      <w:bookmarkStart w:id="164" w:name="_Toc129270503"/>
      <w:r w:rsidRPr="00293B59">
        <w:t>Draft and final CRIS</w:t>
      </w:r>
      <w:bookmarkEnd w:id="163"/>
      <w:bookmarkEnd w:id="164"/>
    </w:p>
    <w:p w14:paraId="24F95D14"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information contained in the draft and final CRIS is generally the same, with the key differences in the final CRIS being:</w:t>
      </w:r>
    </w:p>
    <w:p w14:paraId="0D749BE4" w14:textId="77777777" w:rsidR="00665A86" w:rsidRPr="00293B59" w:rsidRDefault="00665A86" w:rsidP="003351FA">
      <w:pPr>
        <w:pStyle w:val="Bullet"/>
        <w:ind w:left="1004"/>
      </w:pPr>
      <w:r w:rsidRPr="00293B59">
        <w:t>a summary of the stakeholder feedback ASIC received during the consultation process on the draft CRIS; and</w:t>
      </w:r>
    </w:p>
    <w:p w14:paraId="4D8D2237" w14:textId="25FE665E" w:rsidR="00665A86" w:rsidRPr="00293B59" w:rsidRDefault="00665A86" w:rsidP="003351FA">
      <w:pPr>
        <w:pStyle w:val="Bullet"/>
        <w:ind w:left="1004"/>
      </w:pPr>
      <w:r w:rsidRPr="00293B59">
        <w:t>ASIC</w:t>
      </w:r>
      <w:r w:rsidR="00BD190B">
        <w:t>’</w:t>
      </w:r>
      <w:r w:rsidRPr="00293B59">
        <w:t>s response to the stakeholder feedback.</w:t>
      </w:r>
    </w:p>
    <w:p w14:paraId="3A666E26" w14:textId="6F5D7EE6"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Some stakeholders raised confusion about the purpose of the final CRIS, as they believe it includes updated estimated levies or the actual levies. However, this is not the case as the estimated levies for each sub</w:t>
      </w:r>
      <w:r w:rsidR="00BD190B">
        <w:rPr>
          <w:rFonts w:ascii="Calibri Light" w:hAnsi="Calibri Light" w:cs="Calibri Light"/>
        </w:rPr>
        <w:noBreakHyphen/>
      </w:r>
      <w:r w:rsidRPr="00293B59">
        <w:rPr>
          <w:rFonts w:ascii="Calibri Light" w:hAnsi="Calibri Light" w:cs="Calibri Light"/>
        </w:rPr>
        <w:t>sector published in the draft CRIS remains the same in the final CRIS. This creates further confusion for stakeholders as the final CRIS is generally published around November each year, and very soon after, ASIC publishes its legislative instruments setting out its actual regulatory costs for each sub</w:t>
      </w:r>
      <w:r w:rsidR="00BD190B">
        <w:rPr>
          <w:rFonts w:ascii="Calibri Light" w:hAnsi="Calibri Light" w:cs="Calibri Light"/>
        </w:rPr>
        <w:noBreakHyphen/>
      </w:r>
      <w:r w:rsidRPr="00293B59">
        <w:rPr>
          <w:rFonts w:ascii="Calibri Light" w:hAnsi="Calibri Light" w:cs="Calibri Light"/>
        </w:rPr>
        <w:t xml:space="preserve">sector. The estimated levies in the final CRIS can be substantially different to the actual levies in the legislative instruments. </w:t>
      </w:r>
    </w:p>
    <w:p w14:paraId="069C7D4D" w14:textId="7B193FEA"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While the final CRIS could be updated to include actual levies for each sub</w:t>
      </w:r>
      <w:r w:rsidR="00BD190B">
        <w:rPr>
          <w:rFonts w:ascii="Calibri Light" w:hAnsi="Calibri Light" w:cs="Calibri Light"/>
        </w:rPr>
        <w:noBreakHyphen/>
      </w:r>
      <w:r w:rsidRPr="00293B59">
        <w:rPr>
          <w:rFonts w:ascii="Calibri Light" w:hAnsi="Calibri Light" w:cs="Calibri Light"/>
        </w:rPr>
        <w:t xml:space="preserve">sector, the Review finds it would be more administratively efficient for ASIC to no longer publish a draft CRIS, </w:t>
      </w:r>
      <w:r w:rsidRPr="00293B59">
        <w:rPr>
          <w:rFonts w:ascii="Calibri Light" w:hAnsi="Calibri Light" w:cs="Calibri Light"/>
        </w:rPr>
        <w:lastRenderedPageBreak/>
        <w:t xml:space="preserve">particularly if the consultation component is removed from the CRIS process. Under the Charging Framework, a draft CRIS is only required if a </w:t>
      </w:r>
      <w:r w:rsidR="00B327E2">
        <w:rPr>
          <w:rFonts w:ascii="Calibri Light" w:hAnsi="Calibri Light" w:cs="Calibri Light"/>
        </w:rPr>
        <w:t>g</w:t>
      </w:r>
      <w:r w:rsidRPr="00293B59">
        <w:rPr>
          <w:rFonts w:ascii="Calibri Light" w:hAnsi="Calibri Light" w:cs="Calibri Light"/>
        </w:rPr>
        <w:t xml:space="preserve">overnment entity is using the CRIS as a tool for consultation. </w:t>
      </w:r>
    </w:p>
    <w:p w14:paraId="09942AC5" w14:textId="20E11161" w:rsidR="00665A86"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final CRIS would replace the draft CRIS and would generally include the same information and be released around the same time that the draft CRIS is currently release</w:t>
      </w:r>
      <w:r w:rsidR="0099579B">
        <w:rPr>
          <w:rFonts w:ascii="Calibri Light" w:hAnsi="Calibri Light" w:cs="Calibri Light"/>
        </w:rPr>
        <w:t>d</w:t>
      </w:r>
      <w:r w:rsidR="00781026">
        <w:rPr>
          <w:rFonts w:ascii="Calibri Light" w:hAnsi="Calibri Light" w:cs="Calibri Light"/>
        </w:rPr>
        <w:t>, however with more accurate estimated levies</w:t>
      </w:r>
      <w:r w:rsidRPr="00293B59">
        <w:rPr>
          <w:rFonts w:ascii="Calibri Light" w:hAnsi="Calibri Light" w:cs="Calibri Light"/>
        </w:rPr>
        <w:t xml:space="preserve"> – see</w:t>
      </w:r>
      <w:r w:rsidR="001B2E4F">
        <w:rPr>
          <w:rFonts w:ascii="Calibri Light" w:hAnsi="Calibri Light" w:cs="Calibri Light"/>
        </w:rPr>
        <w:t xml:space="preserve"> Section</w:t>
      </w:r>
      <w:r w:rsidRPr="00293B59">
        <w:rPr>
          <w:rFonts w:ascii="Calibri Light" w:hAnsi="Calibri Light" w:cs="Calibri Light"/>
        </w:rPr>
        <w:t xml:space="preserve"> </w:t>
      </w:r>
      <w:r w:rsidR="00BD190B">
        <w:rPr>
          <w:rFonts w:ascii="Calibri Light" w:hAnsi="Calibri Light" w:cs="Calibri Light"/>
        </w:rPr>
        <w:t>‘</w:t>
      </w:r>
      <w:r w:rsidRPr="001B2E4F">
        <w:rPr>
          <w:rFonts w:ascii="Calibri Light" w:hAnsi="Calibri Light" w:cs="Calibri Light"/>
        </w:rPr>
        <w:t>Timing of the CRIS process</w:t>
      </w:r>
      <w:r w:rsidR="00BD190B">
        <w:rPr>
          <w:rFonts w:ascii="Calibri Light" w:hAnsi="Calibri Light" w:cs="Calibri Light"/>
        </w:rPr>
        <w:t>’</w:t>
      </w:r>
      <w:r w:rsidRPr="00293B59">
        <w:rPr>
          <w:rFonts w:ascii="Calibri Light" w:hAnsi="Calibri Light" w:cs="Calibri Light"/>
        </w:rPr>
        <w:t xml:space="preserve"> for further information on the CRIS timing. This would reduce stakeholder confusion on the purpose of the final CRIS and streamline the CRIS process by removing a reporting requirement for ASIC.</w:t>
      </w:r>
    </w:p>
    <w:tbl>
      <w:tblPr>
        <w:tblStyle w:val="Style1"/>
        <w:tblW w:w="5000" w:type="pct"/>
        <w:tblLook w:val="04A0" w:firstRow="1" w:lastRow="0" w:firstColumn="1" w:lastColumn="0" w:noHBand="0" w:noVBand="1"/>
      </w:tblPr>
      <w:tblGrid>
        <w:gridCol w:w="9072"/>
      </w:tblGrid>
      <w:tr w:rsidR="00665A86" w:rsidRPr="00DE590F" w14:paraId="6E773866" w14:textId="77777777" w:rsidTr="003351FA">
        <w:trPr>
          <w:trHeight w:val="1106"/>
        </w:trPr>
        <w:tc>
          <w:tcPr>
            <w:tcW w:w="8446" w:type="dxa"/>
          </w:tcPr>
          <w:p w14:paraId="14398011" w14:textId="77777777" w:rsidR="00665A86" w:rsidRPr="00A03302" w:rsidRDefault="00665A86" w:rsidP="003351FA">
            <w:pPr>
              <w:pStyle w:val="BoxHeading"/>
            </w:pPr>
            <w:r w:rsidRPr="00543F52">
              <w:t xml:space="preserve">Key finding  </w:t>
            </w:r>
          </w:p>
          <w:p w14:paraId="7CF2BE00" w14:textId="24391C1C" w:rsidR="00665A86" w:rsidRPr="00A03302" w:rsidRDefault="00665A86" w:rsidP="003351FA">
            <w:pPr>
              <w:rPr>
                <w:rFonts w:cs="Calibri Light"/>
              </w:rPr>
            </w:pPr>
            <w:r w:rsidRPr="00A03302">
              <w:rPr>
                <w:rFonts w:cs="Calibri Light"/>
              </w:rPr>
              <w:t xml:space="preserve">Estimated levies published in the draft CRIS are not updated or amended in the final CRIS, which has led to stakeholder confusion on the purpose of the final CRIS. Stakeholders generally do not benefit from ASIC publishing both a draft and final CRIS. </w:t>
            </w:r>
          </w:p>
          <w:p w14:paraId="076FFE30" w14:textId="6C944221" w:rsidR="00665A86" w:rsidRPr="00DE590F" w:rsidRDefault="00665A86" w:rsidP="003351FA">
            <w:pPr>
              <w:rPr>
                <w:rFonts w:asciiTheme="majorHAnsi" w:hAnsiTheme="majorHAnsi" w:cstheme="majorHAnsi"/>
              </w:rPr>
            </w:pPr>
            <w:r w:rsidRPr="00A03302">
              <w:rPr>
                <w:rFonts w:cs="Calibri Light"/>
              </w:rPr>
              <w:t xml:space="preserve">If the consultation component of the CRIS process is removed (see Recommendation </w:t>
            </w:r>
            <w:r w:rsidR="00F8545E">
              <w:rPr>
                <w:rFonts w:cs="Calibri Light"/>
              </w:rPr>
              <w:t>7</w:t>
            </w:r>
            <w:r w:rsidRPr="00A03302">
              <w:rPr>
                <w:rFonts w:cs="Calibri Light"/>
              </w:rPr>
              <w:t>), a draft CRIS is no longer required to be published.</w:t>
            </w:r>
            <w:r w:rsidRPr="00543F52">
              <w:rPr>
                <w:rFonts w:asciiTheme="majorHAnsi" w:hAnsiTheme="majorHAnsi" w:cstheme="majorHAnsi"/>
                <w:szCs w:val="22"/>
              </w:rPr>
              <w:t xml:space="preserve"> </w:t>
            </w:r>
          </w:p>
        </w:tc>
      </w:tr>
    </w:tbl>
    <w:p w14:paraId="2C2C7512" w14:textId="77777777" w:rsidR="00665A86" w:rsidRDefault="00665A86" w:rsidP="003351FA">
      <w:pPr>
        <w:pStyle w:val="SingleParagraph"/>
      </w:pPr>
    </w:p>
    <w:tbl>
      <w:tblPr>
        <w:tblStyle w:val="Style1"/>
        <w:tblW w:w="5000" w:type="pct"/>
        <w:tblLook w:val="04A0" w:firstRow="1" w:lastRow="0" w:firstColumn="1" w:lastColumn="0" w:noHBand="0" w:noVBand="1"/>
      </w:tblPr>
      <w:tblGrid>
        <w:gridCol w:w="9072"/>
      </w:tblGrid>
      <w:tr w:rsidR="00665A86" w:rsidRPr="00DE590F" w14:paraId="1619D02E" w14:textId="77777777" w:rsidTr="003351FA">
        <w:trPr>
          <w:trHeight w:val="1001"/>
        </w:trPr>
        <w:tc>
          <w:tcPr>
            <w:tcW w:w="8446" w:type="dxa"/>
            <w:shd w:val="clear" w:color="auto" w:fill="F2F9FC"/>
          </w:tcPr>
          <w:p w14:paraId="146D886A" w14:textId="25F1C51C" w:rsidR="00665A86" w:rsidRPr="00A03302" w:rsidRDefault="00665A86" w:rsidP="003351FA">
            <w:pPr>
              <w:pStyle w:val="BoxHeading"/>
            </w:pPr>
            <w:r w:rsidRPr="00A03302">
              <w:t>Recommendation 8</w:t>
            </w:r>
          </w:p>
          <w:p w14:paraId="491718A8" w14:textId="28C63787" w:rsidR="00665A86" w:rsidRPr="00FC68C1" w:rsidRDefault="00665A86" w:rsidP="003351FA">
            <w:pPr>
              <w:pStyle w:val="BoxText"/>
              <w:rPr>
                <w:rFonts w:asciiTheme="majorHAnsi" w:hAnsiTheme="majorHAnsi" w:cstheme="majorHAnsi"/>
              </w:rPr>
            </w:pPr>
            <w:r w:rsidRPr="00A03302">
              <w:rPr>
                <w:bCs/>
                <w:lang w:eastAsia="en-US"/>
              </w:rPr>
              <w:t xml:space="preserve">ASIC </w:t>
            </w:r>
            <w:r w:rsidR="00D72884">
              <w:rPr>
                <w:bCs/>
                <w:lang w:eastAsia="en-US"/>
              </w:rPr>
              <w:t>should</w:t>
            </w:r>
            <w:r w:rsidRPr="00A03302">
              <w:rPr>
                <w:bCs/>
                <w:lang w:eastAsia="en-US"/>
              </w:rPr>
              <w:t xml:space="preserve"> cease the release of a draft CRIS for consultation and only release a final CRIS</w:t>
            </w:r>
            <w:r w:rsidRPr="00FC68C1">
              <w:rPr>
                <w:lang w:eastAsia="en-US"/>
              </w:rPr>
              <w:t>.</w:t>
            </w:r>
          </w:p>
        </w:tc>
      </w:tr>
    </w:tbl>
    <w:p w14:paraId="35A73212" w14:textId="77777777" w:rsidR="00665A86" w:rsidRPr="00293B59" w:rsidRDefault="00665A86" w:rsidP="00665A86">
      <w:pPr>
        <w:pStyle w:val="Heading2"/>
      </w:pPr>
      <w:bookmarkStart w:id="165" w:name="_Toc125305219"/>
      <w:bookmarkStart w:id="166" w:name="_Toc129270504"/>
      <w:r w:rsidRPr="00293B59">
        <w:t>Information and structure of the CRIS</w:t>
      </w:r>
      <w:bookmarkEnd w:id="165"/>
      <w:bookmarkEnd w:id="166"/>
      <w:r w:rsidRPr="00293B59">
        <w:t xml:space="preserve"> </w:t>
      </w:r>
    </w:p>
    <w:p w14:paraId="455C3ED6" w14:textId="3F420577" w:rsidR="00665A86" w:rsidRPr="00293B59" w:rsidRDefault="00665A86" w:rsidP="006B2EB3">
      <w:pPr>
        <w:pStyle w:val="numberedtext"/>
        <w:numPr>
          <w:ilvl w:val="0"/>
          <w:numId w:val="17"/>
        </w:numPr>
        <w:ind w:hanging="720"/>
        <w:rPr>
          <w:rFonts w:ascii="Calibri Light" w:eastAsia="Times New Roman" w:hAnsi="Calibri Light" w:cs="Calibri Light"/>
          <w:color w:val="2C384A"/>
          <w:kern w:val="32"/>
          <w:sz w:val="32"/>
          <w:szCs w:val="32"/>
          <w:lang w:eastAsia="en-AU"/>
        </w:rPr>
      </w:pPr>
      <w:r w:rsidRPr="00293B59">
        <w:rPr>
          <w:rFonts w:ascii="Calibri Light" w:hAnsi="Calibri Light" w:cs="Calibri Light"/>
        </w:rPr>
        <w:t>The Charging Framework sets out the type of information that must be included in a CRIS</w:t>
      </w:r>
      <w:r w:rsidR="00A92A4E">
        <w:rPr>
          <w:rFonts w:ascii="Calibri Light" w:hAnsi="Calibri Light" w:cs="Calibri Light"/>
        </w:rPr>
        <w:t xml:space="preserve"> – see Appendix A</w:t>
      </w:r>
      <w:r w:rsidRPr="00293B59">
        <w:rPr>
          <w:rFonts w:ascii="Calibri Light" w:hAnsi="Calibri Light" w:cs="Calibri Light"/>
        </w:rPr>
        <w:t xml:space="preserve">. Consistent with the requirements of the Charging Framework, a wide range of information about the ASIC IFM is made available to stakeholders in the ASIC CRIS. </w:t>
      </w:r>
    </w:p>
    <w:p w14:paraId="7EE3825D" w14:textId="77777777" w:rsidR="00665A86" w:rsidRPr="00DE590F" w:rsidRDefault="00665A86" w:rsidP="00665A86">
      <w:pPr>
        <w:pStyle w:val="Heading3"/>
      </w:pPr>
      <w:bookmarkStart w:id="167" w:name="_Toc129270505"/>
      <w:r w:rsidRPr="00DE590F">
        <w:t>Analysis and findings</w:t>
      </w:r>
      <w:bookmarkEnd w:id="167"/>
      <w:r w:rsidRPr="00DE590F">
        <w:t xml:space="preserve"> </w:t>
      </w:r>
    </w:p>
    <w:p w14:paraId="790D15D4" w14:textId="28917F25"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Stakeholder feedback on the information provided in the CRIS has been mixed. Many stakeholders commented that the CRIS is too complex, lengthy and difficult to navigate. However, stakeholders have also sought more granular information and data on ASIC</w:t>
      </w:r>
      <w:r w:rsidR="00BD190B">
        <w:rPr>
          <w:rFonts w:ascii="Calibri Light" w:hAnsi="Calibri Light" w:cs="Calibri Light"/>
        </w:rPr>
        <w:t>’</w:t>
      </w:r>
      <w:r w:rsidRPr="00293B59">
        <w:rPr>
          <w:rFonts w:ascii="Calibri Light" w:hAnsi="Calibri Light" w:cs="Calibri Light"/>
        </w:rPr>
        <w:t xml:space="preserve">s activities and costs to help them understand the drivers of levy amounts, including changes in levy amounts between years and how levies are calculated. This conflicting feedback makes achieving the right balance difficult for ASIC. </w:t>
      </w:r>
    </w:p>
    <w:p w14:paraId="060B6386" w14:textId="77777777" w:rsidR="00665A86" w:rsidRPr="00FE00DA" w:rsidRDefault="00665A86" w:rsidP="00232046">
      <w:pPr>
        <w:pStyle w:val="Heading4"/>
        <w:rPr>
          <w:bCs/>
        </w:rPr>
      </w:pPr>
      <w:bookmarkStart w:id="168" w:name="_Toc125305220"/>
      <w:r w:rsidRPr="00691A4F">
        <w:t xml:space="preserve">Information </w:t>
      </w:r>
      <w:r w:rsidRPr="00044084">
        <w:t xml:space="preserve">contained </w:t>
      </w:r>
      <w:r w:rsidRPr="007B3F81">
        <w:rPr>
          <w:bCs/>
        </w:rPr>
        <w:t>in the CRIS</w:t>
      </w:r>
      <w:bookmarkEnd w:id="168"/>
    </w:p>
    <w:p w14:paraId="7DF5C8BE" w14:textId="6204A1B9"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Review recognises that there are limits to the extent of transparency that is feasible and appropriate. For example, it is not feasible or appropriate for ASIC to provide highly granular </w:t>
      </w:r>
      <w:r w:rsidR="00BD190B">
        <w:rPr>
          <w:rFonts w:ascii="Calibri Light" w:hAnsi="Calibri Light" w:cs="Calibri Light"/>
        </w:rPr>
        <w:t>‘</w:t>
      </w:r>
      <w:r w:rsidRPr="00293B59">
        <w:rPr>
          <w:rFonts w:ascii="Calibri Light" w:hAnsi="Calibri Light" w:cs="Calibri Light"/>
        </w:rPr>
        <w:t>line</w:t>
      </w:r>
      <w:r w:rsidR="00BD190B">
        <w:rPr>
          <w:rFonts w:ascii="Calibri Light" w:hAnsi="Calibri Light" w:cs="Calibri Light"/>
        </w:rPr>
        <w:noBreakHyphen/>
      </w:r>
      <w:r w:rsidRPr="00293B59">
        <w:rPr>
          <w:rFonts w:ascii="Calibri Light" w:hAnsi="Calibri Light" w:cs="Calibri Light"/>
        </w:rPr>
        <w:t>by</w:t>
      </w:r>
      <w:r w:rsidR="00BD190B">
        <w:rPr>
          <w:rFonts w:ascii="Calibri Light" w:hAnsi="Calibri Light" w:cs="Calibri Light"/>
        </w:rPr>
        <w:noBreakHyphen/>
      </w:r>
      <w:r w:rsidRPr="00293B59">
        <w:rPr>
          <w:rFonts w:ascii="Calibri Light" w:hAnsi="Calibri Light" w:cs="Calibri Light"/>
        </w:rPr>
        <w:t>line</w:t>
      </w:r>
      <w:r w:rsidR="00BD190B">
        <w:rPr>
          <w:rFonts w:ascii="Calibri Light" w:hAnsi="Calibri Light" w:cs="Calibri Light"/>
        </w:rPr>
        <w:t>’</w:t>
      </w:r>
      <w:r w:rsidRPr="00293B59">
        <w:rPr>
          <w:rFonts w:ascii="Calibri Light" w:hAnsi="Calibri Light" w:cs="Calibri Light"/>
        </w:rPr>
        <w:t xml:space="preserve"> information about its costs to stakeholders. </w:t>
      </w:r>
    </w:p>
    <w:p w14:paraId="592322A6" w14:textId="1E8E00D4" w:rsidR="00665A86" w:rsidRPr="00C124AB" w:rsidRDefault="00665A86" w:rsidP="003351FA">
      <w:pPr>
        <w:pStyle w:val="Heading5"/>
      </w:pPr>
      <w:r w:rsidRPr="00C124AB">
        <w:lastRenderedPageBreak/>
        <w:t>How ASIC allocates its regulatory costs to sub</w:t>
      </w:r>
      <w:r w:rsidR="00BD190B">
        <w:noBreakHyphen/>
      </w:r>
      <w:r w:rsidRPr="00C124AB">
        <w:t xml:space="preserve">sectors </w:t>
      </w:r>
    </w:p>
    <w:p w14:paraId="6002A292" w14:textId="019885F2" w:rsidR="00226025" w:rsidRPr="00293B59" w:rsidRDefault="00226025"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Currently, the CRIS provides an overview of the steps involved in allocating ASIC</w:t>
      </w:r>
      <w:r w:rsidR="00BD190B">
        <w:rPr>
          <w:rFonts w:ascii="Calibri Light" w:hAnsi="Calibri Light" w:cs="Calibri Light"/>
        </w:rPr>
        <w:t>’</w:t>
      </w:r>
      <w:r w:rsidRPr="00293B59">
        <w:rPr>
          <w:rFonts w:ascii="Calibri Light" w:hAnsi="Calibri Light" w:cs="Calibri Light"/>
        </w:rPr>
        <w:t>s regulatory costs to sub</w:t>
      </w:r>
      <w:r w:rsidR="00BD190B">
        <w:rPr>
          <w:rFonts w:ascii="Calibri Light" w:hAnsi="Calibri Light" w:cs="Calibri Light"/>
        </w:rPr>
        <w:noBreakHyphen/>
      </w:r>
      <w:r w:rsidRPr="00293B59">
        <w:rPr>
          <w:rFonts w:ascii="Calibri Light" w:hAnsi="Calibri Light" w:cs="Calibri Light"/>
        </w:rPr>
        <w:t>sectors (for example, see pages 26</w:t>
      </w:r>
      <w:r w:rsidR="00BD190B">
        <w:rPr>
          <w:rFonts w:ascii="Calibri Light" w:hAnsi="Calibri Light" w:cs="Calibri Light"/>
        </w:rPr>
        <w:noBreakHyphen/>
      </w:r>
      <w:r w:rsidRPr="00293B59">
        <w:rPr>
          <w:rFonts w:ascii="Calibri Light" w:hAnsi="Calibri Light" w:cs="Calibri Light"/>
        </w:rPr>
        <w:t xml:space="preserve">29 of the </w:t>
      </w:r>
      <w:r w:rsidR="009C7ED2">
        <w:rPr>
          <w:rFonts w:ascii="Calibri Light" w:hAnsi="Calibri Light" w:cs="Calibri Light"/>
        </w:rPr>
        <w:t>2021–22</w:t>
      </w:r>
      <w:r w:rsidRPr="00293B59">
        <w:rPr>
          <w:rFonts w:ascii="Calibri Light" w:hAnsi="Calibri Light" w:cs="Calibri Light"/>
        </w:rPr>
        <w:t xml:space="preserve"> CRIS). </w:t>
      </w:r>
      <w:r w:rsidR="00BF54E3">
        <w:rPr>
          <w:rFonts w:ascii="Calibri Light" w:hAnsi="Calibri Light" w:cs="Calibri Light"/>
        </w:rPr>
        <w:t xml:space="preserve">Stakeholder feedback </w:t>
      </w:r>
      <w:r w:rsidR="00B02224">
        <w:rPr>
          <w:rFonts w:ascii="Calibri Light" w:hAnsi="Calibri Light" w:cs="Calibri Light"/>
        </w:rPr>
        <w:t xml:space="preserve">on the content of the CRIS was that </w:t>
      </w:r>
      <w:r w:rsidRPr="00293B59">
        <w:rPr>
          <w:rFonts w:ascii="Calibri Light" w:hAnsi="Calibri Light" w:cs="Calibri Light"/>
        </w:rPr>
        <w:t>it</w:t>
      </w:r>
      <w:r w:rsidR="00B02224">
        <w:rPr>
          <w:rFonts w:ascii="Calibri Light" w:hAnsi="Calibri Light" w:cs="Calibri Light"/>
        </w:rPr>
        <w:t xml:space="preserve"> can be</w:t>
      </w:r>
      <w:r w:rsidRPr="00293B59">
        <w:rPr>
          <w:rFonts w:ascii="Calibri Light" w:hAnsi="Calibri Light" w:cs="Calibri Light"/>
        </w:rPr>
        <w:t xml:space="preserve"> difficult to understand how costs are allocated in practice. </w:t>
      </w:r>
    </w:p>
    <w:p w14:paraId="5D771113"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Review finds that there is scope for ASIC to improve explanations in the CRIS by simplifying the language and using other ways to demonstrate how costs are allocated – for example, including diagrams or flowcharts, or using an example to show how the cost of a specific activity is allocated. </w:t>
      </w:r>
    </w:p>
    <w:p w14:paraId="3BD6F95E" w14:textId="66FF5052"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Review also finds that there is scope for ASIC to provide further information about how it apportions and recovers costs of certain regulatory activities from </w:t>
      </w:r>
      <w:r w:rsidR="004359AA">
        <w:rPr>
          <w:rFonts w:ascii="Calibri Light" w:hAnsi="Calibri Light" w:cs="Calibri Light"/>
        </w:rPr>
        <w:t>regulated entities</w:t>
      </w:r>
      <w:r w:rsidRPr="00293B59">
        <w:rPr>
          <w:rFonts w:ascii="Calibri Light" w:hAnsi="Calibri Light" w:cs="Calibri Light"/>
        </w:rPr>
        <w:t>. Currently, the CRIS provides limited information about how ASIC allocates costs for the following activities:</w:t>
      </w:r>
    </w:p>
    <w:p w14:paraId="41296177" w14:textId="79144A77" w:rsidR="00665A86" w:rsidRPr="00293B59" w:rsidRDefault="00665A86" w:rsidP="003351FA">
      <w:pPr>
        <w:pStyle w:val="Bullet"/>
        <w:ind w:left="1004"/>
      </w:pPr>
      <w:bookmarkStart w:id="169" w:name="_Hlk121483114"/>
      <w:r w:rsidRPr="00293B59">
        <w:t xml:space="preserve">costs relating to regulating and taking action against </w:t>
      </w:r>
      <w:r w:rsidR="00700F17">
        <w:t>unlicen</w:t>
      </w:r>
      <w:r w:rsidR="00B327E2">
        <w:t>c</w:t>
      </w:r>
      <w:r w:rsidR="00700F17">
        <w:t>ed</w:t>
      </w:r>
      <w:r w:rsidRPr="00293B59">
        <w:t xml:space="preserve"> operators</w:t>
      </w:r>
      <w:bookmarkEnd w:id="169"/>
    </w:p>
    <w:p w14:paraId="6B8CF5A8" w14:textId="32C766D9" w:rsidR="00665A86" w:rsidRPr="00293B59" w:rsidRDefault="00665A86" w:rsidP="003351FA">
      <w:pPr>
        <w:pStyle w:val="Bullet"/>
        <w:ind w:left="1004"/>
      </w:pPr>
      <w:bookmarkStart w:id="170" w:name="_Hlk121483130"/>
      <w:r w:rsidRPr="00293B59">
        <w:t>costs relating to regulating emerging sectors outside the existing regulatory framework</w:t>
      </w:r>
      <w:bookmarkEnd w:id="170"/>
    </w:p>
    <w:p w14:paraId="19B92FA9" w14:textId="000F22E1" w:rsidR="00665A86" w:rsidRPr="00293B59" w:rsidRDefault="00665A86" w:rsidP="003351FA">
      <w:pPr>
        <w:pStyle w:val="Bullet"/>
        <w:ind w:left="1004"/>
      </w:pPr>
      <w:r w:rsidRPr="00293B59">
        <w:t>costs relating to regulatory activity that impacts multiple sectors</w:t>
      </w:r>
    </w:p>
    <w:p w14:paraId="70662329" w14:textId="7D4F22A9" w:rsidR="00665A86" w:rsidRPr="00293B59" w:rsidRDefault="00665A86" w:rsidP="003351FA">
      <w:pPr>
        <w:pStyle w:val="Bullet"/>
        <w:ind w:left="1004"/>
      </w:pPr>
      <w:r w:rsidRPr="00293B59">
        <w:t>costs relating to capital expenditure</w:t>
      </w:r>
    </w:p>
    <w:p w14:paraId="195FC1A6" w14:textId="30683D88" w:rsidR="00665A86" w:rsidRPr="00293B59" w:rsidRDefault="00665A86" w:rsidP="003351FA">
      <w:pPr>
        <w:pStyle w:val="Bullet"/>
        <w:ind w:left="1004"/>
      </w:pPr>
      <w:r w:rsidRPr="00293B59">
        <w:t>indirect costs</w:t>
      </w:r>
    </w:p>
    <w:p w14:paraId="0994CA8F" w14:textId="2C70C5EB"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This would provide </w:t>
      </w:r>
      <w:r w:rsidR="000B47BE">
        <w:rPr>
          <w:rFonts w:ascii="Calibri Light" w:hAnsi="Calibri Light" w:cs="Calibri Light"/>
        </w:rPr>
        <w:t>stakeholders</w:t>
      </w:r>
      <w:r w:rsidRPr="00293B59">
        <w:rPr>
          <w:rFonts w:ascii="Calibri Light" w:hAnsi="Calibri Light" w:cs="Calibri Light"/>
        </w:rPr>
        <w:t xml:space="preserve"> a better understanding of how ASIC allocates costs of different activities where it may not be readily or easily apparent. </w:t>
      </w:r>
    </w:p>
    <w:tbl>
      <w:tblPr>
        <w:tblStyle w:val="Style1"/>
        <w:tblW w:w="5000" w:type="pct"/>
        <w:tblLook w:val="04A0" w:firstRow="1" w:lastRow="0" w:firstColumn="1" w:lastColumn="0" w:noHBand="0" w:noVBand="1"/>
      </w:tblPr>
      <w:tblGrid>
        <w:gridCol w:w="9072"/>
      </w:tblGrid>
      <w:tr w:rsidR="00665A86" w:rsidRPr="00DE590F" w14:paraId="6AFA80E9" w14:textId="77777777" w:rsidTr="00081DF2">
        <w:tc>
          <w:tcPr>
            <w:tcW w:w="5000" w:type="pct"/>
          </w:tcPr>
          <w:p w14:paraId="1DED4C4C" w14:textId="77777777" w:rsidR="00665A86" w:rsidRPr="00A03302" w:rsidRDefault="00665A86" w:rsidP="00081DF2">
            <w:pPr>
              <w:pStyle w:val="BoxHeading"/>
            </w:pPr>
            <w:r w:rsidRPr="00E01802">
              <w:t xml:space="preserve">Key finding  </w:t>
            </w:r>
          </w:p>
          <w:p w14:paraId="3394B542" w14:textId="73E17152" w:rsidR="00665A86" w:rsidRPr="00DE590F" w:rsidRDefault="00665A86" w:rsidP="00585AD0">
            <w:pPr>
              <w:pStyle w:val="BoxText"/>
              <w:rPr>
                <w:rFonts w:asciiTheme="majorHAnsi" w:hAnsiTheme="majorHAnsi" w:cstheme="majorHAnsi"/>
              </w:rPr>
            </w:pPr>
            <w:r w:rsidRPr="0032739E">
              <w:t>Noting the complexity of the IFM itself, ASIC</w:t>
            </w:r>
            <w:r w:rsidR="00BD190B">
              <w:t>’</w:t>
            </w:r>
            <w:r w:rsidRPr="0032739E">
              <w:t xml:space="preserve">s explanations in the CRIS regarding cost recovery methodology can be complex and difficult to understand. Stakeholders would benefit from </w:t>
            </w:r>
            <w:r w:rsidR="00366B22">
              <w:t>additional</w:t>
            </w:r>
            <w:r w:rsidR="00B741ED">
              <w:t xml:space="preserve"> information</w:t>
            </w:r>
            <w:r w:rsidRPr="0032739E">
              <w:t xml:space="preserve"> about ASIC</w:t>
            </w:r>
            <w:r w:rsidR="00BD190B">
              <w:t>’</w:t>
            </w:r>
            <w:r w:rsidRPr="0032739E">
              <w:t>s cost recovery methodology</w:t>
            </w:r>
            <w:r w:rsidR="00901E80">
              <w:rPr>
                <w:szCs w:val="22"/>
              </w:rPr>
              <w:t xml:space="preserve">. </w:t>
            </w:r>
          </w:p>
        </w:tc>
      </w:tr>
    </w:tbl>
    <w:p w14:paraId="30E9E028" w14:textId="4E6466D1" w:rsidR="00665A86" w:rsidRPr="00C124AB" w:rsidRDefault="00665A86" w:rsidP="00081DF2">
      <w:pPr>
        <w:pStyle w:val="Heading5"/>
        <w:rPr>
          <w:rFonts w:eastAsiaTheme="minorHAnsi"/>
          <w:color w:val="auto"/>
        </w:rPr>
      </w:pPr>
      <w:r w:rsidRPr="00C124AB">
        <w:t>Changes in levies</w:t>
      </w:r>
    </w:p>
    <w:p w14:paraId="17492797" w14:textId="6EFD8793"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eastAsia="Times New Roman" w:hAnsi="Calibri Light" w:cs="Calibri Light"/>
          <w:color w:val="212529"/>
          <w:lang w:eastAsia="en-AU"/>
        </w:rPr>
        <w:t>Stakeholders have raised concerns that information included in the CRIS does not sufficiently explain or justify ASIC</w:t>
      </w:r>
      <w:r w:rsidR="00BD190B">
        <w:rPr>
          <w:rFonts w:ascii="Calibri Light" w:eastAsia="Times New Roman" w:hAnsi="Calibri Light" w:cs="Calibri Light"/>
          <w:color w:val="212529"/>
          <w:lang w:eastAsia="en-AU"/>
        </w:rPr>
        <w:t>’</w:t>
      </w:r>
      <w:r w:rsidRPr="00293B59">
        <w:rPr>
          <w:rFonts w:ascii="Calibri Light" w:eastAsia="Times New Roman" w:hAnsi="Calibri Light" w:cs="Calibri Light"/>
          <w:color w:val="212529"/>
          <w:lang w:eastAsia="en-AU"/>
        </w:rPr>
        <w:t>s regulatory effort and how that impacts levy amounts, particularly where there is a large increase between estimated and actual levies as well as levy amounts year</w:t>
      </w:r>
      <w:r w:rsidR="00BD190B">
        <w:rPr>
          <w:rFonts w:ascii="Calibri Light" w:eastAsia="Times New Roman" w:hAnsi="Calibri Light" w:cs="Calibri Light"/>
          <w:color w:val="212529"/>
          <w:lang w:eastAsia="en-AU"/>
        </w:rPr>
        <w:noBreakHyphen/>
      </w:r>
      <w:r w:rsidRPr="00293B59">
        <w:rPr>
          <w:rFonts w:ascii="Calibri Light" w:eastAsia="Times New Roman" w:hAnsi="Calibri Light" w:cs="Calibri Light"/>
          <w:color w:val="212529"/>
          <w:lang w:eastAsia="en-AU"/>
        </w:rPr>
        <w:t>on</w:t>
      </w:r>
      <w:r w:rsidR="00BD190B">
        <w:rPr>
          <w:rFonts w:ascii="Calibri Light" w:eastAsia="Times New Roman" w:hAnsi="Calibri Light" w:cs="Calibri Light"/>
          <w:color w:val="212529"/>
          <w:lang w:eastAsia="en-AU"/>
        </w:rPr>
        <w:noBreakHyphen/>
      </w:r>
      <w:r w:rsidRPr="00293B59">
        <w:rPr>
          <w:rFonts w:ascii="Calibri Light" w:eastAsia="Times New Roman" w:hAnsi="Calibri Light" w:cs="Calibri Light"/>
          <w:color w:val="212529"/>
          <w:lang w:eastAsia="en-AU"/>
        </w:rPr>
        <w:t xml:space="preserve">year. </w:t>
      </w:r>
    </w:p>
    <w:p w14:paraId="6C808326" w14:textId="1E25BCF0"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eastAsia="Times New Roman" w:hAnsi="Calibri Light" w:cs="Calibri Light"/>
          <w:color w:val="212529"/>
          <w:lang w:eastAsia="en-AU"/>
        </w:rPr>
        <w:t>While ASIC provides an explanation for material variances between estimated and actual levies, stakeholders want more granular information about the reason for the variance. The key driver of variance between estimated and actual levies is generally due to enforcement costs, and stakeholders want the CRIS to include specific enforcement matters that have contributed to the increase in regulatory costs for a sub</w:t>
      </w:r>
      <w:r w:rsidR="00BD190B">
        <w:rPr>
          <w:rFonts w:ascii="Calibri Light" w:eastAsia="Times New Roman" w:hAnsi="Calibri Light" w:cs="Calibri Light"/>
          <w:color w:val="212529"/>
          <w:lang w:eastAsia="en-AU"/>
        </w:rPr>
        <w:noBreakHyphen/>
      </w:r>
      <w:r w:rsidRPr="00293B59">
        <w:rPr>
          <w:rFonts w:ascii="Calibri Light" w:eastAsia="Times New Roman" w:hAnsi="Calibri Light" w:cs="Calibri Light"/>
          <w:color w:val="212529"/>
          <w:lang w:eastAsia="en-AU"/>
        </w:rPr>
        <w:t xml:space="preserve">sector. </w:t>
      </w:r>
    </w:p>
    <w:p w14:paraId="19344AF5"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Review notes that ASIC is limited in the level of detail it can provide about enforcement matters, particularly ongoing matters. ASIC may not make information publicly available whereby, on balance, it may be against the public interest to do so. For example, to protect the legal rights of a person, to prevent a disorderly market, or where it may jeopardise a regulatory outcome. </w:t>
      </w:r>
    </w:p>
    <w:p w14:paraId="062C601D" w14:textId="30C1E2C0"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lastRenderedPageBreak/>
        <w:t xml:space="preserve">Where possible, ASIC does publish specific enforcement matters in the CRIS that have contributed to an increase in regulatory costs for a sector. Generally, ASIC only publishes this information once it has been made public. For example, in the </w:t>
      </w:r>
      <w:r w:rsidR="009C7ED2">
        <w:rPr>
          <w:rFonts w:ascii="Calibri Light" w:hAnsi="Calibri Light" w:cs="Calibri Light"/>
        </w:rPr>
        <w:t>2020–21</w:t>
      </w:r>
      <w:r w:rsidRPr="00293B59">
        <w:rPr>
          <w:rFonts w:ascii="Calibri Light" w:hAnsi="Calibri Light" w:cs="Calibri Light"/>
        </w:rPr>
        <w:t xml:space="preserve"> final CRIS, ASIC noted two specific enforcement matters that contributed to increased regulatory costs for the </w:t>
      </w:r>
      <w:r w:rsidRPr="00293B59">
        <w:rPr>
          <w:rFonts w:ascii="Calibri Light" w:hAnsi="Calibri Light" w:cs="Calibri Light"/>
          <w:i/>
        </w:rPr>
        <w:t xml:space="preserve">Licensees that provide personal advice to retail clients on relevant financial products </w:t>
      </w:r>
      <w:r w:rsidRPr="00293B59">
        <w:rPr>
          <w:rFonts w:ascii="Calibri Light" w:hAnsi="Calibri Light" w:cs="Calibri Light"/>
        </w:rPr>
        <w:t>sub</w:t>
      </w:r>
      <w:r w:rsidR="00BD190B">
        <w:rPr>
          <w:rFonts w:ascii="Calibri Light" w:hAnsi="Calibri Light" w:cs="Calibri Light"/>
        </w:rPr>
        <w:noBreakHyphen/>
      </w:r>
      <w:r w:rsidRPr="00293B59">
        <w:rPr>
          <w:rFonts w:ascii="Calibri Light" w:hAnsi="Calibri Light" w:cs="Calibri Light"/>
        </w:rPr>
        <w:t>sector.</w:t>
      </w:r>
      <w:r w:rsidR="007F4A5C">
        <w:rPr>
          <w:rFonts w:ascii="Calibri Light" w:hAnsi="Calibri Light" w:cs="Calibri Light"/>
        </w:rPr>
        <w:t xml:space="preserve"> This type of specific information is now provided in ASIC</w:t>
      </w:r>
      <w:r w:rsidR="00BD190B">
        <w:rPr>
          <w:rFonts w:ascii="Calibri Light" w:hAnsi="Calibri Light" w:cs="Calibri Light"/>
        </w:rPr>
        <w:t>’</w:t>
      </w:r>
      <w:r w:rsidR="007F4A5C">
        <w:rPr>
          <w:rFonts w:ascii="Calibri Light" w:hAnsi="Calibri Light" w:cs="Calibri Light"/>
        </w:rPr>
        <w:t>s summary of variance</w:t>
      </w:r>
      <w:r w:rsidR="00E01802">
        <w:rPr>
          <w:rFonts w:ascii="Calibri Light" w:hAnsi="Calibri Light" w:cs="Calibri Light"/>
        </w:rPr>
        <w:t>s</w:t>
      </w:r>
      <w:r w:rsidR="007F4A5C">
        <w:rPr>
          <w:rFonts w:ascii="Calibri Light" w:hAnsi="Calibri Light" w:cs="Calibri Light"/>
        </w:rPr>
        <w:t xml:space="preserve"> document, published alongside its Annual Dashboard.</w:t>
      </w:r>
      <w:r w:rsidRPr="00293B59">
        <w:rPr>
          <w:rFonts w:ascii="Calibri Light" w:hAnsi="Calibri Light" w:cs="Calibri Light"/>
        </w:rPr>
        <w:t xml:space="preserve"> </w:t>
      </w:r>
    </w:p>
    <w:p w14:paraId="03C6F04A" w14:textId="2F9D8685" w:rsidR="00EE53D7" w:rsidRPr="00293B59" w:rsidRDefault="00EE53D7"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encourages ASIC to continue to provide this level of detail where possible. ASIC should also consider referring to other publicly released documents relating to ASIC</w:t>
      </w:r>
      <w:r w:rsidR="00BD190B">
        <w:rPr>
          <w:rFonts w:ascii="Calibri Light" w:hAnsi="Calibri Light" w:cs="Calibri Light"/>
        </w:rPr>
        <w:t>’</w:t>
      </w:r>
      <w:r w:rsidRPr="00293B59">
        <w:rPr>
          <w:rFonts w:ascii="Calibri Light" w:hAnsi="Calibri Light" w:cs="Calibri Light"/>
        </w:rPr>
        <w:t>s regulatory activity (in particular, enforcement activity). For example, ASIC produces six</w:t>
      </w:r>
      <w:r w:rsidR="00BD190B">
        <w:rPr>
          <w:rFonts w:ascii="Calibri Light" w:hAnsi="Calibri Light" w:cs="Calibri Light"/>
        </w:rPr>
        <w:noBreakHyphen/>
      </w:r>
      <w:r w:rsidRPr="00293B59">
        <w:rPr>
          <w:rFonts w:ascii="Calibri Light" w:hAnsi="Calibri Light" w:cs="Calibri Light"/>
        </w:rPr>
        <w:t>monthly reports relating to ASIC</w:t>
      </w:r>
      <w:r w:rsidR="00BD190B">
        <w:rPr>
          <w:rFonts w:ascii="Calibri Light" w:hAnsi="Calibri Light" w:cs="Calibri Light"/>
        </w:rPr>
        <w:t>’</w:t>
      </w:r>
      <w:r w:rsidRPr="00293B59">
        <w:rPr>
          <w:rFonts w:ascii="Calibri Light" w:hAnsi="Calibri Light" w:cs="Calibri Light"/>
        </w:rPr>
        <w:t xml:space="preserve">s enforcement outcomes as well as quarterly enforcement and regulatory updates. </w:t>
      </w:r>
    </w:p>
    <w:p w14:paraId="35E8C7CE" w14:textId="4CDBB692"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As part of the findings from the FRAA review of ASIC</w:t>
      </w:r>
      <w:r w:rsidR="00BD190B">
        <w:rPr>
          <w:rFonts w:ascii="Calibri Light" w:hAnsi="Calibri Light" w:cs="Calibri Light"/>
        </w:rPr>
        <w:t>’</w:t>
      </w:r>
      <w:r w:rsidRPr="00293B59">
        <w:rPr>
          <w:rFonts w:ascii="Calibri Light" w:hAnsi="Calibri Light" w:cs="Calibri Light"/>
        </w:rPr>
        <w:t xml:space="preserve">s effectiveness and capability, the FRAA in its final report found that </w:t>
      </w:r>
      <w:r w:rsidR="00BD190B">
        <w:rPr>
          <w:rFonts w:ascii="Calibri Light" w:hAnsi="Calibri Light" w:cs="Calibri Light"/>
        </w:rPr>
        <w:t>“</w:t>
      </w:r>
      <w:r w:rsidRPr="00293B59">
        <w:rPr>
          <w:rFonts w:ascii="Calibri Light" w:hAnsi="Calibri Light" w:cs="Calibri Light"/>
        </w:rPr>
        <w:t>ASIC plans to more effectively communicate to stakeholders the concrete work and initiatives it is prioritising in the short term, especially its surveillance and enforcement plans</w:t>
      </w:r>
      <w:r w:rsidR="00BD190B">
        <w:rPr>
          <w:rFonts w:ascii="Calibri Light" w:hAnsi="Calibri Light" w:cs="Calibri Light"/>
        </w:rPr>
        <w:t>”</w:t>
      </w:r>
      <w:r w:rsidRPr="00293B59">
        <w:rPr>
          <w:rFonts w:ascii="Calibri Light" w:hAnsi="Calibri Light" w:cs="Calibri Light"/>
        </w:rPr>
        <w:t>.</w:t>
      </w:r>
      <w:r w:rsidRPr="006F3AAE">
        <w:rPr>
          <w:rStyle w:val="FootnoteReference"/>
          <w:rFonts w:ascii="Calibri Light" w:hAnsi="Calibri Light" w:cs="Calibri Light"/>
          <w:vertAlign w:val="superscript"/>
        </w:rPr>
        <w:footnoteReference w:id="7"/>
      </w:r>
      <w:r w:rsidRPr="006F3AAE">
        <w:rPr>
          <w:rFonts w:ascii="Calibri Light" w:hAnsi="Calibri Light" w:cs="Calibri Light"/>
          <w:vertAlign w:val="superscript"/>
        </w:rPr>
        <w:t xml:space="preserve"> </w:t>
      </w:r>
      <w:r w:rsidRPr="00293B59">
        <w:rPr>
          <w:rFonts w:ascii="Calibri Light" w:hAnsi="Calibri Light" w:cs="Calibri Light"/>
        </w:rPr>
        <w:t xml:space="preserve">This will provide </w:t>
      </w:r>
      <w:r w:rsidR="00B947FD">
        <w:rPr>
          <w:rFonts w:ascii="Calibri Light" w:hAnsi="Calibri Light" w:cs="Calibri Light"/>
        </w:rPr>
        <w:t>stakeholders</w:t>
      </w:r>
      <w:r w:rsidRPr="00293B59">
        <w:rPr>
          <w:rFonts w:ascii="Calibri Light" w:hAnsi="Calibri Light" w:cs="Calibri Light"/>
        </w:rPr>
        <w:t xml:space="preserve"> with better transparency of ASIC</w:t>
      </w:r>
      <w:r w:rsidR="00BD190B">
        <w:rPr>
          <w:rFonts w:ascii="Calibri Light" w:hAnsi="Calibri Light" w:cs="Calibri Light"/>
        </w:rPr>
        <w:t>’</w:t>
      </w:r>
      <w:r w:rsidRPr="00293B59">
        <w:rPr>
          <w:rFonts w:ascii="Calibri Light" w:hAnsi="Calibri Light" w:cs="Calibri Light"/>
        </w:rPr>
        <w:t xml:space="preserve">s initiatives and the products, industries and forms of conduct ASIC will focus on. </w:t>
      </w:r>
    </w:p>
    <w:p w14:paraId="3E45E734" w14:textId="09A7443F"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Following the FRAA review, in November 2022, ASIC released its enforcement priorities for</w:t>
      </w:r>
      <w:r w:rsidR="00585AD0">
        <w:rPr>
          <w:rFonts w:ascii="Calibri Light" w:hAnsi="Calibri Light" w:cs="Calibri Light"/>
        </w:rPr>
        <w:t> </w:t>
      </w:r>
      <w:r w:rsidRPr="00293B59">
        <w:rPr>
          <w:rFonts w:ascii="Calibri Light" w:hAnsi="Calibri Light" w:cs="Calibri Light"/>
        </w:rPr>
        <w:t>2023. This is the first time ASIC has identified particular areas of enforcement focus and communicates ASIC</w:t>
      </w:r>
      <w:r w:rsidR="00BD190B">
        <w:rPr>
          <w:rFonts w:ascii="Calibri Light" w:hAnsi="Calibri Light" w:cs="Calibri Light"/>
        </w:rPr>
        <w:t>’</w:t>
      </w:r>
      <w:r w:rsidRPr="00293B59">
        <w:rPr>
          <w:rFonts w:ascii="Calibri Light" w:hAnsi="Calibri Light" w:cs="Calibri Light"/>
        </w:rPr>
        <w:t>s intent to stakeholders and gives an indication of where ASIC will direct is resources and expertise. ASIC expects to release its enforcement priorities on an annual basis</w:t>
      </w:r>
      <w:r w:rsidR="00901E80">
        <w:rPr>
          <w:rFonts w:ascii="Calibri Light" w:hAnsi="Calibri Light" w:cs="Calibri Light"/>
        </w:rPr>
        <w:t xml:space="preserve">. </w:t>
      </w:r>
    </w:p>
    <w:tbl>
      <w:tblPr>
        <w:tblStyle w:val="Style1"/>
        <w:tblW w:w="5000" w:type="pct"/>
        <w:tblLook w:val="04A0" w:firstRow="1" w:lastRow="0" w:firstColumn="1" w:lastColumn="0" w:noHBand="0" w:noVBand="1"/>
      </w:tblPr>
      <w:tblGrid>
        <w:gridCol w:w="9072"/>
      </w:tblGrid>
      <w:tr w:rsidR="00665A86" w:rsidRPr="00DE590F" w14:paraId="505839B8" w14:textId="77777777" w:rsidTr="00081DF2">
        <w:trPr>
          <w:trHeight w:val="1250"/>
        </w:trPr>
        <w:tc>
          <w:tcPr>
            <w:tcW w:w="9072" w:type="dxa"/>
          </w:tcPr>
          <w:p w14:paraId="5A11FA41" w14:textId="77777777" w:rsidR="00665A86" w:rsidRPr="00B958BD" w:rsidRDefault="00665A86" w:rsidP="00081DF2">
            <w:pPr>
              <w:pStyle w:val="BoxHeading"/>
            </w:pPr>
            <w:r w:rsidRPr="0032739E">
              <w:t xml:space="preserve">Key finding  </w:t>
            </w:r>
          </w:p>
          <w:p w14:paraId="7EBA68ED" w14:textId="4EB1D9D6" w:rsidR="00665A86" w:rsidRPr="0032739E" w:rsidRDefault="00665A86" w:rsidP="00585AD0">
            <w:pPr>
              <w:pStyle w:val="BoxText"/>
            </w:pPr>
            <w:r w:rsidRPr="0032739E">
              <w:t>While ASIC is constrained in what it can publish publicly relating to enforcement matters, ASIC is taking steps to provide greater transparency with regards to the enforcement matters that contribute to levy variances between estimated and actual levies</w:t>
            </w:r>
            <w:r w:rsidR="00901E80">
              <w:t xml:space="preserve">. </w:t>
            </w:r>
          </w:p>
        </w:tc>
      </w:tr>
    </w:tbl>
    <w:p w14:paraId="64092ADC" w14:textId="3B8A6B12" w:rsidR="00665A86" w:rsidRPr="007B3F81" w:rsidRDefault="00665A86" w:rsidP="00665A86">
      <w:pPr>
        <w:pStyle w:val="Heading4"/>
        <w:rPr>
          <w:b/>
          <w:bCs/>
        </w:rPr>
      </w:pPr>
      <w:bookmarkStart w:id="171" w:name="_Toc125305221"/>
      <w:r w:rsidRPr="00691A4F">
        <w:rPr>
          <w:b/>
        </w:rPr>
        <w:t>Structure</w:t>
      </w:r>
      <w:r w:rsidRPr="00044084">
        <w:rPr>
          <w:b/>
        </w:rPr>
        <w:t xml:space="preserve"> of the CRIS</w:t>
      </w:r>
      <w:bookmarkEnd w:id="171"/>
    </w:p>
    <w:p w14:paraId="4EBE285E" w14:textId="4BCD090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Currently, the CRIS is presented as a single document in PDF format and is around 200 pages in length. Stakeholders noted that the length and complexity of the CRIS makes it difficult to engage on the CRIS, and in some instances, stakeholders have found it easier to mainly rely </w:t>
      </w:r>
      <w:r w:rsidR="00585AD0">
        <w:rPr>
          <w:rFonts w:ascii="Calibri Light" w:hAnsi="Calibri Light" w:cs="Calibri Light"/>
        </w:rPr>
        <w:br/>
      </w:r>
      <w:r w:rsidRPr="00293B59">
        <w:rPr>
          <w:rFonts w:ascii="Calibri Light" w:hAnsi="Calibri Light" w:cs="Calibri Light"/>
        </w:rPr>
        <w:t xml:space="preserve">on industry associations to summarise and distribute the key information they should be aware of. </w:t>
      </w:r>
    </w:p>
    <w:p w14:paraId="701F6DF2" w14:textId="57B3CD10"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recognises that the length and complexity of the CRIS is in part a product of the complexity of the IFM and the breadth of ASIC</w:t>
      </w:r>
      <w:r w:rsidR="00BD190B">
        <w:rPr>
          <w:rFonts w:ascii="Calibri Light" w:hAnsi="Calibri Light" w:cs="Calibri Light"/>
        </w:rPr>
        <w:t>’</w:t>
      </w:r>
      <w:r w:rsidRPr="00293B59">
        <w:rPr>
          <w:rFonts w:ascii="Calibri Light" w:hAnsi="Calibri Light" w:cs="Calibri Light"/>
        </w:rPr>
        <w:t xml:space="preserve">s regulated population; and that some content in the CRIS is driven by requirements of the Charging Framework. </w:t>
      </w:r>
    </w:p>
    <w:p w14:paraId="00C9C7EA" w14:textId="25344E86"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However, the Review acknowledges stakeholder concerns and suggests ASIC should consider ways to streamline and enhance the structure of the CRIS to reduce complexity and encourage more stakeholders to engage with the CRIS</w:t>
      </w:r>
      <w:r w:rsidR="00901E80">
        <w:rPr>
          <w:rFonts w:ascii="Calibri Light" w:hAnsi="Calibri Light" w:cs="Calibri Light"/>
        </w:rPr>
        <w:t xml:space="preserve">. </w:t>
      </w:r>
    </w:p>
    <w:p w14:paraId="58071E2B" w14:textId="165892C5"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lastRenderedPageBreak/>
        <w:t xml:space="preserve">ASIC should trial alternative approaches to presenting the CRIS that are compliant with the Charging Framework. For example, this could include: </w:t>
      </w:r>
    </w:p>
    <w:p w14:paraId="241D4060" w14:textId="40C55959" w:rsidR="00665A86" w:rsidRPr="00293B59" w:rsidRDefault="00665A86" w:rsidP="00081DF2">
      <w:pPr>
        <w:pStyle w:val="Bullet"/>
        <w:ind w:left="1004"/>
      </w:pPr>
      <w:r w:rsidRPr="00293B59">
        <w:t>having a separate CRIS for each sector, similar to APRA</w:t>
      </w:r>
      <w:r w:rsidR="00BD190B">
        <w:t>’</w:t>
      </w:r>
      <w:r w:rsidRPr="00293B59">
        <w:t>s CRIS</w:t>
      </w:r>
    </w:p>
    <w:p w14:paraId="113B5F45" w14:textId="77777777" w:rsidR="00665A86" w:rsidRPr="00293B59" w:rsidRDefault="00665A86" w:rsidP="00081DF2">
      <w:pPr>
        <w:pStyle w:val="Bullet"/>
        <w:ind w:left="1004"/>
      </w:pPr>
      <w:r w:rsidRPr="00293B59">
        <w:t>publishing a summary of estimated levies (similar to the summary of actual levies ASIC publishes each year) alongside the CRIS so that stakeholders can easily identify their estimated levies for the financial year.</w:t>
      </w:r>
    </w:p>
    <w:p w14:paraId="2DC29CFB" w14:textId="49DD8BFC"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also suggests ASIC consider presenting information outside of the CRIS to help reduce the length and complexity of the CRIS and make it easier for stakeholders to navigate. For example, removing information from the CRIS that does not change year</w:t>
      </w:r>
      <w:r w:rsidR="00BD190B">
        <w:rPr>
          <w:rFonts w:ascii="Calibri Light" w:hAnsi="Calibri Light" w:cs="Calibri Light"/>
        </w:rPr>
        <w:noBreakHyphen/>
      </w:r>
      <w:r w:rsidRPr="00293B59">
        <w:rPr>
          <w:rFonts w:ascii="Calibri Light" w:hAnsi="Calibri Light" w:cs="Calibri Light"/>
        </w:rPr>
        <w:t>on</w:t>
      </w:r>
      <w:r w:rsidR="00BD190B">
        <w:rPr>
          <w:rFonts w:ascii="Calibri Light" w:hAnsi="Calibri Light" w:cs="Calibri Light"/>
        </w:rPr>
        <w:noBreakHyphen/>
      </w:r>
      <w:r w:rsidRPr="00293B59">
        <w:rPr>
          <w:rFonts w:ascii="Calibri Light" w:hAnsi="Calibri Light" w:cs="Calibri Light"/>
        </w:rPr>
        <w:t>year and presenting this information elsewhere, such as on ASIC</w:t>
      </w:r>
      <w:r w:rsidR="00BD190B">
        <w:rPr>
          <w:rFonts w:ascii="Calibri Light" w:hAnsi="Calibri Light" w:cs="Calibri Light"/>
        </w:rPr>
        <w:t>’</w:t>
      </w:r>
      <w:r w:rsidRPr="00293B59">
        <w:rPr>
          <w:rFonts w:ascii="Calibri Light" w:hAnsi="Calibri Light" w:cs="Calibri Light"/>
        </w:rPr>
        <w:t>s website</w:t>
      </w:r>
      <w:r w:rsidR="00D44F06">
        <w:rPr>
          <w:rFonts w:ascii="Calibri Light" w:hAnsi="Calibri Light" w:cs="Calibri Light"/>
        </w:rPr>
        <w:t xml:space="preserve"> and linking it to the CRIS</w:t>
      </w:r>
      <w:r w:rsidRPr="00293B59">
        <w:rPr>
          <w:rFonts w:ascii="Calibri Light" w:hAnsi="Calibri Light" w:cs="Calibri Light"/>
        </w:rPr>
        <w:t xml:space="preserve"> or as a separate appendix to the CRIS.</w:t>
      </w:r>
    </w:p>
    <w:p w14:paraId="7473837C" w14:textId="757926AC" w:rsidR="00665A86" w:rsidRPr="00213208"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This Review notes that there are a number of regulatory guides, information guides and other publicly available information separately located </w:t>
      </w:r>
      <w:r w:rsidR="00CA266F">
        <w:rPr>
          <w:rFonts w:ascii="Calibri Light" w:hAnsi="Calibri Light" w:cs="Calibri Light"/>
        </w:rPr>
        <w:t>but</w:t>
      </w:r>
      <w:r w:rsidRPr="00293B59">
        <w:rPr>
          <w:rFonts w:ascii="Calibri Light" w:hAnsi="Calibri Light" w:cs="Calibri Light"/>
        </w:rPr>
        <w:t xml:space="preserve"> relating to ASIC</w:t>
      </w:r>
      <w:r w:rsidR="00BD190B">
        <w:rPr>
          <w:rFonts w:ascii="Calibri Light" w:hAnsi="Calibri Light" w:cs="Calibri Light"/>
        </w:rPr>
        <w:t>’</w:t>
      </w:r>
      <w:r w:rsidRPr="00293B59">
        <w:rPr>
          <w:rFonts w:ascii="Calibri Light" w:hAnsi="Calibri Light" w:cs="Calibri Light"/>
        </w:rPr>
        <w:t xml:space="preserve">s industry funding arrangements. ASIC </w:t>
      </w:r>
      <w:r w:rsidR="002F6C44">
        <w:rPr>
          <w:rFonts w:ascii="Calibri Light" w:hAnsi="Calibri Light" w:cs="Calibri Light"/>
        </w:rPr>
        <w:t>should</w:t>
      </w:r>
      <w:r w:rsidR="00273D92">
        <w:rPr>
          <w:rFonts w:ascii="Calibri Light" w:hAnsi="Calibri Light" w:cs="Calibri Light"/>
        </w:rPr>
        <w:t xml:space="preserve"> consider wa</w:t>
      </w:r>
      <w:r w:rsidR="005654DF">
        <w:rPr>
          <w:rFonts w:ascii="Calibri Light" w:hAnsi="Calibri Light" w:cs="Calibri Light"/>
        </w:rPr>
        <w:t>ys to consolidate</w:t>
      </w:r>
      <w:r w:rsidRPr="00293B59">
        <w:rPr>
          <w:rFonts w:ascii="Calibri Light" w:hAnsi="Calibri Light" w:cs="Calibri Light"/>
        </w:rPr>
        <w:t xml:space="preserve"> this information </w:t>
      </w:r>
      <w:r w:rsidR="005654DF">
        <w:rPr>
          <w:rFonts w:ascii="Calibri Light" w:hAnsi="Calibri Light" w:cs="Calibri Light"/>
        </w:rPr>
        <w:t xml:space="preserve">to </w:t>
      </w:r>
      <w:r w:rsidRPr="00293B59">
        <w:rPr>
          <w:rFonts w:ascii="Calibri Light" w:hAnsi="Calibri Light" w:cs="Calibri Light"/>
        </w:rPr>
        <w:t>help stakeholders find information relating to ASIC</w:t>
      </w:r>
      <w:r w:rsidR="00BD190B">
        <w:rPr>
          <w:rFonts w:ascii="Calibri Light" w:hAnsi="Calibri Light" w:cs="Calibri Light"/>
        </w:rPr>
        <w:t>’</w:t>
      </w:r>
      <w:r w:rsidRPr="00293B59">
        <w:rPr>
          <w:rFonts w:ascii="Calibri Light" w:hAnsi="Calibri Light" w:cs="Calibri Light"/>
        </w:rPr>
        <w:t>s industry funding arrangements in an easily accessible format and help increase stakeholders</w:t>
      </w:r>
      <w:r w:rsidR="00BD190B">
        <w:rPr>
          <w:rFonts w:ascii="Calibri Light" w:hAnsi="Calibri Light" w:cs="Calibri Light"/>
        </w:rPr>
        <w:t>’</w:t>
      </w:r>
      <w:r w:rsidRPr="00293B59">
        <w:rPr>
          <w:rFonts w:ascii="Calibri Light" w:hAnsi="Calibri Light" w:cs="Calibri Light"/>
        </w:rPr>
        <w:t xml:space="preserve"> education about the ASIC IFM. </w:t>
      </w:r>
      <w:r w:rsidR="00C14CE3">
        <w:rPr>
          <w:rFonts w:ascii="Calibri Light" w:hAnsi="Calibri Light" w:cs="Calibri Light"/>
        </w:rPr>
        <w:t>For</w:t>
      </w:r>
      <w:r w:rsidR="00201E2E">
        <w:rPr>
          <w:rFonts w:ascii="Calibri Light" w:hAnsi="Calibri Light" w:cs="Calibri Light"/>
        </w:rPr>
        <w:t> </w:t>
      </w:r>
      <w:r w:rsidR="00C14CE3">
        <w:rPr>
          <w:rFonts w:ascii="Calibri Light" w:hAnsi="Calibri Light" w:cs="Calibri Light"/>
        </w:rPr>
        <w:t xml:space="preserve">example, </w:t>
      </w:r>
      <w:r w:rsidR="00836C03">
        <w:rPr>
          <w:rFonts w:ascii="Calibri Light" w:hAnsi="Calibri Light" w:cs="Calibri Light"/>
        </w:rPr>
        <w:t xml:space="preserve">consolidating information </w:t>
      </w:r>
      <w:r w:rsidR="00C14CE3" w:rsidRPr="00C14CE3">
        <w:rPr>
          <w:rFonts w:ascii="Calibri Light" w:hAnsi="Calibri Light" w:cs="Calibri Light"/>
        </w:rPr>
        <w:t xml:space="preserve">on a single webpage </w:t>
      </w:r>
      <w:r w:rsidR="00836C03">
        <w:rPr>
          <w:rFonts w:ascii="Calibri Light" w:hAnsi="Calibri Light" w:cs="Calibri Light"/>
        </w:rPr>
        <w:t xml:space="preserve">(an </w:t>
      </w:r>
      <w:r w:rsidR="00BD190B">
        <w:rPr>
          <w:rFonts w:ascii="Calibri Light" w:hAnsi="Calibri Light" w:cs="Calibri Light"/>
        </w:rPr>
        <w:t>‘</w:t>
      </w:r>
      <w:r w:rsidR="004D6A4B">
        <w:rPr>
          <w:rFonts w:ascii="Calibri Light" w:hAnsi="Calibri Light" w:cs="Calibri Light"/>
        </w:rPr>
        <w:t xml:space="preserve">IFM </w:t>
      </w:r>
      <w:r w:rsidR="00C14CE3" w:rsidRPr="00C14CE3">
        <w:rPr>
          <w:rFonts w:ascii="Calibri Light" w:hAnsi="Calibri Light" w:cs="Calibri Light"/>
        </w:rPr>
        <w:t>information hub</w:t>
      </w:r>
      <w:r w:rsidR="00BD190B">
        <w:rPr>
          <w:rFonts w:ascii="Calibri Light" w:hAnsi="Calibri Light" w:cs="Calibri Light"/>
        </w:rPr>
        <w:t>’</w:t>
      </w:r>
      <w:r w:rsidR="00836C03">
        <w:rPr>
          <w:rFonts w:ascii="Calibri Light" w:hAnsi="Calibri Light" w:cs="Calibri Light"/>
        </w:rPr>
        <w:t>)</w:t>
      </w:r>
      <w:r w:rsidR="00C14CE3" w:rsidRPr="00C14CE3">
        <w:rPr>
          <w:rFonts w:ascii="Calibri Light" w:hAnsi="Calibri Light" w:cs="Calibri Light"/>
        </w:rPr>
        <w:t xml:space="preserve">. </w:t>
      </w:r>
    </w:p>
    <w:tbl>
      <w:tblPr>
        <w:tblStyle w:val="Style1"/>
        <w:tblW w:w="5000" w:type="pct"/>
        <w:tblLook w:val="04A0" w:firstRow="1" w:lastRow="0" w:firstColumn="1" w:lastColumn="0" w:noHBand="0" w:noVBand="1"/>
      </w:tblPr>
      <w:tblGrid>
        <w:gridCol w:w="9072"/>
      </w:tblGrid>
      <w:tr w:rsidR="00665A86" w:rsidRPr="00DE590F" w14:paraId="5C34A928" w14:textId="77777777" w:rsidTr="00081DF2">
        <w:tc>
          <w:tcPr>
            <w:tcW w:w="8459" w:type="dxa"/>
          </w:tcPr>
          <w:p w14:paraId="0E882117" w14:textId="77777777" w:rsidR="00665A86" w:rsidRPr="0032739E" w:rsidRDefault="00665A86" w:rsidP="00081DF2">
            <w:pPr>
              <w:pStyle w:val="BoxHeading"/>
            </w:pPr>
            <w:r w:rsidRPr="0032739E">
              <w:t xml:space="preserve">Key finding  </w:t>
            </w:r>
          </w:p>
          <w:p w14:paraId="176A1858" w14:textId="58F901B5" w:rsidR="00665A86" w:rsidRPr="0032739E" w:rsidRDefault="00665A86" w:rsidP="001213A6">
            <w:pPr>
              <w:pStyle w:val="BoxText"/>
            </w:pPr>
            <w:r w:rsidRPr="0032739E">
              <w:t>Individuals and businesses struggle to engage with the CRIS, due to its length and complexity</w:t>
            </w:r>
            <w:r w:rsidR="0047601F">
              <w:t xml:space="preserve">. </w:t>
            </w:r>
          </w:p>
        </w:tc>
      </w:tr>
    </w:tbl>
    <w:p w14:paraId="36CD696C" w14:textId="77777777" w:rsidR="00665A86" w:rsidRDefault="00665A86" w:rsidP="00081DF2">
      <w:pPr>
        <w:pStyle w:val="SingleParagraph"/>
      </w:pPr>
    </w:p>
    <w:tbl>
      <w:tblPr>
        <w:tblStyle w:val="Style1"/>
        <w:tblW w:w="5000" w:type="pct"/>
        <w:shd w:val="clear" w:color="auto" w:fill="F2F9FC"/>
        <w:tblLook w:val="04A0" w:firstRow="1" w:lastRow="0" w:firstColumn="1" w:lastColumn="0" w:noHBand="0" w:noVBand="1"/>
      </w:tblPr>
      <w:tblGrid>
        <w:gridCol w:w="9072"/>
      </w:tblGrid>
      <w:tr w:rsidR="004C3AB1" w:rsidRPr="00DE590F" w14:paraId="09BFDBBE" w14:textId="77777777" w:rsidTr="00081DF2">
        <w:trPr>
          <w:trHeight w:val="1001"/>
        </w:trPr>
        <w:tc>
          <w:tcPr>
            <w:tcW w:w="9072" w:type="dxa"/>
            <w:shd w:val="clear" w:color="auto" w:fill="F2F9FC"/>
          </w:tcPr>
          <w:p w14:paraId="13E964CE" w14:textId="77777777" w:rsidR="004C3AB1" w:rsidRPr="00E01802" w:rsidRDefault="004C3AB1" w:rsidP="00081DF2">
            <w:pPr>
              <w:pStyle w:val="BoxHeading"/>
            </w:pPr>
            <w:r w:rsidRPr="00B958BD">
              <w:t>Recommendation 9</w:t>
            </w:r>
          </w:p>
          <w:p w14:paraId="7BCCE20A" w14:textId="0F6A5DEB" w:rsidR="004C3AB1" w:rsidRPr="00B741ED" w:rsidRDefault="004C3AB1" w:rsidP="001213A6">
            <w:pPr>
              <w:pStyle w:val="BoxText"/>
              <w:rPr>
                <w:b/>
              </w:rPr>
            </w:pPr>
            <w:r w:rsidRPr="00B958BD">
              <w:t xml:space="preserve">ASIC </w:t>
            </w:r>
            <w:r w:rsidR="00D72884">
              <w:t>should</w:t>
            </w:r>
            <w:r w:rsidRPr="00B958BD">
              <w:t xml:space="preserve"> pilot and consider ways to: </w:t>
            </w:r>
          </w:p>
          <w:p w14:paraId="7E08841A" w14:textId="41F0488C" w:rsidR="004C3AB1" w:rsidRPr="00B741ED" w:rsidRDefault="004C3AB1" w:rsidP="00081DF2">
            <w:pPr>
              <w:pStyle w:val="Boxbullet"/>
              <w:rPr>
                <w:b/>
              </w:rPr>
            </w:pPr>
            <w:r w:rsidRPr="00B958BD">
              <w:t>consolidate information regarding ASIC</w:t>
            </w:r>
            <w:r w:rsidR="00BD190B">
              <w:t>’</w:t>
            </w:r>
            <w:r w:rsidRPr="00B958BD">
              <w:t>s industry funding arrangements</w:t>
            </w:r>
          </w:p>
          <w:p w14:paraId="27C0DDFF" w14:textId="5F864784" w:rsidR="004C3AB1" w:rsidRPr="00B741ED" w:rsidRDefault="004C3AB1" w:rsidP="00081DF2">
            <w:pPr>
              <w:pStyle w:val="Boxbullet"/>
              <w:rPr>
                <w:b/>
              </w:rPr>
            </w:pPr>
            <w:r w:rsidRPr="00B958BD">
              <w:t>provide more simple explanations regarding ASIC</w:t>
            </w:r>
            <w:r w:rsidR="00BD190B">
              <w:t>’</w:t>
            </w:r>
            <w:r w:rsidRPr="00B958BD">
              <w:t>s cost recovery methodology and the operation of the IFM, including addressing any key gaps in information</w:t>
            </w:r>
          </w:p>
          <w:p w14:paraId="2D113F8D" w14:textId="7965FFF9" w:rsidR="004C3AB1" w:rsidRPr="0032739E" w:rsidRDefault="004C3AB1" w:rsidP="00081DF2">
            <w:pPr>
              <w:pStyle w:val="Boxbullet"/>
              <w:rPr>
                <w:b/>
              </w:rPr>
            </w:pPr>
            <w:r w:rsidRPr="00B958BD">
              <w:rPr>
                <w:rFonts w:cs="Calibri Light"/>
              </w:rPr>
              <w:t>enhance and streamline the structure of the CRIS to reduce complexity for stakeholders</w:t>
            </w:r>
          </w:p>
        </w:tc>
      </w:tr>
    </w:tbl>
    <w:p w14:paraId="1152FC20" w14:textId="77777777" w:rsidR="00665A86" w:rsidRPr="00DE590F" w:rsidRDefault="00665A86" w:rsidP="00665A86">
      <w:pPr>
        <w:pStyle w:val="Heading2"/>
      </w:pPr>
      <w:bookmarkStart w:id="172" w:name="_Toc125305222"/>
      <w:bookmarkStart w:id="173" w:name="_Toc129270506"/>
      <w:r w:rsidRPr="00DE590F">
        <w:t>Timing of the</w:t>
      </w:r>
      <w:r>
        <w:t xml:space="preserve"> levies and</w:t>
      </w:r>
      <w:r w:rsidRPr="00DE590F">
        <w:t xml:space="preserve"> CRIS process</w:t>
      </w:r>
      <w:bookmarkEnd w:id="172"/>
      <w:bookmarkEnd w:id="173"/>
    </w:p>
    <w:p w14:paraId="379F21CE" w14:textId="4BCEB61B"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Charging Framework does not state explicit timeframes for when ASIC must publish the CRIS, only that it must be published before charging begins – that is, prior to levy invoices being issued to regulated entities</w:t>
      </w:r>
      <w:r w:rsidR="00901E80">
        <w:rPr>
          <w:rFonts w:ascii="Calibri Light" w:hAnsi="Calibri Light" w:cs="Calibri Light"/>
        </w:rPr>
        <w:t xml:space="preserve">. </w:t>
      </w:r>
    </w:p>
    <w:p w14:paraId="6EE0AEEE" w14:textId="25804C70"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Currently, the levies process commences around November each year when ASIC starts preparing its draft CRIS setting out estimated levies for that financial year. Table 5.1 provides an indicative timeline of the levies and CRIS process for </w:t>
      </w:r>
      <w:r w:rsidR="009C7ED2">
        <w:rPr>
          <w:rFonts w:ascii="Calibri Light" w:hAnsi="Calibri Light" w:cs="Calibri Light"/>
        </w:rPr>
        <w:t>2021–22</w:t>
      </w:r>
      <w:r w:rsidRPr="00293B59">
        <w:rPr>
          <w:rFonts w:ascii="Calibri Light" w:hAnsi="Calibri Light" w:cs="Calibri Light"/>
        </w:rPr>
        <w:t xml:space="preserve">. </w:t>
      </w:r>
    </w:p>
    <w:p w14:paraId="3CA3CB29" w14:textId="343F46F7" w:rsidR="00665A86" w:rsidRPr="00293B59" w:rsidRDefault="00665A86" w:rsidP="00081DF2">
      <w:pPr>
        <w:pStyle w:val="TableMainHeading"/>
      </w:pPr>
      <w:bookmarkStart w:id="174" w:name="_Toc129270507"/>
      <w:r w:rsidRPr="00293B59">
        <w:lastRenderedPageBreak/>
        <w:t xml:space="preserve">Table 5.1: Timeline of the levies and CRIS process for </w:t>
      </w:r>
      <w:r w:rsidR="009C7ED2">
        <w:t>2021–22</w:t>
      </w:r>
      <w:bookmarkEnd w:id="174"/>
    </w:p>
    <w:tbl>
      <w:tblPr>
        <w:tblStyle w:val="TableGrid"/>
        <w:tblW w:w="5000" w:type="pct"/>
        <w:tblLook w:val="04A0" w:firstRow="1" w:lastRow="0" w:firstColumn="1" w:lastColumn="0" w:noHBand="0" w:noVBand="1"/>
      </w:tblPr>
      <w:tblGrid>
        <w:gridCol w:w="6571"/>
        <w:gridCol w:w="2491"/>
      </w:tblGrid>
      <w:tr w:rsidR="00665A86" w:rsidRPr="00081DF2" w14:paraId="7E7584DF" w14:textId="77777777" w:rsidTr="00081DF2">
        <w:trPr>
          <w:cnfStyle w:val="100000000000" w:firstRow="1" w:lastRow="0" w:firstColumn="0" w:lastColumn="0" w:oddVBand="0" w:evenVBand="0" w:oddHBand="0" w:evenHBand="0" w:firstRowFirstColumn="0" w:firstRowLastColumn="0" w:lastRowFirstColumn="0" w:lastRowLastColumn="0"/>
        </w:trPr>
        <w:tc>
          <w:tcPr>
            <w:tcW w:w="6799" w:type="dxa"/>
          </w:tcPr>
          <w:p w14:paraId="72B5B08B" w14:textId="77777777" w:rsidR="00665A86" w:rsidRPr="00081DF2" w:rsidRDefault="00665A86" w:rsidP="00081DF2">
            <w:pPr>
              <w:pStyle w:val="TableColumnHeadingLeft"/>
              <w:rPr>
                <w:b/>
                <w:bCs/>
              </w:rPr>
            </w:pPr>
            <w:r w:rsidRPr="00081DF2">
              <w:rPr>
                <w:b/>
                <w:bCs/>
              </w:rPr>
              <w:t>Key event</w:t>
            </w:r>
          </w:p>
        </w:tc>
        <w:tc>
          <w:tcPr>
            <w:tcW w:w="2552" w:type="dxa"/>
          </w:tcPr>
          <w:p w14:paraId="3F42BDBB" w14:textId="683641F2" w:rsidR="00665A86" w:rsidRPr="00081DF2" w:rsidRDefault="00665A86" w:rsidP="00081DF2">
            <w:pPr>
              <w:pStyle w:val="TableColumnHeadingLeft"/>
              <w:rPr>
                <w:b/>
                <w:bCs/>
              </w:rPr>
            </w:pPr>
            <w:r w:rsidRPr="00081DF2">
              <w:rPr>
                <w:b/>
                <w:bCs/>
              </w:rPr>
              <w:t>Date</w:t>
            </w:r>
          </w:p>
        </w:tc>
      </w:tr>
      <w:tr w:rsidR="00665A86" w:rsidRPr="00C124AB" w14:paraId="790B0CBD" w14:textId="77777777" w:rsidTr="00081DF2">
        <w:tc>
          <w:tcPr>
            <w:tcW w:w="6799" w:type="dxa"/>
          </w:tcPr>
          <w:p w14:paraId="7D776C53" w14:textId="55E35A51" w:rsidR="00665A86" w:rsidRPr="00293B59" w:rsidRDefault="00665A86" w:rsidP="00081DF2">
            <w:pPr>
              <w:pStyle w:val="TableTextLeft"/>
              <w:rPr>
                <w:b/>
                <w:bCs/>
                <w:highlight w:val="yellow"/>
              </w:rPr>
            </w:pPr>
            <w:r w:rsidRPr="00293B59">
              <w:t xml:space="preserve">ASIC begins preparing the draft CRIS which includes estimating levies for the </w:t>
            </w:r>
            <w:r w:rsidR="009C7ED2">
              <w:t>2021–22</w:t>
            </w:r>
            <w:r w:rsidRPr="00293B59">
              <w:t xml:space="preserve"> financial year.</w:t>
            </w:r>
          </w:p>
        </w:tc>
        <w:tc>
          <w:tcPr>
            <w:tcW w:w="2552" w:type="dxa"/>
          </w:tcPr>
          <w:p w14:paraId="69839C2B" w14:textId="77777777" w:rsidR="00665A86" w:rsidRPr="00293B59" w:rsidRDefault="00665A86" w:rsidP="00081DF2">
            <w:pPr>
              <w:pStyle w:val="TableTextLeft"/>
            </w:pPr>
            <w:r w:rsidRPr="00293B59">
              <w:t>November 2021</w:t>
            </w:r>
          </w:p>
        </w:tc>
      </w:tr>
      <w:tr w:rsidR="00665A86" w:rsidRPr="00C124AB" w14:paraId="6BA8FA3B" w14:textId="77777777" w:rsidTr="00081DF2">
        <w:tc>
          <w:tcPr>
            <w:tcW w:w="6799" w:type="dxa"/>
          </w:tcPr>
          <w:p w14:paraId="37F496D0" w14:textId="6BD8417E" w:rsidR="00665A86" w:rsidRPr="00293B59" w:rsidRDefault="00665A86" w:rsidP="00081DF2">
            <w:pPr>
              <w:pStyle w:val="TableTextLeft"/>
              <w:rPr>
                <w:b/>
                <w:bCs/>
              </w:rPr>
            </w:pPr>
            <w:r w:rsidRPr="00293B59">
              <w:t>ASIC publishes the draft CRIS for stakeholder feedback, which includes estimated regulatory costs for each sub</w:t>
            </w:r>
            <w:r w:rsidR="00BD190B">
              <w:noBreakHyphen/>
            </w:r>
            <w:r w:rsidRPr="00293B59">
              <w:t>sector itemised by each of ASIC</w:t>
            </w:r>
            <w:r w:rsidR="00BD190B">
              <w:t>’</w:t>
            </w:r>
            <w:r w:rsidRPr="00293B59">
              <w:t xml:space="preserve">s regulatory activities. </w:t>
            </w:r>
          </w:p>
        </w:tc>
        <w:tc>
          <w:tcPr>
            <w:tcW w:w="2552" w:type="dxa"/>
          </w:tcPr>
          <w:p w14:paraId="3D4A6F9F" w14:textId="77777777" w:rsidR="00665A86" w:rsidRPr="00293B59" w:rsidRDefault="00665A86" w:rsidP="00081DF2">
            <w:pPr>
              <w:pStyle w:val="TableTextLeft"/>
            </w:pPr>
            <w:r w:rsidRPr="00293B59">
              <w:t>June 2022</w:t>
            </w:r>
          </w:p>
        </w:tc>
      </w:tr>
      <w:tr w:rsidR="00665A86" w:rsidRPr="00C124AB" w14:paraId="178CCD3F" w14:textId="77777777" w:rsidTr="00081DF2">
        <w:tc>
          <w:tcPr>
            <w:tcW w:w="6799" w:type="dxa"/>
          </w:tcPr>
          <w:p w14:paraId="4C94909C" w14:textId="7FDEE939" w:rsidR="00665A86" w:rsidRPr="00293B59" w:rsidRDefault="00665A86" w:rsidP="00081DF2">
            <w:pPr>
              <w:pStyle w:val="TableTextLeft"/>
              <w:rPr>
                <w:b/>
                <w:bCs/>
              </w:rPr>
            </w:pPr>
            <w:r w:rsidRPr="00293B59">
              <w:t>ASIC</w:t>
            </w:r>
            <w:r w:rsidR="00BD190B">
              <w:t>’</w:t>
            </w:r>
            <w:r w:rsidRPr="00293B59">
              <w:t xml:space="preserve">s portal opens for entities to enter their </w:t>
            </w:r>
            <w:r w:rsidR="009C7ED2">
              <w:t>2021–22</w:t>
            </w:r>
            <w:r w:rsidRPr="00293B59">
              <w:t xml:space="preserve"> annual returns, which includes their business metrics. </w:t>
            </w:r>
          </w:p>
        </w:tc>
        <w:tc>
          <w:tcPr>
            <w:tcW w:w="2552" w:type="dxa"/>
          </w:tcPr>
          <w:p w14:paraId="7A7C8F27" w14:textId="77777777" w:rsidR="00665A86" w:rsidRPr="00293B59" w:rsidRDefault="00665A86" w:rsidP="00081DF2">
            <w:pPr>
              <w:pStyle w:val="TableTextLeft"/>
            </w:pPr>
            <w:r w:rsidRPr="00293B59">
              <w:t>July – September 2022</w:t>
            </w:r>
          </w:p>
        </w:tc>
      </w:tr>
      <w:tr w:rsidR="00665A86" w:rsidRPr="00C124AB" w14:paraId="30904187" w14:textId="77777777" w:rsidTr="00081DF2">
        <w:tc>
          <w:tcPr>
            <w:tcW w:w="6799" w:type="dxa"/>
          </w:tcPr>
          <w:p w14:paraId="0FAAA9F4" w14:textId="15130820" w:rsidR="00665A86" w:rsidRPr="00293B59" w:rsidRDefault="00665A86" w:rsidP="00081DF2">
            <w:pPr>
              <w:pStyle w:val="TableTextLeft"/>
              <w:rPr>
                <w:b/>
                <w:bCs/>
              </w:rPr>
            </w:pPr>
            <w:r w:rsidRPr="00293B59">
              <w:t xml:space="preserve">ASIC publishes the final CRIS for </w:t>
            </w:r>
            <w:r w:rsidR="009C7ED2">
              <w:t>2020–21</w:t>
            </w:r>
            <w:r w:rsidRPr="00293B59">
              <w:t xml:space="preserve"> which summarises stakeholder feedback on the draft CRIS. The levy amounts included remain unchanged from the draft CRIS and are therefore still only estimates. </w:t>
            </w:r>
          </w:p>
        </w:tc>
        <w:tc>
          <w:tcPr>
            <w:tcW w:w="2552" w:type="dxa"/>
          </w:tcPr>
          <w:p w14:paraId="2146B4BC" w14:textId="77777777" w:rsidR="00665A86" w:rsidRPr="00293B59" w:rsidRDefault="00665A86" w:rsidP="00081DF2">
            <w:pPr>
              <w:pStyle w:val="TableTextLeft"/>
            </w:pPr>
            <w:r w:rsidRPr="00293B59">
              <w:t>October 2022</w:t>
            </w:r>
          </w:p>
        </w:tc>
      </w:tr>
      <w:tr w:rsidR="00665A86" w:rsidRPr="00C124AB" w14:paraId="3F31D862" w14:textId="77777777" w:rsidTr="00081DF2">
        <w:tc>
          <w:tcPr>
            <w:tcW w:w="6799" w:type="dxa"/>
          </w:tcPr>
          <w:p w14:paraId="292E987C" w14:textId="349DA5FD" w:rsidR="00665A86" w:rsidRPr="00293B59" w:rsidRDefault="00665A86" w:rsidP="00081DF2">
            <w:pPr>
              <w:pStyle w:val="TableTextLeft"/>
              <w:rPr>
                <w:b/>
                <w:bCs/>
              </w:rPr>
            </w:pPr>
            <w:r w:rsidRPr="00293B59">
              <w:t>ASIC makes legislative instruments with business activity details and final regulatory costs and publishes</w:t>
            </w:r>
            <w:r w:rsidR="00380464">
              <w:t xml:space="preserve"> an</w:t>
            </w:r>
            <w:r w:rsidRPr="00293B59">
              <w:t xml:space="preserve"> annual dashboard report.</w:t>
            </w:r>
          </w:p>
        </w:tc>
        <w:tc>
          <w:tcPr>
            <w:tcW w:w="2552" w:type="dxa"/>
          </w:tcPr>
          <w:p w14:paraId="7B9C889D" w14:textId="77777777" w:rsidR="00665A86" w:rsidRPr="00293B59" w:rsidRDefault="00665A86" w:rsidP="00081DF2">
            <w:pPr>
              <w:pStyle w:val="TableTextLeft"/>
            </w:pPr>
            <w:r w:rsidRPr="00293B59">
              <w:t>November 2022</w:t>
            </w:r>
          </w:p>
        </w:tc>
      </w:tr>
      <w:tr w:rsidR="00665A86" w:rsidRPr="00C124AB" w14:paraId="0EF6D5E2" w14:textId="77777777" w:rsidTr="00081DF2">
        <w:tc>
          <w:tcPr>
            <w:tcW w:w="6799" w:type="dxa"/>
          </w:tcPr>
          <w:p w14:paraId="7647106C" w14:textId="6819128B" w:rsidR="00665A86" w:rsidRPr="00293B59" w:rsidRDefault="00665A86" w:rsidP="00081DF2">
            <w:pPr>
              <w:pStyle w:val="TableTextLeft"/>
              <w:rPr>
                <w:b/>
                <w:bCs/>
              </w:rPr>
            </w:pPr>
            <w:r w:rsidRPr="00293B59">
              <w:t xml:space="preserve">ASIC sends invoices to entities for </w:t>
            </w:r>
            <w:r w:rsidR="009C7ED2">
              <w:t>2021–22</w:t>
            </w:r>
            <w:r w:rsidRPr="00293B59">
              <w:t xml:space="preserve"> levies. </w:t>
            </w:r>
          </w:p>
        </w:tc>
        <w:tc>
          <w:tcPr>
            <w:tcW w:w="2552" w:type="dxa"/>
          </w:tcPr>
          <w:p w14:paraId="1F4E03DC" w14:textId="77777777" w:rsidR="00665A86" w:rsidRPr="00293B59" w:rsidRDefault="00665A86" w:rsidP="00081DF2">
            <w:pPr>
              <w:pStyle w:val="TableTextLeft"/>
            </w:pPr>
            <w:r w:rsidRPr="00293B59">
              <w:t>January 2023</w:t>
            </w:r>
          </w:p>
        </w:tc>
      </w:tr>
    </w:tbl>
    <w:p w14:paraId="2E77F31A" w14:textId="77777777" w:rsidR="00665A86" w:rsidRPr="00D35DC4" w:rsidRDefault="00665A86" w:rsidP="00665A86">
      <w:pPr>
        <w:pStyle w:val="numberedtext"/>
        <w:rPr>
          <w:rFonts w:asciiTheme="majorHAnsi" w:eastAsia="Times New Roman" w:hAnsiTheme="majorHAnsi" w:cstheme="majorHAnsi"/>
          <w:iCs/>
          <w:color w:val="2C384A"/>
          <w:kern w:val="32"/>
          <w:sz w:val="2"/>
          <w:szCs w:val="2"/>
          <w:lang w:eastAsia="en-AU"/>
        </w:rPr>
      </w:pPr>
    </w:p>
    <w:p w14:paraId="4AB60888" w14:textId="77777777" w:rsidR="00665A86" w:rsidRPr="00DE590F" w:rsidRDefault="00665A86" w:rsidP="00665A86">
      <w:pPr>
        <w:pStyle w:val="Heading3"/>
      </w:pPr>
      <w:bookmarkStart w:id="175" w:name="_Toc129270508"/>
      <w:r w:rsidRPr="00DE590F">
        <w:t>Analysis and findings</w:t>
      </w:r>
      <w:bookmarkEnd w:id="175"/>
    </w:p>
    <w:p w14:paraId="44722C50" w14:textId="77777777" w:rsidR="00665A86" w:rsidRPr="00FE00DA" w:rsidRDefault="00665A86" w:rsidP="00665A86">
      <w:pPr>
        <w:pStyle w:val="Heading4"/>
      </w:pPr>
      <w:bookmarkStart w:id="176" w:name="_Toc125305223"/>
      <w:r w:rsidRPr="00691A4F">
        <w:t>Timing o</w:t>
      </w:r>
      <w:r w:rsidRPr="00044084">
        <w:t xml:space="preserve">f </w:t>
      </w:r>
      <w:r w:rsidRPr="007B3F81">
        <w:t>the</w:t>
      </w:r>
      <w:r w:rsidRPr="00FE00DA">
        <w:t xml:space="preserve"> CRIS release</w:t>
      </w:r>
      <w:bookmarkEnd w:id="176"/>
    </w:p>
    <w:p w14:paraId="6B1AC9E8" w14:textId="739CEE8F"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ASIC aims to publish the draft CRIS in March each year. However, the timing for the release of ASIC</w:t>
      </w:r>
      <w:r w:rsidR="00BD190B">
        <w:rPr>
          <w:rFonts w:ascii="Calibri Light" w:hAnsi="Calibri Light" w:cs="Calibri Light"/>
        </w:rPr>
        <w:t>’</w:t>
      </w:r>
      <w:r w:rsidRPr="00293B59">
        <w:rPr>
          <w:rFonts w:ascii="Calibri Light" w:hAnsi="Calibri Light" w:cs="Calibri Light"/>
        </w:rPr>
        <w:t>s draft and final CRIS has not been consistent over the life of the IFM – see Table 5.2.</w:t>
      </w:r>
    </w:p>
    <w:p w14:paraId="3D2B7294" w14:textId="14487B94"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 number of external factors have impacted the timing of when the draft and final CRIS has been published, including the COVID</w:t>
      </w:r>
      <w:r w:rsidR="00BD190B">
        <w:rPr>
          <w:rFonts w:ascii="Calibri Light" w:hAnsi="Calibri Light" w:cs="Calibri Light"/>
        </w:rPr>
        <w:noBreakHyphen/>
      </w:r>
      <w:r w:rsidRPr="00293B59">
        <w:rPr>
          <w:rFonts w:ascii="Calibri Light" w:hAnsi="Calibri Light" w:cs="Calibri Light"/>
        </w:rPr>
        <w:t xml:space="preserve">19 pandemic and decisions by previous </w:t>
      </w:r>
      <w:r w:rsidR="00B327E2">
        <w:rPr>
          <w:rFonts w:ascii="Calibri Light" w:hAnsi="Calibri Light" w:cs="Calibri Light"/>
        </w:rPr>
        <w:t>g</w:t>
      </w:r>
      <w:r w:rsidRPr="00293B59">
        <w:rPr>
          <w:rFonts w:ascii="Calibri Light" w:hAnsi="Calibri Light" w:cs="Calibri Light"/>
        </w:rPr>
        <w:t xml:space="preserve">overnments to delay the release of the CRIS such as during the 2022 Federal Election. </w:t>
      </w:r>
    </w:p>
    <w:p w14:paraId="46D77739"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Stakeholder feedback has indicated that a more consistent release of the CRIS would be preferred, specifically so that regulated entities are able to factor the timing of the CRIS release in their internal budget cycles and can anticipate when estimated levies will be known. </w:t>
      </w:r>
    </w:p>
    <w:p w14:paraId="5305AF48" w14:textId="76102FD9"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recognises the timing of the CRIS has varied significantly, and that more consistent timing will provide more certainty to stakeholders. While the Review recommends that the CRIS is released consistently each year, the recommendation is made in consideration of the trade</w:t>
      </w:r>
      <w:r w:rsidR="00BD190B">
        <w:rPr>
          <w:rFonts w:ascii="Calibri Light" w:hAnsi="Calibri Light" w:cs="Calibri Light"/>
        </w:rPr>
        <w:noBreakHyphen/>
      </w:r>
      <w:r w:rsidR="00BD190B">
        <w:rPr>
          <w:rFonts w:ascii="Calibri Light" w:hAnsi="Calibri Light" w:cs="Calibri Light"/>
        </w:rPr>
        <w:noBreakHyphen/>
      </w:r>
      <w:r w:rsidRPr="00293B59">
        <w:rPr>
          <w:rFonts w:ascii="Calibri Light" w:hAnsi="Calibri Light" w:cs="Calibri Light"/>
        </w:rPr>
        <w:t xml:space="preserve">off between timing and accuracy of estimates, which is addressed </w:t>
      </w:r>
      <w:r w:rsidR="0071327E">
        <w:rPr>
          <w:rFonts w:ascii="Calibri Light" w:hAnsi="Calibri Light" w:cs="Calibri Light"/>
        </w:rPr>
        <w:t>below</w:t>
      </w:r>
      <w:r w:rsidRPr="00293B59">
        <w:rPr>
          <w:rFonts w:ascii="Calibri Light" w:hAnsi="Calibri Light" w:cs="Calibri Light"/>
        </w:rPr>
        <w:t>.</w:t>
      </w:r>
    </w:p>
    <w:p w14:paraId="1C223460" w14:textId="77777777" w:rsidR="00665A86" w:rsidRPr="00FE00DA" w:rsidRDefault="00665A86" w:rsidP="00665A86">
      <w:pPr>
        <w:pStyle w:val="Heading4"/>
        <w:rPr>
          <w:bCs/>
        </w:rPr>
      </w:pPr>
      <w:bookmarkStart w:id="177" w:name="_Toc125305224"/>
      <w:r w:rsidRPr="00691A4F">
        <w:t>Accuracy</w:t>
      </w:r>
      <w:r w:rsidRPr="00044084">
        <w:t xml:space="preserve"> </w:t>
      </w:r>
      <w:r w:rsidRPr="007B3F81">
        <w:t>of estimated levies</w:t>
      </w:r>
      <w:bookmarkEnd w:id="177"/>
      <w:r w:rsidRPr="007B3F81">
        <w:t xml:space="preserve"> </w:t>
      </w:r>
    </w:p>
    <w:p w14:paraId="67400AD5" w14:textId="615DC293"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To meet the timeframe of publishing the draft CRIS in March, ASIC generally commences the process of calculating estimated levies in the middle of the financial year (around November of the previous calendar year). ASIC therefore calculates its estimated levies based on information and data at a point in time, which can be </w:t>
      </w:r>
      <w:r w:rsidR="00BD190B">
        <w:rPr>
          <w:rFonts w:ascii="Calibri Light" w:hAnsi="Calibri Light" w:cs="Calibri Light"/>
        </w:rPr>
        <w:t>‘</w:t>
      </w:r>
      <w:r w:rsidRPr="00293B59">
        <w:rPr>
          <w:rFonts w:ascii="Calibri Light" w:hAnsi="Calibri Light" w:cs="Calibri Light"/>
        </w:rPr>
        <w:t>out</w:t>
      </w:r>
      <w:r w:rsidR="00BD190B">
        <w:rPr>
          <w:rFonts w:ascii="Calibri Light" w:hAnsi="Calibri Light" w:cs="Calibri Light"/>
        </w:rPr>
        <w:noBreakHyphen/>
      </w:r>
      <w:r w:rsidRPr="00293B59">
        <w:rPr>
          <w:rFonts w:ascii="Calibri Light" w:hAnsi="Calibri Light" w:cs="Calibri Light"/>
        </w:rPr>
        <w:t>of</w:t>
      </w:r>
      <w:r w:rsidR="00BD190B">
        <w:rPr>
          <w:rFonts w:ascii="Calibri Light" w:hAnsi="Calibri Light" w:cs="Calibri Light"/>
        </w:rPr>
        <w:noBreakHyphen/>
      </w:r>
      <w:r w:rsidRPr="00293B59">
        <w:rPr>
          <w:rFonts w:ascii="Calibri Light" w:hAnsi="Calibri Light" w:cs="Calibri Light"/>
        </w:rPr>
        <w:t>date</w:t>
      </w:r>
      <w:r w:rsidR="00BD190B">
        <w:rPr>
          <w:rFonts w:ascii="Calibri Light" w:hAnsi="Calibri Light" w:cs="Calibri Light"/>
        </w:rPr>
        <w:t>’</w:t>
      </w:r>
      <w:r w:rsidRPr="00293B59">
        <w:rPr>
          <w:rFonts w:ascii="Calibri Light" w:hAnsi="Calibri Light" w:cs="Calibri Light"/>
        </w:rPr>
        <w:t xml:space="preserve"> at the time the draft CRIS is consulted on. This means that actual levies will generally vary from these estimates, sometimes by a substantial degree. </w:t>
      </w:r>
    </w:p>
    <w:p w14:paraId="1EEC83EB" w14:textId="3838109A"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 key challenge for entities is the sometimes</w:t>
      </w:r>
      <w:r w:rsidR="00BD190B">
        <w:rPr>
          <w:rFonts w:ascii="Calibri Light" w:hAnsi="Calibri Light" w:cs="Calibri Light"/>
        </w:rPr>
        <w:noBreakHyphen/>
      </w:r>
      <w:r w:rsidRPr="00293B59">
        <w:rPr>
          <w:rFonts w:ascii="Calibri Light" w:hAnsi="Calibri Light" w:cs="Calibri Light"/>
        </w:rPr>
        <w:t xml:space="preserve">significant variance between estimated and actual levies each year, which makes it hard for entities to budget for the actual levy. Therefore, some entities do not find the estimated levies useful and do not engage with the draft CRIS. </w:t>
      </w:r>
    </w:p>
    <w:p w14:paraId="728D8F7B" w14:textId="53B6BD1C"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inconsistent timing of when estimated levies are released can also make it difficult for entities to budget for the actual levies. The Review notes that in instances when the release of the CRIS is delayed, ASIC does not update its estimated levies. </w:t>
      </w:r>
    </w:p>
    <w:p w14:paraId="3BC65BF8" w14:textId="38A78174"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lastRenderedPageBreak/>
        <w:t>ASIC calculates estimated levies using point</w:t>
      </w:r>
      <w:r w:rsidR="00BD190B">
        <w:rPr>
          <w:rFonts w:ascii="Calibri Light" w:hAnsi="Calibri Light" w:cs="Calibri Light"/>
        </w:rPr>
        <w:noBreakHyphen/>
      </w:r>
      <w:r w:rsidRPr="00293B59">
        <w:rPr>
          <w:rFonts w:ascii="Calibri Light" w:hAnsi="Calibri Light" w:cs="Calibri Light"/>
        </w:rPr>
        <w:t>in</w:t>
      </w:r>
      <w:r w:rsidR="00BD190B">
        <w:rPr>
          <w:rFonts w:ascii="Calibri Light" w:hAnsi="Calibri Light" w:cs="Calibri Light"/>
        </w:rPr>
        <w:noBreakHyphen/>
      </w:r>
      <w:r w:rsidRPr="00293B59">
        <w:rPr>
          <w:rFonts w:ascii="Calibri Light" w:hAnsi="Calibri Light" w:cs="Calibri Light"/>
        </w:rPr>
        <w:t>time data and information. To enable more accurate estimated levy amounts reflecting more up</w:t>
      </w:r>
      <w:r w:rsidR="00BD190B">
        <w:rPr>
          <w:rFonts w:ascii="Calibri Light" w:hAnsi="Calibri Light" w:cs="Calibri Light"/>
        </w:rPr>
        <w:noBreakHyphen/>
      </w:r>
      <w:r w:rsidRPr="00293B59">
        <w:rPr>
          <w:rFonts w:ascii="Calibri Light" w:hAnsi="Calibri Light" w:cs="Calibri Light"/>
        </w:rPr>
        <w:t>to</w:t>
      </w:r>
      <w:r w:rsidR="00BD190B">
        <w:rPr>
          <w:rFonts w:ascii="Calibri Light" w:hAnsi="Calibri Light" w:cs="Calibri Light"/>
        </w:rPr>
        <w:noBreakHyphen/>
      </w:r>
      <w:r w:rsidRPr="00293B59">
        <w:rPr>
          <w:rFonts w:ascii="Calibri Light" w:hAnsi="Calibri Light" w:cs="Calibri Light"/>
        </w:rPr>
        <w:t xml:space="preserve">date data, ASIC could undertake these calculations later in the financial year. </w:t>
      </w:r>
    </w:p>
    <w:p w14:paraId="43C2FD5B" w14:textId="0FB3EC08"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For the </w:t>
      </w:r>
      <w:r w:rsidR="009C7ED2">
        <w:rPr>
          <w:rFonts w:ascii="Calibri Light" w:hAnsi="Calibri Light" w:cs="Calibri Light"/>
        </w:rPr>
        <w:t>2021–22</w:t>
      </w:r>
      <w:r w:rsidRPr="00293B59">
        <w:rPr>
          <w:rFonts w:ascii="Calibri Light" w:hAnsi="Calibri Light" w:cs="Calibri Light"/>
        </w:rPr>
        <w:t xml:space="preserve"> CRIS process, ASIC was able to commence its process of calculating estimated levies in early 2022 (rather than November 2021) due to the Federal Election in May 2022, which resulted in the CRIS being released in June 2022. Therefore, ASIC was able to use six months of actual data to estimate levies for </w:t>
      </w:r>
      <w:r w:rsidR="009C7ED2">
        <w:rPr>
          <w:rFonts w:ascii="Calibri Light" w:hAnsi="Calibri Light" w:cs="Calibri Light"/>
        </w:rPr>
        <w:t>2021–22</w:t>
      </w:r>
      <w:r w:rsidRPr="00293B59">
        <w:rPr>
          <w:rFonts w:ascii="Calibri Light" w:hAnsi="Calibri Light" w:cs="Calibri Light"/>
        </w:rPr>
        <w:t>. Due to the additional months</w:t>
      </w:r>
      <w:r w:rsidR="00BD190B">
        <w:rPr>
          <w:rFonts w:ascii="Calibri Light" w:hAnsi="Calibri Light" w:cs="Calibri Light"/>
        </w:rPr>
        <w:t>’</w:t>
      </w:r>
      <w:r w:rsidRPr="00293B59">
        <w:rPr>
          <w:rFonts w:ascii="Calibri Light" w:hAnsi="Calibri Light" w:cs="Calibri Light"/>
        </w:rPr>
        <w:t xml:space="preserve"> data ASIC was able to use, there was a reduction in the number of su</w:t>
      </w:r>
      <w:r w:rsidR="00A80418">
        <w:rPr>
          <w:rFonts w:ascii="Calibri Light" w:hAnsi="Calibri Light" w:cs="Calibri Light"/>
        </w:rPr>
        <w:t>b</w:t>
      </w:r>
      <w:r w:rsidR="00BD190B">
        <w:rPr>
          <w:rFonts w:ascii="Calibri Light" w:hAnsi="Calibri Light" w:cs="Calibri Light"/>
        </w:rPr>
        <w:noBreakHyphen/>
      </w:r>
      <w:r w:rsidRPr="00293B59">
        <w:rPr>
          <w:rFonts w:ascii="Calibri Light" w:hAnsi="Calibri Light" w:cs="Calibri Light"/>
        </w:rPr>
        <w:t xml:space="preserve">sectors with material variances, reducing from 12 in </w:t>
      </w:r>
      <w:r w:rsidR="009C7ED2">
        <w:rPr>
          <w:rFonts w:ascii="Calibri Light" w:hAnsi="Calibri Light" w:cs="Calibri Light"/>
        </w:rPr>
        <w:t>2020–21</w:t>
      </w:r>
      <w:r w:rsidRPr="00293B59">
        <w:rPr>
          <w:rFonts w:ascii="Calibri Light" w:hAnsi="Calibri Light" w:cs="Calibri Light"/>
        </w:rPr>
        <w:t xml:space="preserve"> to 6 in </w:t>
      </w:r>
      <w:r w:rsidR="009C7ED2">
        <w:rPr>
          <w:rFonts w:ascii="Calibri Light" w:hAnsi="Calibri Light" w:cs="Calibri Light"/>
        </w:rPr>
        <w:t>2021–22</w:t>
      </w:r>
      <w:r w:rsidRPr="00293B59">
        <w:rPr>
          <w:rFonts w:ascii="Calibri Light" w:hAnsi="Calibri Light" w:cs="Calibri Light"/>
        </w:rPr>
        <w:t xml:space="preserve">. </w:t>
      </w:r>
    </w:p>
    <w:p w14:paraId="2A7E51BE" w14:textId="418B4181"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finds that a later release of the CRIS would enable more accurate estimated levies and recommends that the CRIS is released in June each year (no later than 30 June). The Review recognises that while this would mean estimated levies would reflect more up</w:t>
      </w:r>
      <w:r w:rsidR="00BD190B">
        <w:rPr>
          <w:rFonts w:ascii="Calibri Light" w:hAnsi="Calibri Light" w:cs="Calibri Light"/>
        </w:rPr>
        <w:noBreakHyphen/>
      </w:r>
      <w:r w:rsidRPr="00293B59">
        <w:rPr>
          <w:rFonts w:ascii="Calibri Light" w:hAnsi="Calibri Light" w:cs="Calibri Light"/>
        </w:rPr>
        <w:t>to</w:t>
      </w:r>
      <w:r w:rsidR="00BD190B">
        <w:rPr>
          <w:rFonts w:ascii="Calibri Light" w:hAnsi="Calibri Light" w:cs="Calibri Light"/>
        </w:rPr>
        <w:noBreakHyphen/>
      </w:r>
      <w:r w:rsidRPr="00293B59">
        <w:rPr>
          <w:rFonts w:ascii="Calibri Light" w:hAnsi="Calibri Light" w:cs="Calibri Light"/>
        </w:rPr>
        <w:t xml:space="preserve">date information, there would still be some variability in actual levy amounts. </w:t>
      </w:r>
    </w:p>
    <w:p w14:paraId="4B12BD04" w14:textId="3D5EF4AE"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This Review finds that while the June timeframe would not align with every entity</w:t>
      </w:r>
      <w:r w:rsidR="00BD190B">
        <w:rPr>
          <w:rFonts w:ascii="Calibri Light" w:hAnsi="Calibri Light" w:cs="Calibri Light"/>
        </w:rPr>
        <w:t>’</w:t>
      </w:r>
      <w:r w:rsidRPr="00293B59">
        <w:rPr>
          <w:rFonts w:ascii="Calibri Light" w:hAnsi="Calibri Light" w:cs="Calibri Light"/>
        </w:rPr>
        <w:t>s internal budget cycle, stakeholders are generally supportive of a later release of the CRIS to enable more accurate estimated levies</w:t>
      </w:r>
      <w:r w:rsidR="00901E80">
        <w:rPr>
          <w:rFonts w:ascii="Calibri Light" w:hAnsi="Calibri Light" w:cs="Calibri Light"/>
        </w:rPr>
        <w:t xml:space="preserve">. </w:t>
      </w:r>
    </w:p>
    <w:p w14:paraId="28EA17E0" w14:textId="3BB376CE"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ASIC would release a final CRIS in June each year (no later than 30 June) which would enable more consistent timing of when the CRIS is released and more accurate estimated levies. This</w:t>
      </w:r>
      <w:r w:rsidR="001D7287">
        <w:rPr>
          <w:rFonts w:ascii="Calibri Light" w:hAnsi="Calibri Light" w:cs="Calibri Light"/>
        </w:rPr>
        <w:t> </w:t>
      </w:r>
      <w:r w:rsidRPr="00293B59">
        <w:rPr>
          <w:rFonts w:ascii="Calibri Light" w:hAnsi="Calibri Light" w:cs="Calibri Light"/>
        </w:rPr>
        <w:t xml:space="preserve">would enable entities to better budget for their actual levy invoices issued in the following financial year. </w:t>
      </w:r>
    </w:p>
    <w:p w14:paraId="37A2A28D"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Table 5.3 outlines a potential reframed CRIS and levy process timeline which allows for better estimated levies to be calculated by ASIC and removes the draft CRIS component of the model. </w:t>
      </w:r>
    </w:p>
    <w:p w14:paraId="7542BB35" w14:textId="125B1635" w:rsidR="00665A86" w:rsidRPr="00293B59" w:rsidRDefault="00665A86" w:rsidP="00081DF2">
      <w:pPr>
        <w:pStyle w:val="TableMainHeading"/>
      </w:pPr>
      <w:bookmarkStart w:id="178" w:name="_Toc129270509"/>
      <w:r w:rsidRPr="00293B59">
        <w:t>Table 5.</w:t>
      </w:r>
      <w:r w:rsidR="00B327E2">
        <w:t>2</w:t>
      </w:r>
      <w:r w:rsidRPr="00293B59">
        <w:t xml:space="preserve"> Potential timeline of the CRIS and levies process for 2022</w:t>
      </w:r>
      <w:r w:rsidR="00F72954">
        <w:t>–</w:t>
      </w:r>
      <w:r w:rsidRPr="00293B59">
        <w:t>23 onwards</w:t>
      </w:r>
      <w:bookmarkEnd w:id="178"/>
    </w:p>
    <w:tbl>
      <w:tblPr>
        <w:tblStyle w:val="TableGrid"/>
        <w:tblW w:w="5000" w:type="pct"/>
        <w:tblLook w:val="04A0" w:firstRow="1" w:lastRow="0" w:firstColumn="1" w:lastColumn="0" w:noHBand="0" w:noVBand="1"/>
      </w:tblPr>
      <w:tblGrid>
        <w:gridCol w:w="6844"/>
        <w:gridCol w:w="2218"/>
      </w:tblGrid>
      <w:tr w:rsidR="00665A86" w:rsidRPr="00081DF2" w14:paraId="414AAED4" w14:textId="77777777" w:rsidTr="00081DF2">
        <w:trPr>
          <w:cnfStyle w:val="100000000000" w:firstRow="1" w:lastRow="0" w:firstColumn="0" w:lastColumn="0" w:oddVBand="0" w:evenVBand="0" w:oddHBand="0" w:evenHBand="0" w:firstRowFirstColumn="0" w:firstRowLastColumn="0" w:lastRowFirstColumn="0" w:lastRowLastColumn="0"/>
        </w:trPr>
        <w:tc>
          <w:tcPr>
            <w:tcW w:w="7083" w:type="dxa"/>
          </w:tcPr>
          <w:p w14:paraId="1C14E51B" w14:textId="77777777" w:rsidR="00665A86" w:rsidRPr="00081DF2" w:rsidRDefault="00665A86" w:rsidP="00081DF2">
            <w:pPr>
              <w:pStyle w:val="TableColumnHeadingLeft"/>
              <w:rPr>
                <w:b/>
                <w:bCs/>
              </w:rPr>
            </w:pPr>
            <w:r w:rsidRPr="00081DF2">
              <w:rPr>
                <w:b/>
                <w:bCs/>
              </w:rPr>
              <w:t>Key event</w:t>
            </w:r>
          </w:p>
        </w:tc>
        <w:tc>
          <w:tcPr>
            <w:tcW w:w="2268" w:type="dxa"/>
          </w:tcPr>
          <w:p w14:paraId="68A5F23B" w14:textId="0121CF2B" w:rsidR="00665A86" w:rsidRPr="00081DF2" w:rsidRDefault="00665A86" w:rsidP="00081DF2">
            <w:pPr>
              <w:pStyle w:val="TableColumnHeadingLeft"/>
              <w:rPr>
                <w:b/>
                <w:bCs/>
              </w:rPr>
            </w:pPr>
            <w:r w:rsidRPr="00081DF2">
              <w:rPr>
                <w:b/>
                <w:bCs/>
              </w:rPr>
              <w:t>Date</w:t>
            </w:r>
          </w:p>
        </w:tc>
      </w:tr>
      <w:tr w:rsidR="00665A86" w:rsidRPr="00C124AB" w14:paraId="0570B8E5" w14:textId="77777777" w:rsidTr="00081DF2">
        <w:tc>
          <w:tcPr>
            <w:tcW w:w="7083" w:type="dxa"/>
          </w:tcPr>
          <w:p w14:paraId="6921DC58" w14:textId="0EDFD4F7" w:rsidR="00665A86" w:rsidRPr="00293B59" w:rsidRDefault="00665A86" w:rsidP="00081DF2">
            <w:pPr>
              <w:pStyle w:val="TableTextLeft"/>
              <w:rPr>
                <w:b/>
                <w:bCs/>
                <w:highlight w:val="yellow"/>
              </w:rPr>
            </w:pPr>
            <w:r w:rsidRPr="00293B59">
              <w:t>ASIC begins preparing the draft CRIS which includes estimating levies for the 2022</w:t>
            </w:r>
            <w:r w:rsidR="00F72954">
              <w:t>–</w:t>
            </w:r>
            <w:r w:rsidRPr="00293B59">
              <w:t>23 financial year.</w:t>
            </w:r>
          </w:p>
        </w:tc>
        <w:tc>
          <w:tcPr>
            <w:tcW w:w="2268" w:type="dxa"/>
          </w:tcPr>
          <w:p w14:paraId="530F1A4C" w14:textId="77777777" w:rsidR="00665A86" w:rsidRPr="00293B59" w:rsidRDefault="00665A86" w:rsidP="00081DF2">
            <w:pPr>
              <w:pStyle w:val="TableTextLeft"/>
            </w:pPr>
            <w:r w:rsidRPr="00293B59">
              <w:t>January 2023</w:t>
            </w:r>
          </w:p>
        </w:tc>
      </w:tr>
      <w:tr w:rsidR="00665A86" w:rsidRPr="00C124AB" w14:paraId="19CAFA66" w14:textId="77777777" w:rsidTr="00081DF2">
        <w:tc>
          <w:tcPr>
            <w:tcW w:w="7083" w:type="dxa"/>
          </w:tcPr>
          <w:p w14:paraId="5071D027" w14:textId="7DE62DC1" w:rsidR="00665A86" w:rsidRPr="00293B59" w:rsidRDefault="00665A86" w:rsidP="00081DF2">
            <w:pPr>
              <w:pStyle w:val="TableTextLeft"/>
              <w:rPr>
                <w:b/>
                <w:bCs/>
              </w:rPr>
            </w:pPr>
            <w:r w:rsidRPr="00293B59">
              <w:t>ASIC publishes CRIS for 2022</w:t>
            </w:r>
            <w:r w:rsidR="00F72954">
              <w:t>–</w:t>
            </w:r>
            <w:r w:rsidRPr="00293B59">
              <w:t>23 which sets out the estimated levies for 2022</w:t>
            </w:r>
            <w:r w:rsidR="00BD190B">
              <w:noBreakHyphen/>
            </w:r>
            <w:r w:rsidRPr="00293B59">
              <w:t>23. No consultation would be undertaken on the CRIS.</w:t>
            </w:r>
          </w:p>
        </w:tc>
        <w:tc>
          <w:tcPr>
            <w:tcW w:w="2268" w:type="dxa"/>
          </w:tcPr>
          <w:p w14:paraId="394B5364" w14:textId="4CEE1621" w:rsidR="00665A86" w:rsidRPr="00293B59" w:rsidRDefault="00665A86" w:rsidP="00081DF2">
            <w:pPr>
              <w:pStyle w:val="TableTextLeft"/>
            </w:pPr>
            <w:r w:rsidRPr="00293B59">
              <w:t>June</w:t>
            </w:r>
            <w:r w:rsidR="00C679C9">
              <w:t xml:space="preserve"> 2023</w:t>
            </w:r>
          </w:p>
        </w:tc>
      </w:tr>
      <w:tr w:rsidR="00665A86" w:rsidRPr="00C124AB" w14:paraId="21572DF1" w14:textId="77777777" w:rsidTr="00081DF2">
        <w:tc>
          <w:tcPr>
            <w:tcW w:w="7083" w:type="dxa"/>
          </w:tcPr>
          <w:p w14:paraId="1AF4D115" w14:textId="1240F1DC" w:rsidR="00665A86" w:rsidRPr="00293B59" w:rsidRDefault="00665A86" w:rsidP="00081DF2">
            <w:pPr>
              <w:pStyle w:val="TableTextLeft"/>
              <w:rPr>
                <w:b/>
                <w:bCs/>
              </w:rPr>
            </w:pPr>
            <w:r w:rsidRPr="00293B59">
              <w:t>ASIC</w:t>
            </w:r>
            <w:r w:rsidR="00BD190B">
              <w:t>’</w:t>
            </w:r>
            <w:r w:rsidRPr="00293B59">
              <w:t>s portal opens for entities to enter their 2022</w:t>
            </w:r>
            <w:r w:rsidR="00F72954">
              <w:t>–</w:t>
            </w:r>
            <w:r w:rsidRPr="00293B59">
              <w:t xml:space="preserve">23 annual returns, which includes their business metrics. </w:t>
            </w:r>
          </w:p>
        </w:tc>
        <w:tc>
          <w:tcPr>
            <w:tcW w:w="2268" w:type="dxa"/>
          </w:tcPr>
          <w:p w14:paraId="3D05C4AE" w14:textId="77777777" w:rsidR="00665A86" w:rsidRPr="00293B59" w:rsidRDefault="00665A86" w:rsidP="00081DF2">
            <w:pPr>
              <w:pStyle w:val="TableTextLeft"/>
            </w:pPr>
            <w:r w:rsidRPr="00293B59">
              <w:t>July – September 2023</w:t>
            </w:r>
          </w:p>
        </w:tc>
      </w:tr>
      <w:tr w:rsidR="00665A86" w:rsidRPr="00C124AB" w14:paraId="1FAFEBBB" w14:textId="77777777" w:rsidTr="00081DF2">
        <w:tc>
          <w:tcPr>
            <w:tcW w:w="7083" w:type="dxa"/>
          </w:tcPr>
          <w:p w14:paraId="288A2B27" w14:textId="64D3BD16" w:rsidR="00665A86" w:rsidRPr="00293B59" w:rsidRDefault="00665A86" w:rsidP="00081DF2">
            <w:pPr>
              <w:pStyle w:val="TableTextLeft"/>
              <w:rPr>
                <w:b/>
                <w:bCs/>
              </w:rPr>
            </w:pPr>
            <w:r w:rsidRPr="00293B59">
              <w:t>ASIC makes legislative instruments with business activity details and final regulatory costs</w:t>
            </w:r>
            <w:r w:rsidR="00EC4DB9">
              <w:t>.</w:t>
            </w:r>
          </w:p>
        </w:tc>
        <w:tc>
          <w:tcPr>
            <w:tcW w:w="2268" w:type="dxa"/>
          </w:tcPr>
          <w:p w14:paraId="57A63E46" w14:textId="77777777" w:rsidR="00665A86" w:rsidRPr="00293B59" w:rsidRDefault="00665A86" w:rsidP="00081DF2">
            <w:pPr>
              <w:pStyle w:val="TableTextLeft"/>
            </w:pPr>
            <w:r w:rsidRPr="00293B59">
              <w:t>November 2023</w:t>
            </w:r>
          </w:p>
        </w:tc>
      </w:tr>
      <w:tr w:rsidR="00C679C9" w:rsidRPr="00C124AB" w14:paraId="47D6240C" w14:textId="77777777" w:rsidTr="00081DF2">
        <w:tc>
          <w:tcPr>
            <w:tcW w:w="7083" w:type="dxa"/>
          </w:tcPr>
          <w:p w14:paraId="6FF95665" w14:textId="1D7FCB37" w:rsidR="00C679C9" w:rsidRPr="0032739E" w:rsidRDefault="00C679C9" w:rsidP="00081DF2">
            <w:pPr>
              <w:pStyle w:val="TableTextLeft"/>
              <w:rPr>
                <w:b/>
                <w:bCs/>
              </w:rPr>
            </w:pPr>
            <w:r w:rsidRPr="0089177C">
              <w:t>ASIC publish annual dashboard and summary of variances</w:t>
            </w:r>
            <w:r w:rsidR="00EC4DB9" w:rsidRPr="0089177C">
              <w:t>.</w:t>
            </w:r>
          </w:p>
        </w:tc>
        <w:tc>
          <w:tcPr>
            <w:tcW w:w="2268" w:type="dxa"/>
          </w:tcPr>
          <w:p w14:paraId="4B744DB6" w14:textId="48805EB7" w:rsidR="00C679C9" w:rsidRPr="00293B59" w:rsidRDefault="00C679C9" w:rsidP="00081DF2">
            <w:pPr>
              <w:pStyle w:val="TableTextLeft"/>
            </w:pPr>
            <w:r>
              <w:t>December 2023</w:t>
            </w:r>
          </w:p>
        </w:tc>
      </w:tr>
      <w:tr w:rsidR="00665A86" w:rsidRPr="00C124AB" w14:paraId="71E1ED14" w14:textId="77777777" w:rsidTr="00081DF2">
        <w:tc>
          <w:tcPr>
            <w:tcW w:w="7083" w:type="dxa"/>
          </w:tcPr>
          <w:p w14:paraId="3AF338C7" w14:textId="1B8B1997" w:rsidR="00665A86" w:rsidRPr="00293B59" w:rsidRDefault="00665A86" w:rsidP="00081DF2">
            <w:pPr>
              <w:pStyle w:val="TableTextLeft"/>
              <w:rPr>
                <w:b/>
                <w:bCs/>
              </w:rPr>
            </w:pPr>
            <w:r w:rsidRPr="00293B59">
              <w:t>ASIC sends invoices to entities for 2022</w:t>
            </w:r>
            <w:r w:rsidR="00F72954">
              <w:t>–</w:t>
            </w:r>
            <w:r w:rsidRPr="00293B59">
              <w:t xml:space="preserve">23 levies. </w:t>
            </w:r>
          </w:p>
        </w:tc>
        <w:tc>
          <w:tcPr>
            <w:tcW w:w="2268" w:type="dxa"/>
          </w:tcPr>
          <w:p w14:paraId="1FD60DF3" w14:textId="77777777" w:rsidR="00665A86" w:rsidRPr="00293B59" w:rsidRDefault="00665A86" w:rsidP="00081DF2">
            <w:pPr>
              <w:pStyle w:val="TableTextLeft"/>
            </w:pPr>
            <w:r w:rsidRPr="00293B59">
              <w:t>January 2024</w:t>
            </w:r>
          </w:p>
        </w:tc>
      </w:tr>
    </w:tbl>
    <w:p w14:paraId="03511540" w14:textId="77777777" w:rsidR="00665A86" w:rsidRDefault="00665A86" w:rsidP="00081DF2">
      <w:pPr>
        <w:pStyle w:val="SingleParagraph"/>
      </w:pPr>
    </w:p>
    <w:tbl>
      <w:tblPr>
        <w:tblStyle w:val="Style1"/>
        <w:tblW w:w="5000" w:type="pct"/>
        <w:tblLook w:val="04A0" w:firstRow="1" w:lastRow="0" w:firstColumn="1" w:lastColumn="0" w:noHBand="0" w:noVBand="1"/>
      </w:tblPr>
      <w:tblGrid>
        <w:gridCol w:w="9072"/>
      </w:tblGrid>
      <w:tr w:rsidR="00665A86" w:rsidRPr="00DE590F" w14:paraId="7EF71439" w14:textId="77777777" w:rsidTr="00081DF2">
        <w:trPr>
          <w:trHeight w:val="1248"/>
        </w:trPr>
        <w:tc>
          <w:tcPr>
            <w:tcW w:w="8459" w:type="dxa"/>
          </w:tcPr>
          <w:p w14:paraId="58A8EAD3" w14:textId="77777777" w:rsidR="00665A86" w:rsidRPr="006726C7" w:rsidRDefault="00665A86" w:rsidP="00081DF2">
            <w:pPr>
              <w:pStyle w:val="BoxHeading"/>
            </w:pPr>
            <w:r w:rsidRPr="006726C7">
              <w:t xml:space="preserve">Key finding  </w:t>
            </w:r>
          </w:p>
          <w:p w14:paraId="634591CB" w14:textId="57BA75D4" w:rsidR="00665A86" w:rsidRPr="0032739E" w:rsidRDefault="00665A86" w:rsidP="001213A6">
            <w:pPr>
              <w:pStyle w:val="BoxText"/>
            </w:pPr>
            <w:r w:rsidRPr="0032739E">
              <w:t>The inconsistent release of the CRIS each year as well as the large variances between estimated and actual levies has impacted stakeholders</w:t>
            </w:r>
            <w:r w:rsidR="00BD190B">
              <w:t>’</w:t>
            </w:r>
            <w:r w:rsidRPr="0032739E">
              <w:t xml:space="preserve"> ability to factor estimated levies in their internal budget cycles. The Review finds that a later and more consistent release of the CRIS in June each year (no later than 30 June) will provide better estimated levies for stakeholders as well as more consistency and certainty</w:t>
            </w:r>
            <w:r w:rsidR="00901E80">
              <w:t xml:space="preserve">. </w:t>
            </w:r>
          </w:p>
        </w:tc>
      </w:tr>
    </w:tbl>
    <w:p w14:paraId="67CFDC18" w14:textId="77777777" w:rsidR="00665A86" w:rsidRPr="00DE590F" w:rsidRDefault="00665A86" w:rsidP="00081DF2">
      <w:pPr>
        <w:pStyle w:val="SingleParagraph"/>
      </w:pPr>
    </w:p>
    <w:tbl>
      <w:tblPr>
        <w:tblStyle w:val="Style1"/>
        <w:tblW w:w="5000" w:type="pct"/>
        <w:tblLook w:val="04A0" w:firstRow="1" w:lastRow="0" w:firstColumn="1" w:lastColumn="0" w:noHBand="0" w:noVBand="1"/>
      </w:tblPr>
      <w:tblGrid>
        <w:gridCol w:w="9072"/>
      </w:tblGrid>
      <w:tr w:rsidR="00665A86" w:rsidRPr="00DE590F" w14:paraId="38BC5B12" w14:textId="77777777" w:rsidTr="00081DF2">
        <w:tc>
          <w:tcPr>
            <w:tcW w:w="9072" w:type="dxa"/>
            <w:shd w:val="clear" w:color="auto" w:fill="F2F9FC"/>
          </w:tcPr>
          <w:p w14:paraId="0102B372" w14:textId="2A09F1AD" w:rsidR="00665A86" w:rsidRPr="006726C7" w:rsidRDefault="00665A86" w:rsidP="00081DF2">
            <w:pPr>
              <w:pStyle w:val="BoxHeading"/>
            </w:pPr>
            <w:r w:rsidRPr="00B958BD">
              <w:lastRenderedPageBreak/>
              <w:t>Recommendation 1</w:t>
            </w:r>
            <w:r w:rsidR="00143C10" w:rsidRPr="00DC28FD">
              <w:t>0</w:t>
            </w:r>
          </w:p>
          <w:p w14:paraId="5FAADBBA" w14:textId="7332ECAF" w:rsidR="00665A86" w:rsidRPr="00DC28FD" w:rsidRDefault="00665A86" w:rsidP="001213A6">
            <w:pPr>
              <w:pStyle w:val="BoxText"/>
              <w:rPr>
                <w:b/>
              </w:rPr>
            </w:pPr>
            <w:r w:rsidRPr="00B958BD">
              <w:t xml:space="preserve">ASIC </w:t>
            </w:r>
            <w:r w:rsidR="00D72884">
              <w:t>should</w:t>
            </w:r>
            <w:r w:rsidRPr="00B958BD">
              <w:t xml:space="preserve"> release the CRIS </w:t>
            </w:r>
            <w:r w:rsidR="00EC4DB9" w:rsidRPr="00B958BD">
              <w:t>in</w:t>
            </w:r>
            <w:r w:rsidRPr="00B958BD">
              <w:t xml:space="preserve"> June each year to enable more accurate estimated levies and a more consistent CRIS timeframe each year</w:t>
            </w:r>
            <w:r w:rsidR="00901E80">
              <w:t xml:space="preserve">. </w:t>
            </w:r>
          </w:p>
        </w:tc>
      </w:tr>
    </w:tbl>
    <w:p w14:paraId="37DB1553" w14:textId="77777777" w:rsidR="00665A86" w:rsidRPr="000A76E5" w:rsidRDefault="00665A86" w:rsidP="00665A86">
      <w:pPr>
        <w:pStyle w:val="Heading4"/>
      </w:pPr>
      <w:bookmarkStart w:id="179" w:name="_Toc125305225"/>
      <w:r>
        <w:t>Timing of material variance explanation</w:t>
      </w:r>
      <w:bookmarkEnd w:id="179"/>
      <w:r>
        <w:t xml:space="preserve"> </w:t>
      </w:r>
      <w:r w:rsidRPr="000A76E5">
        <w:t xml:space="preserve"> </w:t>
      </w:r>
    </w:p>
    <w:p w14:paraId="6ACDE55F"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Stakeholders have raised concerns about the timing for the publication of information explaining material variances between estimated and actual levies. </w:t>
      </w:r>
    </w:p>
    <w:p w14:paraId="77E54DA4" w14:textId="3F3B195A"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Currently, ASIC uses the CRIS to outline the variance between its levy estimates and actual levies for the previous financial year. Additional commentary is provided for sub</w:t>
      </w:r>
      <w:r w:rsidR="00BD190B">
        <w:rPr>
          <w:rFonts w:ascii="Calibri Light" w:hAnsi="Calibri Light" w:cs="Calibri Light"/>
        </w:rPr>
        <w:noBreakHyphen/>
      </w:r>
      <w:r w:rsidRPr="00293B59">
        <w:rPr>
          <w:rFonts w:ascii="Calibri Light" w:hAnsi="Calibri Light" w:cs="Calibri Light"/>
        </w:rPr>
        <w:t>sectors which experience a material variance (that is, if the difference between the total actual costs and the estimated costs for the sub</w:t>
      </w:r>
      <w:r w:rsidR="00BD190B">
        <w:rPr>
          <w:rFonts w:ascii="Calibri Light" w:hAnsi="Calibri Light" w:cs="Calibri Light"/>
        </w:rPr>
        <w:noBreakHyphen/>
      </w:r>
      <w:r w:rsidRPr="00293B59">
        <w:rPr>
          <w:rFonts w:ascii="Calibri Light" w:hAnsi="Calibri Light" w:cs="Calibri Light"/>
        </w:rPr>
        <w:t xml:space="preserve">sector is greater than 10 per cent of the estimated costs and greater than $2 million in total). </w:t>
      </w:r>
    </w:p>
    <w:p w14:paraId="32E08E94"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Stakeholder feedback has indicated that this timing is too late, noting that this information is provided well after the relevant invoices have been issued and paid. Stakeholders have suggested this information should be provided at the same time as ASIC publishes final levies.</w:t>
      </w:r>
    </w:p>
    <w:p w14:paraId="6BCAA34C" w14:textId="4ACAF302"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This Review notes ASIC has proactively undertaken steps to address this by publishing a Summary of Variances in conjunction with the </w:t>
      </w:r>
      <w:r w:rsidR="009C7ED2">
        <w:rPr>
          <w:rFonts w:ascii="Calibri Light" w:hAnsi="Calibri Light" w:cs="Calibri Light"/>
        </w:rPr>
        <w:t>2021–22</w:t>
      </w:r>
      <w:r w:rsidRPr="00293B59">
        <w:rPr>
          <w:rFonts w:ascii="Calibri Light" w:hAnsi="Calibri Light" w:cs="Calibri Light"/>
        </w:rPr>
        <w:t xml:space="preserve"> Annual Dashboard</w:t>
      </w:r>
      <w:r w:rsidR="00BD2D0A">
        <w:rPr>
          <w:rFonts w:ascii="Calibri Light" w:hAnsi="Calibri Light" w:cs="Calibri Light"/>
        </w:rPr>
        <w:t>. T</w:t>
      </w:r>
      <w:r w:rsidRPr="00293B59">
        <w:rPr>
          <w:rFonts w:ascii="Calibri Light" w:hAnsi="Calibri Light" w:cs="Calibri Light"/>
        </w:rPr>
        <w:t>he Annual Dashboard is generally published at the end of each calendar year and sets out actual levies. The Summary of Variances that ASIC published in December 2022 includes the material variance explanations and variances for each sub</w:t>
      </w:r>
      <w:r w:rsidR="00BD190B">
        <w:rPr>
          <w:rFonts w:ascii="Calibri Light" w:hAnsi="Calibri Light" w:cs="Calibri Light"/>
        </w:rPr>
        <w:noBreakHyphen/>
      </w:r>
      <w:r w:rsidRPr="00293B59">
        <w:rPr>
          <w:rFonts w:ascii="Calibri Light" w:hAnsi="Calibri Light" w:cs="Calibri Light"/>
        </w:rPr>
        <w:t xml:space="preserve">sector at an activity level. The Review supports this initiative and encourages ASIC to publish a summary of variances alongside the annual dashboard each year. </w:t>
      </w:r>
    </w:p>
    <w:tbl>
      <w:tblPr>
        <w:tblStyle w:val="Style1"/>
        <w:tblW w:w="5000" w:type="pct"/>
        <w:tblLook w:val="04A0" w:firstRow="1" w:lastRow="0" w:firstColumn="1" w:lastColumn="0" w:noHBand="0" w:noVBand="1"/>
      </w:tblPr>
      <w:tblGrid>
        <w:gridCol w:w="9072"/>
      </w:tblGrid>
      <w:tr w:rsidR="00665A86" w:rsidRPr="00DE590F" w14:paraId="03551B12" w14:textId="77777777" w:rsidTr="002E3D2A">
        <w:trPr>
          <w:trHeight w:val="826"/>
        </w:trPr>
        <w:tc>
          <w:tcPr>
            <w:tcW w:w="9072" w:type="dxa"/>
          </w:tcPr>
          <w:p w14:paraId="68D22A69" w14:textId="77777777" w:rsidR="00665A86" w:rsidRPr="0032739E" w:rsidRDefault="00665A86" w:rsidP="002E3D2A">
            <w:pPr>
              <w:pStyle w:val="BoxHeading"/>
            </w:pPr>
            <w:r w:rsidRPr="0032739E">
              <w:t xml:space="preserve">Key finding  </w:t>
            </w:r>
          </w:p>
          <w:p w14:paraId="61B1F6C7" w14:textId="410A85CB" w:rsidR="00665A86" w:rsidRPr="0032739E" w:rsidRDefault="00665A86" w:rsidP="002E3D2A">
            <w:pPr>
              <w:pStyle w:val="ListParagraph"/>
              <w:ind w:left="0"/>
              <w:rPr>
                <w:rFonts w:cs="Calibri Light"/>
                <w:szCs w:val="22"/>
              </w:rPr>
            </w:pPr>
            <w:r w:rsidRPr="0032739E">
              <w:rPr>
                <w:rFonts w:cs="Calibri Light"/>
                <w:szCs w:val="22"/>
              </w:rPr>
              <w:t xml:space="preserve">ASIC is proactively taking steps to provide information relating to material variances between estimated and actual levies in a timelier manner. For </w:t>
            </w:r>
            <w:r w:rsidR="009C7ED2">
              <w:rPr>
                <w:rFonts w:cs="Calibri Light"/>
                <w:szCs w:val="22"/>
              </w:rPr>
              <w:t>2021–22</w:t>
            </w:r>
            <w:r w:rsidRPr="0032739E">
              <w:rPr>
                <w:rFonts w:cs="Calibri Light"/>
                <w:szCs w:val="22"/>
              </w:rPr>
              <w:t xml:space="preserve"> levies, ASIC released a Summary of Variances alongside their Annual Dashboard which provided material variance explanations and variances for each sub</w:t>
            </w:r>
            <w:r w:rsidR="00BD190B">
              <w:rPr>
                <w:rFonts w:cs="Calibri Light"/>
                <w:szCs w:val="22"/>
              </w:rPr>
              <w:noBreakHyphen/>
            </w:r>
            <w:r w:rsidRPr="0032739E">
              <w:rPr>
                <w:rFonts w:cs="Calibri Light"/>
                <w:szCs w:val="22"/>
              </w:rPr>
              <w:t xml:space="preserve">sector at an activity level. </w:t>
            </w:r>
          </w:p>
        </w:tc>
      </w:tr>
    </w:tbl>
    <w:p w14:paraId="0FDC76CD" w14:textId="77777777" w:rsidR="00665A86" w:rsidRDefault="00665A86" w:rsidP="00665A86">
      <w:pPr>
        <w:pStyle w:val="Heading2"/>
      </w:pPr>
      <w:bookmarkStart w:id="180" w:name="_Toc125305226"/>
      <w:bookmarkStart w:id="181" w:name="_Toc129270510"/>
      <w:r>
        <w:t>A</w:t>
      </w:r>
      <w:r w:rsidRPr="00DE590F">
        <w:t xml:space="preserve">lignment of the CRIS with </w:t>
      </w:r>
      <w:r>
        <w:t xml:space="preserve">other </w:t>
      </w:r>
      <w:r w:rsidRPr="00DE590F">
        <w:t>corporate documents</w:t>
      </w:r>
      <w:bookmarkEnd w:id="180"/>
      <w:bookmarkEnd w:id="181"/>
      <w:r w:rsidRPr="00DE590F">
        <w:t xml:space="preserve"> </w:t>
      </w:r>
    </w:p>
    <w:p w14:paraId="17C64EF9" w14:textId="754518E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In addition to the CRIS, ASIC uses a number of other mechanisms to provide information to stakeholders about its regulatory activities and costs. This includes requirements under the law, such as its Corporate Plan, Annual Report and annual dashboard as well as other mechanisms such as its six</w:t>
      </w:r>
      <w:r w:rsidR="00BD190B">
        <w:rPr>
          <w:rFonts w:ascii="Calibri Light" w:hAnsi="Calibri Light" w:cs="Calibri Light"/>
        </w:rPr>
        <w:noBreakHyphen/>
      </w:r>
      <w:r w:rsidRPr="00293B59">
        <w:rPr>
          <w:rFonts w:ascii="Calibri Light" w:hAnsi="Calibri Light" w:cs="Calibri Light"/>
        </w:rPr>
        <w:t>monthly reports relating to enforcement outcomes as well as quarterly enforcement and regulatory updates.</w:t>
      </w:r>
    </w:p>
    <w:p w14:paraId="2DD05849"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There are generally three phases in which ASIC publishes documents relating to its regulatory activities and regulatory costs and charges. </w:t>
      </w:r>
    </w:p>
    <w:p w14:paraId="2CD7BA58" w14:textId="720754C4" w:rsidR="00665A86" w:rsidRPr="00293B59" w:rsidRDefault="00665A86" w:rsidP="002E3D2A">
      <w:pPr>
        <w:pStyle w:val="Heading3"/>
      </w:pPr>
      <w:bookmarkStart w:id="182" w:name="_Toc129270511"/>
      <w:r w:rsidRPr="00293B59">
        <w:lastRenderedPageBreak/>
        <w:t>Phase 1 – Strategic planning (before the financial year)</w:t>
      </w:r>
      <w:bookmarkEnd w:id="182"/>
    </w:p>
    <w:p w14:paraId="6B1482EE" w14:textId="6D67CDC1"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This phase includes ASIC publishing its Corporate Plan which sets out its strategic planning framework, priorities, and actions for future years. This strategic planning process supports ASIC in planning its regulatory action and allocating regulatory costs. Of relevance to the IFM, the Corporate Plan provides information on ASIC</w:t>
      </w:r>
      <w:r w:rsidR="00BD190B">
        <w:rPr>
          <w:rFonts w:ascii="Calibri Light" w:hAnsi="Calibri Light" w:cs="Calibri Light"/>
        </w:rPr>
        <w:t>’</w:t>
      </w:r>
      <w:r w:rsidRPr="00293B59">
        <w:rPr>
          <w:rFonts w:ascii="Calibri Light" w:hAnsi="Calibri Light" w:cs="Calibri Light"/>
        </w:rPr>
        <w:t xml:space="preserve">s strategic priorities which may assist </w:t>
      </w:r>
      <w:r w:rsidR="004A18B7">
        <w:rPr>
          <w:rFonts w:ascii="Calibri Light" w:hAnsi="Calibri Light" w:cs="Calibri Light"/>
        </w:rPr>
        <w:t xml:space="preserve">stakeholders </w:t>
      </w:r>
      <w:r w:rsidRPr="00293B59">
        <w:rPr>
          <w:rFonts w:ascii="Calibri Light" w:hAnsi="Calibri Light" w:cs="Calibri Light"/>
        </w:rPr>
        <w:t>in understanding ASIC</w:t>
      </w:r>
      <w:r w:rsidR="00BD190B">
        <w:rPr>
          <w:rFonts w:ascii="Calibri Light" w:hAnsi="Calibri Light" w:cs="Calibri Light"/>
        </w:rPr>
        <w:t>’</w:t>
      </w:r>
      <w:r w:rsidRPr="00293B59">
        <w:rPr>
          <w:rFonts w:ascii="Calibri Light" w:hAnsi="Calibri Light" w:cs="Calibri Light"/>
        </w:rPr>
        <w:t xml:space="preserve">s areas of focus and resource allocation, and therefore where costs may be recovered from </w:t>
      </w:r>
      <w:r w:rsidR="004A18B7">
        <w:rPr>
          <w:rFonts w:ascii="Calibri Light" w:hAnsi="Calibri Light" w:cs="Calibri Light"/>
        </w:rPr>
        <w:t>regulated entities</w:t>
      </w:r>
      <w:r w:rsidRPr="00293B59">
        <w:rPr>
          <w:rFonts w:ascii="Calibri Light" w:hAnsi="Calibri Light" w:cs="Calibri Light"/>
        </w:rPr>
        <w:t xml:space="preserve">. </w:t>
      </w:r>
    </w:p>
    <w:p w14:paraId="0CEFD0D0" w14:textId="7109EE38"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As part of ASIC</w:t>
      </w:r>
      <w:r w:rsidR="00BD190B">
        <w:rPr>
          <w:rFonts w:ascii="Calibri Light" w:hAnsi="Calibri Light" w:cs="Calibri Light"/>
        </w:rPr>
        <w:t>’</w:t>
      </w:r>
      <w:r w:rsidRPr="00293B59">
        <w:rPr>
          <w:rFonts w:ascii="Calibri Light" w:hAnsi="Calibri Light" w:cs="Calibri Light"/>
        </w:rPr>
        <w:t>s strategic planning process, ASIC consults with the ASIC Consultative Panel, the ASIC Consumer Consultative Panel, APRA, the RBA and Treasury. ASIC</w:t>
      </w:r>
      <w:r w:rsidR="00BD190B">
        <w:rPr>
          <w:rFonts w:ascii="Calibri Light" w:hAnsi="Calibri Light" w:cs="Calibri Light"/>
        </w:rPr>
        <w:t>’</w:t>
      </w:r>
      <w:r w:rsidRPr="00293B59">
        <w:rPr>
          <w:rFonts w:ascii="Calibri Light" w:hAnsi="Calibri Light" w:cs="Calibri Light"/>
        </w:rPr>
        <w:t>s Corporate Plan is the culmination of this process.</w:t>
      </w:r>
    </w:p>
    <w:p w14:paraId="672A61D9" w14:textId="77777777" w:rsidR="00665A86" w:rsidRPr="00293B59" w:rsidRDefault="00665A86" w:rsidP="002E3D2A">
      <w:pPr>
        <w:pStyle w:val="Heading3"/>
      </w:pPr>
      <w:bookmarkStart w:id="183" w:name="_Toc129270512"/>
      <w:r w:rsidRPr="00293B59">
        <w:t>Phase 2 – Ongoing regulation (during the financial year)</w:t>
      </w:r>
      <w:bookmarkEnd w:id="183"/>
    </w:p>
    <w:p w14:paraId="5FF8BB10"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During this phase, ASIC publishes documents that provide updates on the regulatory activities it is undertaking and the estimated regulatory costs for ASIC undertaking these activities. </w:t>
      </w:r>
    </w:p>
    <w:p w14:paraId="642D50F7" w14:textId="43BFFB5F"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CRIS is the key document that ASIC publishes during this phase which outlines ASIC</w:t>
      </w:r>
      <w:r w:rsidR="00BD190B">
        <w:rPr>
          <w:rFonts w:ascii="Calibri Light" w:hAnsi="Calibri Light" w:cs="Calibri Light"/>
        </w:rPr>
        <w:t>’</w:t>
      </w:r>
      <w:r w:rsidRPr="00293B59">
        <w:rPr>
          <w:rFonts w:ascii="Calibri Light" w:hAnsi="Calibri Light" w:cs="Calibri Light"/>
        </w:rPr>
        <w:t>s estimated regulatory costs and activities by sub</w:t>
      </w:r>
      <w:r w:rsidR="00BD190B">
        <w:rPr>
          <w:rFonts w:ascii="Calibri Light" w:hAnsi="Calibri Light" w:cs="Calibri Light"/>
        </w:rPr>
        <w:noBreakHyphen/>
      </w:r>
      <w:r w:rsidRPr="00293B59">
        <w:rPr>
          <w:rFonts w:ascii="Calibri Light" w:hAnsi="Calibri Light" w:cs="Calibri Light"/>
        </w:rPr>
        <w:t xml:space="preserve">sector. Regulated entities can use the CRIS to estimate their levy invoice for the year and get an overview of the regulatory activities that are driving those estimated costs – noting that the figures remain an estimate and are likely to change. </w:t>
      </w:r>
    </w:p>
    <w:p w14:paraId="3988131C" w14:textId="5D50044C"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CRIS provides a more detailed breakdown of the activities identified in the Corporate Plan that ASIC are undertaking in each sub</w:t>
      </w:r>
      <w:r w:rsidR="00BD190B">
        <w:rPr>
          <w:rFonts w:ascii="Calibri Light" w:hAnsi="Calibri Light" w:cs="Calibri Light"/>
        </w:rPr>
        <w:noBreakHyphen/>
      </w:r>
      <w:r w:rsidRPr="00293B59">
        <w:rPr>
          <w:rFonts w:ascii="Calibri Light" w:hAnsi="Calibri Light" w:cs="Calibri Light"/>
        </w:rPr>
        <w:t xml:space="preserve">sector throughout the course of the year. </w:t>
      </w:r>
    </w:p>
    <w:p w14:paraId="3451EAEB" w14:textId="2BED031F"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During this phase, ASIC also releases its quarterly enforcement and regulatory updates which provides a summary of enforcement outcomes, regulatory changes and other areas of activities – and can therefore support regulated entities and other stakeholders in understanding ASIC</w:t>
      </w:r>
      <w:r w:rsidR="00BD190B">
        <w:rPr>
          <w:rFonts w:ascii="Calibri Light" w:hAnsi="Calibri Light" w:cs="Calibri Light"/>
        </w:rPr>
        <w:t>’</w:t>
      </w:r>
      <w:r w:rsidRPr="00293B59">
        <w:rPr>
          <w:rFonts w:ascii="Calibri Light" w:hAnsi="Calibri Light" w:cs="Calibri Light"/>
        </w:rPr>
        <w:t xml:space="preserve">s activities over the course of the year. It can also indicate to stakeholders if ASIC is shifting their focus or undertaking new activities not identified in the Corporate Plan or CRIS. </w:t>
      </w:r>
    </w:p>
    <w:p w14:paraId="45AE19BB" w14:textId="77777777" w:rsidR="00665A86" w:rsidRPr="00293B59" w:rsidRDefault="00665A86" w:rsidP="002E3D2A">
      <w:pPr>
        <w:pStyle w:val="Heading3"/>
      </w:pPr>
      <w:bookmarkStart w:id="184" w:name="_Toc129270513"/>
      <w:r w:rsidRPr="00293B59">
        <w:t>Phase 3 – Performance analysis and outcomes (after the financial year)</w:t>
      </w:r>
      <w:bookmarkEnd w:id="184"/>
    </w:p>
    <w:p w14:paraId="431DE50A" w14:textId="77777777"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During this phase, ASIC publishes a number of documents which analyse its performance over the financial year, including financial outcomes. </w:t>
      </w:r>
    </w:p>
    <w:p w14:paraId="6CE87CC2" w14:textId="321FAD0A"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ASIC publishes an Annual Report each year which outlines ASIC</w:t>
      </w:r>
      <w:r w:rsidR="00BD190B">
        <w:rPr>
          <w:rFonts w:ascii="Calibri Light" w:hAnsi="Calibri Light" w:cs="Calibri Light"/>
        </w:rPr>
        <w:t>’</w:t>
      </w:r>
      <w:r w:rsidRPr="00293B59">
        <w:rPr>
          <w:rFonts w:ascii="Calibri Light" w:hAnsi="Calibri Light" w:cs="Calibri Light"/>
        </w:rPr>
        <w:t>s performance and financial statements for the reporting period. The report provides an analysis of ASIC</w:t>
      </w:r>
      <w:r w:rsidR="00BD190B">
        <w:rPr>
          <w:rFonts w:ascii="Calibri Light" w:hAnsi="Calibri Light" w:cs="Calibri Light"/>
        </w:rPr>
        <w:t>’</w:t>
      </w:r>
      <w:r w:rsidRPr="00293B59">
        <w:rPr>
          <w:rFonts w:ascii="Calibri Light" w:hAnsi="Calibri Light" w:cs="Calibri Light"/>
        </w:rPr>
        <w:t xml:space="preserve">s activities and outcomes achieved in each IFM sector – thereby assisting regulated entities and other stakeholders to understand the regulatory effort ASIC expended in each sector. </w:t>
      </w:r>
    </w:p>
    <w:p w14:paraId="2E070D4C" w14:textId="61BDF80C" w:rsidR="00665A86" w:rsidRDefault="00665A86" w:rsidP="006B2EB3">
      <w:pPr>
        <w:pStyle w:val="numberedtext"/>
        <w:numPr>
          <w:ilvl w:val="0"/>
          <w:numId w:val="17"/>
        </w:numPr>
        <w:ind w:hanging="720"/>
        <w:rPr>
          <w:rFonts w:asciiTheme="majorHAnsi" w:hAnsiTheme="majorHAnsi" w:cstheme="majorHAnsi"/>
        </w:rPr>
      </w:pPr>
      <w:r w:rsidRPr="00293B59">
        <w:rPr>
          <w:rFonts w:ascii="Calibri Light" w:hAnsi="Calibri Light" w:cs="Calibri Light"/>
        </w:rPr>
        <w:t>ASIC also reports on its expenditure for each IFM sub</w:t>
      </w:r>
      <w:r w:rsidR="00BD190B">
        <w:rPr>
          <w:rFonts w:ascii="Calibri Light" w:hAnsi="Calibri Light" w:cs="Calibri Light"/>
        </w:rPr>
        <w:noBreakHyphen/>
      </w:r>
      <w:r w:rsidRPr="00293B59">
        <w:rPr>
          <w:rFonts w:ascii="Calibri Light" w:hAnsi="Calibri Light" w:cs="Calibri Light"/>
        </w:rPr>
        <w:t>sector by regulatory activity in its annual dashboard and its legislative instruments. This allows regulated entities to reconcile any changes in estimated costs published via the CRIS.</w:t>
      </w:r>
      <w:r>
        <w:rPr>
          <w:rFonts w:asciiTheme="majorHAnsi" w:hAnsiTheme="majorHAnsi" w:cstheme="majorHAnsi"/>
        </w:rPr>
        <w:t xml:space="preserve"> </w:t>
      </w:r>
    </w:p>
    <w:p w14:paraId="5F95E8F6" w14:textId="77777777" w:rsidR="00665A86" w:rsidRPr="00DE590F" w:rsidRDefault="00665A86" w:rsidP="00665A86">
      <w:pPr>
        <w:pStyle w:val="Heading3"/>
      </w:pPr>
      <w:bookmarkStart w:id="185" w:name="_Toc129270514"/>
      <w:r w:rsidRPr="00DE590F">
        <w:t>Analysis and findings</w:t>
      </w:r>
      <w:bookmarkEnd w:id="185"/>
    </w:p>
    <w:p w14:paraId="151702BB" w14:textId="24ABE0C9"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Stakeholders have noted that these various mechanisms and documents are useful to understand the regulatory activities that ASIC are undertaking and the sectors it will impact. However, stakeholders have sought better alignment between the various corporate </w:t>
      </w:r>
      <w:r w:rsidRPr="00293B59">
        <w:rPr>
          <w:rFonts w:ascii="Calibri Light" w:hAnsi="Calibri Light" w:cs="Calibri Light"/>
        </w:rPr>
        <w:lastRenderedPageBreak/>
        <w:t>documents ASIC releases to better understand the potential impact on regulatory costs for each IFM sub</w:t>
      </w:r>
      <w:r w:rsidR="00BD190B">
        <w:rPr>
          <w:rFonts w:ascii="Calibri Light" w:hAnsi="Calibri Light" w:cs="Calibri Light"/>
        </w:rPr>
        <w:noBreakHyphen/>
      </w:r>
      <w:r w:rsidRPr="00293B59">
        <w:rPr>
          <w:rFonts w:ascii="Calibri Light" w:hAnsi="Calibri Light" w:cs="Calibri Light"/>
        </w:rPr>
        <w:t>sector.</w:t>
      </w:r>
    </w:p>
    <w:p w14:paraId="2ED07FD9" w14:textId="58900EDF"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eastAsia="Times New Roman" w:hAnsi="Calibri Light" w:cs="Calibri Light"/>
          <w:szCs w:val="20"/>
          <w:lang w:eastAsia="en-AU"/>
        </w:rPr>
        <w:t>The Explanatory Memorandum to the ASIC Supervisory Cost Recovery Levy Bill 2017 and related Bills noted that the ASIC IFM will increase accountability by requiring ASIC to annually explain its regulatory priorities, the means by which it intends to address those priorities and the allocation of resources to each regulatory activity</w:t>
      </w:r>
      <w:r w:rsidR="0047601F">
        <w:rPr>
          <w:rFonts w:ascii="Calibri Light" w:eastAsia="Times New Roman" w:hAnsi="Calibri Light" w:cs="Calibri Light"/>
          <w:szCs w:val="20"/>
          <w:lang w:eastAsia="en-AU"/>
        </w:rPr>
        <w:t xml:space="preserve">. </w:t>
      </w:r>
    </w:p>
    <w:p w14:paraId="0FC57F5A" w14:textId="5FCD0D04"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The Review notes that any adjustments to ASIC</w:t>
      </w:r>
      <w:r w:rsidR="00BD190B">
        <w:rPr>
          <w:rFonts w:ascii="Calibri Light" w:hAnsi="Calibri Light" w:cs="Calibri Light"/>
        </w:rPr>
        <w:t>’</w:t>
      </w:r>
      <w:r w:rsidRPr="00293B59">
        <w:rPr>
          <w:rFonts w:ascii="Calibri Light" w:hAnsi="Calibri Light" w:cs="Calibri Light"/>
        </w:rPr>
        <w:t>s existing reporting requirements needs to be balanced against the statutory purpose for which each document is released and that aligning the documents to be IFM</w:t>
      </w:r>
      <w:r w:rsidR="00BD190B">
        <w:rPr>
          <w:rFonts w:ascii="Calibri Light" w:hAnsi="Calibri Light" w:cs="Calibri Light"/>
        </w:rPr>
        <w:noBreakHyphen/>
      </w:r>
      <w:r w:rsidRPr="00293B59">
        <w:rPr>
          <w:rFonts w:ascii="Calibri Light" w:hAnsi="Calibri Light" w:cs="Calibri Light"/>
        </w:rPr>
        <w:t>focused may lead to lengthier and more complex documents</w:t>
      </w:r>
      <w:r w:rsidR="0047601F">
        <w:rPr>
          <w:rFonts w:ascii="Calibri Light" w:hAnsi="Calibri Light" w:cs="Calibri Light"/>
        </w:rPr>
        <w:t xml:space="preserve">. </w:t>
      </w:r>
    </w:p>
    <w:p w14:paraId="26B3592B" w14:textId="77B69144"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ASIC is also constrained by legislative requirements in what it can present in its corporate documents, such as the Corporate Plan and Annual Report that are required under the </w:t>
      </w:r>
      <w:r>
        <w:rPr>
          <w:rFonts w:ascii="Calibri Light" w:hAnsi="Calibri Light" w:cs="Calibri Light"/>
        </w:rPr>
        <w:t>PGPA Act</w:t>
      </w:r>
      <w:r w:rsidR="002C3BE6">
        <w:rPr>
          <w:rFonts w:ascii="Calibri Light" w:hAnsi="Calibri Light" w:cs="Calibri Light"/>
        </w:rPr>
        <w:t>.</w:t>
      </w:r>
      <w:r w:rsidRPr="00293B59">
        <w:rPr>
          <w:rFonts w:ascii="Calibri Light" w:hAnsi="Calibri Light" w:cs="Calibri Light"/>
        </w:rPr>
        <w:t xml:space="preserve"> </w:t>
      </w:r>
    </w:p>
    <w:p w14:paraId="4970864F" w14:textId="401477D6" w:rsidR="00665A86" w:rsidRPr="00293B59" w:rsidRDefault="00665A86" w:rsidP="006B2EB3">
      <w:pPr>
        <w:pStyle w:val="numberedtext"/>
        <w:numPr>
          <w:ilvl w:val="0"/>
          <w:numId w:val="17"/>
        </w:numPr>
        <w:ind w:hanging="720"/>
        <w:rPr>
          <w:rFonts w:ascii="Calibri Light" w:hAnsi="Calibri Light" w:cs="Calibri Light"/>
        </w:rPr>
      </w:pPr>
      <w:r w:rsidRPr="00293B59">
        <w:rPr>
          <w:rFonts w:ascii="Calibri Light" w:hAnsi="Calibri Light" w:cs="Calibri Light"/>
        </w:rPr>
        <w:t xml:space="preserve">The Review recognises that ASIC has been taking steps to address stakeholder suggestions. For example, since the </w:t>
      </w:r>
      <w:r w:rsidR="009C7ED2">
        <w:rPr>
          <w:rFonts w:ascii="Calibri Light" w:hAnsi="Calibri Light" w:cs="Calibri Light"/>
        </w:rPr>
        <w:t>2021–22</w:t>
      </w:r>
      <w:r w:rsidRPr="00293B59">
        <w:rPr>
          <w:rFonts w:ascii="Calibri Light" w:hAnsi="Calibri Light" w:cs="Calibri Light"/>
        </w:rPr>
        <w:t xml:space="preserve"> CRIS, ASIC has included focus area tables for each sector to assist stakeholders in understanding which of ASIC</w:t>
      </w:r>
      <w:r w:rsidR="00BD190B">
        <w:rPr>
          <w:rFonts w:ascii="Calibri Light" w:hAnsi="Calibri Light" w:cs="Calibri Light"/>
        </w:rPr>
        <w:t>’</w:t>
      </w:r>
      <w:r w:rsidRPr="00293B59">
        <w:rPr>
          <w:rFonts w:ascii="Calibri Light" w:hAnsi="Calibri Light" w:cs="Calibri Light"/>
        </w:rPr>
        <w:t>s regulatory activities are likely to impact their sub</w:t>
      </w:r>
      <w:r w:rsidR="00BD190B">
        <w:rPr>
          <w:rFonts w:ascii="Calibri Light" w:hAnsi="Calibri Light" w:cs="Calibri Light"/>
        </w:rPr>
        <w:noBreakHyphen/>
      </w:r>
      <w:r w:rsidRPr="00293B59">
        <w:rPr>
          <w:rFonts w:ascii="Calibri Light" w:hAnsi="Calibri Light" w:cs="Calibri Light"/>
        </w:rPr>
        <w:t>sector and therefore, their levy amounts.</w:t>
      </w:r>
    </w:p>
    <w:p w14:paraId="7CDD6DAC" w14:textId="57B67128" w:rsidR="00665A86" w:rsidRPr="00293B59" w:rsidRDefault="00EB3419" w:rsidP="006B2EB3">
      <w:pPr>
        <w:pStyle w:val="numberedtext"/>
        <w:numPr>
          <w:ilvl w:val="0"/>
          <w:numId w:val="17"/>
        </w:numPr>
        <w:ind w:hanging="720"/>
        <w:rPr>
          <w:rFonts w:ascii="Calibri Light" w:hAnsi="Calibri Light" w:cs="Calibri Light"/>
        </w:rPr>
      </w:pPr>
      <w:r>
        <w:rPr>
          <w:rFonts w:ascii="Calibri Light" w:hAnsi="Calibri Light" w:cs="Calibri Light"/>
        </w:rPr>
        <w:t xml:space="preserve">There may </w:t>
      </w:r>
      <w:r w:rsidR="00B0057E">
        <w:rPr>
          <w:rFonts w:ascii="Calibri Light" w:hAnsi="Calibri Light" w:cs="Calibri Light"/>
        </w:rPr>
        <w:t xml:space="preserve">be scope for ASIC to </w:t>
      </w:r>
      <w:r w:rsidR="003C106B">
        <w:rPr>
          <w:rFonts w:ascii="Calibri Light" w:hAnsi="Calibri Light" w:cs="Calibri Light"/>
        </w:rPr>
        <w:t xml:space="preserve">articulate </w:t>
      </w:r>
      <w:r w:rsidR="00B0057E">
        <w:rPr>
          <w:rFonts w:ascii="Calibri Light" w:hAnsi="Calibri Light" w:cs="Calibri Light"/>
        </w:rPr>
        <w:t xml:space="preserve">more clearly to </w:t>
      </w:r>
      <w:r w:rsidR="00C857A2">
        <w:rPr>
          <w:rFonts w:ascii="Calibri Light" w:hAnsi="Calibri Light" w:cs="Calibri Light"/>
        </w:rPr>
        <w:t xml:space="preserve">regulated entities </w:t>
      </w:r>
      <w:r w:rsidR="00B0057E">
        <w:rPr>
          <w:rFonts w:ascii="Calibri Light" w:hAnsi="Calibri Light" w:cs="Calibri Light"/>
        </w:rPr>
        <w:t>how ASIC</w:t>
      </w:r>
      <w:r w:rsidR="00BD190B">
        <w:rPr>
          <w:rFonts w:ascii="Calibri Light" w:hAnsi="Calibri Light" w:cs="Calibri Light"/>
        </w:rPr>
        <w:t>’</w:t>
      </w:r>
      <w:r w:rsidR="00B0057E">
        <w:rPr>
          <w:rFonts w:ascii="Calibri Light" w:hAnsi="Calibri Light" w:cs="Calibri Light"/>
        </w:rPr>
        <w:t xml:space="preserve">s priorities, outlined in its </w:t>
      </w:r>
      <w:r w:rsidR="000D7078">
        <w:rPr>
          <w:rFonts w:ascii="Calibri Light" w:hAnsi="Calibri Light" w:cs="Calibri Light"/>
        </w:rPr>
        <w:t>C</w:t>
      </w:r>
      <w:r w:rsidR="00B0057E">
        <w:rPr>
          <w:rFonts w:ascii="Calibri Light" w:hAnsi="Calibri Light" w:cs="Calibri Light"/>
        </w:rPr>
        <w:t xml:space="preserve">orporate </w:t>
      </w:r>
      <w:r w:rsidR="000D7078">
        <w:rPr>
          <w:rFonts w:ascii="Calibri Light" w:hAnsi="Calibri Light" w:cs="Calibri Light"/>
        </w:rPr>
        <w:t>P</w:t>
      </w:r>
      <w:r w:rsidR="00B0057E">
        <w:rPr>
          <w:rFonts w:ascii="Calibri Light" w:hAnsi="Calibri Light" w:cs="Calibri Light"/>
        </w:rPr>
        <w:t xml:space="preserve">lan, </w:t>
      </w:r>
      <w:r w:rsidR="006A3CA8">
        <w:rPr>
          <w:rFonts w:ascii="Calibri Light" w:hAnsi="Calibri Light" w:cs="Calibri Light"/>
        </w:rPr>
        <w:t>could translate to their levies</w:t>
      </w:r>
      <w:r w:rsidR="00B662A9">
        <w:rPr>
          <w:rFonts w:ascii="Calibri Light" w:hAnsi="Calibri Light" w:cs="Calibri Light"/>
        </w:rPr>
        <w:t xml:space="preserve"> in the CRIS</w:t>
      </w:r>
      <w:r w:rsidR="006A3CA8">
        <w:rPr>
          <w:rFonts w:ascii="Calibri Light" w:hAnsi="Calibri Light" w:cs="Calibri Light"/>
        </w:rPr>
        <w:t>.</w:t>
      </w:r>
    </w:p>
    <w:p w14:paraId="55C54BAE" w14:textId="77777777" w:rsidR="00665A86" w:rsidRPr="00293B59" w:rsidRDefault="00665A86" w:rsidP="00232046">
      <w:pPr>
        <w:pStyle w:val="numberedtext"/>
        <w:ind w:left="567" w:firstLine="0"/>
        <w:rPr>
          <w:rFonts w:ascii="Calibri Light" w:hAnsi="Calibri Light" w:cs="Calibri Light"/>
        </w:rPr>
      </w:pPr>
    </w:p>
    <w:tbl>
      <w:tblPr>
        <w:tblStyle w:val="Style1"/>
        <w:tblW w:w="5000" w:type="pct"/>
        <w:tblLook w:val="04A0" w:firstRow="1" w:lastRow="0" w:firstColumn="1" w:lastColumn="0" w:noHBand="0" w:noVBand="1"/>
      </w:tblPr>
      <w:tblGrid>
        <w:gridCol w:w="9072"/>
      </w:tblGrid>
      <w:tr w:rsidR="00665A86" w:rsidRPr="00DE590F" w14:paraId="6341F3E6" w14:textId="77777777" w:rsidTr="002E3D2A">
        <w:tc>
          <w:tcPr>
            <w:tcW w:w="8459" w:type="dxa"/>
          </w:tcPr>
          <w:p w14:paraId="0CF53725" w14:textId="77777777" w:rsidR="00665A86" w:rsidRPr="0032739E" w:rsidRDefault="00665A86" w:rsidP="002E3D2A">
            <w:pPr>
              <w:pStyle w:val="BoxHeading"/>
            </w:pPr>
            <w:r w:rsidRPr="0032739E">
              <w:t xml:space="preserve">Key finding  </w:t>
            </w:r>
          </w:p>
          <w:p w14:paraId="36512D41" w14:textId="1DD7265B" w:rsidR="00665A86" w:rsidRPr="0032739E" w:rsidRDefault="00665A86" w:rsidP="002E3D2A">
            <w:pPr>
              <w:pStyle w:val="ListParagraph"/>
              <w:ind w:left="0"/>
              <w:rPr>
                <w:rFonts w:cs="Calibri Light"/>
                <w:szCs w:val="22"/>
              </w:rPr>
            </w:pPr>
            <w:r w:rsidRPr="0032739E">
              <w:rPr>
                <w:rFonts w:cs="Calibri Light"/>
                <w:szCs w:val="22"/>
              </w:rPr>
              <w:t>While the review recognises that stakeholders are seeking more alignment with ASIC</w:t>
            </w:r>
            <w:r w:rsidR="00BD190B">
              <w:rPr>
                <w:rFonts w:cs="Calibri Light"/>
                <w:szCs w:val="22"/>
              </w:rPr>
              <w:t>’</w:t>
            </w:r>
            <w:r w:rsidRPr="0032739E">
              <w:rPr>
                <w:rFonts w:cs="Calibri Light"/>
                <w:szCs w:val="22"/>
              </w:rPr>
              <w:t xml:space="preserve">s corporate documents, ASIC is limited in the information it can publish </w:t>
            </w:r>
            <w:r w:rsidR="00E30E25" w:rsidRPr="0032739E">
              <w:rPr>
                <w:rFonts w:cs="Calibri Light"/>
                <w:szCs w:val="22"/>
              </w:rPr>
              <w:t xml:space="preserve">due to its statutory requirements. </w:t>
            </w:r>
            <w:r w:rsidR="00D3159B">
              <w:rPr>
                <w:rFonts w:cs="Calibri Light"/>
                <w:szCs w:val="22"/>
              </w:rPr>
              <w:t xml:space="preserve">However, ASIC has been taking steps to address stakeholder suggestions and should continue to </w:t>
            </w:r>
            <w:r w:rsidR="00C01A23">
              <w:rPr>
                <w:rFonts w:cs="Calibri Light"/>
                <w:szCs w:val="22"/>
              </w:rPr>
              <w:t xml:space="preserve">do so within </w:t>
            </w:r>
            <w:r w:rsidR="00E63011">
              <w:rPr>
                <w:rFonts w:cs="Calibri Light"/>
                <w:szCs w:val="22"/>
              </w:rPr>
              <w:t xml:space="preserve">the current requirements. </w:t>
            </w:r>
          </w:p>
        </w:tc>
      </w:tr>
    </w:tbl>
    <w:p w14:paraId="3746EB47" w14:textId="4D614C0A" w:rsidR="00A57A98" w:rsidRDefault="00A57A98">
      <w:pPr>
        <w:spacing w:before="0" w:after="160" w:line="259" w:lineRule="auto"/>
      </w:pPr>
      <w:r>
        <w:br w:type="page"/>
      </w:r>
    </w:p>
    <w:p w14:paraId="6F1C3914" w14:textId="77777777" w:rsidR="00A253F0" w:rsidRDefault="00A253F0" w:rsidP="002E3D2A">
      <w:pPr>
        <w:pStyle w:val="AppendixHeading"/>
        <w:rPr>
          <w:lang w:eastAsia="en-US"/>
        </w:rPr>
        <w:sectPr w:rsidR="00A253F0" w:rsidSect="00295B30">
          <w:headerReference w:type="even" r:id="rId31"/>
          <w:headerReference w:type="first" r:id="rId32"/>
          <w:footerReference w:type="first" r:id="rId33"/>
          <w:pgSz w:w="11906" w:h="16838" w:code="9"/>
          <w:pgMar w:top="1843" w:right="1417" w:bottom="1417" w:left="1417" w:header="709" w:footer="709" w:gutter="0"/>
          <w:cols w:space="708"/>
          <w:docGrid w:linePitch="360"/>
        </w:sectPr>
      </w:pPr>
      <w:bookmarkStart w:id="186" w:name="_Toc125305227"/>
    </w:p>
    <w:p w14:paraId="4E2771A8" w14:textId="77777777" w:rsidR="00A57A98" w:rsidRDefault="00A57A98" w:rsidP="00DD1233">
      <w:pPr>
        <w:pStyle w:val="AppendixHeading"/>
        <w:rPr>
          <w:lang w:eastAsia="en-US"/>
        </w:rPr>
      </w:pPr>
      <w:bookmarkStart w:id="187" w:name="_Toc129270515"/>
      <w:r w:rsidRPr="00541798">
        <w:rPr>
          <w:lang w:eastAsia="en-US"/>
        </w:rPr>
        <w:lastRenderedPageBreak/>
        <w:t xml:space="preserve">Appendix A: </w:t>
      </w:r>
      <w:r>
        <w:rPr>
          <w:lang w:eastAsia="en-US"/>
        </w:rPr>
        <w:t xml:space="preserve">ASIC IFM </w:t>
      </w:r>
      <w:r w:rsidRPr="00DD1233">
        <w:t>Framework</w:t>
      </w:r>
      <w:bookmarkEnd w:id="186"/>
      <w:bookmarkEnd w:id="187"/>
    </w:p>
    <w:p w14:paraId="5A4019DD" w14:textId="77777777" w:rsidR="00A57A98" w:rsidRDefault="00A57A98" w:rsidP="00A57A98">
      <w:pPr>
        <w:pStyle w:val="Heading2"/>
        <w:rPr>
          <w:lang w:eastAsia="en-US"/>
        </w:rPr>
      </w:pPr>
      <w:bookmarkStart w:id="188" w:name="_Toc125305228"/>
      <w:bookmarkStart w:id="189" w:name="_Toc129270516"/>
      <w:r>
        <w:rPr>
          <w:lang w:eastAsia="en-US"/>
        </w:rPr>
        <w:t>Legislative framework</w:t>
      </w:r>
      <w:bookmarkEnd w:id="188"/>
      <w:bookmarkEnd w:id="189"/>
      <w:r>
        <w:rPr>
          <w:lang w:eastAsia="en-US"/>
        </w:rPr>
        <w:t xml:space="preserve"> </w:t>
      </w:r>
    </w:p>
    <w:p w14:paraId="6E4C91CC" w14:textId="7ACE204A" w:rsidR="00BB0673" w:rsidRDefault="00BB0673" w:rsidP="006B2EB3">
      <w:pPr>
        <w:pStyle w:val="numberedtext"/>
        <w:numPr>
          <w:ilvl w:val="0"/>
          <w:numId w:val="26"/>
        </w:numPr>
        <w:tabs>
          <w:tab w:val="left" w:pos="709"/>
        </w:tabs>
        <w:rPr>
          <w:rFonts w:ascii="Calibri Light" w:hAnsi="Calibri Light" w:cs="Calibri Light"/>
        </w:rPr>
      </w:pPr>
      <w:bookmarkStart w:id="190" w:name="_Toc125305229"/>
      <w:r w:rsidRPr="00BB0673">
        <w:rPr>
          <w:rFonts w:ascii="Calibri Light" w:hAnsi="Calibri Light" w:cs="Calibri Light"/>
        </w:rPr>
        <w:t xml:space="preserve">All cost recovery </w:t>
      </w:r>
      <w:r w:rsidR="00A305F6">
        <w:rPr>
          <w:rFonts w:ascii="Calibri Light" w:hAnsi="Calibri Light" w:cs="Calibri Light"/>
        </w:rPr>
        <w:t>levies and fees</w:t>
      </w:r>
      <w:r w:rsidRPr="00BB0673">
        <w:rPr>
          <w:rFonts w:ascii="Calibri Light" w:hAnsi="Calibri Light" w:cs="Calibri Light"/>
        </w:rPr>
        <w:t xml:space="preserve"> must have a statutory basis and be supported by legislation before it can be charged. </w:t>
      </w:r>
    </w:p>
    <w:p w14:paraId="656A36B7" w14:textId="17BCD071" w:rsidR="003C1AD5" w:rsidRPr="00BB0673" w:rsidRDefault="003C1AD5" w:rsidP="006B2EB3">
      <w:pPr>
        <w:pStyle w:val="numberedtext"/>
        <w:numPr>
          <w:ilvl w:val="0"/>
          <w:numId w:val="26"/>
        </w:numPr>
        <w:tabs>
          <w:tab w:val="left" w:pos="709"/>
        </w:tabs>
        <w:rPr>
          <w:rFonts w:ascii="Calibri Light" w:hAnsi="Calibri Light" w:cs="Calibri Light"/>
        </w:rPr>
      </w:pPr>
      <w:r>
        <w:rPr>
          <w:rFonts w:ascii="Calibri Light" w:hAnsi="Calibri Light" w:cs="Calibri Light"/>
        </w:rPr>
        <w:t xml:space="preserve">The following </w:t>
      </w:r>
      <w:r w:rsidR="00212E70">
        <w:rPr>
          <w:rFonts w:ascii="Calibri Light" w:hAnsi="Calibri Light" w:cs="Calibri Light"/>
        </w:rPr>
        <w:t>figures set out the legislative frameworks for industry funding levies and fees</w:t>
      </w:r>
      <w:r w:rsidR="00BD190B">
        <w:rPr>
          <w:rFonts w:ascii="Calibri Light" w:hAnsi="Calibri Light" w:cs="Calibri Light"/>
        </w:rPr>
        <w:noBreakHyphen/>
      </w:r>
      <w:r w:rsidR="00212E70">
        <w:rPr>
          <w:rFonts w:ascii="Calibri Light" w:hAnsi="Calibri Light" w:cs="Calibri Light"/>
        </w:rPr>
        <w:t>for</w:t>
      </w:r>
      <w:r w:rsidR="00BD190B">
        <w:rPr>
          <w:rFonts w:ascii="Calibri Light" w:hAnsi="Calibri Light" w:cs="Calibri Light"/>
        </w:rPr>
        <w:noBreakHyphen/>
      </w:r>
      <w:r w:rsidR="00212E70">
        <w:rPr>
          <w:rFonts w:ascii="Calibri Light" w:hAnsi="Calibri Light" w:cs="Calibri Light"/>
        </w:rPr>
        <w:t xml:space="preserve">service. </w:t>
      </w:r>
    </w:p>
    <w:p w14:paraId="1625ABA9" w14:textId="77777777" w:rsidR="00721469" w:rsidRDefault="00721469" w:rsidP="00A57A98">
      <w:pPr>
        <w:pStyle w:val="Heading3"/>
        <w:rPr>
          <w:lang w:eastAsia="en-US"/>
        </w:rPr>
        <w:sectPr w:rsidR="00721469" w:rsidSect="00721469">
          <w:footerReference w:type="default" r:id="rId34"/>
          <w:pgSz w:w="11906" w:h="16838" w:code="9"/>
          <w:pgMar w:top="1843" w:right="1418" w:bottom="1418" w:left="1418" w:header="709" w:footer="709" w:gutter="0"/>
          <w:cols w:space="708"/>
          <w:docGrid w:linePitch="360"/>
        </w:sectPr>
      </w:pPr>
    </w:p>
    <w:p w14:paraId="682D1956" w14:textId="480B230D" w:rsidR="00A57A98" w:rsidRDefault="00A57A98" w:rsidP="00A57A98">
      <w:pPr>
        <w:pStyle w:val="Heading3"/>
        <w:rPr>
          <w:lang w:eastAsia="en-US"/>
        </w:rPr>
      </w:pPr>
      <w:bookmarkStart w:id="191" w:name="_Toc129270517"/>
      <w:r w:rsidRPr="001515CE">
        <w:rPr>
          <w:lang w:eastAsia="en-US"/>
        </w:rPr>
        <w:lastRenderedPageBreak/>
        <w:t>Industry funding levies (effective from 1 July 2017)</w:t>
      </w:r>
      <w:bookmarkEnd w:id="190"/>
      <w:bookmarkEnd w:id="191"/>
    </w:p>
    <w:p w14:paraId="7AC4308A" w14:textId="0F273E6A" w:rsidR="00665BDC" w:rsidRPr="00665BDC" w:rsidRDefault="0072591D" w:rsidP="00665BDC">
      <w:pPr>
        <w:rPr>
          <w:lang w:eastAsia="en-US"/>
        </w:rPr>
      </w:pPr>
      <w:r>
        <w:rPr>
          <w:noProof/>
        </w:rPr>
        <w:drawing>
          <wp:inline distT="0" distB="0" distL="0" distR="0" wp14:anchorId="6F921F34" wp14:editId="7393ED87">
            <wp:extent cx="8621395" cy="5133975"/>
            <wp:effectExtent l="0" t="0" r="8255" b="9525"/>
            <wp:docPr id="1" name="Picture 1" descr="This figure sets out the policy settings for industry funding levies which are prescribed in a legislative framework comprising several Acts, Regulations, and legislative instruments. The Acts enable ASIC to collect the levy and sets out matters such as the types of regulatory costs that can be recovered. The Regulations set out regulatory costs that cannot be recovered from levies as well as the sub-sector definitions, formulas and metrics used by ASIC to calculate the levy for each entity. The annual legislative instruments made by ASIC outlines the total regulatory costs to be recovered from each sub-sector and the population and total levy metrics used to determine levy am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sets out the policy settings for industry funding levies which are prescribed in a legislative framework comprising several Acts, Regulations, and legislative instruments. The Acts enable ASIC to collect the levy and sets out matters such as the types of regulatory costs that can be recovered. The Regulations set out regulatory costs that cannot be recovered from levies as well as the sub-sector definitions, formulas and metrics used by ASIC to calculate the levy for each entity. The annual legislative instruments made by ASIC outlines the total regulatory costs to be recovered from each sub-sector and the population and total levy metrics used to determine levy amounts."/>
                    <pic:cNvPicPr/>
                  </pic:nvPicPr>
                  <pic:blipFill>
                    <a:blip r:embed="rId35"/>
                    <a:stretch>
                      <a:fillRect/>
                    </a:stretch>
                  </pic:blipFill>
                  <pic:spPr>
                    <a:xfrm>
                      <a:off x="0" y="0"/>
                      <a:ext cx="8621395" cy="5133975"/>
                    </a:xfrm>
                    <a:prstGeom prst="rect">
                      <a:avLst/>
                    </a:prstGeom>
                  </pic:spPr>
                </pic:pic>
              </a:graphicData>
            </a:graphic>
          </wp:inline>
        </w:drawing>
      </w:r>
    </w:p>
    <w:p w14:paraId="09913588" w14:textId="3FEAFD43" w:rsidR="00A57A98" w:rsidRDefault="00A57A98" w:rsidP="00A57A98">
      <w:pPr>
        <w:pStyle w:val="Heading3"/>
        <w:rPr>
          <w:lang w:eastAsia="en-US"/>
        </w:rPr>
      </w:pPr>
      <w:bookmarkStart w:id="192" w:name="_Toc125305230"/>
      <w:bookmarkStart w:id="193" w:name="_Toc129270518"/>
      <w:r w:rsidRPr="00123F8C">
        <w:rPr>
          <w:lang w:eastAsia="en-US"/>
        </w:rPr>
        <w:lastRenderedPageBreak/>
        <w:t>Fees</w:t>
      </w:r>
      <w:r w:rsidR="00BD190B">
        <w:rPr>
          <w:lang w:eastAsia="en-US"/>
        </w:rPr>
        <w:noBreakHyphen/>
      </w:r>
      <w:r w:rsidRPr="00123F8C">
        <w:rPr>
          <w:lang w:eastAsia="en-US"/>
        </w:rPr>
        <w:t>for</w:t>
      </w:r>
      <w:r w:rsidR="00BD190B">
        <w:rPr>
          <w:lang w:eastAsia="en-US"/>
        </w:rPr>
        <w:noBreakHyphen/>
      </w:r>
      <w:r w:rsidRPr="00123F8C">
        <w:rPr>
          <w:lang w:eastAsia="en-US"/>
        </w:rPr>
        <w:t>service (effective from 4 July 2018)</w:t>
      </w:r>
      <w:bookmarkEnd w:id="192"/>
      <w:bookmarkEnd w:id="193"/>
    </w:p>
    <w:p w14:paraId="213BD9A5" w14:textId="55FEAF91" w:rsidR="006C0118" w:rsidRPr="006C0118" w:rsidRDefault="008371F3" w:rsidP="006C0118">
      <w:pPr>
        <w:rPr>
          <w:lang w:eastAsia="en-US"/>
        </w:rPr>
      </w:pPr>
      <w:r>
        <w:rPr>
          <w:noProof/>
        </w:rPr>
        <w:drawing>
          <wp:inline distT="0" distB="0" distL="0" distR="0" wp14:anchorId="0769FD87" wp14:editId="2ECCB56A">
            <wp:extent cx="8621395" cy="5073650"/>
            <wp:effectExtent l="0" t="0" r="8255" b="0"/>
            <wp:docPr id="13" name="Picture 13" descr="This figure sets out the policy settings for fees-for-service which are prescribed in a legislative framework comprising several Acts and Regulations. The Acts set out matters such as the types of activities for which a fee can be charged, who is liable to pay the fee and when the fee must be paid. The Regulations prescribe the fee amounts for chargeable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figure sets out the policy settings for fees-for-service which are prescribed in a legislative framework comprising several Acts and Regulations. The Acts set out matters such as the types of activities for which a fee can be charged, who is liable to pay the fee and when the fee must be paid. The Regulations prescribe the fee amounts for chargeable matters."/>
                    <pic:cNvPicPr/>
                  </pic:nvPicPr>
                  <pic:blipFill>
                    <a:blip r:embed="rId36"/>
                    <a:stretch>
                      <a:fillRect/>
                    </a:stretch>
                  </pic:blipFill>
                  <pic:spPr>
                    <a:xfrm>
                      <a:off x="0" y="0"/>
                      <a:ext cx="8621395" cy="5073650"/>
                    </a:xfrm>
                    <a:prstGeom prst="rect">
                      <a:avLst/>
                    </a:prstGeom>
                  </pic:spPr>
                </pic:pic>
              </a:graphicData>
            </a:graphic>
          </wp:inline>
        </w:drawing>
      </w:r>
    </w:p>
    <w:p w14:paraId="4FE70FE1" w14:textId="77777777" w:rsidR="00A253F0" w:rsidRDefault="00A253F0">
      <w:pPr>
        <w:spacing w:before="0" w:after="160" w:line="259" w:lineRule="auto"/>
        <w:rPr>
          <w:lang w:eastAsia="en-US"/>
        </w:rPr>
      </w:pPr>
      <w:bookmarkStart w:id="194" w:name="_Toc125305231"/>
    </w:p>
    <w:p w14:paraId="28C6AD6D" w14:textId="0A96A28F" w:rsidR="00427515" w:rsidRDefault="00427515">
      <w:pPr>
        <w:spacing w:before="0" w:after="160" w:line="259" w:lineRule="auto"/>
        <w:rPr>
          <w:lang w:eastAsia="en-US"/>
        </w:rPr>
        <w:sectPr w:rsidR="00427515" w:rsidSect="00DD1233">
          <w:headerReference w:type="default" r:id="rId37"/>
          <w:footerReference w:type="even" r:id="rId38"/>
          <w:footerReference w:type="default" r:id="rId39"/>
          <w:pgSz w:w="16838" w:h="11906" w:orient="landscape" w:code="9"/>
          <w:pgMar w:top="1418" w:right="1843" w:bottom="1418" w:left="1418" w:header="709" w:footer="709" w:gutter="0"/>
          <w:cols w:space="708"/>
          <w:docGrid w:linePitch="360"/>
        </w:sectPr>
      </w:pPr>
    </w:p>
    <w:p w14:paraId="0CA4FFE0" w14:textId="6A1D3A4F" w:rsidR="00A57A98" w:rsidRDefault="00A57A98" w:rsidP="00A57A98">
      <w:pPr>
        <w:pStyle w:val="Heading2"/>
        <w:rPr>
          <w:lang w:eastAsia="en-US"/>
        </w:rPr>
      </w:pPr>
      <w:bookmarkStart w:id="195" w:name="_Toc129270519"/>
      <w:r>
        <w:rPr>
          <w:lang w:eastAsia="en-US"/>
        </w:rPr>
        <w:lastRenderedPageBreak/>
        <w:t>Charging Framework</w:t>
      </w:r>
      <w:bookmarkEnd w:id="194"/>
      <w:bookmarkEnd w:id="195"/>
    </w:p>
    <w:p w14:paraId="30F8DD36" w14:textId="3C3DF2B7" w:rsidR="00A57A98" w:rsidRPr="00936E7D" w:rsidRDefault="00A57A98" w:rsidP="006B2EB3">
      <w:pPr>
        <w:pStyle w:val="numberedtext"/>
        <w:numPr>
          <w:ilvl w:val="0"/>
          <w:numId w:val="26"/>
        </w:numPr>
        <w:tabs>
          <w:tab w:val="left" w:pos="709"/>
        </w:tabs>
        <w:rPr>
          <w:rFonts w:ascii="Calibri Light" w:hAnsi="Calibri Light" w:cs="Calibri Light"/>
        </w:rPr>
      </w:pPr>
      <w:r w:rsidRPr="00936E7D">
        <w:rPr>
          <w:rFonts w:ascii="Calibri Light" w:hAnsi="Calibri Light" w:cs="Calibri Light"/>
        </w:rPr>
        <w:t xml:space="preserve">The IFM was designed to meet the requirements of the Australian Government Charging Framework (Charging Framework), which is a policy of the Government that is applied to government charging. </w:t>
      </w:r>
    </w:p>
    <w:p w14:paraId="564B3A3B" w14:textId="6A628920" w:rsidR="00A57A98" w:rsidRPr="00936E7D" w:rsidRDefault="00A57A98" w:rsidP="006B2EB3">
      <w:pPr>
        <w:pStyle w:val="numberedtext"/>
        <w:numPr>
          <w:ilvl w:val="0"/>
          <w:numId w:val="26"/>
        </w:numPr>
        <w:tabs>
          <w:tab w:val="left" w:pos="709"/>
        </w:tabs>
        <w:rPr>
          <w:rFonts w:ascii="Calibri Light" w:hAnsi="Calibri Light" w:cs="Calibri Light"/>
        </w:rPr>
      </w:pPr>
      <w:r w:rsidRPr="00936E7D">
        <w:rPr>
          <w:rFonts w:ascii="Calibri Light" w:hAnsi="Calibri Light" w:cs="Calibri Light"/>
        </w:rPr>
        <w:t>Government charging is where the non</w:t>
      </w:r>
      <w:r w:rsidR="00BD190B">
        <w:rPr>
          <w:rFonts w:ascii="Calibri Light" w:hAnsi="Calibri Light" w:cs="Calibri Light"/>
        </w:rPr>
        <w:noBreakHyphen/>
      </w:r>
      <w:r w:rsidRPr="00936E7D">
        <w:rPr>
          <w:rFonts w:ascii="Calibri Light" w:hAnsi="Calibri Light" w:cs="Calibri Light"/>
        </w:rPr>
        <w:t>government sector is charged for specific effort of Government, such as the provision of goods, services or regulation, or a combination of these, that the non</w:t>
      </w:r>
      <w:r w:rsidR="00BD190B">
        <w:rPr>
          <w:rFonts w:ascii="Calibri Light" w:hAnsi="Calibri Light" w:cs="Calibri Light"/>
        </w:rPr>
        <w:noBreakHyphen/>
      </w:r>
      <w:r w:rsidRPr="00936E7D">
        <w:rPr>
          <w:rFonts w:ascii="Calibri Light" w:hAnsi="Calibri Light" w:cs="Calibri Light"/>
        </w:rPr>
        <w:t>government sector has caused. Where Government charging for regulatory activity to the non</w:t>
      </w:r>
      <w:r w:rsidR="00BD190B">
        <w:rPr>
          <w:rFonts w:ascii="Calibri Light" w:hAnsi="Calibri Light" w:cs="Calibri Light"/>
        </w:rPr>
        <w:noBreakHyphen/>
      </w:r>
      <w:r w:rsidRPr="00936E7D">
        <w:rPr>
          <w:rFonts w:ascii="Calibri Light" w:hAnsi="Calibri Light" w:cs="Calibri Light"/>
        </w:rPr>
        <w:t>government sector is developed consistent with the Charging Framework, then the charge may not exceed the cost of the specific effort that caused it. The total revenue from such regulatory charging is one of a number of mechanisms that the Government uses to fund government entities that deliver a diverse range of services, support and benefits to the Australian public.</w:t>
      </w:r>
    </w:p>
    <w:p w14:paraId="1F05CC91" w14:textId="0E1A96CD" w:rsidR="00A57A98" w:rsidRPr="00936E7D" w:rsidRDefault="00A57A98" w:rsidP="006B2EB3">
      <w:pPr>
        <w:pStyle w:val="numberedtext"/>
        <w:numPr>
          <w:ilvl w:val="0"/>
          <w:numId w:val="26"/>
        </w:numPr>
        <w:tabs>
          <w:tab w:val="left" w:pos="709"/>
        </w:tabs>
        <w:rPr>
          <w:rFonts w:ascii="Calibri Light" w:hAnsi="Calibri Light" w:cs="Calibri Light"/>
        </w:rPr>
      </w:pPr>
      <w:r w:rsidRPr="00936E7D">
        <w:rPr>
          <w:rFonts w:ascii="Calibri Light" w:hAnsi="Calibri Light" w:cs="Calibri Light"/>
        </w:rPr>
        <w:t>Where the Government charges the non</w:t>
      </w:r>
      <w:r w:rsidR="00BD190B">
        <w:rPr>
          <w:rFonts w:ascii="Calibri Light" w:hAnsi="Calibri Light" w:cs="Calibri Light"/>
        </w:rPr>
        <w:noBreakHyphen/>
      </w:r>
      <w:r w:rsidRPr="00936E7D">
        <w:rPr>
          <w:rFonts w:ascii="Calibri Light" w:hAnsi="Calibri Light" w:cs="Calibri Light"/>
        </w:rPr>
        <w:t>government sector for a specific activity, it may do so for the following reasons:</w:t>
      </w:r>
    </w:p>
    <w:p w14:paraId="3C859611" w14:textId="103CF585" w:rsidR="00A57A98" w:rsidRDefault="00A57A98" w:rsidP="002E3D2A">
      <w:pPr>
        <w:pStyle w:val="Bullet"/>
        <w:ind w:left="641"/>
      </w:pPr>
      <w:r>
        <w:t>promote equity, whereby the recipients who create the need for a government activity, rather than the general public, bear its costs</w:t>
      </w:r>
    </w:p>
    <w:p w14:paraId="6BDAD746" w14:textId="50DDA87F" w:rsidR="00A57A98" w:rsidRDefault="00A57A98" w:rsidP="002E3D2A">
      <w:pPr>
        <w:pStyle w:val="Bullet"/>
        <w:ind w:left="641"/>
      </w:pPr>
      <w:r>
        <w:t xml:space="preserve">influence demand for government activities </w:t>
      </w:r>
    </w:p>
    <w:p w14:paraId="4581951C" w14:textId="19A4BAD1" w:rsidR="00A57A98" w:rsidRDefault="00A57A98" w:rsidP="002E3D2A">
      <w:pPr>
        <w:pStyle w:val="Bullet"/>
        <w:ind w:left="641"/>
      </w:pPr>
      <w:r>
        <w:t>improve the efficiency, productivity and responsiveness of government activities and accountability for those activities</w:t>
      </w:r>
    </w:p>
    <w:p w14:paraId="1742369B" w14:textId="64ADC795" w:rsidR="00A57A98" w:rsidRDefault="00A57A98" w:rsidP="002E3D2A">
      <w:pPr>
        <w:pStyle w:val="Bullet"/>
        <w:ind w:left="641"/>
      </w:pPr>
      <w:r>
        <w:t>increase cost consciousness for all stakeholders by raising awareness of how much a government activity costs</w:t>
      </w:r>
    </w:p>
    <w:p w14:paraId="62358D35" w14:textId="71EB8349" w:rsidR="00A57A98" w:rsidRDefault="00A57A98" w:rsidP="002E3D2A">
      <w:pPr>
        <w:pStyle w:val="Bullet"/>
        <w:ind w:left="641"/>
      </w:pPr>
      <w:r>
        <w:t>improve the fiscal position of government</w:t>
      </w:r>
    </w:p>
    <w:p w14:paraId="3B770D3C" w14:textId="39E40E74" w:rsidR="00A57A98" w:rsidRDefault="00A57A98" w:rsidP="002E3D2A">
      <w:pPr>
        <w:pStyle w:val="Bullet"/>
        <w:ind w:left="641"/>
      </w:pPr>
      <w:r>
        <w:t>recognise the value of government resources</w:t>
      </w:r>
    </w:p>
    <w:p w14:paraId="61438E9C" w14:textId="7D881562" w:rsidR="00A57A98" w:rsidRPr="008A08C4" w:rsidRDefault="00A57A98" w:rsidP="006B2EB3">
      <w:pPr>
        <w:pStyle w:val="numberedtext"/>
        <w:numPr>
          <w:ilvl w:val="0"/>
          <w:numId w:val="26"/>
        </w:numPr>
        <w:tabs>
          <w:tab w:val="left" w:pos="709"/>
        </w:tabs>
        <w:rPr>
          <w:rFonts w:ascii="Calibri Light" w:hAnsi="Calibri Light" w:cs="Calibri Light"/>
        </w:rPr>
      </w:pPr>
      <w:r w:rsidRPr="008A08C4">
        <w:rPr>
          <w:rFonts w:ascii="Calibri Light" w:hAnsi="Calibri Light" w:cs="Calibri Light"/>
        </w:rPr>
        <w:t xml:space="preserve">The Charging Framework is a policy of the Government that is applied to </w:t>
      </w:r>
      <w:r w:rsidR="007571EC">
        <w:rPr>
          <w:rFonts w:ascii="Calibri Light" w:hAnsi="Calibri Light" w:cs="Calibri Light"/>
        </w:rPr>
        <w:t>g</w:t>
      </w:r>
      <w:r w:rsidRPr="008A08C4">
        <w:rPr>
          <w:rFonts w:ascii="Calibri Light" w:hAnsi="Calibri Light" w:cs="Calibri Light"/>
        </w:rPr>
        <w:t>overnment activities and includes the Charging Policy Statement,</w:t>
      </w:r>
      <w:r w:rsidRPr="008A08C4">
        <w:rPr>
          <w:rFonts w:ascii="Calibri Light" w:hAnsi="Calibri Light" w:cs="Calibri Light"/>
        </w:rPr>
        <w:footnoteReference w:id="8"/>
      </w:r>
      <w:r w:rsidRPr="008A08C4">
        <w:rPr>
          <w:rFonts w:ascii="Calibri Light" w:hAnsi="Calibri Light" w:cs="Calibri Light"/>
        </w:rPr>
        <w:t xml:space="preserve"> and the charging principles, requirements and considerations. The Charging Policy Statement is the cornerstone to </w:t>
      </w:r>
      <w:r w:rsidR="007571EC">
        <w:rPr>
          <w:rFonts w:ascii="Calibri Light" w:hAnsi="Calibri Light" w:cs="Calibri Light"/>
        </w:rPr>
        <w:t>g</w:t>
      </w:r>
      <w:r w:rsidRPr="008A08C4">
        <w:rPr>
          <w:rFonts w:ascii="Calibri Light" w:hAnsi="Calibri Light" w:cs="Calibri Light"/>
        </w:rPr>
        <w:t xml:space="preserve">overnment charging and provides that where an individual or organisation creates the demand for a </w:t>
      </w:r>
      <w:r w:rsidR="007571EC">
        <w:rPr>
          <w:rFonts w:ascii="Calibri Light" w:hAnsi="Calibri Light" w:cs="Calibri Light"/>
        </w:rPr>
        <w:t>g</w:t>
      </w:r>
      <w:r w:rsidRPr="008A08C4">
        <w:rPr>
          <w:rFonts w:ascii="Calibri Light" w:hAnsi="Calibri Light" w:cs="Calibri Light"/>
        </w:rPr>
        <w:t>overnment activity, they should generally be charged for it, unless the Government has decided to fund the activity. These components of the Charging Framework, along with the definition of the type of activity and the policy outcomes sought, inform the Government</w:t>
      </w:r>
      <w:r w:rsidR="00BD190B">
        <w:rPr>
          <w:rFonts w:ascii="Calibri Light" w:hAnsi="Calibri Light" w:cs="Calibri Light"/>
        </w:rPr>
        <w:t>’</w:t>
      </w:r>
      <w:r w:rsidRPr="008A08C4">
        <w:rPr>
          <w:rFonts w:ascii="Calibri Light" w:hAnsi="Calibri Light" w:cs="Calibri Light"/>
        </w:rPr>
        <w:t>s decision to charge, or not charge, for an activity.</w:t>
      </w:r>
    </w:p>
    <w:p w14:paraId="77C2F260" w14:textId="42994011" w:rsidR="00A57A98" w:rsidRPr="008A08C4" w:rsidRDefault="00A57A98" w:rsidP="006B2EB3">
      <w:pPr>
        <w:pStyle w:val="numberedtext"/>
        <w:numPr>
          <w:ilvl w:val="0"/>
          <w:numId w:val="26"/>
        </w:numPr>
        <w:tabs>
          <w:tab w:val="left" w:pos="709"/>
        </w:tabs>
        <w:rPr>
          <w:rFonts w:ascii="Calibri Light" w:hAnsi="Calibri Light" w:cs="Calibri Light"/>
        </w:rPr>
      </w:pPr>
      <w:r w:rsidRPr="008A08C4">
        <w:rPr>
          <w:rFonts w:ascii="Calibri Light" w:hAnsi="Calibri Light" w:cs="Calibri Light"/>
        </w:rPr>
        <w:t>The Government</w:t>
      </w:r>
      <w:r w:rsidR="00BD190B">
        <w:rPr>
          <w:rFonts w:ascii="Calibri Light" w:hAnsi="Calibri Light" w:cs="Calibri Light"/>
        </w:rPr>
        <w:t>’</w:t>
      </w:r>
      <w:r w:rsidRPr="008A08C4">
        <w:rPr>
          <w:rFonts w:ascii="Calibri Light" w:hAnsi="Calibri Light" w:cs="Calibri Light"/>
        </w:rPr>
        <w:t>s Charging Policy and Framework promotes consistent, transparent and accountable charging for government activities, by encouraging a common approach to planning, implementing and maintaining government charging. Its application leads to improved charging and the proper use of public resources.</w:t>
      </w:r>
    </w:p>
    <w:p w14:paraId="0CD948CF" w14:textId="092C2451" w:rsidR="00A57A98" w:rsidRPr="008A08C4" w:rsidRDefault="00A57A98" w:rsidP="006B2EB3">
      <w:pPr>
        <w:pStyle w:val="numberedtext"/>
        <w:numPr>
          <w:ilvl w:val="0"/>
          <w:numId w:val="26"/>
        </w:numPr>
        <w:tabs>
          <w:tab w:val="left" w:pos="709"/>
        </w:tabs>
        <w:rPr>
          <w:rFonts w:ascii="Calibri Light" w:hAnsi="Calibri Light" w:cs="Calibri Light"/>
        </w:rPr>
      </w:pPr>
      <w:r w:rsidRPr="008A08C4">
        <w:rPr>
          <w:rFonts w:ascii="Calibri Light" w:hAnsi="Calibri Light" w:cs="Calibri Light"/>
        </w:rPr>
        <w:lastRenderedPageBreak/>
        <w:t>ASIC, as a non</w:t>
      </w:r>
      <w:r w:rsidR="00BD190B">
        <w:rPr>
          <w:rFonts w:ascii="Calibri Light" w:hAnsi="Calibri Light" w:cs="Calibri Light"/>
        </w:rPr>
        <w:noBreakHyphen/>
      </w:r>
      <w:r w:rsidRPr="008A08C4">
        <w:rPr>
          <w:rFonts w:ascii="Calibri Light" w:hAnsi="Calibri Light" w:cs="Calibri Light"/>
        </w:rPr>
        <w:t xml:space="preserve">corporate Commonwealth entity undertaking regulatory charging activities, is subject to the </w:t>
      </w:r>
      <w:r w:rsidRPr="008A08C4" w:rsidDel="001F3EB0">
        <w:rPr>
          <w:rFonts w:ascii="Calibri Light" w:hAnsi="Calibri Light" w:cs="Calibri Light"/>
        </w:rPr>
        <w:t xml:space="preserve">Charging Framework </w:t>
      </w:r>
      <w:r w:rsidRPr="008A08C4">
        <w:rPr>
          <w:rFonts w:ascii="Calibri Light" w:hAnsi="Calibri Light" w:cs="Calibri Light"/>
        </w:rPr>
        <w:t>and must apply the requirements that apply to charging for regulatory activities. This includes that all regulatory charging activities must apply the principles of efficiency and effectiveness, transparency and accountability and stakeholder engagement throughout the cost recovery process. It also requires that for each regulatory charging activity, an entity must:</w:t>
      </w:r>
    </w:p>
    <w:p w14:paraId="06CAF176" w14:textId="709565CA" w:rsidR="00A57A98" w:rsidRDefault="00A57A98" w:rsidP="002E3D2A">
      <w:pPr>
        <w:pStyle w:val="Bullet"/>
        <w:ind w:left="641"/>
      </w:pPr>
      <w:r>
        <w:t>have policy authority from government to cost recover</w:t>
      </w:r>
    </w:p>
    <w:p w14:paraId="329E018D" w14:textId="051DC9BC" w:rsidR="00A57A98" w:rsidRDefault="00A57A98" w:rsidP="002E3D2A">
      <w:pPr>
        <w:pStyle w:val="Bullet"/>
        <w:ind w:left="641"/>
      </w:pPr>
      <w:r>
        <w:t>have statutory authority to charge</w:t>
      </w:r>
    </w:p>
    <w:p w14:paraId="72AE5536" w14:textId="4B7FA86B" w:rsidR="00A57A98" w:rsidRDefault="00A57A98" w:rsidP="002E3D2A">
      <w:pPr>
        <w:pStyle w:val="Bullet"/>
        <w:ind w:left="641"/>
      </w:pPr>
      <w:r>
        <w:t>ensure alignment between expenses and revenue</w:t>
      </w:r>
    </w:p>
    <w:p w14:paraId="2507F467" w14:textId="081AF326" w:rsidR="00A57A98" w:rsidRDefault="00A57A98" w:rsidP="002E3D2A">
      <w:pPr>
        <w:pStyle w:val="Bullet"/>
        <w:ind w:left="641"/>
      </w:pPr>
      <w:r>
        <w:t>maintain up</w:t>
      </w:r>
      <w:r w:rsidR="00BD190B">
        <w:noBreakHyphen/>
      </w:r>
      <w:r>
        <w:t>to</w:t>
      </w:r>
      <w:r w:rsidR="00BD190B">
        <w:noBreakHyphen/>
      </w:r>
      <w:r>
        <w:t>date publicly available documentation and reporting</w:t>
      </w:r>
    </w:p>
    <w:p w14:paraId="3D37C997" w14:textId="7BB0EEB5" w:rsidR="00A57A98" w:rsidRPr="008A08C4" w:rsidRDefault="00A57A98" w:rsidP="006B2EB3">
      <w:pPr>
        <w:pStyle w:val="numberedtext"/>
        <w:numPr>
          <w:ilvl w:val="0"/>
          <w:numId w:val="26"/>
        </w:numPr>
        <w:tabs>
          <w:tab w:val="left" w:pos="709"/>
        </w:tabs>
        <w:rPr>
          <w:rFonts w:ascii="Calibri Light" w:hAnsi="Calibri Light" w:cs="Calibri Light"/>
        </w:rPr>
      </w:pPr>
      <w:r w:rsidRPr="008A08C4">
        <w:rPr>
          <w:rFonts w:ascii="Calibri Light" w:hAnsi="Calibri Light" w:cs="Calibri Light"/>
        </w:rPr>
        <w:t>ASIC</w:t>
      </w:r>
      <w:r w:rsidR="00BD190B">
        <w:rPr>
          <w:rFonts w:ascii="Calibri Light" w:hAnsi="Calibri Light" w:cs="Calibri Light"/>
        </w:rPr>
        <w:t>’</w:t>
      </w:r>
      <w:r w:rsidRPr="008A08C4">
        <w:rPr>
          <w:rFonts w:ascii="Calibri Light" w:hAnsi="Calibri Light" w:cs="Calibri Light"/>
        </w:rPr>
        <w:t>s policy authority to charge for its regulatory activities was provided in the 2016</w:t>
      </w:r>
      <w:r w:rsidR="00E52C61">
        <w:rPr>
          <w:rFonts w:ascii="Calibri Light" w:hAnsi="Calibri Light" w:cs="Calibri Light"/>
        </w:rPr>
        <w:t>–</w:t>
      </w:r>
      <w:r w:rsidRPr="008A08C4">
        <w:rPr>
          <w:rFonts w:ascii="Calibri Light" w:hAnsi="Calibri Light" w:cs="Calibri Light"/>
        </w:rPr>
        <w:t>17 Budget and subsequently as various Budgets increased funding for ASIC</w:t>
      </w:r>
      <w:r w:rsidR="00BD190B">
        <w:rPr>
          <w:rFonts w:ascii="Calibri Light" w:hAnsi="Calibri Light" w:cs="Calibri Light"/>
        </w:rPr>
        <w:t>’</w:t>
      </w:r>
      <w:r w:rsidRPr="008A08C4">
        <w:rPr>
          <w:rFonts w:ascii="Calibri Light" w:hAnsi="Calibri Light" w:cs="Calibri Light"/>
        </w:rPr>
        <w:t xml:space="preserve">s regulatory activities. The statutory authority to charge is provided through the Cost Recovery Levy Act. </w:t>
      </w:r>
    </w:p>
    <w:p w14:paraId="203D8C36" w14:textId="70DE99C7" w:rsidR="00A57A98" w:rsidRDefault="00A57A98" w:rsidP="006B2EB3">
      <w:pPr>
        <w:pStyle w:val="numberedtext"/>
        <w:numPr>
          <w:ilvl w:val="0"/>
          <w:numId w:val="26"/>
        </w:numPr>
        <w:tabs>
          <w:tab w:val="left" w:pos="709"/>
        </w:tabs>
        <w:rPr>
          <w:rFonts w:ascii="Calibri Light" w:hAnsi="Calibri Light" w:cs="Calibri Light"/>
        </w:rPr>
      </w:pPr>
      <w:r w:rsidRPr="008A08C4">
        <w:rPr>
          <w:rFonts w:ascii="Calibri Light" w:hAnsi="Calibri Light" w:cs="Calibri Light"/>
        </w:rPr>
        <w:t>Not all the components of the IFM are governed by the Charging Framework. The IFM includes statutory levies imposed for activities where the Government has decided there should be cross</w:t>
      </w:r>
      <w:r w:rsidR="00BD190B">
        <w:rPr>
          <w:rFonts w:ascii="Calibri Light" w:hAnsi="Calibri Light" w:cs="Calibri Light"/>
        </w:rPr>
        <w:noBreakHyphen/>
      </w:r>
      <w:r w:rsidRPr="008A08C4">
        <w:rPr>
          <w:rFonts w:ascii="Calibri Light" w:hAnsi="Calibri Light" w:cs="Calibri Light"/>
        </w:rPr>
        <w:t>subsidisation between or within industry sub</w:t>
      </w:r>
      <w:r w:rsidR="00BD190B">
        <w:rPr>
          <w:rFonts w:ascii="Calibri Light" w:hAnsi="Calibri Light" w:cs="Calibri Light"/>
        </w:rPr>
        <w:noBreakHyphen/>
      </w:r>
      <w:r w:rsidRPr="008A08C4">
        <w:rPr>
          <w:rFonts w:ascii="Calibri Light" w:hAnsi="Calibri Light" w:cs="Calibri Light"/>
        </w:rPr>
        <w:t>sectors. The amount charged via statutory levies and the costing approach is not governed by the Charging Framework, however these levies are being considered in this Review.</w:t>
      </w:r>
    </w:p>
    <w:p w14:paraId="5ABD3A70" w14:textId="77777777" w:rsidR="008A08C4" w:rsidRPr="0032739E" w:rsidRDefault="008A08C4" w:rsidP="00503D29">
      <w:pPr>
        <w:pStyle w:val="Heading3"/>
        <w:rPr>
          <w:iCs/>
          <w:lang w:eastAsia="en-US"/>
        </w:rPr>
      </w:pPr>
      <w:bookmarkStart w:id="196" w:name="_Toc129270520"/>
      <w:r w:rsidRPr="0032739E">
        <w:rPr>
          <w:lang w:eastAsia="en-US"/>
        </w:rPr>
        <w:t xml:space="preserve">CRIS </w:t>
      </w:r>
      <w:r>
        <w:rPr>
          <w:lang w:eastAsia="en-US"/>
        </w:rPr>
        <w:t>r</w:t>
      </w:r>
      <w:r w:rsidRPr="0032739E">
        <w:rPr>
          <w:lang w:eastAsia="en-US"/>
        </w:rPr>
        <w:t>equirements</w:t>
      </w:r>
      <w:bookmarkEnd w:id="196"/>
    </w:p>
    <w:p w14:paraId="6CF8A443" w14:textId="77777777" w:rsidR="00903B6A" w:rsidRDefault="00D45941" w:rsidP="006B2EB3">
      <w:pPr>
        <w:pStyle w:val="numberedtext"/>
        <w:numPr>
          <w:ilvl w:val="0"/>
          <w:numId w:val="26"/>
        </w:numPr>
        <w:tabs>
          <w:tab w:val="left" w:pos="709"/>
        </w:tabs>
        <w:rPr>
          <w:rFonts w:ascii="Calibri Light" w:hAnsi="Calibri Light" w:cs="Calibri Light"/>
        </w:rPr>
      </w:pPr>
      <w:r w:rsidRPr="00D45941">
        <w:rPr>
          <w:rFonts w:ascii="Calibri Light" w:hAnsi="Calibri Light" w:cs="Calibri Light"/>
        </w:rPr>
        <w:t>Each cost recovered activity, regardless of financial value, must be documented in a CRIS before charges commence. The CRIS is an explanatory document that provides key information on how cost recovery for a specific government activity is implemented.</w:t>
      </w:r>
      <w:r w:rsidR="00903B6A">
        <w:rPr>
          <w:rFonts w:ascii="Calibri Light" w:hAnsi="Calibri Light" w:cs="Calibri Light"/>
        </w:rPr>
        <w:t xml:space="preserve"> </w:t>
      </w:r>
    </w:p>
    <w:p w14:paraId="6DDF2708" w14:textId="0C9FE3F3" w:rsidR="00004A40" w:rsidRDefault="00004A40" w:rsidP="006B2EB3">
      <w:pPr>
        <w:pStyle w:val="numberedtext"/>
        <w:numPr>
          <w:ilvl w:val="0"/>
          <w:numId w:val="26"/>
        </w:numPr>
        <w:tabs>
          <w:tab w:val="left" w:pos="709"/>
        </w:tabs>
        <w:rPr>
          <w:rFonts w:ascii="Calibri Light" w:hAnsi="Calibri Light" w:cs="Calibri Light"/>
        </w:rPr>
      </w:pPr>
      <w:r>
        <w:rPr>
          <w:rFonts w:ascii="Calibri Light" w:hAnsi="Calibri Light" w:cs="Calibri Light"/>
        </w:rPr>
        <w:t>Each CRIS must include:</w:t>
      </w:r>
    </w:p>
    <w:p w14:paraId="2877B3EE" w14:textId="1B6ADE4E" w:rsidR="008A08C4" w:rsidRPr="00293B59" w:rsidRDefault="008A08C4" w:rsidP="002E3D2A">
      <w:pPr>
        <w:pStyle w:val="Bullet"/>
        <w:ind w:left="641"/>
      </w:pPr>
      <w:r w:rsidRPr="00293B59">
        <w:t>background information on the cost recovered activity, including the outputs that the activity will produce to achieve government policy outcomes</w:t>
      </w:r>
    </w:p>
    <w:p w14:paraId="133E71C1" w14:textId="77777777" w:rsidR="008A08C4" w:rsidRPr="00293B59" w:rsidRDefault="008A08C4" w:rsidP="002E3D2A">
      <w:pPr>
        <w:pStyle w:val="Bullet"/>
        <w:ind w:left="641"/>
      </w:pPr>
      <w:r w:rsidRPr="00293B59">
        <w:t>details of the Australian Government policy approval to cost recover the activity</w:t>
      </w:r>
    </w:p>
    <w:p w14:paraId="5D9EA6BE" w14:textId="77777777" w:rsidR="008A08C4" w:rsidRPr="00293B59" w:rsidRDefault="008A08C4" w:rsidP="002E3D2A">
      <w:pPr>
        <w:pStyle w:val="Bullet"/>
        <w:ind w:left="641"/>
      </w:pPr>
      <w:r w:rsidRPr="00293B59">
        <w:t>details of the legislation authorising the charges</w:t>
      </w:r>
    </w:p>
    <w:p w14:paraId="2A6FB89E" w14:textId="77777777" w:rsidR="008A08C4" w:rsidRPr="00293B59" w:rsidRDefault="008A08C4" w:rsidP="002E3D2A">
      <w:pPr>
        <w:pStyle w:val="Bullet"/>
        <w:ind w:left="641"/>
      </w:pPr>
      <w:r w:rsidRPr="00293B59">
        <w:t>an explanation of how the activity was costed</w:t>
      </w:r>
    </w:p>
    <w:p w14:paraId="1B0A46F7" w14:textId="77777777" w:rsidR="008A08C4" w:rsidRPr="00293B59" w:rsidRDefault="008A08C4" w:rsidP="002E3D2A">
      <w:pPr>
        <w:pStyle w:val="Bullet"/>
        <w:ind w:left="641"/>
      </w:pPr>
      <w:r w:rsidRPr="00293B59">
        <w:t>an explanation of the design of cost recovery charges</w:t>
      </w:r>
    </w:p>
    <w:p w14:paraId="745122BB" w14:textId="77777777" w:rsidR="008A08C4" w:rsidRPr="00293B59" w:rsidRDefault="008A08C4" w:rsidP="002E3D2A">
      <w:pPr>
        <w:pStyle w:val="Bullet"/>
        <w:ind w:left="641"/>
      </w:pPr>
      <w:r w:rsidRPr="00293B59">
        <w:t>an assessment of cost recovery risk</w:t>
      </w:r>
    </w:p>
    <w:p w14:paraId="67AE5831" w14:textId="77777777" w:rsidR="008A08C4" w:rsidRPr="00293B59" w:rsidRDefault="008A08C4" w:rsidP="002E3D2A">
      <w:pPr>
        <w:pStyle w:val="Bullet"/>
        <w:ind w:left="641"/>
      </w:pPr>
      <w:r w:rsidRPr="00293B59">
        <w:t>the stakeholder engagement strategy, including a summary of the most recent consultation and stakeholder views</w:t>
      </w:r>
    </w:p>
    <w:p w14:paraId="267A3E2C" w14:textId="517369EB" w:rsidR="008A08C4" w:rsidRPr="00293B59" w:rsidRDefault="008A08C4" w:rsidP="002E3D2A">
      <w:pPr>
        <w:pStyle w:val="Bullet"/>
        <w:ind w:left="641"/>
      </w:pPr>
      <w:r w:rsidRPr="00293B59">
        <w:t>financial estimates for the activity (</w:t>
      </w:r>
      <w:r w:rsidR="00497004">
        <w:t>that is,</w:t>
      </w:r>
      <w:r w:rsidRPr="00293B59">
        <w:t xml:space="preserve"> expenses and revenue)</w:t>
      </w:r>
    </w:p>
    <w:p w14:paraId="3AAFE6D1" w14:textId="70421424" w:rsidR="008A08C4" w:rsidRDefault="008A08C4" w:rsidP="002E3D2A">
      <w:pPr>
        <w:pStyle w:val="Bullet"/>
        <w:ind w:left="641"/>
      </w:pPr>
      <w:r w:rsidRPr="00293B59">
        <w:t>reporting on financial and non</w:t>
      </w:r>
      <w:r w:rsidR="00BD190B">
        <w:noBreakHyphen/>
      </w:r>
      <w:r w:rsidRPr="00293B59">
        <w:t>financial performance of the activity</w:t>
      </w:r>
    </w:p>
    <w:p w14:paraId="0936A8AF" w14:textId="77777777" w:rsidR="008A08C4" w:rsidRDefault="008A08C4" w:rsidP="002E3D2A">
      <w:pPr>
        <w:pStyle w:val="Bullet"/>
        <w:ind w:left="641"/>
      </w:pPr>
      <w:r>
        <w:t>key forward dates and events</w:t>
      </w:r>
    </w:p>
    <w:p w14:paraId="3101934C" w14:textId="621B2DB1" w:rsidR="009A0F0E" w:rsidRDefault="005C05D5" w:rsidP="009A0F0E">
      <w:pPr>
        <w:pStyle w:val="Heading2"/>
        <w:rPr>
          <w:lang w:eastAsia="en-US"/>
        </w:rPr>
      </w:pPr>
      <w:bookmarkStart w:id="197" w:name="_Toc129270521"/>
      <w:r>
        <w:rPr>
          <w:lang w:eastAsia="en-US"/>
        </w:rPr>
        <w:lastRenderedPageBreak/>
        <w:t>Objectives of the IFM</w:t>
      </w:r>
      <w:bookmarkEnd w:id="197"/>
    </w:p>
    <w:p w14:paraId="005A389D" w14:textId="77777777" w:rsidR="002934C4" w:rsidRPr="008A08C4" w:rsidRDefault="005C05D5" w:rsidP="006B2EB3">
      <w:pPr>
        <w:pStyle w:val="numberedtext"/>
        <w:numPr>
          <w:ilvl w:val="0"/>
          <w:numId w:val="26"/>
        </w:numPr>
        <w:tabs>
          <w:tab w:val="left" w:pos="709"/>
        </w:tabs>
        <w:rPr>
          <w:rFonts w:ascii="Calibri Light" w:hAnsi="Calibri Light" w:cs="Calibri Light"/>
        </w:rPr>
      </w:pPr>
      <w:r w:rsidRPr="008A08C4">
        <w:rPr>
          <w:rFonts w:ascii="Calibri Light" w:hAnsi="Calibri Light" w:cs="Calibri Light"/>
        </w:rPr>
        <w:t xml:space="preserve">While the IFM was designed to align with the Charging Framework, which includes the Cost Recovery Guidelines (CRGs), it was also designed to support other objectives of the Government, which include objectives in relation to competition and innovation, not disproportionately affecting small businesses, and ensuring that regulated entities receive value for money on cost recovered Government services. </w:t>
      </w:r>
    </w:p>
    <w:p w14:paraId="4ACD9B43" w14:textId="2BEA701E" w:rsidR="003457F6" w:rsidRPr="008A08C4" w:rsidRDefault="005C05D5" w:rsidP="006B2EB3">
      <w:pPr>
        <w:pStyle w:val="numberedtext"/>
        <w:numPr>
          <w:ilvl w:val="0"/>
          <w:numId w:val="26"/>
        </w:numPr>
        <w:tabs>
          <w:tab w:val="left" w:pos="709"/>
        </w:tabs>
        <w:rPr>
          <w:rFonts w:ascii="Calibri Light" w:hAnsi="Calibri Light" w:cs="Calibri Light"/>
        </w:rPr>
      </w:pPr>
      <w:r w:rsidRPr="008A08C4">
        <w:rPr>
          <w:rFonts w:ascii="Calibri Light" w:hAnsi="Calibri Light" w:cs="Calibri Light"/>
        </w:rPr>
        <w:t>The levies component of the IFM was also refined in accordance with a number of design objectives, informed by stakeholder feedback</w:t>
      </w:r>
      <w:r w:rsidR="003457F6" w:rsidRPr="008A08C4">
        <w:rPr>
          <w:rFonts w:ascii="Calibri Light" w:hAnsi="Calibri Light" w:cs="Calibri Light"/>
        </w:rPr>
        <w:t>:</w:t>
      </w:r>
      <w:r w:rsidR="003457F6" w:rsidRPr="008A08C4">
        <w:rPr>
          <w:rFonts w:ascii="Calibri Light" w:hAnsi="Calibri Light"/>
          <w:vertAlign w:val="superscript"/>
        </w:rPr>
        <w:footnoteReference w:id="9"/>
      </w:r>
      <w:r w:rsidR="003457F6" w:rsidRPr="008A08C4">
        <w:rPr>
          <w:rFonts w:ascii="Calibri Light" w:hAnsi="Calibri Light" w:cs="Calibri Light"/>
          <w:vertAlign w:val="superscript"/>
        </w:rPr>
        <w:t xml:space="preserve"> </w:t>
      </w:r>
    </w:p>
    <w:p w14:paraId="4CCA41F0" w14:textId="5FCBCAF1" w:rsidR="003457F6" w:rsidRPr="008A08C4" w:rsidRDefault="003457F6" w:rsidP="002E3D2A">
      <w:pPr>
        <w:pStyle w:val="Bullet"/>
        <w:ind w:left="641"/>
      </w:pPr>
      <w:r w:rsidRPr="008A08C4">
        <w:t>simplicity – the model should be simple to enable any firm to calculate its applicable levy</w:t>
      </w:r>
    </w:p>
    <w:p w14:paraId="065083E9" w14:textId="4B1E7B9D" w:rsidR="003457F6" w:rsidRPr="008A08C4" w:rsidRDefault="003457F6" w:rsidP="002E3D2A">
      <w:pPr>
        <w:pStyle w:val="Bullet"/>
        <w:ind w:left="641"/>
      </w:pPr>
      <w:r w:rsidRPr="008A08C4">
        <w:t xml:space="preserve">certainty – the levies should, wherever possible, provide enough certainty for entities to allow them to incorporate the levies into commercial decisions </w:t>
      </w:r>
    </w:p>
    <w:p w14:paraId="59E12E73" w14:textId="3C16D44D" w:rsidR="003457F6" w:rsidRPr="008A08C4" w:rsidRDefault="003457F6" w:rsidP="002E3D2A">
      <w:pPr>
        <w:pStyle w:val="Bullet"/>
        <w:ind w:left="641"/>
      </w:pPr>
      <w:r w:rsidRPr="008A08C4">
        <w:t>proportionality – levies from each sector should be calculated from readily available metrics of business activity, such as revenue generated or funds under management. Selection of each sector</w:t>
      </w:r>
      <w:r w:rsidR="00BD190B">
        <w:t>’</w:t>
      </w:r>
      <w:r w:rsidRPr="008A08C4">
        <w:t>s activity metric should: align to expected regulatory oversight, including the level of anticipated consumer or investor exposure; and ensure that the reporting burden for industry is kept to a minimum</w:t>
      </w:r>
    </w:p>
    <w:p w14:paraId="396C785D" w14:textId="0386EB0D" w:rsidR="003457F6" w:rsidRPr="008A08C4" w:rsidRDefault="003457F6" w:rsidP="002E3D2A">
      <w:pPr>
        <w:pStyle w:val="Bullet"/>
        <w:ind w:left="641"/>
      </w:pPr>
      <w:r w:rsidRPr="008A08C4">
        <w:t>commercially</w:t>
      </w:r>
      <w:r w:rsidR="00BD190B">
        <w:noBreakHyphen/>
      </w:r>
      <w:r w:rsidRPr="008A08C4">
        <w:t>based – sector definitions should group together entities that are providing similar services, and compete in the same market; and efficient processing – billing and business activity collection should be done through a web portal that users find simple, clear and fast to use, and that is seamlessly connected to ASIC databases</w:t>
      </w:r>
    </w:p>
    <w:p w14:paraId="0316ABA5" w14:textId="77777777" w:rsidR="00A57A98" w:rsidRDefault="00A57A98" w:rsidP="0032739E">
      <w:pPr>
        <w:pStyle w:val="Bullet"/>
        <w:numPr>
          <w:ilvl w:val="0"/>
          <w:numId w:val="0"/>
        </w:numPr>
        <w:rPr>
          <w:lang w:eastAsia="en-US"/>
        </w:rPr>
        <w:sectPr w:rsidR="00A57A98" w:rsidSect="00D97EEA">
          <w:headerReference w:type="default" r:id="rId40"/>
          <w:footerReference w:type="even" r:id="rId41"/>
          <w:footerReference w:type="default" r:id="rId42"/>
          <w:pgSz w:w="11906" w:h="16838" w:code="9"/>
          <w:pgMar w:top="1843" w:right="1418" w:bottom="1418" w:left="1418" w:header="709" w:footer="709" w:gutter="0"/>
          <w:cols w:space="708"/>
          <w:docGrid w:linePitch="360"/>
        </w:sectPr>
      </w:pPr>
      <w:bookmarkStart w:id="198" w:name="_Toc125305232"/>
    </w:p>
    <w:p w14:paraId="2D2B5990" w14:textId="4E7309FD" w:rsidR="00790BBB" w:rsidRDefault="00A57A98" w:rsidP="00747C2A">
      <w:pPr>
        <w:pStyle w:val="AppendixHeading"/>
        <w:rPr>
          <w:lang w:eastAsia="en-US"/>
        </w:rPr>
      </w:pPr>
      <w:bookmarkStart w:id="199" w:name="_Toc129270522"/>
      <w:r>
        <w:rPr>
          <w:lang w:eastAsia="en-US"/>
        </w:rPr>
        <w:lastRenderedPageBreak/>
        <w:t xml:space="preserve">Appendix </w:t>
      </w:r>
      <w:r w:rsidR="00B635CC">
        <w:rPr>
          <w:lang w:eastAsia="en-US"/>
        </w:rPr>
        <w:t>B</w:t>
      </w:r>
      <w:r w:rsidR="006F729F">
        <w:rPr>
          <w:lang w:eastAsia="en-US"/>
        </w:rPr>
        <w:t xml:space="preserve">: </w:t>
      </w:r>
      <w:r w:rsidR="009866B8">
        <w:rPr>
          <w:lang w:eastAsia="en-US"/>
        </w:rPr>
        <w:t>Cost recovery decision</w:t>
      </w:r>
      <w:r w:rsidR="00BD190B">
        <w:rPr>
          <w:lang w:eastAsia="en-US"/>
        </w:rPr>
        <w:noBreakHyphen/>
      </w:r>
      <w:r w:rsidR="009866B8">
        <w:rPr>
          <w:lang w:eastAsia="en-US"/>
        </w:rPr>
        <w:t>making process</w:t>
      </w:r>
      <w:bookmarkEnd w:id="199"/>
    </w:p>
    <w:p w14:paraId="23539878" w14:textId="77777777" w:rsidR="00474881" w:rsidRDefault="00474881" w:rsidP="00474881">
      <w:pPr>
        <w:spacing w:before="0" w:after="160" w:line="259" w:lineRule="auto"/>
        <w:rPr>
          <w:color w:val="2F5496"/>
          <w:sz w:val="2"/>
          <w:szCs w:val="2"/>
          <w:lang w:eastAsia="en-US"/>
        </w:rPr>
      </w:pPr>
    </w:p>
    <w:p w14:paraId="09A2C06F" w14:textId="541C5C50" w:rsidR="0090745D" w:rsidRPr="00330DF1" w:rsidRDefault="00474881" w:rsidP="00474881">
      <w:pPr>
        <w:spacing w:before="0" w:after="160" w:line="259" w:lineRule="auto"/>
        <w:rPr>
          <w:color w:val="2F5496"/>
          <w:sz w:val="2"/>
          <w:szCs w:val="2"/>
          <w:lang w:eastAsia="en-US"/>
        </w:rPr>
      </w:pPr>
      <w:r>
        <w:rPr>
          <w:noProof/>
        </w:rPr>
        <w:drawing>
          <wp:inline distT="0" distB="0" distL="0" distR="0" wp14:anchorId="62733676" wp14:editId="021A75C0">
            <wp:extent cx="8621395" cy="4576116"/>
            <wp:effectExtent l="0" t="0" r="8255" b="0"/>
            <wp:docPr id="9" name="Picture 9" descr="This figure sets out the decision-making process to determine how costs should be recovered from industry through levies. For example, whether costs should be recovered from a wider population, over time or in the year costs are incu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figure sets out the decision-making process to determine how costs should be recovered from industry through levies. For example, whether costs should be recovered from a wider population, over time or in the year costs are incurred."/>
                    <pic:cNvPicPr/>
                  </pic:nvPicPr>
                  <pic:blipFill>
                    <a:blip r:embed="rId43"/>
                    <a:stretch>
                      <a:fillRect/>
                    </a:stretch>
                  </pic:blipFill>
                  <pic:spPr>
                    <a:xfrm>
                      <a:off x="0" y="0"/>
                      <a:ext cx="8621395" cy="4576116"/>
                    </a:xfrm>
                    <a:prstGeom prst="rect">
                      <a:avLst/>
                    </a:prstGeom>
                  </pic:spPr>
                </pic:pic>
              </a:graphicData>
            </a:graphic>
          </wp:inline>
        </w:drawing>
      </w:r>
      <w:bookmarkEnd w:id="198"/>
    </w:p>
    <w:sectPr w:rsidR="0090745D" w:rsidRPr="00330DF1" w:rsidSect="00474881">
      <w:headerReference w:type="even" r:id="rId44"/>
      <w:headerReference w:type="default" r:id="rId45"/>
      <w:footerReference w:type="even" r:id="rId46"/>
      <w:footerReference w:type="default" r:id="rId47"/>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B6A2" w14:textId="77777777" w:rsidR="006263B5" w:rsidRDefault="006263B5">
      <w:pPr>
        <w:spacing w:before="0" w:after="0"/>
      </w:pPr>
      <w:r>
        <w:separator/>
      </w:r>
    </w:p>
  </w:endnote>
  <w:endnote w:type="continuationSeparator" w:id="0">
    <w:p w14:paraId="17C6C2F6" w14:textId="77777777" w:rsidR="006263B5" w:rsidRDefault="006263B5">
      <w:pPr>
        <w:spacing w:before="0" w:after="0"/>
      </w:pPr>
      <w:r>
        <w:continuationSeparator/>
      </w:r>
    </w:p>
  </w:endnote>
  <w:endnote w:type="continuationNotice" w:id="1">
    <w:p w14:paraId="01ED2312" w14:textId="77777777" w:rsidR="006263B5" w:rsidRDefault="006263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D33E" w14:textId="353CB56F" w:rsidR="00B55B04" w:rsidRPr="003B7890" w:rsidRDefault="003B7890" w:rsidP="003B7890">
    <w:pPr>
      <w:pStyle w:val="FooterEven"/>
      <w:tabs>
        <w:tab w:val="center" w:pos="9072"/>
      </w:tabs>
      <w:jc w:val="right"/>
    </w:pPr>
    <w:r w:rsidRPr="00742366">
      <w:drawing>
        <wp:anchor distT="0" distB="0" distL="114300" distR="114300" simplePos="0" relativeHeight="251673088" behindDoc="1" locked="1" layoutInCell="1" allowOverlap="1" wp14:anchorId="6C75CCB4" wp14:editId="7E3B0149">
          <wp:simplePos x="0" y="0"/>
          <wp:positionH relativeFrom="margin">
            <wp:posOffset>5459095</wp:posOffset>
          </wp:positionH>
          <wp:positionV relativeFrom="page">
            <wp:posOffset>3280410</wp:posOffset>
          </wp:positionV>
          <wp:extent cx="7574280" cy="1043940"/>
          <wp:effectExtent l="762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8AD3CF0" wp14:editId="6907A0EC">
          <wp:extent cx="1324800" cy="201600"/>
          <wp:effectExtent l="0" t="0" r="0" b="8255"/>
          <wp:docPr id="43" name="Picture 4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fldChar w:fldCharType="begin"/>
    </w:r>
    <w:r>
      <w:instrText xml:space="preserve"> STYLEREF  "Heading 1"  \* MERGEFORMAT </w:instrText>
    </w:r>
    <w:r>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F250" w14:textId="1FF4693B" w:rsidR="006C6F6C" w:rsidRPr="003F3914" w:rsidRDefault="006C6F6C" w:rsidP="00232046">
    <w:pPr>
      <w:pStyle w:val="FooterEven"/>
      <w:tabs>
        <w:tab w:val="center" w:pos="9072"/>
      </w:tabs>
      <w:rPr>
        <w:b/>
        <w:bCs/>
      </w:rPr>
    </w:pPr>
    <w:r>
      <w:rPr>
        <w:noProof w:val="0"/>
      </w:rP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FD3D82">
      <w:fldChar w:fldCharType="begin"/>
    </w:r>
    <w:r w:rsidR="00FD3D82">
      <w:instrText>STYLEREF  "Heading 1"  \* MERGEFORMAT</w:instrText>
    </w:r>
    <w:r w:rsidR="00FD3D82">
      <w:fldChar w:fldCharType="separate"/>
    </w:r>
    <w:r w:rsidR="002C09C9">
      <w:t>Chapter 5: Reporting, transparency and consultation on the ASIC IFM</w:t>
    </w:r>
    <w:r w:rsidR="00FD3D82">
      <w:fldChar w:fldCharType="end"/>
    </w:r>
    <w:r>
      <w:tab/>
      <w:t xml:space="preserve">            </w:t>
    </w:r>
    <w:r w:rsidRPr="00EF03E1">
      <w:rPr>
        <w:position w:val="-10"/>
      </w:rPr>
      <w:drawing>
        <wp:inline distT="0" distB="0" distL="0" distR="0" wp14:anchorId="1907DD74" wp14:editId="5DC75E51">
          <wp:extent cx="1324800" cy="201600"/>
          <wp:effectExtent l="0" t="0" r="0" b="825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834F" w14:textId="3D10631C" w:rsidR="00E635E3" w:rsidRPr="00B019B0" w:rsidRDefault="00B019B0" w:rsidP="00B019B0">
    <w:pPr>
      <w:pStyle w:val="FooterEven"/>
      <w:tabs>
        <w:tab w:val="center" w:pos="9072"/>
      </w:tabs>
      <w:jc w:val="right"/>
    </w:pPr>
    <w:r w:rsidRPr="00742366">
      <w:drawing>
        <wp:anchor distT="0" distB="0" distL="114300" distR="114300" simplePos="0" relativeHeight="251681280" behindDoc="1" locked="1" layoutInCell="1" allowOverlap="1" wp14:anchorId="6B27AB8C" wp14:editId="6BED1317">
          <wp:simplePos x="0" y="0"/>
          <wp:positionH relativeFrom="margin">
            <wp:posOffset>5459095</wp:posOffset>
          </wp:positionH>
          <wp:positionV relativeFrom="page">
            <wp:posOffset>3280410</wp:posOffset>
          </wp:positionV>
          <wp:extent cx="7574280" cy="1043940"/>
          <wp:effectExtent l="762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10255AA" wp14:editId="519D1B6C">
          <wp:extent cx="1324800" cy="201600"/>
          <wp:effectExtent l="0" t="0" r="0" b="8255"/>
          <wp:docPr id="49" name="Picture 4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Appendix A: ASIC IFM Framework | </w:t>
    </w:r>
    <w:r>
      <w:rPr>
        <w:noProof w:val="0"/>
      </w:rPr>
      <w:fldChar w:fldCharType="begin"/>
    </w:r>
    <w:r>
      <w:instrText xml:space="preserve"> PAGE   \* MERGEFORMAT </w:instrText>
    </w:r>
    <w:r>
      <w:rPr>
        <w:noProof w:val="0"/>
      </w:rPr>
      <w:fldChar w:fldCharType="separate"/>
    </w:r>
    <w:r>
      <w:rPr>
        <w:noProof w:val="0"/>
      </w:rPr>
      <w:t>68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FED7" w14:textId="4B283761" w:rsidR="00334E7E" w:rsidRPr="00334E7E" w:rsidRDefault="00334E7E" w:rsidP="00334E7E">
    <w:pPr>
      <w:pStyle w:val="FooterEven"/>
      <w:tabs>
        <w:tab w:val="center" w:pos="9072"/>
      </w:tabs>
      <w:jc w:val="both"/>
      <w:rPr>
        <w:b/>
        <w:bCs/>
      </w:rPr>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w:t>
    </w:r>
    <w:r w:rsidR="00901E80" w:rsidRPr="00901E80">
      <w:t xml:space="preserve"> </w:t>
    </w:r>
    <w:r w:rsidR="00901E80">
      <w:t>Appendices</w:t>
    </w:r>
    <w:r>
      <w:tab/>
    </w:r>
    <w:r w:rsidR="00464E69">
      <w:tab/>
    </w:r>
    <w:r w:rsidR="00464E69">
      <w:tab/>
    </w:r>
    <w:r w:rsidR="00464E69">
      <w:tab/>
      <w:t xml:space="preserve">         </w:t>
    </w:r>
    <w:r w:rsidRPr="00EF03E1">
      <w:rPr>
        <w:position w:val="-10"/>
      </w:rPr>
      <w:drawing>
        <wp:inline distT="0" distB="0" distL="0" distR="0" wp14:anchorId="28E0B96A" wp14:editId="1F59BBFA">
          <wp:extent cx="1324800" cy="201600"/>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8BD1" w14:textId="7058DF60" w:rsidR="00334E7E" w:rsidRPr="00B019B0" w:rsidRDefault="00B019B0" w:rsidP="00B019B0">
    <w:pPr>
      <w:pStyle w:val="FooterEven"/>
      <w:tabs>
        <w:tab w:val="clear" w:pos="9072"/>
        <w:tab w:val="right" w:pos="13467"/>
      </w:tabs>
    </w:pPr>
    <w:r w:rsidRPr="00EF03E1">
      <w:rPr>
        <w:position w:val="-10"/>
      </w:rPr>
      <w:drawing>
        <wp:inline distT="0" distB="0" distL="0" distR="0" wp14:anchorId="12D7267A" wp14:editId="62EBC1A1">
          <wp:extent cx="1324800" cy="201600"/>
          <wp:effectExtent l="0" t="0" r="0" b="8255"/>
          <wp:docPr id="50" name="Picture 5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Appendix A: ASIC IFM Framework | </w:t>
    </w:r>
    <w:r>
      <w:rPr>
        <w:noProof w:val="0"/>
      </w:rPr>
      <w:fldChar w:fldCharType="begin"/>
    </w:r>
    <w:r>
      <w:instrText xml:space="preserve"> PAGE   \* MERGEFORMAT </w:instrText>
    </w:r>
    <w:r>
      <w:rPr>
        <w:noProof w:val="0"/>
      </w:rPr>
      <w:fldChar w:fldCharType="separate"/>
    </w:r>
    <w:r>
      <w:rPr>
        <w:noProof w:val="0"/>
      </w:rPr>
      <w:t>70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118" w14:textId="44B6E27B" w:rsidR="003F3914" w:rsidRDefault="003F3914" w:rsidP="003F3914">
    <w:pPr>
      <w:pStyle w:val="FooterEven"/>
      <w:tabs>
        <w:tab w:val="center" w:pos="9072"/>
      </w:tabs>
      <w:jc w:val="right"/>
    </w:pPr>
    <w:r w:rsidRPr="00EF03E1">
      <w:rPr>
        <w:position w:val="-10"/>
      </w:rPr>
      <w:drawing>
        <wp:inline distT="0" distB="0" distL="0" distR="0" wp14:anchorId="12E6C0A5" wp14:editId="49B77B58">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FD3D82">
      <w:fldChar w:fldCharType="begin"/>
    </w:r>
    <w:r w:rsidR="00FD3D82">
      <w:instrText>STYLEREF  "Heading 1"  \* MERGEFORMAT</w:instrText>
    </w:r>
    <w:r w:rsidR="00FD3D82">
      <w:fldChar w:fldCharType="separate"/>
    </w:r>
    <w:r w:rsidR="00FD3D82">
      <w:t>Contents</w:t>
    </w:r>
    <w:r w:rsidR="00FD3D82">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AC95" w14:textId="109A8069" w:rsidR="00B55B04" w:rsidRDefault="00B55B04" w:rsidP="00962ACF">
    <w:pPr>
      <w:pStyle w:val="FooterOdd"/>
    </w:pPr>
    <w:r w:rsidRPr="00103F3C">
      <w:rPr>
        <w:noProof/>
        <w:position w:val="-8"/>
      </w:rPr>
      <w:drawing>
        <wp:inline distT="0" distB="0" distL="0" distR="0" wp14:anchorId="1B604800" wp14:editId="24110627">
          <wp:extent cx="1324800" cy="201600"/>
          <wp:effectExtent l="0" t="0" r="0" b="825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FD3D82">
      <w:fldChar w:fldCharType="begin"/>
    </w:r>
    <w:r w:rsidR="00FD3D82">
      <w:instrText>STYLEREF  "Heading 1"  \* MERGEFORMAT</w:instrText>
    </w:r>
    <w:r w:rsidR="00FD3D82">
      <w:fldChar w:fldCharType="separate"/>
    </w:r>
    <w:r w:rsidR="00FD3D82">
      <w:rPr>
        <w:noProof/>
      </w:rPr>
      <w:t>Contents</w:t>
    </w:r>
    <w:r w:rsidR="00FD3D82">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61FB" w14:textId="45F3E04A" w:rsidR="00533AC3" w:rsidRDefault="00533AC3" w:rsidP="00103F3C">
    <w:pPr>
      <w:pStyle w:val="FooterOdd"/>
    </w:pPr>
    <w:r w:rsidRPr="00103F3C">
      <w:rPr>
        <w:noProof/>
        <w:position w:val="-8"/>
      </w:rPr>
      <w:drawing>
        <wp:inline distT="0" distB="0" distL="0" distR="0" wp14:anchorId="3646DECA" wp14:editId="171B187B">
          <wp:extent cx="1324800" cy="201600"/>
          <wp:effectExtent l="0" t="0" r="0" b="825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FD3D82">
      <w:fldChar w:fldCharType="begin"/>
    </w:r>
    <w:r w:rsidR="00FD3D82">
      <w:instrText>STYLEREF  "Heading 1"  \* MERGEFORMAT</w:instrText>
    </w:r>
    <w:r w:rsidR="00FD3D82">
      <w:fldChar w:fldCharType="separate"/>
    </w:r>
    <w:r w:rsidR="00FD3D82">
      <w:rPr>
        <w:noProof/>
      </w:rPr>
      <w:t>Terms of Reference</w:t>
    </w:r>
    <w:r w:rsidR="00FD3D82">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72E4" w14:textId="67D1AA4C" w:rsidR="00D329F1" w:rsidRDefault="00DD1233" w:rsidP="00DD1233">
    <w:pPr>
      <w:pStyle w:val="FooterEven"/>
      <w:tabs>
        <w:tab w:val="center" w:pos="9072"/>
      </w:tabs>
      <w:jc w:val="right"/>
    </w:pPr>
    <w:r w:rsidRPr="00742366">
      <w:drawing>
        <wp:anchor distT="0" distB="0" distL="114300" distR="114300" simplePos="0" relativeHeight="251677184" behindDoc="1" locked="1" layoutInCell="1" allowOverlap="1" wp14:anchorId="0CDDA057" wp14:editId="2D5CD06B">
          <wp:simplePos x="0" y="0"/>
          <wp:positionH relativeFrom="margin">
            <wp:posOffset>5459095</wp:posOffset>
          </wp:positionH>
          <wp:positionV relativeFrom="page">
            <wp:posOffset>3280410</wp:posOffset>
          </wp:positionV>
          <wp:extent cx="7574280" cy="1043940"/>
          <wp:effectExtent l="762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CB47628" wp14:editId="1225BBD8">
          <wp:extent cx="1324800" cy="201600"/>
          <wp:effectExtent l="0" t="0" r="0" b="8255"/>
          <wp:docPr id="40" name="Picture 4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FD3D82">
      <w:fldChar w:fldCharType="begin"/>
    </w:r>
    <w:r w:rsidR="00FD3D82">
      <w:instrText xml:space="preserve"> STYLEREF  "Heading 1"  \* MERGEFORMAT </w:instrText>
    </w:r>
    <w:r w:rsidR="00FD3D82">
      <w:fldChar w:fldCharType="separate"/>
    </w:r>
    <w:r w:rsidR="00FD3D82">
      <w:t>Chapter 2: Industry funding levies</w:t>
    </w:r>
    <w:r w:rsidR="00FD3D82">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F437" w14:textId="77777777" w:rsidR="00A57A98" w:rsidRPr="00095D88" w:rsidRDefault="00A57A98" w:rsidP="00095D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F66" w14:textId="1FD75AC7" w:rsidR="00DD1233" w:rsidRPr="00DD1233" w:rsidRDefault="00DD1233" w:rsidP="00DD1233">
    <w:pPr>
      <w:pStyle w:val="FooterEven"/>
      <w:tabs>
        <w:tab w:val="center" w:pos="9072"/>
      </w:tabs>
      <w:jc w:val="right"/>
    </w:pPr>
    <w:r w:rsidRPr="00742366">
      <w:drawing>
        <wp:anchor distT="0" distB="0" distL="114300" distR="114300" simplePos="0" relativeHeight="251679232" behindDoc="1" locked="1" layoutInCell="1" allowOverlap="1" wp14:anchorId="0853A38B" wp14:editId="0BB5B53C">
          <wp:simplePos x="0" y="0"/>
          <wp:positionH relativeFrom="margin">
            <wp:posOffset>5459095</wp:posOffset>
          </wp:positionH>
          <wp:positionV relativeFrom="page">
            <wp:posOffset>3280410</wp:posOffset>
          </wp:positionV>
          <wp:extent cx="7574280" cy="1043940"/>
          <wp:effectExtent l="762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4F678F1" wp14:editId="0E8A8D98">
          <wp:extent cx="1324800" cy="201600"/>
          <wp:effectExtent l="0" t="0" r="0" b="8255"/>
          <wp:docPr id="45" name="Picture 4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Appendix A: ASIC IFM Framework | </w:t>
    </w:r>
    <w:r>
      <w:rPr>
        <w:noProof w:val="0"/>
      </w:rPr>
      <w:fldChar w:fldCharType="begin"/>
    </w:r>
    <w:r>
      <w:instrText xml:space="preserve"> PAGE   \* MERGEFORMAT </w:instrText>
    </w:r>
    <w:r>
      <w:rPr>
        <w:noProof w:val="0"/>
      </w:rPr>
      <w:fldChar w:fldCharType="separate"/>
    </w:r>
    <w:r>
      <w:rPr>
        <w:noProof w:val="0"/>
      </w:rPr>
      <w:t>68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77F8" w14:textId="1BCD7A21" w:rsidR="00E635E3" w:rsidRPr="003F3914" w:rsidRDefault="00E635E3" w:rsidP="00232046">
    <w:pPr>
      <w:pStyle w:val="FooterEven"/>
      <w:tabs>
        <w:tab w:val="center" w:pos="9072"/>
      </w:tabs>
      <w:rPr>
        <w:b/>
        <w:bCs/>
      </w:rPr>
    </w:pPr>
    <w:r>
      <w:rPr>
        <w:noProof w:val="0"/>
      </w:rP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FD3D82">
      <w:fldChar w:fldCharType="begin"/>
    </w:r>
    <w:r w:rsidR="00FD3D82">
      <w:instrText>STYLEREF  "Heading 1"  \* MERGEFORMAT</w:instrText>
    </w:r>
    <w:r w:rsidR="00FD3D82">
      <w:fldChar w:fldCharType="separate"/>
    </w:r>
    <w:r w:rsidR="002C09C9">
      <w:t>Chapter 5: Reporting, transparency and consultation on the ASIC IFM</w:t>
    </w:r>
    <w:r w:rsidR="00FD3D82">
      <w:fldChar w:fldCharType="end"/>
    </w:r>
    <w:r>
      <w:tab/>
    </w:r>
    <w:r>
      <w:tab/>
    </w:r>
    <w:r>
      <w:tab/>
    </w:r>
    <w:r>
      <w:tab/>
      <w:t xml:space="preserve">            </w:t>
    </w:r>
    <w:r w:rsidRPr="00EF03E1">
      <w:rPr>
        <w:position w:val="-10"/>
      </w:rPr>
      <w:drawing>
        <wp:inline distT="0" distB="0" distL="0" distR="0" wp14:anchorId="18F752B7" wp14:editId="632D066D">
          <wp:extent cx="1324800" cy="201600"/>
          <wp:effectExtent l="0" t="0" r="0" b="825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E88B" w14:textId="77F09B84" w:rsidR="00B563C3" w:rsidRDefault="00DD1233" w:rsidP="00DD1233">
    <w:pPr>
      <w:pStyle w:val="FooterEven"/>
      <w:tabs>
        <w:tab w:val="clear" w:pos="9072"/>
        <w:tab w:val="right" w:pos="13467"/>
      </w:tabs>
    </w:pPr>
    <w:r w:rsidRPr="00EF03E1">
      <w:rPr>
        <w:position w:val="-10"/>
      </w:rPr>
      <w:drawing>
        <wp:inline distT="0" distB="0" distL="0" distR="0" wp14:anchorId="202F495E" wp14:editId="648B0EB0">
          <wp:extent cx="1324800" cy="201600"/>
          <wp:effectExtent l="0" t="0" r="0" b="8255"/>
          <wp:docPr id="47" name="Picture 4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Appendix A: ASIC IFM Framework | </w:t>
    </w:r>
    <w:r>
      <w:rPr>
        <w:noProof w:val="0"/>
      </w:rPr>
      <w:fldChar w:fldCharType="begin"/>
    </w:r>
    <w:r>
      <w:instrText xml:space="preserve"> PAGE   \* MERGEFORMAT </w:instrText>
    </w:r>
    <w:r>
      <w:rPr>
        <w:noProof w:val="0"/>
      </w:rPr>
      <w:fldChar w:fldCharType="separate"/>
    </w:r>
    <w:r>
      <w:rPr>
        <w:noProof w:val="0"/>
      </w:rPr>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D756" w14:textId="77777777" w:rsidR="006263B5" w:rsidRPr="00ED5A20" w:rsidRDefault="006263B5" w:rsidP="000F6233">
      <w:pPr>
        <w:rPr>
          <w:color w:val="4D7861" w:themeColor="accent2"/>
        </w:rPr>
      </w:pPr>
      <w:r w:rsidRPr="00ED5A20">
        <w:rPr>
          <w:color w:val="4D7861" w:themeColor="accent2"/>
        </w:rPr>
        <w:separator/>
      </w:r>
    </w:p>
  </w:footnote>
  <w:footnote w:type="continuationSeparator" w:id="0">
    <w:p w14:paraId="6F24CEC4" w14:textId="77777777" w:rsidR="006263B5" w:rsidRPr="00B737EB" w:rsidRDefault="006263B5">
      <w:pPr>
        <w:spacing w:before="0" w:after="0"/>
        <w:rPr>
          <w:color w:val="2C384A" w:themeColor="accent1"/>
        </w:rPr>
      </w:pPr>
      <w:r w:rsidRPr="00B737EB">
        <w:rPr>
          <w:color w:val="2C384A" w:themeColor="accent1"/>
        </w:rPr>
        <w:continuationSeparator/>
      </w:r>
    </w:p>
  </w:footnote>
  <w:footnote w:type="continuationNotice" w:id="1">
    <w:p w14:paraId="620D3130" w14:textId="77777777" w:rsidR="006263B5" w:rsidRDefault="006263B5">
      <w:pPr>
        <w:spacing w:before="0" w:after="0"/>
      </w:pPr>
    </w:p>
  </w:footnote>
  <w:footnote w:id="2">
    <w:p w14:paraId="2DD72A89" w14:textId="68AB7155" w:rsidR="00DE6099" w:rsidRDefault="00F7241F" w:rsidP="003E3ADD">
      <w:pPr>
        <w:pStyle w:val="FootnoteText"/>
      </w:pPr>
      <w:r w:rsidRPr="00F7241F">
        <w:rPr>
          <w:rStyle w:val="FootnoteReference"/>
        </w:rPr>
        <w:footnoteRef/>
      </w:r>
      <w:r w:rsidR="00DE6099">
        <w:t xml:space="preserve"> </w:t>
      </w:r>
      <w:r w:rsidR="003E3ADD">
        <w:tab/>
      </w:r>
      <w:r w:rsidR="00DE6099" w:rsidRPr="00BD2BDF">
        <w:t xml:space="preserve">The Australian Government Charging Framework </w:t>
      </w:r>
      <w:r w:rsidR="00E93FE3">
        <w:t xml:space="preserve">incorporates the Australian Government Cost Recovery Guidelines. </w:t>
      </w:r>
    </w:p>
  </w:footnote>
  <w:footnote w:id="3">
    <w:p w14:paraId="32878DBB" w14:textId="756FB747" w:rsidR="00DE6099" w:rsidRPr="005C7A39" w:rsidRDefault="00F7241F" w:rsidP="003E3ADD">
      <w:pPr>
        <w:pStyle w:val="FootnoteText"/>
        <w:rPr>
          <w:lang w:val="en-US"/>
        </w:rPr>
      </w:pPr>
      <w:r w:rsidRPr="00F7241F">
        <w:rPr>
          <w:rStyle w:val="FootnoteReference"/>
          <w:rFonts w:cs="Calibri Light"/>
        </w:rPr>
        <w:footnoteRef/>
      </w:r>
      <w:r w:rsidR="00DE6099" w:rsidRPr="00BD2BDF">
        <w:t xml:space="preserve"> </w:t>
      </w:r>
      <w:r w:rsidR="003E3ADD">
        <w:tab/>
      </w:r>
      <w:r w:rsidR="00BD190B">
        <w:t>“</w:t>
      </w:r>
      <w:r w:rsidR="00DE6099" w:rsidRPr="00BD2BDF">
        <w:t>Where specific demand for a government activity is created by identifiable individuals and groups, they should be charged for it unless the government has decided to fund the activity. Where it is appropriate for the Australian Government to participate in an activity, it should fully utilise and maintain public resources, through appropriate charging. The application of charging should not, however, adversely impact disadvantaged Australians.</w:t>
      </w:r>
      <w:r w:rsidR="00BD190B">
        <w:t>”</w:t>
      </w:r>
    </w:p>
  </w:footnote>
  <w:footnote w:id="4">
    <w:p w14:paraId="4A535CA5" w14:textId="070D3824" w:rsidR="00533AC3" w:rsidRPr="00BD2BDF" w:rsidRDefault="00F7241F" w:rsidP="00533AC3">
      <w:pPr>
        <w:pStyle w:val="FootnoteText"/>
        <w:rPr>
          <w:rFonts w:cs="Calibri Light"/>
        </w:rPr>
      </w:pPr>
      <w:r w:rsidRPr="00F7241F">
        <w:rPr>
          <w:rStyle w:val="FootnoteReference"/>
          <w:rFonts w:cs="Calibri Light"/>
        </w:rPr>
        <w:footnoteRef/>
      </w:r>
      <w:r w:rsidR="00533AC3" w:rsidRPr="00BD2BDF">
        <w:rPr>
          <w:rFonts w:cs="Calibri Light"/>
          <w:vertAlign w:val="superscript"/>
        </w:rPr>
        <w:t xml:space="preserve"> </w:t>
      </w:r>
      <w:r w:rsidR="003E3ADD">
        <w:rPr>
          <w:rFonts w:cs="Calibri Light"/>
          <w:vertAlign w:val="superscript"/>
        </w:rPr>
        <w:tab/>
      </w:r>
      <w:hyperlink r:id="rId1" w:history="1">
        <w:r w:rsidR="00533AC3" w:rsidRPr="00BD2BDF">
          <w:rPr>
            <w:rStyle w:val="Hyperlink"/>
            <w:rFonts w:cs="Calibri Light"/>
          </w:rPr>
          <w:t>2021</w:t>
        </w:r>
        <w:r w:rsidR="00BD190B">
          <w:rPr>
            <w:rStyle w:val="Hyperlink"/>
            <w:rFonts w:cs="Calibri Light"/>
          </w:rPr>
          <w:noBreakHyphen/>
        </w:r>
        <w:r w:rsidR="00533AC3" w:rsidRPr="00BD2BDF">
          <w:rPr>
            <w:rStyle w:val="Hyperlink"/>
            <w:rFonts w:cs="Calibri Light"/>
          </w:rPr>
          <w:t>22 MYEFO</w:t>
        </w:r>
      </w:hyperlink>
      <w:r w:rsidR="00533AC3" w:rsidRPr="00BD2BDF">
        <w:rPr>
          <w:rFonts w:cs="Calibri Light"/>
        </w:rPr>
        <w:t xml:space="preserve"> measure </w:t>
      </w:r>
      <w:r w:rsidR="00BD190B">
        <w:rPr>
          <w:rFonts w:cs="Calibri Light"/>
        </w:rPr>
        <w:t>‘</w:t>
      </w:r>
      <w:r w:rsidR="00533AC3" w:rsidRPr="00BD2BDF">
        <w:rPr>
          <w:rFonts w:cs="Calibri Light"/>
          <w:i/>
          <w:iCs/>
        </w:rPr>
        <w:t>ASIC Industry Levies – fee relief</w:t>
      </w:r>
      <w:r w:rsidR="00BD190B">
        <w:rPr>
          <w:rFonts w:cs="Calibri Light"/>
          <w:i/>
          <w:iCs/>
        </w:rPr>
        <w:t>’</w:t>
      </w:r>
      <w:r w:rsidR="00533AC3" w:rsidRPr="00BD2BDF">
        <w:rPr>
          <w:rFonts w:cs="Calibri Light"/>
        </w:rPr>
        <w:t xml:space="preserve">. </w:t>
      </w:r>
    </w:p>
  </w:footnote>
  <w:footnote w:id="5">
    <w:p w14:paraId="6988D1C1" w14:textId="6B7753F4" w:rsidR="00533AC3" w:rsidRPr="00EB5485" w:rsidRDefault="00F7241F" w:rsidP="00533AC3">
      <w:pPr>
        <w:pStyle w:val="FootnoteText"/>
        <w:rPr>
          <w:i/>
          <w:iCs/>
        </w:rPr>
      </w:pPr>
      <w:r w:rsidRPr="00F7241F">
        <w:rPr>
          <w:rStyle w:val="FootnoteReference"/>
        </w:rPr>
        <w:footnoteRef/>
      </w:r>
      <w:r w:rsidR="00533AC3">
        <w:t xml:space="preserve"> </w:t>
      </w:r>
      <w:r w:rsidR="003F3914">
        <w:tab/>
      </w:r>
      <w:r w:rsidR="00646707" w:rsidRPr="00081DF2">
        <w:t xml:space="preserve">Financial Regulator Assessment Authority, </w:t>
      </w:r>
      <w:r w:rsidR="00533AC3" w:rsidRPr="00293B59">
        <w:rPr>
          <w:i/>
          <w:iCs/>
        </w:rPr>
        <w:t xml:space="preserve">Effectiveness and Capability Review of the Australian Securities and Investments Commission 2022, </w:t>
      </w:r>
      <w:r w:rsidR="00533AC3" w:rsidRPr="003717DE">
        <w:t>page 19</w:t>
      </w:r>
      <w:r w:rsidR="00533AC3" w:rsidRPr="00293B59">
        <w:rPr>
          <w:i/>
          <w:iCs/>
        </w:rPr>
        <w:t>.</w:t>
      </w:r>
    </w:p>
  </w:footnote>
  <w:footnote w:id="6">
    <w:p w14:paraId="0429C3D8" w14:textId="2D2FD5C8" w:rsidR="00665A86" w:rsidRDefault="00F7241F" w:rsidP="00665A86">
      <w:pPr>
        <w:pStyle w:val="FootnoteText"/>
      </w:pPr>
      <w:r w:rsidRPr="00F7241F">
        <w:rPr>
          <w:rStyle w:val="FootnoteReference"/>
        </w:rPr>
        <w:footnoteRef/>
      </w:r>
      <w:r w:rsidR="00665A86">
        <w:t xml:space="preserve"> </w:t>
      </w:r>
      <w:r w:rsidR="002D4847">
        <w:tab/>
      </w:r>
      <w:r w:rsidR="00665A86">
        <w:t>The revenue generated from this activity was $36,100. Due to rounding, this figure is shown as $0.0 million.</w:t>
      </w:r>
    </w:p>
  </w:footnote>
  <w:footnote w:id="7">
    <w:p w14:paraId="514AFAA0" w14:textId="3319F90B" w:rsidR="00665A86" w:rsidRPr="008C4773" w:rsidRDefault="00F7241F" w:rsidP="00665A86">
      <w:pPr>
        <w:pStyle w:val="FootnoteText"/>
        <w:rPr>
          <w:rFonts w:asciiTheme="majorHAnsi" w:hAnsiTheme="majorHAnsi" w:cstheme="majorHAnsi"/>
        </w:rPr>
      </w:pPr>
      <w:r w:rsidRPr="00F7241F">
        <w:rPr>
          <w:rStyle w:val="FootnoteReference"/>
          <w:rFonts w:asciiTheme="majorHAnsi" w:hAnsiTheme="majorHAnsi" w:cstheme="majorHAnsi"/>
        </w:rPr>
        <w:footnoteRef/>
      </w:r>
      <w:r w:rsidR="00665A86" w:rsidRPr="008C4773">
        <w:rPr>
          <w:rFonts w:asciiTheme="majorHAnsi" w:hAnsiTheme="majorHAnsi" w:cstheme="majorHAnsi"/>
        </w:rPr>
        <w:t xml:space="preserve"> </w:t>
      </w:r>
      <w:r w:rsidR="00081DF2">
        <w:rPr>
          <w:rFonts w:asciiTheme="majorHAnsi" w:hAnsiTheme="majorHAnsi" w:cstheme="majorHAnsi"/>
        </w:rPr>
        <w:tab/>
      </w:r>
      <w:r w:rsidR="00665A86" w:rsidRPr="00081DF2">
        <w:t xml:space="preserve">Financial Regulator Assessment Authority, 2022, </w:t>
      </w:r>
      <w:r w:rsidR="00665A86" w:rsidRPr="00081DF2">
        <w:rPr>
          <w:i/>
          <w:iCs/>
        </w:rPr>
        <w:t>Effectiveness and Capability Review of the Australian Securities and Investments Commission</w:t>
      </w:r>
      <w:r w:rsidR="00665A86" w:rsidRPr="00081DF2">
        <w:t>, p</w:t>
      </w:r>
      <w:r w:rsidR="003717DE">
        <w:t>a</w:t>
      </w:r>
      <w:r w:rsidR="00665A86" w:rsidRPr="00081DF2">
        <w:t>g</w:t>
      </w:r>
      <w:r w:rsidR="003717DE">
        <w:t xml:space="preserve">e </w:t>
      </w:r>
      <w:r w:rsidR="00665A86" w:rsidRPr="00081DF2">
        <w:t>39</w:t>
      </w:r>
      <w:r w:rsidR="003717DE">
        <w:t>.</w:t>
      </w:r>
      <w:r w:rsidR="00665A86" w:rsidRPr="008C4773">
        <w:rPr>
          <w:rFonts w:asciiTheme="majorHAnsi" w:hAnsiTheme="majorHAnsi" w:cstheme="majorHAnsi"/>
        </w:rPr>
        <w:t xml:space="preserve"> </w:t>
      </w:r>
    </w:p>
  </w:footnote>
  <w:footnote w:id="8">
    <w:p w14:paraId="68661B7E" w14:textId="4352478B" w:rsidR="00A57A98" w:rsidRDefault="00F7241F" w:rsidP="002E3D2A">
      <w:pPr>
        <w:pStyle w:val="FootnoteText"/>
      </w:pPr>
      <w:r w:rsidRPr="00F7241F">
        <w:rPr>
          <w:rStyle w:val="FootnoteReference"/>
        </w:rPr>
        <w:footnoteRef/>
      </w:r>
      <w:r w:rsidR="00A57A98">
        <w:t xml:space="preserve"> </w:t>
      </w:r>
      <w:r w:rsidR="002E3D2A">
        <w:tab/>
      </w:r>
      <w:r w:rsidR="00BD190B">
        <w:t>“</w:t>
      </w:r>
      <w:r w:rsidR="00A57A98" w:rsidRPr="002E3D2A">
        <w:t>Where</w:t>
      </w:r>
      <w:r w:rsidR="00A57A98" w:rsidRPr="005F7D25">
        <w:t xml:space="preserve"> specific demand for a government activity is created by identifiable individuals and groups, they should be charged for it unless the government has decided to fund the activity. Where it is appropriate for the Australian Government to participate in an activity, it should fully utilise and maintain public resources, through appropriate charging. The application of charging should not, however, adversely impact disadvantaged Australians.</w:t>
      </w:r>
      <w:r w:rsidR="00BD190B">
        <w:t>”</w:t>
      </w:r>
    </w:p>
  </w:footnote>
  <w:footnote w:id="9">
    <w:p w14:paraId="6B05462A" w14:textId="5BC7E3E1" w:rsidR="003457F6" w:rsidRDefault="00F7241F" w:rsidP="003457F6">
      <w:pPr>
        <w:pStyle w:val="FootnoteText"/>
      </w:pPr>
      <w:r w:rsidRPr="00F7241F">
        <w:rPr>
          <w:rStyle w:val="FootnoteReference"/>
        </w:rPr>
        <w:footnoteRef/>
      </w:r>
      <w:r w:rsidR="003457F6">
        <w:t xml:space="preserve"> </w:t>
      </w:r>
      <w:r w:rsidR="002E3D2A">
        <w:tab/>
      </w:r>
      <w:r w:rsidR="003457F6" w:rsidRPr="000A3883">
        <w:t>ASIC Supervisory Cost Recovery Levy Bill 2017, Explanatory Memorandum, page 6</w:t>
      </w:r>
      <w:r w:rsidR="00901E8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880C" w14:textId="6D5BADAD" w:rsidR="00095D88" w:rsidRPr="00095D88" w:rsidRDefault="003B7890" w:rsidP="00095D88">
    <w:pPr>
      <w:pStyle w:val="Header"/>
    </w:pPr>
    <w:r>
      <w:rPr>
        <w:noProof/>
      </w:rPr>
      <w:drawing>
        <wp:anchor distT="0" distB="0" distL="114300" distR="114300" simplePos="0" relativeHeight="251671040" behindDoc="1" locked="1" layoutInCell="1" allowOverlap="1" wp14:anchorId="7122A9E0" wp14:editId="59DBE318">
          <wp:simplePos x="0" y="0"/>
          <wp:positionH relativeFrom="margin">
            <wp:posOffset>-897890</wp:posOffset>
          </wp:positionH>
          <wp:positionV relativeFrom="page">
            <wp:posOffset>10160</wp:posOffset>
          </wp:positionV>
          <wp:extent cx="7569835" cy="1043940"/>
          <wp:effectExtent l="0" t="0" r="0"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61F0" w14:textId="17337889" w:rsidR="00334E7E" w:rsidRPr="00AC75E2" w:rsidRDefault="00334E7E" w:rsidP="00AC75E2">
    <w:pPr>
      <w:pStyle w:val="HeaderEven"/>
    </w:pPr>
    <w:r>
      <w:rPr>
        <w:noProof/>
      </w:rPr>
      <w:drawing>
        <wp:anchor distT="0" distB="0" distL="114300" distR="114300" simplePos="0" relativeHeight="251664896" behindDoc="1" locked="1" layoutInCell="1" allowOverlap="1" wp14:anchorId="35136400" wp14:editId="66E83857">
          <wp:simplePos x="0" y="0"/>
          <wp:positionH relativeFrom="margin">
            <wp:posOffset>-909955</wp:posOffset>
          </wp:positionH>
          <wp:positionV relativeFrom="page">
            <wp:posOffset>0</wp:posOffset>
          </wp:positionV>
          <wp:extent cx="7569835" cy="1043305"/>
          <wp:effectExtent l="0" t="0" r="0" b="444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ED4F" w14:textId="443C6051" w:rsidR="00334E7E" w:rsidRPr="00B019B0" w:rsidRDefault="00B019B0" w:rsidP="00B019B0">
    <w:pPr>
      <w:pStyle w:val="HeaderOdd"/>
    </w:pPr>
    <w:r>
      <w:rPr>
        <w:noProof/>
      </w:rPr>
      <w:drawing>
        <wp:anchor distT="0" distB="0" distL="114300" distR="114300" simplePos="0" relativeHeight="251683328" behindDoc="1" locked="1" layoutInCell="1" allowOverlap="1" wp14:anchorId="642645BA" wp14:editId="2B4DE66F">
          <wp:simplePos x="0" y="0"/>
          <wp:positionH relativeFrom="page">
            <wp:posOffset>3109595</wp:posOffset>
          </wp:positionH>
          <wp:positionV relativeFrom="page">
            <wp:posOffset>0</wp:posOffset>
          </wp:positionV>
          <wp:extent cx="7570470" cy="1043940"/>
          <wp:effectExtent l="0" t="0" r="0" b="381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CF81"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34C4"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DCB" w14:textId="77777777" w:rsidR="00533AC3" w:rsidRPr="00F60198" w:rsidRDefault="00533AC3" w:rsidP="00A12F62">
    <w:pPr>
      <w:pStyle w:val="HeaderOdd"/>
    </w:pPr>
    <w:r>
      <w:rPr>
        <w:noProof/>
      </w:rPr>
      <w:drawing>
        <wp:anchor distT="0" distB="0" distL="114300" distR="114300" simplePos="0" relativeHeight="251653632" behindDoc="1" locked="1" layoutInCell="1" allowOverlap="1" wp14:anchorId="2124F9EB" wp14:editId="544B4DB7">
          <wp:simplePos x="0" y="0"/>
          <wp:positionH relativeFrom="page">
            <wp:align>center</wp:align>
          </wp:positionH>
          <wp:positionV relativeFrom="page">
            <wp:align>top</wp:align>
          </wp:positionV>
          <wp:extent cx="7570800" cy="1044000"/>
          <wp:effectExtent l="0" t="0" r="0" b="381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C2A7" w14:textId="77777777" w:rsidR="00B55B04" w:rsidRPr="00F60198" w:rsidRDefault="00B55B04" w:rsidP="00A12F62">
    <w:pPr>
      <w:pStyle w:val="HeaderOdd"/>
    </w:pPr>
    <w:r>
      <w:rPr>
        <w:noProof/>
      </w:rPr>
      <w:drawing>
        <wp:anchor distT="0" distB="0" distL="114300" distR="114300" simplePos="0" relativeHeight="251651584" behindDoc="1" locked="1" layoutInCell="1" allowOverlap="1" wp14:anchorId="7325DEE4" wp14:editId="4BB075D0">
          <wp:simplePos x="0" y="0"/>
          <wp:positionH relativeFrom="page">
            <wp:align>center</wp:align>
          </wp:positionH>
          <wp:positionV relativeFrom="page">
            <wp:align>top</wp:align>
          </wp:positionV>
          <wp:extent cx="7570800" cy="104400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9E00" w14:textId="0AF14F62" w:rsidR="00A57A98" w:rsidRPr="00F17845" w:rsidRDefault="00F17845" w:rsidP="00F17845">
    <w:pPr>
      <w:pStyle w:val="HeaderOdd"/>
    </w:pPr>
    <w:r>
      <w:rPr>
        <w:noProof/>
      </w:rPr>
      <w:drawing>
        <wp:anchor distT="0" distB="0" distL="114300" distR="114300" simplePos="0" relativeHeight="251675136" behindDoc="1" locked="1" layoutInCell="1" allowOverlap="1" wp14:anchorId="6600A5C2" wp14:editId="41E3EF60">
          <wp:simplePos x="0" y="0"/>
          <wp:positionH relativeFrom="page">
            <wp:posOffset>3109595</wp:posOffset>
          </wp:positionH>
          <wp:positionV relativeFrom="page">
            <wp:posOffset>0</wp:posOffset>
          </wp:positionV>
          <wp:extent cx="7570470" cy="1043940"/>
          <wp:effectExtent l="0" t="0" r="0" b="381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9996" w14:textId="77777777" w:rsidR="00A57A98" w:rsidRPr="00095D88" w:rsidRDefault="00A57A98" w:rsidP="00095D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33FA" w14:textId="77777777" w:rsidR="00E073F6" w:rsidRPr="00F60198" w:rsidRDefault="00E073F6" w:rsidP="00A12F62">
    <w:pPr>
      <w:pStyle w:val="HeaderOdd"/>
    </w:pPr>
    <w:r>
      <w:rPr>
        <w:noProof/>
      </w:rPr>
      <w:drawing>
        <wp:anchor distT="0" distB="0" distL="114300" distR="114300" simplePos="0" relativeHeight="251666944" behindDoc="1" locked="1" layoutInCell="1" allowOverlap="1" wp14:anchorId="1EB4BB30" wp14:editId="30E9BED6">
          <wp:simplePos x="0" y="0"/>
          <wp:positionH relativeFrom="page">
            <wp:posOffset>3109595</wp:posOffset>
          </wp:positionH>
          <wp:positionV relativeFrom="page">
            <wp:posOffset>0</wp:posOffset>
          </wp:positionV>
          <wp:extent cx="7570470" cy="1043940"/>
          <wp:effectExtent l="0" t="0" r="0" b="381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12E8" w14:textId="77777777" w:rsidR="0048708E" w:rsidRPr="00F60198" w:rsidRDefault="0048708E" w:rsidP="00A12F62">
    <w:pPr>
      <w:pStyle w:val="HeaderOdd"/>
    </w:pPr>
    <w:r>
      <w:rPr>
        <w:noProof/>
      </w:rPr>
      <w:drawing>
        <wp:anchor distT="0" distB="0" distL="114300" distR="114300" simplePos="0" relativeHeight="251668992" behindDoc="1" locked="1" layoutInCell="1" allowOverlap="1" wp14:anchorId="7F490008" wp14:editId="4021E312">
          <wp:simplePos x="0" y="0"/>
          <wp:positionH relativeFrom="page">
            <wp:posOffset>-24130</wp:posOffset>
          </wp:positionH>
          <wp:positionV relativeFrom="page">
            <wp:posOffset>0</wp:posOffset>
          </wp:positionV>
          <wp:extent cx="7570470" cy="104394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84C"/>
    <w:multiLevelType w:val="hybridMultilevel"/>
    <w:tmpl w:val="C73CD3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C5173B"/>
    <w:multiLevelType w:val="hybridMultilevel"/>
    <w:tmpl w:val="51FEE642"/>
    <w:lvl w:ilvl="0" w:tplc="0C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AE49B4"/>
    <w:multiLevelType w:val="hybridMultilevel"/>
    <w:tmpl w:val="955C6556"/>
    <w:lvl w:ilvl="0" w:tplc="FC1E9B3E">
      <w:start w:val="1"/>
      <w:numFmt w:val="decimal"/>
      <w:lvlText w:val="3.%1"/>
      <w:lvlJc w:val="left"/>
      <w:pPr>
        <w:ind w:left="720" w:hanging="360"/>
      </w:pPr>
      <w:rPr>
        <w:rFonts w:ascii="Calibri Light" w:hAnsi="Calibri Light" w:cs="Calibri Light" w:hint="default"/>
        <w:b w:val="0"/>
        <w:bCs w:val="0"/>
        <w:i w:val="0"/>
        <w:iCs w:val="0"/>
        <w:color w:val="auto"/>
        <w:sz w:val="22"/>
        <w:szCs w:val="22"/>
      </w:rPr>
    </w:lvl>
    <w:lvl w:ilvl="1" w:tplc="FFFFFFFF">
      <w:start w:val="1"/>
      <w:numFmt w:val="lowerLetter"/>
      <w:lvlText w:val="%2."/>
      <w:lvlJc w:val="left"/>
      <w:pPr>
        <w:ind w:left="1440" w:hanging="360"/>
      </w:pPr>
    </w:lvl>
    <w:lvl w:ilvl="2" w:tplc="FFFFFFFF">
      <w:numFmt w:val="bullet"/>
      <w:lvlText w:val="•"/>
      <w:lvlJc w:val="left"/>
      <w:pPr>
        <w:ind w:left="2700" w:hanging="720"/>
      </w:pPr>
      <w:rPr>
        <w:rFonts w:ascii="Calibri Light" w:eastAsia="Times New Roman" w:hAnsi="Calibri Light" w:cs="Calibri Ligh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67B1E3A"/>
    <w:multiLevelType w:val="multilevel"/>
    <w:tmpl w:val="B04E2814"/>
    <w:lvl w:ilvl="0">
      <w:start w:val="1"/>
      <w:numFmt w:val="decimal"/>
      <w:lvlText w:val="4.%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E5906"/>
    <w:multiLevelType w:val="multilevel"/>
    <w:tmpl w:val="7918EC90"/>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C960FD"/>
    <w:multiLevelType w:val="multilevel"/>
    <w:tmpl w:val="9E384BE4"/>
    <w:name w:val="OneLevelNumberedParagraphList"/>
    <w:lvl w:ilvl="0">
      <w:start w:val="1"/>
      <w:numFmt w:val="decimal"/>
      <w:lvlRestart w:val="0"/>
      <w:pStyle w:val="OneLevelNumberedParagraph"/>
      <w:lvlText w:val="%1."/>
      <w:lvlJc w:val="left"/>
      <w:pPr>
        <w:tabs>
          <w:tab w:val="num" w:pos="567"/>
        </w:tabs>
        <w:ind w:left="284" w:hanging="284"/>
      </w:pPr>
      <w:rPr>
        <w:rFonts w:ascii="Calibri" w:hAnsi="Calibri" w:cs="Times New Roman" w:hint="default"/>
        <w:b w:val="0"/>
        <w:i w:val="0"/>
        <w:color w:val="000000"/>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1" w15:restartNumberingAfterBreak="0">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21AF01C4"/>
    <w:multiLevelType w:val="multilevel"/>
    <w:tmpl w:val="BE72C4E0"/>
    <w:styleLink w:val="AlphaParagraphList1"/>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65DFA"/>
    <w:multiLevelType w:val="singleLevel"/>
    <w:tmpl w:val="CA103CC0"/>
    <w:name w:val="OneLevelAlphaParagraphList"/>
    <w:lvl w:ilvl="0">
      <w:start w:val="1"/>
      <w:numFmt w:val="lowerLetter"/>
      <w:lvlRestart w:val="0"/>
      <w:lvlText w:val="(%1)"/>
      <w:lvlJc w:val="left"/>
      <w:pPr>
        <w:tabs>
          <w:tab w:val="num" w:pos="567"/>
        </w:tabs>
        <w:ind w:left="567" w:hanging="567"/>
      </w:pPr>
      <w:rPr>
        <w:rFonts w:ascii="Calibri" w:hAnsi="Calibri" w:hint="default"/>
        <w:b w:val="0"/>
        <w:i w:val="0"/>
        <w:sz w:val="20"/>
      </w:rPr>
    </w:lvl>
  </w:abstractNum>
  <w:abstractNum w:abstractNumId="16" w15:restartNumberingAfterBreak="0">
    <w:nsid w:val="2F092097"/>
    <w:multiLevelType w:val="multilevel"/>
    <w:tmpl w:val="93824756"/>
    <w:lvl w:ilvl="0">
      <w:start w:val="1"/>
      <w:numFmt w:val="decimal"/>
      <w:lvlText w:val="5.%1"/>
      <w:lvlJc w:val="left"/>
      <w:pPr>
        <w:ind w:left="720" w:hanging="363"/>
      </w:pPr>
      <w:rPr>
        <w:rFonts w:ascii="Calibri Light" w:hAnsi="Calibri Light" w:cs="Calibri Light" w:hint="default"/>
        <w:b w:val="0"/>
        <w:bCs w:val="0"/>
        <w:i w:val="0"/>
        <w:iCs w:val="0"/>
        <w:color w:val="auto"/>
        <w:sz w:val="22"/>
        <w:szCs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30EB5FC2"/>
    <w:multiLevelType w:val="multilevel"/>
    <w:tmpl w:val="8B3CDECA"/>
    <w:name w:val="OutlineNumbered"/>
    <w:lvl w:ilvl="0">
      <w:start w:val="1"/>
      <w:numFmt w:val="decimal"/>
      <w:lvlText w:val="%1."/>
      <w:lvlJc w:val="left"/>
      <w:pPr>
        <w:tabs>
          <w:tab w:val="num" w:pos="567"/>
        </w:tabs>
        <w:ind w:left="567" w:hanging="567"/>
      </w:pPr>
      <w:rPr>
        <w:rFonts w:ascii="Calibri" w:hAnsi="Calibri" w:cs="Times New Roman" w:hint="default"/>
        <w:b w:val="0"/>
        <w:i w:val="0"/>
      </w:rPr>
    </w:lvl>
    <w:lvl w:ilvl="1">
      <w:start w:val="1"/>
      <w:numFmt w:val="decimal"/>
      <w:lvlText w:val="%1.%2"/>
      <w:lvlJc w:val="left"/>
      <w:pPr>
        <w:tabs>
          <w:tab w:val="num" w:pos="567"/>
        </w:tabs>
        <w:ind w:left="567" w:hanging="283"/>
      </w:pPr>
      <w:rPr>
        <w:rFonts w:ascii="Calibri" w:hAnsi="Calibri" w:cs="Times New Roman" w:hint="default"/>
        <w:b w:val="0"/>
        <w:i w:val="0"/>
      </w:rPr>
    </w:lvl>
    <w:lvl w:ilvl="2">
      <w:start w:val="1"/>
      <w:numFmt w:val="decimal"/>
      <w:lvlText w:val="%1.%2.%3"/>
      <w:lvlJc w:val="left"/>
      <w:pPr>
        <w:tabs>
          <w:tab w:val="num" w:pos="851"/>
        </w:tabs>
        <w:ind w:left="851" w:hanging="284"/>
      </w:pPr>
      <w:rPr>
        <w:rFonts w:ascii="Calibri" w:hAnsi="Calibri" w:cs="Times New Roman" w:hint="default"/>
        <w:b w:val="0"/>
        <w:i w:val="0"/>
      </w:rPr>
    </w:lvl>
    <w:lvl w:ilvl="3">
      <w:start w:val="1"/>
      <w:numFmt w:val="decimal"/>
      <w:lvlText w:val="%1.%2.%3.%4"/>
      <w:lvlJc w:val="left"/>
      <w:pPr>
        <w:tabs>
          <w:tab w:val="num" w:pos="851"/>
        </w:tabs>
        <w:ind w:left="851" w:hanging="851"/>
      </w:pPr>
      <w:rPr>
        <w:rFonts w:ascii="Calibri" w:hAnsi="Calibri" w:cs="Times New Roman" w:hint="default"/>
        <w:b w:val="0"/>
        <w:i w:val="0"/>
      </w:rPr>
    </w:lvl>
    <w:lvl w:ilvl="4">
      <w:start w:val="1"/>
      <w:numFmt w:val="decimal"/>
      <w:lvlText w:val="%1.%2.%3.%4.%5"/>
      <w:lvlJc w:val="left"/>
      <w:pPr>
        <w:tabs>
          <w:tab w:val="num" w:pos="1008"/>
        </w:tabs>
        <w:ind w:left="1008" w:hanging="1008"/>
      </w:pPr>
      <w:rPr>
        <w:rFonts w:ascii="Calibri" w:hAnsi="Calibri" w:cs="Times New Roman" w:hint="default"/>
        <w:b w:val="0"/>
        <w:i w:val="0"/>
      </w:rPr>
    </w:lvl>
    <w:lvl w:ilvl="5">
      <w:start w:val="1"/>
      <w:numFmt w:val="decimal"/>
      <w:lvlText w:val="%1.%2.%3.%4.%5.%6"/>
      <w:lvlJc w:val="left"/>
      <w:pPr>
        <w:tabs>
          <w:tab w:val="num" w:pos="1152"/>
        </w:tabs>
        <w:ind w:left="1152" w:hanging="1152"/>
      </w:pPr>
      <w:rPr>
        <w:b w:val="0"/>
        <w:i w:val="0"/>
      </w:rPr>
    </w:lvl>
    <w:lvl w:ilvl="6">
      <w:start w:val="1"/>
      <w:numFmt w:val="decimal"/>
      <w:lvlText w:val="%1.%2.%3.%4.%5.%6.%7"/>
      <w:lvlJc w:val="left"/>
      <w:pPr>
        <w:tabs>
          <w:tab w:val="num" w:pos="1296"/>
        </w:tabs>
        <w:ind w:left="1296" w:hanging="1296"/>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584"/>
        </w:tabs>
        <w:ind w:left="1584" w:hanging="1584"/>
      </w:pPr>
      <w:rPr>
        <w:b w:val="0"/>
        <w:i w:val="0"/>
      </w:rPr>
    </w:lvl>
  </w:abstractNum>
  <w:abstractNum w:abstractNumId="19" w15:restartNumberingAfterBreak="0">
    <w:nsid w:val="310E24A7"/>
    <w:multiLevelType w:val="multilevel"/>
    <w:tmpl w:val="DCB8F766"/>
    <w:lvl w:ilvl="0">
      <w:start w:val="1"/>
      <w:numFmt w:val="decimal"/>
      <w:lvlText w:val="%1."/>
      <w:lvlJc w:val="left"/>
      <w:pPr>
        <w:ind w:left="680" w:hanging="340"/>
      </w:pPr>
      <w:rPr>
        <w:rFonts w:hint="default"/>
        <w:b w:val="0"/>
        <w:bCs/>
        <w:i w:val="0"/>
      </w:rPr>
    </w:lvl>
    <w:lvl w:ilvl="1">
      <w:start w:val="1"/>
      <w:numFmt w:val="bullet"/>
      <w:lvlText w:val="•"/>
      <w:lvlJc w:val="left"/>
      <w:pPr>
        <w:ind w:left="1020" w:hanging="340"/>
      </w:pPr>
      <w:rPr>
        <w:rFonts w:ascii="Calibri" w:hAnsi="Calibri" w:hint="default"/>
        <w:b/>
        <w:bCs/>
        <w:sz w:val="20"/>
        <w:szCs w:val="20"/>
      </w:rPr>
    </w:lvl>
    <w:lvl w:ilvl="2">
      <w:start w:val="1"/>
      <w:numFmt w:val="lowerRoman"/>
      <w:lvlText w:val="%3."/>
      <w:lvlJc w:val="righ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righ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right"/>
      <w:pPr>
        <w:ind w:left="3400" w:hanging="340"/>
      </w:pPr>
      <w:rPr>
        <w:rFonts w:hint="default"/>
      </w:rPr>
    </w:lvl>
  </w:abstractNum>
  <w:abstractNum w:abstractNumId="20" w15:restartNumberingAfterBreak="0">
    <w:nsid w:val="31FF315D"/>
    <w:multiLevelType w:val="multilevel"/>
    <w:tmpl w:val="713C7482"/>
    <w:lvl w:ilvl="0">
      <w:start w:val="1"/>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F5874"/>
    <w:multiLevelType w:val="multilevel"/>
    <w:tmpl w:val="5B727BFE"/>
    <w:lvl w:ilvl="0">
      <w:start w:val="1"/>
      <w:numFmt w:val="lowerRoman"/>
      <w:lvlText w:val="%1."/>
      <w:lvlJc w:val="right"/>
      <w:pPr>
        <w:ind w:left="357" w:hanging="357"/>
      </w:pPr>
      <w:rPr>
        <w:rFonts w:hint="default"/>
      </w:rPr>
    </w:lvl>
    <w:lvl w:ilvl="1">
      <w:start w:val="1"/>
      <w:numFmt w:val="lowerLetter"/>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24" w15:restartNumberingAfterBreak="0">
    <w:nsid w:val="3F985912"/>
    <w:multiLevelType w:val="hybridMultilevel"/>
    <w:tmpl w:val="50426F8A"/>
    <w:lvl w:ilvl="0" w:tplc="9426249A">
      <w:start w:val="1"/>
      <w:numFmt w:val="decimal"/>
      <w:lvlText w:val="2.%1"/>
      <w:lvlJc w:val="left"/>
      <w:pPr>
        <w:ind w:left="720" w:hanging="360"/>
      </w:pPr>
      <w:rPr>
        <w:rFonts w:ascii="Calibri Light" w:hAnsi="Calibri Light" w:cs="Calibri Light" w:hint="default"/>
        <w:b w:val="0"/>
        <w:bCs w:val="0"/>
        <w:i w:val="0"/>
        <w:iCs w:val="0"/>
        <w:color w:val="auto"/>
        <w:sz w:val="22"/>
        <w:szCs w:val="22"/>
      </w:rPr>
    </w:lvl>
    <w:lvl w:ilvl="1" w:tplc="0C090019">
      <w:start w:val="1"/>
      <w:numFmt w:val="lowerLetter"/>
      <w:lvlText w:val="%2."/>
      <w:lvlJc w:val="left"/>
      <w:pPr>
        <w:ind w:left="1440" w:hanging="360"/>
      </w:pPr>
    </w:lvl>
    <w:lvl w:ilvl="2" w:tplc="72B02942">
      <w:numFmt w:val="bullet"/>
      <w:lvlText w:val="•"/>
      <w:lvlJc w:val="left"/>
      <w:pPr>
        <w:ind w:left="2700" w:hanging="720"/>
      </w:pPr>
      <w:rPr>
        <w:rFonts w:ascii="Calibri Light" w:eastAsia="Times New Roman" w:hAnsi="Calibri Light" w:cs="Calibri Ligh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AF60FA"/>
    <w:multiLevelType w:val="hybridMultilevel"/>
    <w:tmpl w:val="6068CC42"/>
    <w:lvl w:ilvl="0" w:tplc="0C090003">
      <w:start w:val="1"/>
      <w:numFmt w:val="bullet"/>
      <w:lvlText w:val="o"/>
      <w:lvlJc w:val="left"/>
      <w:pPr>
        <w:ind w:left="1724" w:hanging="360"/>
      </w:pPr>
      <w:rPr>
        <w:rFonts w:ascii="Courier New" w:hAnsi="Courier New" w:cs="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6" w15:restartNumberingAfterBreak="0">
    <w:nsid w:val="483E25F6"/>
    <w:multiLevelType w:val="multilevel"/>
    <w:tmpl w:val="2D022FDA"/>
    <w:styleLink w:val="AlphaParagraph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0D2021"/>
    <w:multiLevelType w:val="multilevel"/>
    <w:tmpl w:val="72F8140E"/>
    <w:numStyleLink w:val="OutlineList"/>
  </w:abstractNum>
  <w:abstractNum w:abstractNumId="28" w15:restartNumberingAfterBreak="0">
    <w:nsid w:val="55393DC0"/>
    <w:multiLevelType w:val="hybridMultilevel"/>
    <w:tmpl w:val="F93611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FDC3E5C"/>
    <w:multiLevelType w:val="multilevel"/>
    <w:tmpl w:val="88DAA0B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6A4FA2"/>
    <w:multiLevelType w:val="hybridMultilevel"/>
    <w:tmpl w:val="7FA2E228"/>
    <w:lvl w:ilvl="0" w:tplc="0C09000F">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67487898"/>
    <w:multiLevelType w:val="hybridMultilevel"/>
    <w:tmpl w:val="F612BBFA"/>
    <w:lvl w:ilvl="0" w:tplc="AEE8919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3" w15:restartNumberingAfterBreak="0">
    <w:nsid w:val="73815F5E"/>
    <w:multiLevelType w:val="hybridMultilevel"/>
    <w:tmpl w:val="AA8A0ECC"/>
    <w:lvl w:ilvl="0" w:tplc="131ED0FA">
      <w:start w:val="1"/>
      <w:numFmt w:val="decimal"/>
      <w:lvlText w:val="%1."/>
      <w:lvlJc w:val="left"/>
      <w:pPr>
        <w:ind w:left="720" w:hanging="360"/>
      </w:pPr>
      <w:rPr>
        <w:b w:val="0"/>
        <w:bCs w:val="0"/>
      </w:rPr>
    </w:lvl>
    <w:lvl w:ilvl="1" w:tplc="011E4A1A">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0920CC"/>
    <w:multiLevelType w:val="hybridMultilevel"/>
    <w:tmpl w:val="F93611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224A1C"/>
    <w:multiLevelType w:val="hybridMultilevel"/>
    <w:tmpl w:val="CBFE52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F228E0"/>
    <w:multiLevelType w:val="hybridMultilevel"/>
    <w:tmpl w:val="A4307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3"/>
  </w:num>
  <w:num w:numId="3">
    <w:abstractNumId w:val="22"/>
  </w:num>
  <w:num w:numId="4">
    <w:abstractNumId w:val="5"/>
  </w:num>
  <w:num w:numId="5">
    <w:abstractNumId w:val="27"/>
  </w:num>
  <w:num w:numId="6">
    <w:abstractNumId w:val="2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9"/>
  </w:num>
  <w:num w:numId="8">
    <w:abstractNumId w:val="13"/>
  </w:num>
  <w:num w:numId="9">
    <w:abstractNumId w:val="21"/>
  </w:num>
  <w:num w:numId="10">
    <w:abstractNumId w:val="6"/>
  </w:num>
  <w:num w:numId="11">
    <w:abstractNumId w:val="32"/>
  </w:num>
  <w:num w:numId="12">
    <w:abstractNumId w:val="33"/>
  </w:num>
  <w:num w:numId="13">
    <w:abstractNumId w:val="20"/>
  </w:num>
  <w:num w:numId="14">
    <w:abstractNumId w:val="24"/>
  </w:num>
  <w:num w:numId="15">
    <w:abstractNumId w:val="4"/>
  </w:num>
  <w:num w:numId="16">
    <w:abstractNumId w:val="12"/>
  </w:num>
  <w:num w:numId="17">
    <w:abstractNumId w:val="16"/>
  </w:num>
  <w:num w:numId="18">
    <w:abstractNumId w:val="31"/>
  </w:num>
  <w:num w:numId="19">
    <w:abstractNumId w:val="7"/>
  </w:num>
  <w:num w:numId="20">
    <w:abstractNumId w:val="10"/>
  </w:num>
  <w:num w:numId="21">
    <w:abstractNumId w:val="26"/>
  </w:num>
  <w:num w:numId="22">
    <w:abstractNumId w:val="2"/>
  </w:num>
  <w:num w:numId="23">
    <w:abstractNumId w:val="14"/>
  </w:num>
  <w:num w:numId="24">
    <w:abstractNumId w:val="30"/>
  </w:num>
  <w:num w:numId="25">
    <w:abstractNumId w:val="11"/>
  </w:num>
  <w:num w:numId="26">
    <w:abstractNumId w:val="23"/>
  </w:num>
  <w:num w:numId="27">
    <w:abstractNumId w:val="19"/>
    <w:lvlOverride w:ilvl="0">
      <w:lvl w:ilvl="0">
        <w:start w:val="1"/>
        <w:numFmt w:val="decimal"/>
        <w:lvlText w:val="%1."/>
        <w:lvlJc w:val="left"/>
        <w:pPr>
          <w:ind w:left="340" w:hanging="340"/>
        </w:pPr>
        <w:rPr>
          <w:rFonts w:hint="default"/>
          <w:b w:val="0"/>
          <w:bCs/>
          <w:i w:val="0"/>
        </w:rPr>
      </w:lvl>
    </w:lvlOverride>
    <w:lvlOverride w:ilvl="1">
      <w:lvl w:ilvl="1">
        <w:start w:val="1"/>
        <w:numFmt w:val="bullet"/>
        <w:lvlText w:val="•"/>
        <w:lvlJc w:val="left"/>
        <w:pPr>
          <w:ind w:left="680" w:hanging="340"/>
        </w:pPr>
        <w:rPr>
          <w:rFonts w:ascii="Times New Roman" w:hAnsi="Times New Roman" w:hint="default"/>
          <w:b/>
          <w:bCs/>
          <w:sz w:val="20"/>
        </w:rPr>
      </w:lvl>
    </w:lvlOverride>
    <w:lvlOverride w:ilvl="2">
      <w:lvl w:ilvl="2">
        <w:start w:val="1"/>
        <w:numFmt w:val="lowerRoman"/>
        <w:lvlText w:val="%3."/>
        <w:lvlJc w:val="right"/>
        <w:pPr>
          <w:ind w:left="1020" w:hanging="340"/>
        </w:pPr>
        <w:rPr>
          <w:rFonts w:hint="default"/>
        </w:rPr>
      </w:lvl>
    </w:lvlOverride>
    <w:lvlOverride w:ilvl="3">
      <w:lvl w:ilvl="3">
        <w:start w:val="1"/>
        <w:numFmt w:val="decimal"/>
        <w:lvlText w:val="%4."/>
        <w:lvlJc w:val="left"/>
        <w:pPr>
          <w:ind w:left="1360" w:hanging="340"/>
        </w:pPr>
        <w:rPr>
          <w:rFonts w:hint="default"/>
        </w:rPr>
      </w:lvl>
    </w:lvlOverride>
    <w:lvlOverride w:ilvl="4">
      <w:lvl w:ilvl="4">
        <w:start w:val="1"/>
        <w:numFmt w:val="lowerLetter"/>
        <w:lvlText w:val="%5."/>
        <w:lvlJc w:val="left"/>
        <w:pPr>
          <w:ind w:left="1700" w:hanging="340"/>
        </w:pPr>
        <w:rPr>
          <w:rFonts w:hint="default"/>
        </w:rPr>
      </w:lvl>
    </w:lvlOverride>
    <w:lvlOverride w:ilvl="5">
      <w:lvl w:ilvl="5">
        <w:start w:val="1"/>
        <w:numFmt w:val="lowerRoman"/>
        <w:lvlText w:val="%6."/>
        <w:lvlJc w:val="right"/>
        <w:pPr>
          <w:ind w:left="2040" w:hanging="340"/>
        </w:pPr>
        <w:rPr>
          <w:rFonts w:hint="default"/>
        </w:rPr>
      </w:lvl>
    </w:lvlOverride>
    <w:lvlOverride w:ilvl="6">
      <w:lvl w:ilvl="6">
        <w:start w:val="1"/>
        <w:numFmt w:val="decimal"/>
        <w:lvlText w:val="%7."/>
        <w:lvlJc w:val="left"/>
        <w:pPr>
          <w:ind w:left="2380" w:hanging="340"/>
        </w:pPr>
        <w:rPr>
          <w:rFonts w:hint="default"/>
        </w:rPr>
      </w:lvl>
    </w:lvlOverride>
    <w:lvlOverride w:ilvl="7">
      <w:lvl w:ilvl="7">
        <w:start w:val="1"/>
        <w:numFmt w:val="lowerLetter"/>
        <w:lvlText w:val="%8."/>
        <w:lvlJc w:val="left"/>
        <w:pPr>
          <w:ind w:left="2720" w:hanging="340"/>
        </w:pPr>
        <w:rPr>
          <w:rFonts w:hint="default"/>
        </w:rPr>
      </w:lvl>
    </w:lvlOverride>
    <w:lvlOverride w:ilvl="8">
      <w:lvl w:ilvl="8">
        <w:start w:val="1"/>
        <w:numFmt w:val="lowerRoman"/>
        <w:lvlText w:val="%9."/>
        <w:lvlJc w:val="right"/>
        <w:pPr>
          <w:ind w:left="3060" w:hanging="340"/>
        </w:pPr>
        <w:rPr>
          <w:rFonts w:hint="default"/>
        </w:rPr>
      </w:lvl>
    </w:lvlOverride>
  </w:num>
  <w:num w:numId="28">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tabs>
            <w:tab w:val="num" w:pos="567"/>
          </w:tabs>
          <w:ind w:left="567" w:hanging="567"/>
        </w:pPr>
        <w:rPr>
          <w:rFonts w:hint="default"/>
          <w:sz w:val="22"/>
          <w:szCs w:val="22"/>
        </w:rPr>
      </w:lvl>
    </w:lvlOverride>
    <w:lvlOverride w:ilvl="2">
      <w:lvl w:ilvl="2">
        <w:start w:val="1"/>
        <w:numFmt w:val="bullet"/>
        <w:lvlText w:val="•"/>
        <w:lvlJc w:val="left"/>
        <w:pPr>
          <w:ind w:left="720" w:hanging="720"/>
        </w:pPr>
        <w:rPr>
          <w:rFonts w:ascii="Times New Roman" w:hAnsi="Times New Roman" w:cs="Times New Roman" w:hint="default"/>
          <w:sz w:val="20"/>
        </w:rPr>
      </w:lvl>
    </w:lvlOverride>
    <w:lvlOverride w:ilvl="3">
      <w:lvl w:ilvl="3">
        <w:start w:val="1"/>
        <w:numFmt w:val="bullet"/>
        <w:lvlText w:val=""/>
        <w:lvlJc w:val="left"/>
        <w:pPr>
          <w:ind w:left="720" w:hanging="720"/>
        </w:pPr>
        <w:rPr>
          <w:rFonts w:ascii="Symbol" w:hAnsi="Symbol" w:hint="default"/>
        </w:rPr>
      </w:lvl>
    </w:lvlOverride>
    <w:lvlOverride w:ilvl="4">
      <w:lvl w:ilvl="4">
        <w:start w:val="1"/>
        <w:numFmt w:val="bullet"/>
        <w:lvlText w:val=""/>
        <w:lvlJc w:val="left"/>
        <w:pPr>
          <w:ind w:left="1080" w:hanging="1080"/>
        </w:pPr>
        <w:rPr>
          <w:rFonts w:ascii="Symbol" w:hAnsi="Symbol"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24"/>
    <w:lvlOverride w:ilvl="0">
      <w:lvl w:ilvl="0" w:tplc="9426249A">
        <w:start w:val="1"/>
        <w:numFmt w:val="decimal"/>
        <w:lvlText w:val="2.%1"/>
        <w:lvlJc w:val="left"/>
        <w:pPr>
          <w:ind w:left="720" w:hanging="720"/>
        </w:pPr>
        <w:rPr>
          <w:rFonts w:ascii="Calibri Light" w:hAnsi="Calibri Light" w:cs="Calibri Light" w:hint="default"/>
          <w:b w:val="0"/>
          <w:bCs w:val="0"/>
          <w:i w:val="0"/>
          <w:iCs w:val="0"/>
          <w:color w:val="auto"/>
          <w:sz w:val="22"/>
          <w:szCs w:val="22"/>
        </w:rPr>
      </w:lvl>
    </w:lvlOverride>
    <w:lvlOverride w:ilvl="1">
      <w:lvl w:ilvl="1" w:tplc="0C090019">
        <w:start w:val="1"/>
        <w:numFmt w:val="lowerLetter"/>
        <w:lvlText w:val="%2."/>
        <w:lvlJc w:val="left"/>
        <w:pPr>
          <w:ind w:left="1440" w:hanging="360"/>
        </w:pPr>
        <w:rPr>
          <w:rFonts w:hint="default"/>
        </w:rPr>
      </w:lvl>
    </w:lvlOverride>
    <w:lvlOverride w:ilvl="2">
      <w:lvl w:ilvl="2" w:tplc="72B02942">
        <w:numFmt w:val="bullet"/>
        <w:lvlText w:val="•"/>
        <w:lvlJc w:val="left"/>
        <w:pPr>
          <w:ind w:left="2700" w:hanging="720"/>
        </w:pPr>
        <w:rPr>
          <w:rFonts w:ascii="Calibri Light" w:eastAsia="Times New Roman" w:hAnsi="Calibri Light" w:cs="Calibri Light"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30">
    <w:abstractNumId w:val="1"/>
  </w:num>
  <w:num w:numId="31">
    <w:abstractNumId w:val="34"/>
  </w:num>
  <w:num w:numId="32">
    <w:abstractNumId w:val="36"/>
  </w:num>
  <w:num w:numId="33">
    <w:abstractNumId w:val="35"/>
  </w:num>
  <w:num w:numId="34">
    <w:abstractNumId w:val="29"/>
  </w:num>
  <w:num w:numId="35">
    <w:abstractNumId w:val="0"/>
  </w:num>
  <w:num w:numId="36">
    <w:abstractNumId w:val="28"/>
  </w:num>
  <w:num w:numId="37">
    <w:abstractNumId w:val="25"/>
  </w:num>
  <w:num w:numId="38">
    <w:abstractNumId w:val="32"/>
  </w:num>
  <w:num w:numId="3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948D1"/>
    <w:rsid w:val="00000561"/>
    <w:rsid w:val="00000635"/>
    <w:rsid w:val="000006A8"/>
    <w:rsid w:val="00000E49"/>
    <w:rsid w:val="00001521"/>
    <w:rsid w:val="00001822"/>
    <w:rsid w:val="00001834"/>
    <w:rsid w:val="00001B40"/>
    <w:rsid w:val="000022EF"/>
    <w:rsid w:val="0000236F"/>
    <w:rsid w:val="00002E50"/>
    <w:rsid w:val="000033D1"/>
    <w:rsid w:val="000033D4"/>
    <w:rsid w:val="000035D0"/>
    <w:rsid w:val="00003866"/>
    <w:rsid w:val="000044CB"/>
    <w:rsid w:val="00004A40"/>
    <w:rsid w:val="00004B52"/>
    <w:rsid w:val="00004D58"/>
    <w:rsid w:val="00004E36"/>
    <w:rsid w:val="00005146"/>
    <w:rsid w:val="00005718"/>
    <w:rsid w:val="00005BF0"/>
    <w:rsid w:val="00006D28"/>
    <w:rsid w:val="00006DBB"/>
    <w:rsid w:val="0000730D"/>
    <w:rsid w:val="00007C35"/>
    <w:rsid w:val="00007C3B"/>
    <w:rsid w:val="000108B3"/>
    <w:rsid w:val="00010D94"/>
    <w:rsid w:val="00011606"/>
    <w:rsid w:val="00011725"/>
    <w:rsid w:val="00011B7F"/>
    <w:rsid w:val="00012C62"/>
    <w:rsid w:val="00013299"/>
    <w:rsid w:val="0001396A"/>
    <w:rsid w:val="00013B48"/>
    <w:rsid w:val="00014069"/>
    <w:rsid w:val="00014BC9"/>
    <w:rsid w:val="000150DF"/>
    <w:rsid w:val="000151F8"/>
    <w:rsid w:val="00016557"/>
    <w:rsid w:val="0001682E"/>
    <w:rsid w:val="00016F23"/>
    <w:rsid w:val="00017BE0"/>
    <w:rsid w:val="00017F40"/>
    <w:rsid w:val="00020E1A"/>
    <w:rsid w:val="00021532"/>
    <w:rsid w:val="00021C3E"/>
    <w:rsid w:val="00022022"/>
    <w:rsid w:val="000224D6"/>
    <w:rsid w:val="00022704"/>
    <w:rsid w:val="00022B33"/>
    <w:rsid w:val="00023650"/>
    <w:rsid w:val="00024093"/>
    <w:rsid w:val="0002480A"/>
    <w:rsid w:val="000248ED"/>
    <w:rsid w:val="0002540C"/>
    <w:rsid w:val="0002544D"/>
    <w:rsid w:val="000255F4"/>
    <w:rsid w:val="000259ED"/>
    <w:rsid w:val="00027224"/>
    <w:rsid w:val="0002751C"/>
    <w:rsid w:val="0003045D"/>
    <w:rsid w:val="000306EE"/>
    <w:rsid w:val="00030E24"/>
    <w:rsid w:val="00031A34"/>
    <w:rsid w:val="00031EC5"/>
    <w:rsid w:val="0003268F"/>
    <w:rsid w:val="000332E0"/>
    <w:rsid w:val="000342C8"/>
    <w:rsid w:val="00034369"/>
    <w:rsid w:val="000370A9"/>
    <w:rsid w:val="000375C2"/>
    <w:rsid w:val="00037B44"/>
    <w:rsid w:val="00037E78"/>
    <w:rsid w:val="0004008B"/>
    <w:rsid w:val="00040217"/>
    <w:rsid w:val="0004099B"/>
    <w:rsid w:val="00040F66"/>
    <w:rsid w:val="00041954"/>
    <w:rsid w:val="00041A04"/>
    <w:rsid w:val="00042123"/>
    <w:rsid w:val="0004274D"/>
    <w:rsid w:val="00042A11"/>
    <w:rsid w:val="00042BBB"/>
    <w:rsid w:val="00042EB1"/>
    <w:rsid w:val="0004308C"/>
    <w:rsid w:val="0004326B"/>
    <w:rsid w:val="00043348"/>
    <w:rsid w:val="00043AD5"/>
    <w:rsid w:val="00043B6A"/>
    <w:rsid w:val="00043F47"/>
    <w:rsid w:val="000440E8"/>
    <w:rsid w:val="0004433D"/>
    <w:rsid w:val="0004483F"/>
    <w:rsid w:val="000452F7"/>
    <w:rsid w:val="000459BD"/>
    <w:rsid w:val="00045AE1"/>
    <w:rsid w:val="00046CB4"/>
    <w:rsid w:val="0004735F"/>
    <w:rsid w:val="00047653"/>
    <w:rsid w:val="00047A71"/>
    <w:rsid w:val="00047B2E"/>
    <w:rsid w:val="00047F8C"/>
    <w:rsid w:val="00050533"/>
    <w:rsid w:val="0005138B"/>
    <w:rsid w:val="00051412"/>
    <w:rsid w:val="000518F5"/>
    <w:rsid w:val="00051A6C"/>
    <w:rsid w:val="00051F40"/>
    <w:rsid w:val="00051FC6"/>
    <w:rsid w:val="000522B7"/>
    <w:rsid w:val="00052714"/>
    <w:rsid w:val="00053143"/>
    <w:rsid w:val="00053717"/>
    <w:rsid w:val="00053B84"/>
    <w:rsid w:val="0005401E"/>
    <w:rsid w:val="00054782"/>
    <w:rsid w:val="00054B6F"/>
    <w:rsid w:val="000551A7"/>
    <w:rsid w:val="0005639E"/>
    <w:rsid w:val="00056880"/>
    <w:rsid w:val="00057025"/>
    <w:rsid w:val="0005704A"/>
    <w:rsid w:val="00057443"/>
    <w:rsid w:val="00057B2B"/>
    <w:rsid w:val="00057E5F"/>
    <w:rsid w:val="00060206"/>
    <w:rsid w:val="000607C3"/>
    <w:rsid w:val="00060C3D"/>
    <w:rsid w:val="00061595"/>
    <w:rsid w:val="00061A82"/>
    <w:rsid w:val="00062256"/>
    <w:rsid w:val="000628BE"/>
    <w:rsid w:val="0006319A"/>
    <w:rsid w:val="0006417E"/>
    <w:rsid w:val="000645A7"/>
    <w:rsid w:val="00065148"/>
    <w:rsid w:val="0006639C"/>
    <w:rsid w:val="00066568"/>
    <w:rsid w:val="00066894"/>
    <w:rsid w:val="0006697F"/>
    <w:rsid w:val="00066FDA"/>
    <w:rsid w:val="000674C5"/>
    <w:rsid w:val="000675D1"/>
    <w:rsid w:val="000678CE"/>
    <w:rsid w:val="00070961"/>
    <w:rsid w:val="00072060"/>
    <w:rsid w:val="000720A8"/>
    <w:rsid w:val="000726DB"/>
    <w:rsid w:val="00072A0E"/>
    <w:rsid w:val="00072B5B"/>
    <w:rsid w:val="00072C4B"/>
    <w:rsid w:val="00073521"/>
    <w:rsid w:val="0007406A"/>
    <w:rsid w:val="000754B0"/>
    <w:rsid w:val="00075B61"/>
    <w:rsid w:val="00076054"/>
    <w:rsid w:val="00076793"/>
    <w:rsid w:val="00076DE1"/>
    <w:rsid w:val="000775DE"/>
    <w:rsid w:val="000777A4"/>
    <w:rsid w:val="00077AC1"/>
    <w:rsid w:val="00080196"/>
    <w:rsid w:val="0008080E"/>
    <w:rsid w:val="00080998"/>
    <w:rsid w:val="00081DF2"/>
    <w:rsid w:val="00083B55"/>
    <w:rsid w:val="0008490D"/>
    <w:rsid w:val="00084E27"/>
    <w:rsid w:val="00084F7A"/>
    <w:rsid w:val="000851B5"/>
    <w:rsid w:val="0008578C"/>
    <w:rsid w:val="0008581B"/>
    <w:rsid w:val="0008660C"/>
    <w:rsid w:val="00087835"/>
    <w:rsid w:val="00087FAF"/>
    <w:rsid w:val="0009013E"/>
    <w:rsid w:val="000905D9"/>
    <w:rsid w:val="00091B1E"/>
    <w:rsid w:val="000922D4"/>
    <w:rsid w:val="0009251A"/>
    <w:rsid w:val="000928B8"/>
    <w:rsid w:val="00093899"/>
    <w:rsid w:val="00093C94"/>
    <w:rsid w:val="000949AF"/>
    <w:rsid w:val="00094A5D"/>
    <w:rsid w:val="00095D88"/>
    <w:rsid w:val="00095E2A"/>
    <w:rsid w:val="000963E9"/>
    <w:rsid w:val="00096E1F"/>
    <w:rsid w:val="0009795D"/>
    <w:rsid w:val="00097C92"/>
    <w:rsid w:val="000A021A"/>
    <w:rsid w:val="000A042D"/>
    <w:rsid w:val="000A093F"/>
    <w:rsid w:val="000A16AF"/>
    <w:rsid w:val="000A200C"/>
    <w:rsid w:val="000A2034"/>
    <w:rsid w:val="000A21AA"/>
    <w:rsid w:val="000A321E"/>
    <w:rsid w:val="000A33E0"/>
    <w:rsid w:val="000A38A3"/>
    <w:rsid w:val="000A39AF"/>
    <w:rsid w:val="000A3B96"/>
    <w:rsid w:val="000A3DC4"/>
    <w:rsid w:val="000A4C10"/>
    <w:rsid w:val="000A50C1"/>
    <w:rsid w:val="000A50C3"/>
    <w:rsid w:val="000A578C"/>
    <w:rsid w:val="000A645C"/>
    <w:rsid w:val="000A6931"/>
    <w:rsid w:val="000A6D1A"/>
    <w:rsid w:val="000A6F16"/>
    <w:rsid w:val="000A6F8B"/>
    <w:rsid w:val="000A7A83"/>
    <w:rsid w:val="000B0209"/>
    <w:rsid w:val="000B05E6"/>
    <w:rsid w:val="000B093F"/>
    <w:rsid w:val="000B1E5B"/>
    <w:rsid w:val="000B2247"/>
    <w:rsid w:val="000B2A27"/>
    <w:rsid w:val="000B302A"/>
    <w:rsid w:val="000B33A4"/>
    <w:rsid w:val="000B3E0D"/>
    <w:rsid w:val="000B42CB"/>
    <w:rsid w:val="000B47BE"/>
    <w:rsid w:val="000B4A39"/>
    <w:rsid w:val="000B653F"/>
    <w:rsid w:val="000B65BC"/>
    <w:rsid w:val="000B79CF"/>
    <w:rsid w:val="000B7E15"/>
    <w:rsid w:val="000C0965"/>
    <w:rsid w:val="000C1F0C"/>
    <w:rsid w:val="000C2DF7"/>
    <w:rsid w:val="000C3725"/>
    <w:rsid w:val="000C39D1"/>
    <w:rsid w:val="000C4457"/>
    <w:rsid w:val="000C489F"/>
    <w:rsid w:val="000C4CEE"/>
    <w:rsid w:val="000C571D"/>
    <w:rsid w:val="000C5F40"/>
    <w:rsid w:val="000C6CEF"/>
    <w:rsid w:val="000C7A28"/>
    <w:rsid w:val="000C7CFD"/>
    <w:rsid w:val="000D03C0"/>
    <w:rsid w:val="000D081C"/>
    <w:rsid w:val="000D0A57"/>
    <w:rsid w:val="000D0C20"/>
    <w:rsid w:val="000D1664"/>
    <w:rsid w:val="000D1B89"/>
    <w:rsid w:val="000D212D"/>
    <w:rsid w:val="000D236D"/>
    <w:rsid w:val="000D23D2"/>
    <w:rsid w:val="000D2DFE"/>
    <w:rsid w:val="000D358E"/>
    <w:rsid w:val="000D423A"/>
    <w:rsid w:val="000D428C"/>
    <w:rsid w:val="000D433E"/>
    <w:rsid w:val="000D56C8"/>
    <w:rsid w:val="000D56D4"/>
    <w:rsid w:val="000D61D7"/>
    <w:rsid w:val="000D6FE4"/>
    <w:rsid w:val="000D7078"/>
    <w:rsid w:val="000D76F2"/>
    <w:rsid w:val="000D79B4"/>
    <w:rsid w:val="000E0527"/>
    <w:rsid w:val="000E0835"/>
    <w:rsid w:val="000E0959"/>
    <w:rsid w:val="000E0A86"/>
    <w:rsid w:val="000E0B74"/>
    <w:rsid w:val="000E0BA5"/>
    <w:rsid w:val="000E0E1A"/>
    <w:rsid w:val="000E1E38"/>
    <w:rsid w:val="000E2AB8"/>
    <w:rsid w:val="000E2D3B"/>
    <w:rsid w:val="000E2DA9"/>
    <w:rsid w:val="000E3260"/>
    <w:rsid w:val="000E3B2F"/>
    <w:rsid w:val="000E3CAD"/>
    <w:rsid w:val="000E4861"/>
    <w:rsid w:val="000E5073"/>
    <w:rsid w:val="000E5A22"/>
    <w:rsid w:val="000E6384"/>
    <w:rsid w:val="000E7901"/>
    <w:rsid w:val="000E7F5C"/>
    <w:rsid w:val="000F053C"/>
    <w:rsid w:val="000F092E"/>
    <w:rsid w:val="000F108D"/>
    <w:rsid w:val="000F12F6"/>
    <w:rsid w:val="000F13F6"/>
    <w:rsid w:val="000F145D"/>
    <w:rsid w:val="000F1941"/>
    <w:rsid w:val="000F2D59"/>
    <w:rsid w:val="000F2F01"/>
    <w:rsid w:val="000F3047"/>
    <w:rsid w:val="000F32B0"/>
    <w:rsid w:val="000F39AE"/>
    <w:rsid w:val="000F3CF5"/>
    <w:rsid w:val="000F4A1D"/>
    <w:rsid w:val="000F5316"/>
    <w:rsid w:val="000F55CB"/>
    <w:rsid w:val="000F5D74"/>
    <w:rsid w:val="000F6186"/>
    <w:rsid w:val="000F6233"/>
    <w:rsid w:val="000F656F"/>
    <w:rsid w:val="000F6C91"/>
    <w:rsid w:val="000F7044"/>
    <w:rsid w:val="000F7448"/>
    <w:rsid w:val="000F7E5F"/>
    <w:rsid w:val="001003E6"/>
    <w:rsid w:val="001003EE"/>
    <w:rsid w:val="0010058A"/>
    <w:rsid w:val="00100AAE"/>
    <w:rsid w:val="00101115"/>
    <w:rsid w:val="001012B2"/>
    <w:rsid w:val="0010166F"/>
    <w:rsid w:val="00101945"/>
    <w:rsid w:val="00101B5E"/>
    <w:rsid w:val="00102B21"/>
    <w:rsid w:val="001032CC"/>
    <w:rsid w:val="00103442"/>
    <w:rsid w:val="00103F3C"/>
    <w:rsid w:val="0010471B"/>
    <w:rsid w:val="00105012"/>
    <w:rsid w:val="00105323"/>
    <w:rsid w:val="00105401"/>
    <w:rsid w:val="001061D3"/>
    <w:rsid w:val="00106B06"/>
    <w:rsid w:val="00106DF0"/>
    <w:rsid w:val="00106E38"/>
    <w:rsid w:val="00106FCE"/>
    <w:rsid w:val="00107BE5"/>
    <w:rsid w:val="00107C3A"/>
    <w:rsid w:val="00107D56"/>
    <w:rsid w:val="00107D84"/>
    <w:rsid w:val="0011037B"/>
    <w:rsid w:val="001104CD"/>
    <w:rsid w:val="00110EE2"/>
    <w:rsid w:val="001110F3"/>
    <w:rsid w:val="0011189C"/>
    <w:rsid w:val="001118CB"/>
    <w:rsid w:val="00111D96"/>
    <w:rsid w:val="00111F0D"/>
    <w:rsid w:val="00112454"/>
    <w:rsid w:val="00112526"/>
    <w:rsid w:val="001125DC"/>
    <w:rsid w:val="00112A07"/>
    <w:rsid w:val="00112B78"/>
    <w:rsid w:val="00112E19"/>
    <w:rsid w:val="0011309E"/>
    <w:rsid w:val="00113394"/>
    <w:rsid w:val="00113F98"/>
    <w:rsid w:val="001140BF"/>
    <w:rsid w:val="00114666"/>
    <w:rsid w:val="0011470A"/>
    <w:rsid w:val="001148B7"/>
    <w:rsid w:val="001153D9"/>
    <w:rsid w:val="0011584F"/>
    <w:rsid w:val="00115C40"/>
    <w:rsid w:val="001165BE"/>
    <w:rsid w:val="001169D8"/>
    <w:rsid w:val="00116ECE"/>
    <w:rsid w:val="001176FE"/>
    <w:rsid w:val="00117C5A"/>
    <w:rsid w:val="0012038E"/>
    <w:rsid w:val="001213A6"/>
    <w:rsid w:val="0012166A"/>
    <w:rsid w:val="00121C79"/>
    <w:rsid w:val="00121F38"/>
    <w:rsid w:val="0012257B"/>
    <w:rsid w:val="00122E8C"/>
    <w:rsid w:val="0012365C"/>
    <w:rsid w:val="00123ECE"/>
    <w:rsid w:val="00123F8C"/>
    <w:rsid w:val="00124272"/>
    <w:rsid w:val="0012464A"/>
    <w:rsid w:val="00124810"/>
    <w:rsid w:val="00124982"/>
    <w:rsid w:val="001252DD"/>
    <w:rsid w:val="0012621A"/>
    <w:rsid w:val="00126D5D"/>
    <w:rsid w:val="00126DDF"/>
    <w:rsid w:val="00126F89"/>
    <w:rsid w:val="00130B3F"/>
    <w:rsid w:val="00130B6B"/>
    <w:rsid w:val="00131B64"/>
    <w:rsid w:val="00131DC3"/>
    <w:rsid w:val="00132326"/>
    <w:rsid w:val="0013243C"/>
    <w:rsid w:val="00132D6B"/>
    <w:rsid w:val="001334B7"/>
    <w:rsid w:val="001334C8"/>
    <w:rsid w:val="00133A5C"/>
    <w:rsid w:val="00133E82"/>
    <w:rsid w:val="0013419E"/>
    <w:rsid w:val="0013444A"/>
    <w:rsid w:val="0013450D"/>
    <w:rsid w:val="00134C37"/>
    <w:rsid w:val="00135A0E"/>
    <w:rsid w:val="00135E4C"/>
    <w:rsid w:val="00136141"/>
    <w:rsid w:val="001367CE"/>
    <w:rsid w:val="00136AB5"/>
    <w:rsid w:val="00136C60"/>
    <w:rsid w:val="001370D4"/>
    <w:rsid w:val="001373F5"/>
    <w:rsid w:val="001374E5"/>
    <w:rsid w:val="001401B3"/>
    <w:rsid w:val="00140796"/>
    <w:rsid w:val="00140C1A"/>
    <w:rsid w:val="00140E69"/>
    <w:rsid w:val="001416CD"/>
    <w:rsid w:val="001429DF"/>
    <w:rsid w:val="0014320B"/>
    <w:rsid w:val="001432BF"/>
    <w:rsid w:val="001438CB"/>
    <w:rsid w:val="001438CF"/>
    <w:rsid w:val="00143C10"/>
    <w:rsid w:val="001440EC"/>
    <w:rsid w:val="00144697"/>
    <w:rsid w:val="00144C6E"/>
    <w:rsid w:val="00146B92"/>
    <w:rsid w:val="00146D83"/>
    <w:rsid w:val="001515CE"/>
    <w:rsid w:val="00151738"/>
    <w:rsid w:val="00151805"/>
    <w:rsid w:val="001518C4"/>
    <w:rsid w:val="00151D8F"/>
    <w:rsid w:val="00151DC9"/>
    <w:rsid w:val="0015203D"/>
    <w:rsid w:val="0015276B"/>
    <w:rsid w:val="00152AC8"/>
    <w:rsid w:val="00152E13"/>
    <w:rsid w:val="00153481"/>
    <w:rsid w:val="001544B9"/>
    <w:rsid w:val="00154571"/>
    <w:rsid w:val="001549AE"/>
    <w:rsid w:val="00155D06"/>
    <w:rsid w:val="00156214"/>
    <w:rsid w:val="001574C0"/>
    <w:rsid w:val="001606CF"/>
    <w:rsid w:val="0016072D"/>
    <w:rsid w:val="00160C9A"/>
    <w:rsid w:val="001611F7"/>
    <w:rsid w:val="00161271"/>
    <w:rsid w:val="0016128D"/>
    <w:rsid w:val="00161679"/>
    <w:rsid w:val="00161F1F"/>
    <w:rsid w:val="00162098"/>
    <w:rsid w:val="00162474"/>
    <w:rsid w:val="0016264D"/>
    <w:rsid w:val="001627F8"/>
    <w:rsid w:val="00162B44"/>
    <w:rsid w:val="001636BA"/>
    <w:rsid w:val="001643E7"/>
    <w:rsid w:val="00164599"/>
    <w:rsid w:val="001661F1"/>
    <w:rsid w:val="00166838"/>
    <w:rsid w:val="0017014A"/>
    <w:rsid w:val="001701B9"/>
    <w:rsid w:val="0017077B"/>
    <w:rsid w:val="0017089D"/>
    <w:rsid w:val="00171711"/>
    <w:rsid w:val="0017175B"/>
    <w:rsid w:val="001719E4"/>
    <w:rsid w:val="00171DAA"/>
    <w:rsid w:val="00172359"/>
    <w:rsid w:val="0017245E"/>
    <w:rsid w:val="00172B62"/>
    <w:rsid w:val="001740EE"/>
    <w:rsid w:val="00174CC1"/>
    <w:rsid w:val="001752CC"/>
    <w:rsid w:val="001754C0"/>
    <w:rsid w:val="001762BA"/>
    <w:rsid w:val="0017693E"/>
    <w:rsid w:val="00176C38"/>
    <w:rsid w:val="00176D21"/>
    <w:rsid w:val="0017716B"/>
    <w:rsid w:val="0017740E"/>
    <w:rsid w:val="0017758A"/>
    <w:rsid w:val="00177C1B"/>
    <w:rsid w:val="00180006"/>
    <w:rsid w:val="001805A8"/>
    <w:rsid w:val="00181897"/>
    <w:rsid w:val="00182FAA"/>
    <w:rsid w:val="00183268"/>
    <w:rsid w:val="00183532"/>
    <w:rsid w:val="001843F0"/>
    <w:rsid w:val="00184A49"/>
    <w:rsid w:val="001852EE"/>
    <w:rsid w:val="0018531D"/>
    <w:rsid w:val="0018554F"/>
    <w:rsid w:val="00185590"/>
    <w:rsid w:val="00185D8D"/>
    <w:rsid w:val="00186A3F"/>
    <w:rsid w:val="00186D42"/>
    <w:rsid w:val="00187C52"/>
    <w:rsid w:val="00187EA1"/>
    <w:rsid w:val="001901A5"/>
    <w:rsid w:val="001906B8"/>
    <w:rsid w:val="0019101A"/>
    <w:rsid w:val="00192975"/>
    <w:rsid w:val="001929BF"/>
    <w:rsid w:val="0019353A"/>
    <w:rsid w:val="0019459E"/>
    <w:rsid w:val="0019479B"/>
    <w:rsid w:val="0019511C"/>
    <w:rsid w:val="001952E7"/>
    <w:rsid w:val="00195C8E"/>
    <w:rsid w:val="00195ED9"/>
    <w:rsid w:val="00196106"/>
    <w:rsid w:val="00196ACF"/>
    <w:rsid w:val="001970A2"/>
    <w:rsid w:val="0019729D"/>
    <w:rsid w:val="001972D2"/>
    <w:rsid w:val="00197A97"/>
    <w:rsid w:val="001A00CE"/>
    <w:rsid w:val="001A0887"/>
    <w:rsid w:val="001A0CCD"/>
    <w:rsid w:val="001A1188"/>
    <w:rsid w:val="001A1796"/>
    <w:rsid w:val="001A1B51"/>
    <w:rsid w:val="001A31C6"/>
    <w:rsid w:val="001A3620"/>
    <w:rsid w:val="001A39E4"/>
    <w:rsid w:val="001A3B40"/>
    <w:rsid w:val="001A41E6"/>
    <w:rsid w:val="001A46F4"/>
    <w:rsid w:val="001A5164"/>
    <w:rsid w:val="001A622F"/>
    <w:rsid w:val="001A62D8"/>
    <w:rsid w:val="001A6CE9"/>
    <w:rsid w:val="001A740A"/>
    <w:rsid w:val="001A7594"/>
    <w:rsid w:val="001A7B6E"/>
    <w:rsid w:val="001B0DD3"/>
    <w:rsid w:val="001B100D"/>
    <w:rsid w:val="001B1B75"/>
    <w:rsid w:val="001B1F15"/>
    <w:rsid w:val="001B2353"/>
    <w:rsid w:val="001B2E4F"/>
    <w:rsid w:val="001B3459"/>
    <w:rsid w:val="001B35F7"/>
    <w:rsid w:val="001B3B00"/>
    <w:rsid w:val="001B3C82"/>
    <w:rsid w:val="001B3ED0"/>
    <w:rsid w:val="001B436A"/>
    <w:rsid w:val="001B463C"/>
    <w:rsid w:val="001B467B"/>
    <w:rsid w:val="001B4B0C"/>
    <w:rsid w:val="001B4B54"/>
    <w:rsid w:val="001B5252"/>
    <w:rsid w:val="001B5726"/>
    <w:rsid w:val="001B593A"/>
    <w:rsid w:val="001B5CA0"/>
    <w:rsid w:val="001B6090"/>
    <w:rsid w:val="001B7A08"/>
    <w:rsid w:val="001C0214"/>
    <w:rsid w:val="001C0A94"/>
    <w:rsid w:val="001C0B1F"/>
    <w:rsid w:val="001C1DF8"/>
    <w:rsid w:val="001C2981"/>
    <w:rsid w:val="001C358D"/>
    <w:rsid w:val="001C3A6B"/>
    <w:rsid w:val="001C3BEF"/>
    <w:rsid w:val="001C40A0"/>
    <w:rsid w:val="001C45F8"/>
    <w:rsid w:val="001C46DE"/>
    <w:rsid w:val="001C4EB0"/>
    <w:rsid w:val="001C59AD"/>
    <w:rsid w:val="001C59D0"/>
    <w:rsid w:val="001C61DC"/>
    <w:rsid w:val="001C6241"/>
    <w:rsid w:val="001C627F"/>
    <w:rsid w:val="001C6450"/>
    <w:rsid w:val="001C69A9"/>
    <w:rsid w:val="001C72C8"/>
    <w:rsid w:val="001C7595"/>
    <w:rsid w:val="001C7CAE"/>
    <w:rsid w:val="001D062F"/>
    <w:rsid w:val="001D0884"/>
    <w:rsid w:val="001D195F"/>
    <w:rsid w:val="001D389C"/>
    <w:rsid w:val="001D40BB"/>
    <w:rsid w:val="001D4232"/>
    <w:rsid w:val="001D42FF"/>
    <w:rsid w:val="001D4350"/>
    <w:rsid w:val="001D4ED8"/>
    <w:rsid w:val="001D5097"/>
    <w:rsid w:val="001D5A81"/>
    <w:rsid w:val="001D633A"/>
    <w:rsid w:val="001D6992"/>
    <w:rsid w:val="001D7287"/>
    <w:rsid w:val="001D72CC"/>
    <w:rsid w:val="001E153E"/>
    <w:rsid w:val="001E1905"/>
    <w:rsid w:val="001E1DE9"/>
    <w:rsid w:val="001E259A"/>
    <w:rsid w:val="001E2A34"/>
    <w:rsid w:val="001E2CBA"/>
    <w:rsid w:val="001E3363"/>
    <w:rsid w:val="001E3656"/>
    <w:rsid w:val="001E42ED"/>
    <w:rsid w:val="001E4DDA"/>
    <w:rsid w:val="001E5036"/>
    <w:rsid w:val="001E5311"/>
    <w:rsid w:val="001E5BE5"/>
    <w:rsid w:val="001E6192"/>
    <w:rsid w:val="001E6635"/>
    <w:rsid w:val="001E69DE"/>
    <w:rsid w:val="001E7115"/>
    <w:rsid w:val="001E727F"/>
    <w:rsid w:val="001E72AF"/>
    <w:rsid w:val="001E732B"/>
    <w:rsid w:val="001E7827"/>
    <w:rsid w:val="001E7868"/>
    <w:rsid w:val="001E78CC"/>
    <w:rsid w:val="001E7B96"/>
    <w:rsid w:val="001F0191"/>
    <w:rsid w:val="001F051E"/>
    <w:rsid w:val="001F07B9"/>
    <w:rsid w:val="001F0F1F"/>
    <w:rsid w:val="001F1B27"/>
    <w:rsid w:val="001F3AC9"/>
    <w:rsid w:val="001F3B2E"/>
    <w:rsid w:val="001F4310"/>
    <w:rsid w:val="001F45D5"/>
    <w:rsid w:val="001F4701"/>
    <w:rsid w:val="001F4C76"/>
    <w:rsid w:val="001F4D00"/>
    <w:rsid w:val="001F4F14"/>
    <w:rsid w:val="001F5697"/>
    <w:rsid w:val="001F6323"/>
    <w:rsid w:val="001F697D"/>
    <w:rsid w:val="001F7380"/>
    <w:rsid w:val="001F783D"/>
    <w:rsid w:val="001F786D"/>
    <w:rsid w:val="001F7E53"/>
    <w:rsid w:val="0020039F"/>
    <w:rsid w:val="00200D71"/>
    <w:rsid w:val="0020129A"/>
    <w:rsid w:val="00201399"/>
    <w:rsid w:val="00201D97"/>
    <w:rsid w:val="00201E2E"/>
    <w:rsid w:val="0020299A"/>
    <w:rsid w:val="00202DAF"/>
    <w:rsid w:val="0020311E"/>
    <w:rsid w:val="0020347E"/>
    <w:rsid w:val="002049CA"/>
    <w:rsid w:val="002052A7"/>
    <w:rsid w:val="0020573C"/>
    <w:rsid w:val="00205963"/>
    <w:rsid w:val="00206BBA"/>
    <w:rsid w:val="00206ED0"/>
    <w:rsid w:val="00206FFD"/>
    <w:rsid w:val="00207AE0"/>
    <w:rsid w:val="00207AEA"/>
    <w:rsid w:val="0021035C"/>
    <w:rsid w:val="00210950"/>
    <w:rsid w:val="00211244"/>
    <w:rsid w:val="0021192E"/>
    <w:rsid w:val="00212197"/>
    <w:rsid w:val="00212E70"/>
    <w:rsid w:val="00213208"/>
    <w:rsid w:val="00213B10"/>
    <w:rsid w:val="00213B56"/>
    <w:rsid w:val="00213D25"/>
    <w:rsid w:val="002140CB"/>
    <w:rsid w:val="002140FB"/>
    <w:rsid w:val="002141C5"/>
    <w:rsid w:val="002145B0"/>
    <w:rsid w:val="0021476E"/>
    <w:rsid w:val="0021533E"/>
    <w:rsid w:val="00215A02"/>
    <w:rsid w:val="0021688F"/>
    <w:rsid w:val="00216B80"/>
    <w:rsid w:val="00216DCD"/>
    <w:rsid w:val="00216E93"/>
    <w:rsid w:val="00217425"/>
    <w:rsid w:val="002177C4"/>
    <w:rsid w:val="0021781B"/>
    <w:rsid w:val="00217B5F"/>
    <w:rsid w:val="00220126"/>
    <w:rsid w:val="0022031B"/>
    <w:rsid w:val="00220476"/>
    <w:rsid w:val="00220655"/>
    <w:rsid w:val="00220722"/>
    <w:rsid w:val="00220B4C"/>
    <w:rsid w:val="00221400"/>
    <w:rsid w:val="0022163E"/>
    <w:rsid w:val="00221EC0"/>
    <w:rsid w:val="00222185"/>
    <w:rsid w:val="00222F3F"/>
    <w:rsid w:val="00223251"/>
    <w:rsid w:val="00223484"/>
    <w:rsid w:val="0022369B"/>
    <w:rsid w:val="0022396E"/>
    <w:rsid w:val="00224338"/>
    <w:rsid w:val="00224746"/>
    <w:rsid w:val="00224B6D"/>
    <w:rsid w:val="002256E4"/>
    <w:rsid w:val="002259C9"/>
    <w:rsid w:val="00225FCE"/>
    <w:rsid w:val="00226025"/>
    <w:rsid w:val="002276AF"/>
    <w:rsid w:val="00230B61"/>
    <w:rsid w:val="00231049"/>
    <w:rsid w:val="002311E7"/>
    <w:rsid w:val="002314D2"/>
    <w:rsid w:val="00231A2D"/>
    <w:rsid w:val="00231B07"/>
    <w:rsid w:val="00231FD1"/>
    <w:rsid w:val="00232046"/>
    <w:rsid w:val="0023277F"/>
    <w:rsid w:val="0023305C"/>
    <w:rsid w:val="00233B5E"/>
    <w:rsid w:val="00234047"/>
    <w:rsid w:val="00234946"/>
    <w:rsid w:val="00234E99"/>
    <w:rsid w:val="00235945"/>
    <w:rsid w:val="00235F92"/>
    <w:rsid w:val="002360EF"/>
    <w:rsid w:val="002360F9"/>
    <w:rsid w:val="0023653C"/>
    <w:rsid w:val="00236A8B"/>
    <w:rsid w:val="00237559"/>
    <w:rsid w:val="00237BA6"/>
    <w:rsid w:val="00237F05"/>
    <w:rsid w:val="002401E4"/>
    <w:rsid w:val="00240632"/>
    <w:rsid w:val="00240A66"/>
    <w:rsid w:val="00240E66"/>
    <w:rsid w:val="00240F06"/>
    <w:rsid w:val="00241458"/>
    <w:rsid w:val="002414A5"/>
    <w:rsid w:val="00241881"/>
    <w:rsid w:val="002418D9"/>
    <w:rsid w:val="00241A50"/>
    <w:rsid w:val="0024256F"/>
    <w:rsid w:val="0024294C"/>
    <w:rsid w:val="00242969"/>
    <w:rsid w:val="002430DA"/>
    <w:rsid w:val="00243244"/>
    <w:rsid w:val="002435DC"/>
    <w:rsid w:val="00244D80"/>
    <w:rsid w:val="00244E89"/>
    <w:rsid w:val="002456D7"/>
    <w:rsid w:val="00245A4D"/>
    <w:rsid w:val="00245A67"/>
    <w:rsid w:val="00245F74"/>
    <w:rsid w:val="00246131"/>
    <w:rsid w:val="002461BA"/>
    <w:rsid w:val="002464F5"/>
    <w:rsid w:val="0024672D"/>
    <w:rsid w:val="00246ABE"/>
    <w:rsid w:val="00246C8D"/>
    <w:rsid w:val="002477AD"/>
    <w:rsid w:val="0024785C"/>
    <w:rsid w:val="00247B81"/>
    <w:rsid w:val="0025103A"/>
    <w:rsid w:val="00251FED"/>
    <w:rsid w:val="00252174"/>
    <w:rsid w:val="00252CBA"/>
    <w:rsid w:val="00253870"/>
    <w:rsid w:val="00253A9F"/>
    <w:rsid w:val="002543D8"/>
    <w:rsid w:val="00254869"/>
    <w:rsid w:val="00254D95"/>
    <w:rsid w:val="00255852"/>
    <w:rsid w:val="00255EBA"/>
    <w:rsid w:val="00256282"/>
    <w:rsid w:val="002562CF"/>
    <w:rsid w:val="002563B7"/>
    <w:rsid w:val="0025652F"/>
    <w:rsid w:val="00256F3C"/>
    <w:rsid w:val="00257605"/>
    <w:rsid w:val="0025766D"/>
    <w:rsid w:val="0025769A"/>
    <w:rsid w:val="00257985"/>
    <w:rsid w:val="00257ABA"/>
    <w:rsid w:val="00257F98"/>
    <w:rsid w:val="002607B2"/>
    <w:rsid w:val="00260A97"/>
    <w:rsid w:val="002618E8"/>
    <w:rsid w:val="00261973"/>
    <w:rsid w:val="00261AAC"/>
    <w:rsid w:val="00262495"/>
    <w:rsid w:val="002631CF"/>
    <w:rsid w:val="00263232"/>
    <w:rsid w:val="00263432"/>
    <w:rsid w:val="00263542"/>
    <w:rsid w:val="002636C1"/>
    <w:rsid w:val="002639B4"/>
    <w:rsid w:val="00263B6C"/>
    <w:rsid w:val="00264814"/>
    <w:rsid w:val="00264966"/>
    <w:rsid w:val="00264CAA"/>
    <w:rsid w:val="00264D5B"/>
    <w:rsid w:val="00264D87"/>
    <w:rsid w:val="0026577D"/>
    <w:rsid w:val="00265D92"/>
    <w:rsid w:val="00265F1B"/>
    <w:rsid w:val="00266081"/>
    <w:rsid w:val="0026698D"/>
    <w:rsid w:val="00266BC2"/>
    <w:rsid w:val="00266D65"/>
    <w:rsid w:val="00267E78"/>
    <w:rsid w:val="0027041C"/>
    <w:rsid w:val="00270743"/>
    <w:rsid w:val="002714EF"/>
    <w:rsid w:val="00272939"/>
    <w:rsid w:val="00272DBC"/>
    <w:rsid w:val="0027319E"/>
    <w:rsid w:val="002732DA"/>
    <w:rsid w:val="00273D92"/>
    <w:rsid w:val="0027456A"/>
    <w:rsid w:val="0027484C"/>
    <w:rsid w:val="00274B6F"/>
    <w:rsid w:val="00275227"/>
    <w:rsid w:val="002758DC"/>
    <w:rsid w:val="0027590B"/>
    <w:rsid w:val="002760D0"/>
    <w:rsid w:val="002768A5"/>
    <w:rsid w:val="00276926"/>
    <w:rsid w:val="00276EA5"/>
    <w:rsid w:val="002803F1"/>
    <w:rsid w:val="00280C8D"/>
    <w:rsid w:val="002810D0"/>
    <w:rsid w:val="002814AC"/>
    <w:rsid w:val="0028174B"/>
    <w:rsid w:val="0028236A"/>
    <w:rsid w:val="0028283D"/>
    <w:rsid w:val="002835F1"/>
    <w:rsid w:val="00283708"/>
    <w:rsid w:val="00283BEC"/>
    <w:rsid w:val="002846AE"/>
    <w:rsid w:val="00285969"/>
    <w:rsid w:val="0028602D"/>
    <w:rsid w:val="00286106"/>
    <w:rsid w:val="00286396"/>
    <w:rsid w:val="002864F9"/>
    <w:rsid w:val="00287842"/>
    <w:rsid w:val="00287A1E"/>
    <w:rsid w:val="00287B94"/>
    <w:rsid w:val="00287C8E"/>
    <w:rsid w:val="00287F4E"/>
    <w:rsid w:val="00290756"/>
    <w:rsid w:val="002908CB"/>
    <w:rsid w:val="00290CAB"/>
    <w:rsid w:val="00291B46"/>
    <w:rsid w:val="00291DAB"/>
    <w:rsid w:val="002920F9"/>
    <w:rsid w:val="00292130"/>
    <w:rsid w:val="00292D0A"/>
    <w:rsid w:val="00293461"/>
    <w:rsid w:val="002934C4"/>
    <w:rsid w:val="00293546"/>
    <w:rsid w:val="002936D3"/>
    <w:rsid w:val="002937BB"/>
    <w:rsid w:val="00293960"/>
    <w:rsid w:val="00293EE6"/>
    <w:rsid w:val="00294E0C"/>
    <w:rsid w:val="00294EB5"/>
    <w:rsid w:val="002955E6"/>
    <w:rsid w:val="00295B30"/>
    <w:rsid w:val="00295D3E"/>
    <w:rsid w:val="0029601B"/>
    <w:rsid w:val="002966B0"/>
    <w:rsid w:val="002967E8"/>
    <w:rsid w:val="00296982"/>
    <w:rsid w:val="00296B83"/>
    <w:rsid w:val="00296CEB"/>
    <w:rsid w:val="00297EE3"/>
    <w:rsid w:val="00297FC4"/>
    <w:rsid w:val="002A0653"/>
    <w:rsid w:val="002A09F5"/>
    <w:rsid w:val="002A0C0A"/>
    <w:rsid w:val="002A1E58"/>
    <w:rsid w:val="002A1FF4"/>
    <w:rsid w:val="002A27C8"/>
    <w:rsid w:val="002A3455"/>
    <w:rsid w:val="002A3607"/>
    <w:rsid w:val="002A3BBA"/>
    <w:rsid w:val="002A3E14"/>
    <w:rsid w:val="002A447C"/>
    <w:rsid w:val="002A4D23"/>
    <w:rsid w:val="002A4E45"/>
    <w:rsid w:val="002A5A08"/>
    <w:rsid w:val="002A616D"/>
    <w:rsid w:val="002A74EF"/>
    <w:rsid w:val="002A7567"/>
    <w:rsid w:val="002A7A31"/>
    <w:rsid w:val="002A7BF7"/>
    <w:rsid w:val="002A7E2A"/>
    <w:rsid w:val="002B0054"/>
    <w:rsid w:val="002B0431"/>
    <w:rsid w:val="002B04F4"/>
    <w:rsid w:val="002B0539"/>
    <w:rsid w:val="002B05E9"/>
    <w:rsid w:val="002B172F"/>
    <w:rsid w:val="002B1778"/>
    <w:rsid w:val="002B1D20"/>
    <w:rsid w:val="002B22EA"/>
    <w:rsid w:val="002B2881"/>
    <w:rsid w:val="002B3418"/>
    <w:rsid w:val="002B3829"/>
    <w:rsid w:val="002B44C9"/>
    <w:rsid w:val="002B4670"/>
    <w:rsid w:val="002B48F8"/>
    <w:rsid w:val="002B4CC7"/>
    <w:rsid w:val="002B4D8B"/>
    <w:rsid w:val="002B5582"/>
    <w:rsid w:val="002B5F5B"/>
    <w:rsid w:val="002B68A7"/>
    <w:rsid w:val="002B76FE"/>
    <w:rsid w:val="002B77A4"/>
    <w:rsid w:val="002B7A29"/>
    <w:rsid w:val="002B7D63"/>
    <w:rsid w:val="002C011E"/>
    <w:rsid w:val="002C0735"/>
    <w:rsid w:val="002C09C9"/>
    <w:rsid w:val="002C0C69"/>
    <w:rsid w:val="002C19A0"/>
    <w:rsid w:val="002C22EF"/>
    <w:rsid w:val="002C381F"/>
    <w:rsid w:val="002C3AA4"/>
    <w:rsid w:val="002C3BE6"/>
    <w:rsid w:val="002C3F7A"/>
    <w:rsid w:val="002C4B7A"/>
    <w:rsid w:val="002C65EA"/>
    <w:rsid w:val="002C6AE1"/>
    <w:rsid w:val="002D00BD"/>
    <w:rsid w:val="002D07A1"/>
    <w:rsid w:val="002D19A0"/>
    <w:rsid w:val="002D1AC1"/>
    <w:rsid w:val="002D1F04"/>
    <w:rsid w:val="002D27B9"/>
    <w:rsid w:val="002D3D93"/>
    <w:rsid w:val="002D4124"/>
    <w:rsid w:val="002D46C3"/>
    <w:rsid w:val="002D4847"/>
    <w:rsid w:val="002D4B83"/>
    <w:rsid w:val="002D5601"/>
    <w:rsid w:val="002D5BA0"/>
    <w:rsid w:val="002D6371"/>
    <w:rsid w:val="002D6422"/>
    <w:rsid w:val="002D6EE6"/>
    <w:rsid w:val="002D764E"/>
    <w:rsid w:val="002D7962"/>
    <w:rsid w:val="002E19CF"/>
    <w:rsid w:val="002E1B18"/>
    <w:rsid w:val="002E1FB6"/>
    <w:rsid w:val="002E281B"/>
    <w:rsid w:val="002E2A8C"/>
    <w:rsid w:val="002E3D2A"/>
    <w:rsid w:val="002E3F2A"/>
    <w:rsid w:val="002E429E"/>
    <w:rsid w:val="002E454C"/>
    <w:rsid w:val="002E492B"/>
    <w:rsid w:val="002E4A39"/>
    <w:rsid w:val="002E4FAE"/>
    <w:rsid w:val="002E5126"/>
    <w:rsid w:val="002E7152"/>
    <w:rsid w:val="002E7BCD"/>
    <w:rsid w:val="002F03C1"/>
    <w:rsid w:val="002F0A9E"/>
    <w:rsid w:val="002F15BE"/>
    <w:rsid w:val="002F171C"/>
    <w:rsid w:val="002F177E"/>
    <w:rsid w:val="002F203D"/>
    <w:rsid w:val="002F2129"/>
    <w:rsid w:val="002F21BE"/>
    <w:rsid w:val="002F2221"/>
    <w:rsid w:val="002F2C06"/>
    <w:rsid w:val="002F2CAF"/>
    <w:rsid w:val="002F3585"/>
    <w:rsid w:val="002F3F20"/>
    <w:rsid w:val="002F4444"/>
    <w:rsid w:val="002F45C1"/>
    <w:rsid w:val="002F4B54"/>
    <w:rsid w:val="002F52B7"/>
    <w:rsid w:val="002F546F"/>
    <w:rsid w:val="002F55BA"/>
    <w:rsid w:val="002F596D"/>
    <w:rsid w:val="002F5C56"/>
    <w:rsid w:val="002F617F"/>
    <w:rsid w:val="002F6311"/>
    <w:rsid w:val="002F6C44"/>
    <w:rsid w:val="002F70C1"/>
    <w:rsid w:val="002F7676"/>
    <w:rsid w:val="00300109"/>
    <w:rsid w:val="00300970"/>
    <w:rsid w:val="00301183"/>
    <w:rsid w:val="00301755"/>
    <w:rsid w:val="003018A9"/>
    <w:rsid w:val="00303335"/>
    <w:rsid w:val="00303379"/>
    <w:rsid w:val="00303987"/>
    <w:rsid w:val="003043DC"/>
    <w:rsid w:val="003060F1"/>
    <w:rsid w:val="0030665E"/>
    <w:rsid w:val="00306894"/>
    <w:rsid w:val="0030695F"/>
    <w:rsid w:val="00306C4A"/>
    <w:rsid w:val="00306EB0"/>
    <w:rsid w:val="0030731C"/>
    <w:rsid w:val="0030734C"/>
    <w:rsid w:val="003075FB"/>
    <w:rsid w:val="0030791C"/>
    <w:rsid w:val="00307D48"/>
    <w:rsid w:val="00310BF6"/>
    <w:rsid w:val="00311D9C"/>
    <w:rsid w:val="00311FAB"/>
    <w:rsid w:val="0031221C"/>
    <w:rsid w:val="003122F4"/>
    <w:rsid w:val="00312573"/>
    <w:rsid w:val="003127B1"/>
    <w:rsid w:val="00312D3D"/>
    <w:rsid w:val="00313820"/>
    <w:rsid w:val="00314DB1"/>
    <w:rsid w:val="00315028"/>
    <w:rsid w:val="00315B75"/>
    <w:rsid w:val="00315BA5"/>
    <w:rsid w:val="00315CD3"/>
    <w:rsid w:val="0031683A"/>
    <w:rsid w:val="00317355"/>
    <w:rsid w:val="00317767"/>
    <w:rsid w:val="00317925"/>
    <w:rsid w:val="003202E6"/>
    <w:rsid w:val="00320498"/>
    <w:rsid w:val="0032084A"/>
    <w:rsid w:val="0032139D"/>
    <w:rsid w:val="0032149B"/>
    <w:rsid w:val="00322E25"/>
    <w:rsid w:val="00324AA0"/>
    <w:rsid w:val="00325908"/>
    <w:rsid w:val="00325BD6"/>
    <w:rsid w:val="003268D5"/>
    <w:rsid w:val="00326AB7"/>
    <w:rsid w:val="00326C7A"/>
    <w:rsid w:val="0032739E"/>
    <w:rsid w:val="003276A9"/>
    <w:rsid w:val="003306E2"/>
    <w:rsid w:val="00330AE5"/>
    <w:rsid w:val="00330DF1"/>
    <w:rsid w:val="0033149E"/>
    <w:rsid w:val="00331878"/>
    <w:rsid w:val="00331CBA"/>
    <w:rsid w:val="00332422"/>
    <w:rsid w:val="00332CDB"/>
    <w:rsid w:val="00332D1C"/>
    <w:rsid w:val="00333691"/>
    <w:rsid w:val="00333A93"/>
    <w:rsid w:val="00333ABF"/>
    <w:rsid w:val="00333BC9"/>
    <w:rsid w:val="00333EC1"/>
    <w:rsid w:val="00333F5C"/>
    <w:rsid w:val="0033404B"/>
    <w:rsid w:val="003340B7"/>
    <w:rsid w:val="00334E06"/>
    <w:rsid w:val="00334E7E"/>
    <w:rsid w:val="00334E8B"/>
    <w:rsid w:val="00334EE9"/>
    <w:rsid w:val="003351FA"/>
    <w:rsid w:val="00335368"/>
    <w:rsid w:val="003358BD"/>
    <w:rsid w:val="00335987"/>
    <w:rsid w:val="003361A2"/>
    <w:rsid w:val="00336626"/>
    <w:rsid w:val="00336B7F"/>
    <w:rsid w:val="0033755F"/>
    <w:rsid w:val="00340163"/>
    <w:rsid w:val="003407E8"/>
    <w:rsid w:val="003408BC"/>
    <w:rsid w:val="003414C7"/>
    <w:rsid w:val="0034192B"/>
    <w:rsid w:val="00343366"/>
    <w:rsid w:val="00343642"/>
    <w:rsid w:val="0034390C"/>
    <w:rsid w:val="0034459D"/>
    <w:rsid w:val="003448F6"/>
    <w:rsid w:val="00344F99"/>
    <w:rsid w:val="003457F6"/>
    <w:rsid w:val="00345A50"/>
    <w:rsid w:val="003470AE"/>
    <w:rsid w:val="003471F4"/>
    <w:rsid w:val="003472F3"/>
    <w:rsid w:val="00347EDD"/>
    <w:rsid w:val="00350759"/>
    <w:rsid w:val="0035081F"/>
    <w:rsid w:val="0035118A"/>
    <w:rsid w:val="00351286"/>
    <w:rsid w:val="00351AB8"/>
    <w:rsid w:val="00351FDC"/>
    <w:rsid w:val="00352117"/>
    <w:rsid w:val="003527C2"/>
    <w:rsid w:val="003527CE"/>
    <w:rsid w:val="0035295D"/>
    <w:rsid w:val="00352EE2"/>
    <w:rsid w:val="00353A70"/>
    <w:rsid w:val="003540AE"/>
    <w:rsid w:val="00354C6A"/>
    <w:rsid w:val="00354D27"/>
    <w:rsid w:val="00354DB0"/>
    <w:rsid w:val="00355246"/>
    <w:rsid w:val="003555DF"/>
    <w:rsid w:val="00356266"/>
    <w:rsid w:val="003563F7"/>
    <w:rsid w:val="00356B65"/>
    <w:rsid w:val="0035738A"/>
    <w:rsid w:val="0035755D"/>
    <w:rsid w:val="0035776F"/>
    <w:rsid w:val="00357B0E"/>
    <w:rsid w:val="00357FD8"/>
    <w:rsid w:val="003608E3"/>
    <w:rsid w:val="00360B6B"/>
    <w:rsid w:val="00360C4E"/>
    <w:rsid w:val="003611E6"/>
    <w:rsid w:val="003616EB"/>
    <w:rsid w:val="00362591"/>
    <w:rsid w:val="00362EC6"/>
    <w:rsid w:val="00363ED4"/>
    <w:rsid w:val="003642AE"/>
    <w:rsid w:val="003644B6"/>
    <w:rsid w:val="00364C3F"/>
    <w:rsid w:val="00364DD7"/>
    <w:rsid w:val="00364E0D"/>
    <w:rsid w:val="0036562D"/>
    <w:rsid w:val="003663BC"/>
    <w:rsid w:val="003664FA"/>
    <w:rsid w:val="00366584"/>
    <w:rsid w:val="0036686E"/>
    <w:rsid w:val="00366A45"/>
    <w:rsid w:val="00366B22"/>
    <w:rsid w:val="00366CC0"/>
    <w:rsid w:val="00366CF2"/>
    <w:rsid w:val="00366E97"/>
    <w:rsid w:val="00367526"/>
    <w:rsid w:val="00367F61"/>
    <w:rsid w:val="00371422"/>
    <w:rsid w:val="003714DA"/>
    <w:rsid w:val="003717DE"/>
    <w:rsid w:val="00371841"/>
    <w:rsid w:val="003719E3"/>
    <w:rsid w:val="00372153"/>
    <w:rsid w:val="0037219D"/>
    <w:rsid w:val="00373933"/>
    <w:rsid w:val="00374C16"/>
    <w:rsid w:val="00375655"/>
    <w:rsid w:val="0037599B"/>
    <w:rsid w:val="00377772"/>
    <w:rsid w:val="00380464"/>
    <w:rsid w:val="00381162"/>
    <w:rsid w:val="0038142E"/>
    <w:rsid w:val="00381AF0"/>
    <w:rsid w:val="0038359B"/>
    <w:rsid w:val="00383A30"/>
    <w:rsid w:val="00384669"/>
    <w:rsid w:val="00384B49"/>
    <w:rsid w:val="003858A6"/>
    <w:rsid w:val="003858D6"/>
    <w:rsid w:val="00385C12"/>
    <w:rsid w:val="00385D89"/>
    <w:rsid w:val="00386205"/>
    <w:rsid w:val="00386297"/>
    <w:rsid w:val="0038629B"/>
    <w:rsid w:val="00386B30"/>
    <w:rsid w:val="00386B6C"/>
    <w:rsid w:val="00387C5A"/>
    <w:rsid w:val="00390202"/>
    <w:rsid w:val="0039128A"/>
    <w:rsid w:val="00392DCC"/>
    <w:rsid w:val="00393391"/>
    <w:rsid w:val="003938E3"/>
    <w:rsid w:val="00393FCF"/>
    <w:rsid w:val="00394103"/>
    <w:rsid w:val="00394133"/>
    <w:rsid w:val="00394CE4"/>
    <w:rsid w:val="00394F06"/>
    <w:rsid w:val="00395290"/>
    <w:rsid w:val="00395C0F"/>
    <w:rsid w:val="00396CF1"/>
    <w:rsid w:val="003977BA"/>
    <w:rsid w:val="00397996"/>
    <w:rsid w:val="00397B19"/>
    <w:rsid w:val="00397BB5"/>
    <w:rsid w:val="003A1072"/>
    <w:rsid w:val="003A1659"/>
    <w:rsid w:val="003A1AED"/>
    <w:rsid w:val="003A2406"/>
    <w:rsid w:val="003A2927"/>
    <w:rsid w:val="003A360F"/>
    <w:rsid w:val="003A363A"/>
    <w:rsid w:val="003A4001"/>
    <w:rsid w:val="003A46E4"/>
    <w:rsid w:val="003A47AC"/>
    <w:rsid w:val="003A5B36"/>
    <w:rsid w:val="003A60FF"/>
    <w:rsid w:val="003A6A7E"/>
    <w:rsid w:val="003A6B63"/>
    <w:rsid w:val="003A6B80"/>
    <w:rsid w:val="003A720E"/>
    <w:rsid w:val="003A78C4"/>
    <w:rsid w:val="003A7977"/>
    <w:rsid w:val="003A7981"/>
    <w:rsid w:val="003B0267"/>
    <w:rsid w:val="003B1134"/>
    <w:rsid w:val="003B1590"/>
    <w:rsid w:val="003B1ACE"/>
    <w:rsid w:val="003B21E1"/>
    <w:rsid w:val="003B2654"/>
    <w:rsid w:val="003B2B0E"/>
    <w:rsid w:val="003B2B65"/>
    <w:rsid w:val="003B307F"/>
    <w:rsid w:val="003B318E"/>
    <w:rsid w:val="003B3948"/>
    <w:rsid w:val="003B4B25"/>
    <w:rsid w:val="003B560E"/>
    <w:rsid w:val="003B5ABB"/>
    <w:rsid w:val="003B5B53"/>
    <w:rsid w:val="003B6EF4"/>
    <w:rsid w:val="003B7069"/>
    <w:rsid w:val="003B7890"/>
    <w:rsid w:val="003C004A"/>
    <w:rsid w:val="003C02B2"/>
    <w:rsid w:val="003C04C6"/>
    <w:rsid w:val="003C05A0"/>
    <w:rsid w:val="003C0EA8"/>
    <w:rsid w:val="003C106B"/>
    <w:rsid w:val="003C123B"/>
    <w:rsid w:val="003C1594"/>
    <w:rsid w:val="003C1639"/>
    <w:rsid w:val="003C1AD5"/>
    <w:rsid w:val="003C1BB1"/>
    <w:rsid w:val="003C24B4"/>
    <w:rsid w:val="003C2A2A"/>
    <w:rsid w:val="003C2B16"/>
    <w:rsid w:val="003C2F1D"/>
    <w:rsid w:val="003C355C"/>
    <w:rsid w:val="003C42A5"/>
    <w:rsid w:val="003C46E1"/>
    <w:rsid w:val="003C4954"/>
    <w:rsid w:val="003C4A1B"/>
    <w:rsid w:val="003C4B57"/>
    <w:rsid w:val="003C4C62"/>
    <w:rsid w:val="003C5112"/>
    <w:rsid w:val="003C528D"/>
    <w:rsid w:val="003C5672"/>
    <w:rsid w:val="003C5A6E"/>
    <w:rsid w:val="003C6388"/>
    <w:rsid w:val="003C677A"/>
    <w:rsid w:val="003C6F47"/>
    <w:rsid w:val="003C7590"/>
    <w:rsid w:val="003C7A36"/>
    <w:rsid w:val="003C7C66"/>
    <w:rsid w:val="003C7E63"/>
    <w:rsid w:val="003D0030"/>
    <w:rsid w:val="003D0BBA"/>
    <w:rsid w:val="003D10D6"/>
    <w:rsid w:val="003D12C0"/>
    <w:rsid w:val="003D1449"/>
    <w:rsid w:val="003D15FB"/>
    <w:rsid w:val="003D183B"/>
    <w:rsid w:val="003D2775"/>
    <w:rsid w:val="003D3C59"/>
    <w:rsid w:val="003D3FA1"/>
    <w:rsid w:val="003D4458"/>
    <w:rsid w:val="003D495D"/>
    <w:rsid w:val="003D4FF7"/>
    <w:rsid w:val="003D5699"/>
    <w:rsid w:val="003D580E"/>
    <w:rsid w:val="003D679B"/>
    <w:rsid w:val="003D67B2"/>
    <w:rsid w:val="003D69E5"/>
    <w:rsid w:val="003D7A24"/>
    <w:rsid w:val="003E037D"/>
    <w:rsid w:val="003E04D5"/>
    <w:rsid w:val="003E0956"/>
    <w:rsid w:val="003E0CFA"/>
    <w:rsid w:val="003E20D6"/>
    <w:rsid w:val="003E2615"/>
    <w:rsid w:val="003E2CF0"/>
    <w:rsid w:val="003E2FA0"/>
    <w:rsid w:val="003E3497"/>
    <w:rsid w:val="003E3ADD"/>
    <w:rsid w:val="003E4497"/>
    <w:rsid w:val="003E46C6"/>
    <w:rsid w:val="003E4D87"/>
    <w:rsid w:val="003E5013"/>
    <w:rsid w:val="003E5442"/>
    <w:rsid w:val="003E5713"/>
    <w:rsid w:val="003E5808"/>
    <w:rsid w:val="003E65DC"/>
    <w:rsid w:val="003E67F5"/>
    <w:rsid w:val="003E6F0A"/>
    <w:rsid w:val="003E7F91"/>
    <w:rsid w:val="003F172E"/>
    <w:rsid w:val="003F1A91"/>
    <w:rsid w:val="003F1C9F"/>
    <w:rsid w:val="003F2D68"/>
    <w:rsid w:val="003F2E2B"/>
    <w:rsid w:val="003F3693"/>
    <w:rsid w:val="003F38DF"/>
    <w:rsid w:val="003F3914"/>
    <w:rsid w:val="003F406E"/>
    <w:rsid w:val="003F45BD"/>
    <w:rsid w:val="003F51F1"/>
    <w:rsid w:val="003F5FB0"/>
    <w:rsid w:val="003F61C2"/>
    <w:rsid w:val="003F708B"/>
    <w:rsid w:val="0040006F"/>
    <w:rsid w:val="00401082"/>
    <w:rsid w:val="004011DF"/>
    <w:rsid w:val="004017F2"/>
    <w:rsid w:val="004027D7"/>
    <w:rsid w:val="004031DE"/>
    <w:rsid w:val="00403288"/>
    <w:rsid w:val="004039FB"/>
    <w:rsid w:val="00403D27"/>
    <w:rsid w:val="004046A9"/>
    <w:rsid w:val="0040591E"/>
    <w:rsid w:val="00407401"/>
    <w:rsid w:val="00407BEE"/>
    <w:rsid w:val="0041033B"/>
    <w:rsid w:val="00410819"/>
    <w:rsid w:val="0041114C"/>
    <w:rsid w:val="004115AD"/>
    <w:rsid w:val="0041454E"/>
    <w:rsid w:val="00415090"/>
    <w:rsid w:val="004152BC"/>
    <w:rsid w:val="0041571B"/>
    <w:rsid w:val="00415E20"/>
    <w:rsid w:val="0041652E"/>
    <w:rsid w:val="00416762"/>
    <w:rsid w:val="00416805"/>
    <w:rsid w:val="00416E55"/>
    <w:rsid w:val="00417063"/>
    <w:rsid w:val="00417C6C"/>
    <w:rsid w:val="00417F5E"/>
    <w:rsid w:val="00420688"/>
    <w:rsid w:val="004218CB"/>
    <w:rsid w:val="00421955"/>
    <w:rsid w:val="0042197D"/>
    <w:rsid w:val="00421C8B"/>
    <w:rsid w:val="00421D75"/>
    <w:rsid w:val="00422091"/>
    <w:rsid w:val="0042325D"/>
    <w:rsid w:val="0042340A"/>
    <w:rsid w:val="00423C7A"/>
    <w:rsid w:val="004241B8"/>
    <w:rsid w:val="00424403"/>
    <w:rsid w:val="00424595"/>
    <w:rsid w:val="0042518A"/>
    <w:rsid w:val="00425707"/>
    <w:rsid w:val="0042657D"/>
    <w:rsid w:val="004268EF"/>
    <w:rsid w:val="00426C85"/>
    <w:rsid w:val="00426D4E"/>
    <w:rsid w:val="00427515"/>
    <w:rsid w:val="004276A0"/>
    <w:rsid w:val="004278FB"/>
    <w:rsid w:val="00427A91"/>
    <w:rsid w:val="00427EA1"/>
    <w:rsid w:val="00430647"/>
    <w:rsid w:val="00430927"/>
    <w:rsid w:val="00431665"/>
    <w:rsid w:val="0043188D"/>
    <w:rsid w:val="00433BCF"/>
    <w:rsid w:val="00434138"/>
    <w:rsid w:val="00434620"/>
    <w:rsid w:val="00434B36"/>
    <w:rsid w:val="004351BB"/>
    <w:rsid w:val="004359AA"/>
    <w:rsid w:val="0043623F"/>
    <w:rsid w:val="00436D1C"/>
    <w:rsid w:val="00437AC9"/>
    <w:rsid w:val="00437B67"/>
    <w:rsid w:val="00437E41"/>
    <w:rsid w:val="0044038D"/>
    <w:rsid w:val="004408B3"/>
    <w:rsid w:val="00440A81"/>
    <w:rsid w:val="004410BC"/>
    <w:rsid w:val="00441511"/>
    <w:rsid w:val="00441673"/>
    <w:rsid w:val="00441A89"/>
    <w:rsid w:val="00442DBC"/>
    <w:rsid w:val="00442DD0"/>
    <w:rsid w:val="00443664"/>
    <w:rsid w:val="00443E0D"/>
    <w:rsid w:val="00444920"/>
    <w:rsid w:val="00444A63"/>
    <w:rsid w:val="00445265"/>
    <w:rsid w:val="004455A4"/>
    <w:rsid w:val="00445BEC"/>
    <w:rsid w:val="00445C7F"/>
    <w:rsid w:val="00446FF6"/>
    <w:rsid w:val="0044725E"/>
    <w:rsid w:val="00447997"/>
    <w:rsid w:val="00447BC5"/>
    <w:rsid w:val="0045054A"/>
    <w:rsid w:val="00450AF2"/>
    <w:rsid w:val="0045141A"/>
    <w:rsid w:val="00451600"/>
    <w:rsid w:val="00451AC1"/>
    <w:rsid w:val="00453236"/>
    <w:rsid w:val="0045323D"/>
    <w:rsid w:val="004533EB"/>
    <w:rsid w:val="004539E6"/>
    <w:rsid w:val="00453F5B"/>
    <w:rsid w:val="00454039"/>
    <w:rsid w:val="00454881"/>
    <w:rsid w:val="00454D7F"/>
    <w:rsid w:val="004556D5"/>
    <w:rsid w:val="0045582C"/>
    <w:rsid w:val="004559CE"/>
    <w:rsid w:val="00456899"/>
    <w:rsid w:val="00456964"/>
    <w:rsid w:val="0045790D"/>
    <w:rsid w:val="00457AD5"/>
    <w:rsid w:val="00460E1A"/>
    <w:rsid w:val="00460EA2"/>
    <w:rsid w:val="0046160D"/>
    <w:rsid w:val="00461859"/>
    <w:rsid w:val="00463550"/>
    <w:rsid w:val="00463DF8"/>
    <w:rsid w:val="004644EF"/>
    <w:rsid w:val="00464685"/>
    <w:rsid w:val="0046469D"/>
    <w:rsid w:val="00464E69"/>
    <w:rsid w:val="0046539B"/>
    <w:rsid w:val="00465510"/>
    <w:rsid w:val="004658B4"/>
    <w:rsid w:val="004659F2"/>
    <w:rsid w:val="00466F69"/>
    <w:rsid w:val="00467B91"/>
    <w:rsid w:val="00467C27"/>
    <w:rsid w:val="00467C79"/>
    <w:rsid w:val="00467D53"/>
    <w:rsid w:val="004707C8"/>
    <w:rsid w:val="00472170"/>
    <w:rsid w:val="0047240C"/>
    <w:rsid w:val="0047278C"/>
    <w:rsid w:val="00472A07"/>
    <w:rsid w:val="00472D14"/>
    <w:rsid w:val="00473F7D"/>
    <w:rsid w:val="00474881"/>
    <w:rsid w:val="004749AB"/>
    <w:rsid w:val="0047503C"/>
    <w:rsid w:val="00475085"/>
    <w:rsid w:val="00475DB1"/>
    <w:rsid w:val="0047601F"/>
    <w:rsid w:val="0047673E"/>
    <w:rsid w:val="00476CC4"/>
    <w:rsid w:val="00476CF6"/>
    <w:rsid w:val="00476F56"/>
    <w:rsid w:val="00477044"/>
    <w:rsid w:val="00477200"/>
    <w:rsid w:val="00477AA8"/>
    <w:rsid w:val="004809B8"/>
    <w:rsid w:val="00480E59"/>
    <w:rsid w:val="004817E2"/>
    <w:rsid w:val="00481CD4"/>
    <w:rsid w:val="0048200F"/>
    <w:rsid w:val="00482CF7"/>
    <w:rsid w:val="00482E97"/>
    <w:rsid w:val="004839B6"/>
    <w:rsid w:val="00483DD3"/>
    <w:rsid w:val="00485A54"/>
    <w:rsid w:val="00485DCB"/>
    <w:rsid w:val="00486A0C"/>
    <w:rsid w:val="0048708E"/>
    <w:rsid w:val="004871A2"/>
    <w:rsid w:val="004872B2"/>
    <w:rsid w:val="00487321"/>
    <w:rsid w:val="004879DC"/>
    <w:rsid w:val="00490048"/>
    <w:rsid w:val="004900E7"/>
    <w:rsid w:val="0049011B"/>
    <w:rsid w:val="00490360"/>
    <w:rsid w:val="004907AB"/>
    <w:rsid w:val="004909F9"/>
    <w:rsid w:val="004917B1"/>
    <w:rsid w:val="00492ECE"/>
    <w:rsid w:val="00492FCB"/>
    <w:rsid w:val="004941EC"/>
    <w:rsid w:val="0049493F"/>
    <w:rsid w:val="00494D3B"/>
    <w:rsid w:val="00495510"/>
    <w:rsid w:val="00495788"/>
    <w:rsid w:val="00495DA6"/>
    <w:rsid w:val="00496755"/>
    <w:rsid w:val="00496893"/>
    <w:rsid w:val="00497004"/>
    <w:rsid w:val="004A04C5"/>
    <w:rsid w:val="004A0905"/>
    <w:rsid w:val="004A0BB6"/>
    <w:rsid w:val="004A0BDD"/>
    <w:rsid w:val="004A0F11"/>
    <w:rsid w:val="004A1506"/>
    <w:rsid w:val="004A18B7"/>
    <w:rsid w:val="004A1C3C"/>
    <w:rsid w:val="004A3EAA"/>
    <w:rsid w:val="004A423C"/>
    <w:rsid w:val="004A4B80"/>
    <w:rsid w:val="004A52BC"/>
    <w:rsid w:val="004A5C17"/>
    <w:rsid w:val="004A5E27"/>
    <w:rsid w:val="004A5F4F"/>
    <w:rsid w:val="004A607F"/>
    <w:rsid w:val="004A6199"/>
    <w:rsid w:val="004A6E23"/>
    <w:rsid w:val="004A6FAB"/>
    <w:rsid w:val="004A734A"/>
    <w:rsid w:val="004A7D97"/>
    <w:rsid w:val="004A7FC6"/>
    <w:rsid w:val="004B1E19"/>
    <w:rsid w:val="004B2D57"/>
    <w:rsid w:val="004B2EEE"/>
    <w:rsid w:val="004B3699"/>
    <w:rsid w:val="004B37F9"/>
    <w:rsid w:val="004B4704"/>
    <w:rsid w:val="004B50D4"/>
    <w:rsid w:val="004B5133"/>
    <w:rsid w:val="004B524F"/>
    <w:rsid w:val="004B56CB"/>
    <w:rsid w:val="004B58F2"/>
    <w:rsid w:val="004B5D84"/>
    <w:rsid w:val="004B6F38"/>
    <w:rsid w:val="004B7386"/>
    <w:rsid w:val="004C0155"/>
    <w:rsid w:val="004C19A9"/>
    <w:rsid w:val="004C25A4"/>
    <w:rsid w:val="004C2902"/>
    <w:rsid w:val="004C2AC2"/>
    <w:rsid w:val="004C35C9"/>
    <w:rsid w:val="004C3AB1"/>
    <w:rsid w:val="004C41B6"/>
    <w:rsid w:val="004C4DC7"/>
    <w:rsid w:val="004C504C"/>
    <w:rsid w:val="004C5703"/>
    <w:rsid w:val="004C6F18"/>
    <w:rsid w:val="004C7A09"/>
    <w:rsid w:val="004C7E39"/>
    <w:rsid w:val="004D0544"/>
    <w:rsid w:val="004D21AC"/>
    <w:rsid w:val="004D2961"/>
    <w:rsid w:val="004D3004"/>
    <w:rsid w:val="004D3782"/>
    <w:rsid w:val="004D4026"/>
    <w:rsid w:val="004D4351"/>
    <w:rsid w:val="004D4AC8"/>
    <w:rsid w:val="004D4E7A"/>
    <w:rsid w:val="004D5639"/>
    <w:rsid w:val="004D5D14"/>
    <w:rsid w:val="004D6703"/>
    <w:rsid w:val="004D6A4B"/>
    <w:rsid w:val="004D6E37"/>
    <w:rsid w:val="004E00EA"/>
    <w:rsid w:val="004E01C0"/>
    <w:rsid w:val="004E03C6"/>
    <w:rsid w:val="004E08DE"/>
    <w:rsid w:val="004E0BC8"/>
    <w:rsid w:val="004E0FEB"/>
    <w:rsid w:val="004E13BD"/>
    <w:rsid w:val="004E345F"/>
    <w:rsid w:val="004E3598"/>
    <w:rsid w:val="004E376F"/>
    <w:rsid w:val="004E3A87"/>
    <w:rsid w:val="004E3CCC"/>
    <w:rsid w:val="004E4754"/>
    <w:rsid w:val="004E479C"/>
    <w:rsid w:val="004E4C0A"/>
    <w:rsid w:val="004E4CBD"/>
    <w:rsid w:val="004E5200"/>
    <w:rsid w:val="004E52D3"/>
    <w:rsid w:val="004E6105"/>
    <w:rsid w:val="004E6139"/>
    <w:rsid w:val="004E626E"/>
    <w:rsid w:val="004E6B14"/>
    <w:rsid w:val="004E7ED4"/>
    <w:rsid w:val="004E7F65"/>
    <w:rsid w:val="004F02B1"/>
    <w:rsid w:val="004F0FC3"/>
    <w:rsid w:val="004F12CE"/>
    <w:rsid w:val="004F2064"/>
    <w:rsid w:val="004F2928"/>
    <w:rsid w:val="004F2F2E"/>
    <w:rsid w:val="004F30D9"/>
    <w:rsid w:val="004F346B"/>
    <w:rsid w:val="004F3E12"/>
    <w:rsid w:val="004F43EF"/>
    <w:rsid w:val="004F440D"/>
    <w:rsid w:val="004F4B92"/>
    <w:rsid w:val="004F5203"/>
    <w:rsid w:val="004F64B8"/>
    <w:rsid w:val="004F73E5"/>
    <w:rsid w:val="004F7FFB"/>
    <w:rsid w:val="005009E3"/>
    <w:rsid w:val="0050175E"/>
    <w:rsid w:val="005019FC"/>
    <w:rsid w:val="00501B6C"/>
    <w:rsid w:val="00502A3A"/>
    <w:rsid w:val="00502A9D"/>
    <w:rsid w:val="00503053"/>
    <w:rsid w:val="00503D29"/>
    <w:rsid w:val="00504621"/>
    <w:rsid w:val="00504984"/>
    <w:rsid w:val="00505695"/>
    <w:rsid w:val="00507548"/>
    <w:rsid w:val="00507AEC"/>
    <w:rsid w:val="0051000C"/>
    <w:rsid w:val="00510533"/>
    <w:rsid w:val="005106B7"/>
    <w:rsid w:val="00511044"/>
    <w:rsid w:val="00511732"/>
    <w:rsid w:val="0051194B"/>
    <w:rsid w:val="0051195F"/>
    <w:rsid w:val="00511BC1"/>
    <w:rsid w:val="00512579"/>
    <w:rsid w:val="0051278F"/>
    <w:rsid w:val="005127D3"/>
    <w:rsid w:val="00512E2C"/>
    <w:rsid w:val="005135E1"/>
    <w:rsid w:val="00513C2D"/>
    <w:rsid w:val="00513E39"/>
    <w:rsid w:val="005141E7"/>
    <w:rsid w:val="00515A21"/>
    <w:rsid w:val="00515C52"/>
    <w:rsid w:val="00515CE0"/>
    <w:rsid w:val="005166E3"/>
    <w:rsid w:val="00516785"/>
    <w:rsid w:val="00517651"/>
    <w:rsid w:val="00517CC2"/>
    <w:rsid w:val="00517D1F"/>
    <w:rsid w:val="00520010"/>
    <w:rsid w:val="005207B8"/>
    <w:rsid w:val="0052106C"/>
    <w:rsid w:val="00521967"/>
    <w:rsid w:val="005229AC"/>
    <w:rsid w:val="00523D63"/>
    <w:rsid w:val="00523FDD"/>
    <w:rsid w:val="0052419D"/>
    <w:rsid w:val="00524641"/>
    <w:rsid w:val="00524752"/>
    <w:rsid w:val="00524C00"/>
    <w:rsid w:val="00525554"/>
    <w:rsid w:val="005255FD"/>
    <w:rsid w:val="005256C4"/>
    <w:rsid w:val="0052582B"/>
    <w:rsid w:val="00525DF7"/>
    <w:rsid w:val="0052673F"/>
    <w:rsid w:val="0052684D"/>
    <w:rsid w:val="00526C43"/>
    <w:rsid w:val="00526EB4"/>
    <w:rsid w:val="005278B3"/>
    <w:rsid w:val="00527C1F"/>
    <w:rsid w:val="005301C8"/>
    <w:rsid w:val="005301F8"/>
    <w:rsid w:val="00530847"/>
    <w:rsid w:val="00530BAF"/>
    <w:rsid w:val="005312FC"/>
    <w:rsid w:val="00531D1E"/>
    <w:rsid w:val="00531FDA"/>
    <w:rsid w:val="00532293"/>
    <w:rsid w:val="00532B41"/>
    <w:rsid w:val="00532C6D"/>
    <w:rsid w:val="00532E7E"/>
    <w:rsid w:val="00533141"/>
    <w:rsid w:val="00533586"/>
    <w:rsid w:val="0053385D"/>
    <w:rsid w:val="00533AC3"/>
    <w:rsid w:val="00534081"/>
    <w:rsid w:val="00534283"/>
    <w:rsid w:val="005343CF"/>
    <w:rsid w:val="00534552"/>
    <w:rsid w:val="00534E20"/>
    <w:rsid w:val="00534EA9"/>
    <w:rsid w:val="00534F3A"/>
    <w:rsid w:val="00534F86"/>
    <w:rsid w:val="0053569E"/>
    <w:rsid w:val="00535AED"/>
    <w:rsid w:val="00535E7E"/>
    <w:rsid w:val="0053603D"/>
    <w:rsid w:val="005361F6"/>
    <w:rsid w:val="0053649A"/>
    <w:rsid w:val="00536806"/>
    <w:rsid w:val="00537042"/>
    <w:rsid w:val="005370E4"/>
    <w:rsid w:val="0053742A"/>
    <w:rsid w:val="00537A43"/>
    <w:rsid w:val="00537C85"/>
    <w:rsid w:val="00537D4D"/>
    <w:rsid w:val="005404C2"/>
    <w:rsid w:val="00540E95"/>
    <w:rsid w:val="005416BE"/>
    <w:rsid w:val="005418D4"/>
    <w:rsid w:val="00541D29"/>
    <w:rsid w:val="0054240B"/>
    <w:rsid w:val="005426F5"/>
    <w:rsid w:val="00542845"/>
    <w:rsid w:val="00543F23"/>
    <w:rsid w:val="00543F52"/>
    <w:rsid w:val="00544487"/>
    <w:rsid w:val="00544955"/>
    <w:rsid w:val="00544B0A"/>
    <w:rsid w:val="0054574F"/>
    <w:rsid w:val="005457B5"/>
    <w:rsid w:val="00546265"/>
    <w:rsid w:val="00546410"/>
    <w:rsid w:val="00546531"/>
    <w:rsid w:val="00546C0E"/>
    <w:rsid w:val="00547588"/>
    <w:rsid w:val="0054783E"/>
    <w:rsid w:val="00550277"/>
    <w:rsid w:val="00550DDB"/>
    <w:rsid w:val="00551979"/>
    <w:rsid w:val="00551B96"/>
    <w:rsid w:val="00551D3C"/>
    <w:rsid w:val="00551E29"/>
    <w:rsid w:val="0055227A"/>
    <w:rsid w:val="00552B82"/>
    <w:rsid w:val="00552F77"/>
    <w:rsid w:val="00553A35"/>
    <w:rsid w:val="00553FA4"/>
    <w:rsid w:val="005541EF"/>
    <w:rsid w:val="00554EC5"/>
    <w:rsid w:val="00556155"/>
    <w:rsid w:val="00556198"/>
    <w:rsid w:val="0055683F"/>
    <w:rsid w:val="00556AE0"/>
    <w:rsid w:val="00557555"/>
    <w:rsid w:val="005575C6"/>
    <w:rsid w:val="00557EBE"/>
    <w:rsid w:val="005601EF"/>
    <w:rsid w:val="0056074E"/>
    <w:rsid w:val="005609BD"/>
    <w:rsid w:val="00561098"/>
    <w:rsid w:val="00562CDE"/>
    <w:rsid w:val="00562F17"/>
    <w:rsid w:val="005631E6"/>
    <w:rsid w:val="00563318"/>
    <w:rsid w:val="00563CF0"/>
    <w:rsid w:val="00564038"/>
    <w:rsid w:val="00564551"/>
    <w:rsid w:val="00564790"/>
    <w:rsid w:val="0056482E"/>
    <w:rsid w:val="00564E29"/>
    <w:rsid w:val="00564E75"/>
    <w:rsid w:val="005654DF"/>
    <w:rsid w:val="005655E7"/>
    <w:rsid w:val="0056582C"/>
    <w:rsid w:val="00565B3E"/>
    <w:rsid w:val="00566586"/>
    <w:rsid w:val="005665FB"/>
    <w:rsid w:val="0056696E"/>
    <w:rsid w:val="00566987"/>
    <w:rsid w:val="00567115"/>
    <w:rsid w:val="00567129"/>
    <w:rsid w:val="0056785C"/>
    <w:rsid w:val="00567F9A"/>
    <w:rsid w:val="0057062F"/>
    <w:rsid w:val="00570B0B"/>
    <w:rsid w:val="00571086"/>
    <w:rsid w:val="00571F33"/>
    <w:rsid w:val="0057261A"/>
    <w:rsid w:val="005729B5"/>
    <w:rsid w:val="00572C4B"/>
    <w:rsid w:val="00573051"/>
    <w:rsid w:val="005732C0"/>
    <w:rsid w:val="005734E9"/>
    <w:rsid w:val="00573731"/>
    <w:rsid w:val="00573C24"/>
    <w:rsid w:val="00573D4A"/>
    <w:rsid w:val="00573EF3"/>
    <w:rsid w:val="00574576"/>
    <w:rsid w:val="00574658"/>
    <w:rsid w:val="0057480E"/>
    <w:rsid w:val="00574E14"/>
    <w:rsid w:val="0057505A"/>
    <w:rsid w:val="00575F1D"/>
    <w:rsid w:val="00576561"/>
    <w:rsid w:val="005776B2"/>
    <w:rsid w:val="00577982"/>
    <w:rsid w:val="00577BD9"/>
    <w:rsid w:val="00577FC5"/>
    <w:rsid w:val="005800AB"/>
    <w:rsid w:val="00580115"/>
    <w:rsid w:val="005805FF"/>
    <w:rsid w:val="005806AE"/>
    <w:rsid w:val="005808CB"/>
    <w:rsid w:val="00580B88"/>
    <w:rsid w:val="00580CDA"/>
    <w:rsid w:val="00581658"/>
    <w:rsid w:val="0058184B"/>
    <w:rsid w:val="0058313A"/>
    <w:rsid w:val="0058345B"/>
    <w:rsid w:val="00584EB7"/>
    <w:rsid w:val="00585675"/>
    <w:rsid w:val="00585AD0"/>
    <w:rsid w:val="00585BDA"/>
    <w:rsid w:val="00585BEE"/>
    <w:rsid w:val="00586605"/>
    <w:rsid w:val="00586662"/>
    <w:rsid w:val="005868DE"/>
    <w:rsid w:val="005869FF"/>
    <w:rsid w:val="005877AC"/>
    <w:rsid w:val="0059005D"/>
    <w:rsid w:val="00590599"/>
    <w:rsid w:val="005905A7"/>
    <w:rsid w:val="005905AE"/>
    <w:rsid w:val="0059073E"/>
    <w:rsid w:val="00591D31"/>
    <w:rsid w:val="005925F3"/>
    <w:rsid w:val="005926C6"/>
    <w:rsid w:val="00592FBC"/>
    <w:rsid w:val="00593248"/>
    <w:rsid w:val="00593466"/>
    <w:rsid w:val="00593587"/>
    <w:rsid w:val="0059433C"/>
    <w:rsid w:val="005948C6"/>
    <w:rsid w:val="005961C5"/>
    <w:rsid w:val="00596349"/>
    <w:rsid w:val="005966B7"/>
    <w:rsid w:val="0059782F"/>
    <w:rsid w:val="005979A3"/>
    <w:rsid w:val="005A08F5"/>
    <w:rsid w:val="005A1560"/>
    <w:rsid w:val="005A1617"/>
    <w:rsid w:val="005A17F8"/>
    <w:rsid w:val="005A1804"/>
    <w:rsid w:val="005A1C72"/>
    <w:rsid w:val="005A203F"/>
    <w:rsid w:val="005A4A9D"/>
    <w:rsid w:val="005A4C28"/>
    <w:rsid w:val="005A50F3"/>
    <w:rsid w:val="005A57AE"/>
    <w:rsid w:val="005A611E"/>
    <w:rsid w:val="005A629D"/>
    <w:rsid w:val="005A62F5"/>
    <w:rsid w:val="005A6AA0"/>
    <w:rsid w:val="005A7552"/>
    <w:rsid w:val="005A7733"/>
    <w:rsid w:val="005A7947"/>
    <w:rsid w:val="005A7ECD"/>
    <w:rsid w:val="005B0B21"/>
    <w:rsid w:val="005B0B73"/>
    <w:rsid w:val="005B14BA"/>
    <w:rsid w:val="005B1AF0"/>
    <w:rsid w:val="005B1BF7"/>
    <w:rsid w:val="005B1C1E"/>
    <w:rsid w:val="005B2768"/>
    <w:rsid w:val="005B2FDE"/>
    <w:rsid w:val="005B362C"/>
    <w:rsid w:val="005B3B3E"/>
    <w:rsid w:val="005B3C2D"/>
    <w:rsid w:val="005B3FD8"/>
    <w:rsid w:val="005B4307"/>
    <w:rsid w:val="005B4650"/>
    <w:rsid w:val="005B4C77"/>
    <w:rsid w:val="005B4D97"/>
    <w:rsid w:val="005B515D"/>
    <w:rsid w:val="005B57AF"/>
    <w:rsid w:val="005B5C77"/>
    <w:rsid w:val="005B5E2A"/>
    <w:rsid w:val="005B60A2"/>
    <w:rsid w:val="005C0046"/>
    <w:rsid w:val="005C01EA"/>
    <w:rsid w:val="005C02A4"/>
    <w:rsid w:val="005C05D5"/>
    <w:rsid w:val="005C1775"/>
    <w:rsid w:val="005C1A92"/>
    <w:rsid w:val="005C20D2"/>
    <w:rsid w:val="005C2DDC"/>
    <w:rsid w:val="005C32FE"/>
    <w:rsid w:val="005C3466"/>
    <w:rsid w:val="005C42AA"/>
    <w:rsid w:val="005C475E"/>
    <w:rsid w:val="005C503A"/>
    <w:rsid w:val="005C5300"/>
    <w:rsid w:val="005C5A2F"/>
    <w:rsid w:val="005D024A"/>
    <w:rsid w:val="005D09E8"/>
    <w:rsid w:val="005D10DC"/>
    <w:rsid w:val="005D120D"/>
    <w:rsid w:val="005D15B7"/>
    <w:rsid w:val="005D2F81"/>
    <w:rsid w:val="005D353E"/>
    <w:rsid w:val="005D3A95"/>
    <w:rsid w:val="005D3ACA"/>
    <w:rsid w:val="005D3C80"/>
    <w:rsid w:val="005D45BB"/>
    <w:rsid w:val="005D4607"/>
    <w:rsid w:val="005D4FD4"/>
    <w:rsid w:val="005D525A"/>
    <w:rsid w:val="005D5483"/>
    <w:rsid w:val="005D5A09"/>
    <w:rsid w:val="005D5AAE"/>
    <w:rsid w:val="005D5FC2"/>
    <w:rsid w:val="005D654D"/>
    <w:rsid w:val="005D68DD"/>
    <w:rsid w:val="005D6D64"/>
    <w:rsid w:val="005D7F15"/>
    <w:rsid w:val="005E07F0"/>
    <w:rsid w:val="005E0C8A"/>
    <w:rsid w:val="005E1F48"/>
    <w:rsid w:val="005E29F3"/>
    <w:rsid w:val="005E3E56"/>
    <w:rsid w:val="005E44BE"/>
    <w:rsid w:val="005E457B"/>
    <w:rsid w:val="005E45CD"/>
    <w:rsid w:val="005E49AD"/>
    <w:rsid w:val="005E4E89"/>
    <w:rsid w:val="005E50FC"/>
    <w:rsid w:val="005E56F7"/>
    <w:rsid w:val="005E5C81"/>
    <w:rsid w:val="005E64BB"/>
    <w:rsid w:val="005E7643"/>
    <w:rsid w:val="005E76AC"/>
    <w:rsid w:val="005E79E0"/>
    <w:rsid w:val="005E7B56"/>
    <w:rsid w:val="005F08B5"/>
    <w:rsid w:val="005F0D1C"/>
    <w:rsid w:val="005F0EB6"/>
    <w:rsid w:val="005F119B"/>
    <w:rsid w:val="005F1349"/>
    <w:rsid w:val="005F17F4"/>
    <w:rsid w:val="005F225C"/>
    <w:rsid w:val="005F252B"/>
    <w:rsid w:val="005F2EAE"/>
    <w:rsid w:val="005F370A"/>
    <w:rsid w:val="005F479A"/>
    <w:rsid w:val="005F47F8"/>
    <w:rsid w:val="005F4A81"/>
    <w:rsid w:val="005F4CB6"/>
    <w:rsid w:val="005F4D60"/>
    <w:rsid w:val="005F56D6"/>
    <w:rsid w:val="005F5D43"/>
    <w:rsid w:val="005F5D89"/>
    <w:rsid w:val="005F613D"/>
    <w:rsid w:val="005F6AC2"/>
    <w:rsid w:val="005F6C39"/>
    <w:rsid w:val="005F6D20"/>
    <w:rsid w:val="005F6D5A"/>
    <w:rsid w:val="005F70D2"/>
    <w:rsid w:val="005F74ED"/>
    <w:rsid w:val="005F78FB"/>
    <w:rsid w:val="005F7AEC"/>
    <w:rsid w:val="00600282"/>
    <w:rsid w:val="0060036A"/>
    <w:rsid w:val="00600FCC"/>
    <w:rsid w:val="0060114E"/>
    <w:rsid w:val="0060139D"/>
    <w:rsid w:val="006015D6"/>
    <w:rsid w:val="00601650"/>
    <w:rsid w:val="00601787"/>
    <w:rsid w:val="00601886"/>
    <w:rsid w:val="00601D19"/>
    <w:rsid w:val="00601E55"/>
    <w:rsid w:val="00601FF4"/>
    <w:rsid w:val="00602173"/>
    <w:rsid w:val="006023F8"/>
    <w:rsid w:val="006026A1"/>
    <w:rsid w:val="006028D3"/>
    <w:rsid w:val="006028DF"/>
    <w:rsid w:val="00602A87"/>
    <w:rsid w:val="00602B73"/>
    <w:rsid w:val="00602C35"/>
    <w:rsid w:val="0060318F"/>
    <w:rsid w:val="00603605"/>
    <w:rsid w:val="00603CC1"/>
    <w:rsid w:val="0060441E"/>
    <w:rsid w:val="00604A87"/>
    <w:rsid w:val="00604E7E"/>
    <w:rsid w:val="00604EEF"/>
    <w:rsid w:val="00605217"/>
    <w:rsid w:val="0060528B"/>
    <w:rsid w:val="00605706"/>
    <w:rsid w:val="00605AFD"/>
    <w:rsid w:val="00605C69"/>
    <w:rsid w:val="0060613A"/>
    <w:rsid w:val="006063BE"/>
    <w:rsid w:val="00606707"/>
    <w:rsid w:val="006069B3"/>
    <w:rsid w:val="00606ECF"/>
    <w:rsid w:val="00607CBD"/>
    <w:rsid w:val="006101FB"/>
    <w:rsid w:val="0061044E"/>
    <w:rsid w:val="00611EAB"/>
    <w:rsid w:val="00612168"/>
    <w:rsid w:val="006123D4"/>
    <w:rsid w:val="0061256B"/>
    <w:rsid w:val="006125B6"/>
    <w:rsid w:val="006126FE"/>
    <w:rsid w:val="00612814"/>
    <w:rsid w:val="00612BA1"/>
    <w:rsid w:val="0061358B"/>
    <w:rsid w:val="006137E9"/>
    <w:rsid w:val="0061445B"/>
    <w:rsid w:val="00614CAB"/>
    <w:rsid w:val="00615166"/>
    <w:rsid w:val="00616535"/>
    <w:rsid w:val="00616C2C"/>
    <w:rsid w:val="00616CA7"/>
    <w:rsid w:val="00620349"/>
    <w:rsid w:val="0062191D"/>
    <w:rsid w:val="00621C32"/>
    <w:rsid w:val="00621F33"/>
    <w:rsid w:val="006224C0"/>
    <w:rsid w:val="00622516"/>
    <w:rsid w:val="00622CFB"/>
    <w:rsid w:val="00623065"/>
    <w:rsid w:val="00623A93"/>
    <w:rsid w:val="006243B0"/>
    <w:rsid w:val="0062459C"/>
    <w:rsid w:val="00624C4B"/>
    <w:rsid w:val="006263B5"/>
    <w:rsid w:val="00626703"/>
    <w:rsid w:val="006268B4"/>
    <w:rsid w:val="006268DB"/>
    <w:rsid w:val="00626CF9"/>
    <w:rsid w:val="00627B3D"/>
    <w:rsid w:val="00630369"/>
    <w:rsid w:val="006307D1"/>
    <w:rsid w:val="00630B6E"/>
    <w:rsid w:val="006335BB"/>
    <w:rsid w:val="00633A2F"/>
    <w:rsid w:val="00633D09"/>
    <w:rsid w:val="00633E4A"/>
    <w:rsid w:val="00633E5F"/>
    <w:rsid w:val="00635DED"/>
    <w:rsid w:val="00636119"/>
    <w:rsid w:val="00636581"/>
    <w:rsid w:val="006372FC"/>
    <w:rsid w:val="0064011B"/>
    <w:rsid w:val="006407E9"/>
    <w:rsid w:val="00640A06"/>
    <w:rsid w:val="00641AAF"/>
    <w:rsid w:val="006437B8"/>
    <w:rsid w:val="006439E1"/>
    <w:rsid w:val="006449BD"/>
    <w:rsid w:val="006450BE"/>
    <w:rsid w:val="0064525C"/>
    <w:rsid w:val="00645B4A"/>
    <w:rsid w:val="00645D54"/>
    <w:rsid w:val="00645E9C"/>
    <w:rsid w:val="00646707"/>
    <w:rsid w:val="0064687F"/>
    <w:rsid w:val="006469CC"/>
    <w:rsid w:val="00646A8C"/>
    <w:rsid w:val="00646BF8"/>
    <w:rsid w:val="00646FFD"/>
    <w:rsid w:val="0064733A"/>
    <w:rsid w:val="00647523"/>
    <w:rsid w:val="00647561"/>
    <w:rsid w:val="00647C5E"/>
    <w:rsid w:val="0065006C"/>
    <w:rsid w:val="00650D8B"/>
    <w:rsid w:val="00650D8F"/>
    <w:rsid w:val="0065135B"/>
    <w:rsid w:val="006524E5"/>
    <w:rsid w:val="00652777"/>
    <w:rsid w:val="00652D05"/>
    <w:rsid w:val="00652D23"/>
    <w:rsid w:val="006532F2"/>
    <w:rsid w:val="00653619"/>
    <w:rsid w:val="00653FC7"/>
    <w:rsid w:val="0065407A"/>
    <w:rsid w:val="006540C8"/>
    <w:rsid w:val="006543D2"/>
    <w:rsid w:val="0065519B"/>
    <w:rsid w:val="0065523C"/>
    <w:rsid w:val="00655427"/>
    <w:rsid w:val="006558C2"/>
    <w:rsid w:val="006562FE"/>
    <w:rsid w:val="006572BC"/>
    <w:rsid w:val="006578AA"/>
    <w:rsid w:val="00660C60"/>
    <w:rsid w:val="00661004"/>
    <w:rsid w:val="006611C8"/>
    <w:rsid w:val="00661B32"/>
    <w:rsid w:val="006620C6"/>
    <w:rsid w:val="00662CEA"/>
    <w:rsid w:val="00662FE8"/>
    <w:rsid w:val="00663D0D"/>
    <w:rsid w:val="0066402F"/>
    <w:rsid w:val="00664048"/>
    <w:rsid w:val="00664D14"/>
    <w:rsid w:val="00664F9D"/>
    <w:rsid w:val="006654B2"/>
    <w:rsid w:val="00665A86"/>
    <w:rsid w:val="00665BDC"/>
    <w:rsid w:val="0066607E"/>
    <w:rsid w:val="00666724"/>
    <w:rsid w:val="00667215"/>
    <w:rsid w:val="0066758F"/>
    <w:rsid w:val="006677AD"/>
    <w:rsid w:val="00667BE1"/>
    <w:rsid w:val="00667F1C"/>
    <w:rsid w:val="006705AE"/>
    <w:rsid w:val="00670951"/>
    <w:rsid w:val="006709CB"/>
    <w:rsid w:val="00670EFD"/>
    <w:rsid w:val="0067193D"/>
    <w:rsid w:val="0067252B"/>
    <w:rsid w:val="006726C7"/>
    <w:rsid w:val="00672849"/>
    <w:rsid w:val="00672B5D"/>
    <w:rsid w:val="00672BF8"/>
    <w:rsid w:val="0067309E"/>
    <w:rsid w:val="00673577"/>
    <w:rsid w:val="00673CFF"/>
    <w:rsid w:val="006743A1"/>
    <w:rsid w:val="006748B7"/>
    <w:rsid w:val="00674D80"/>
    <w:rsid w:val="0067513D"/>
    <w:rsid w:val="00675EB4"/>
    <w:rsid w:val="0067622C"/>
    <w:rsid w:val="006768C9"/>
    <w:rsid w:val="00676B68"/>
    <w:rsid w:val="00676BBB"/>
    <w:rsid w:val="00676C58"/>
    <w:rsid w:val="00677733"/>
    <w:rsid w:val="006779F6"/>
    <w:rsid w:val="00677B3B"/>
    <w:rsid w:val="00677F80"/>
    <w:rsid w:val="0068096C"/>
    <w:rsid w:val="00681363"/>
    <w:rsid w:val="00682249"/>
    <w:rsid w:val="00682A4E"/>
    <w:rsid w:val="006849D4"/>
    <w:rsid w:val="00684AE7"/>
    <w:rsid w:val="00684B4A"/>
    <w:rsid w:val="00684DC4"/>
    <w:rsid w:val="00685CF7"/>
    <w:rsid w:val="00685EA4"/>
    <w:rsid w:val="00686045"/>
    <w:rsid w:val="00686165"/>
    <w:rsid w:val="00686E8F"/>
    <w:rsid w:val="00690903"/>
    <w:rsid w:val="00691CB5"/>
    <w:rsid w:val="006923DF"/>
    <w:rsid w:val="006924D9"/>
    <w:rsid w:val="006929CB"/>
    <w:rsid w:val="006935DF"/>
    <w:rsid w:val="00693DD0"/>
    <w:rsid w:val="00694050"/>
    <w:rsid w:val="0069423D"/>
    <w:rsid w:val="006945F4"/>
    <w:rsid w:val="00694F9C"/>
    <w:rsid w:val="00695001"/>
    <w:rsid w:val="0069531C"/>
    <w:rsid w:val="00696376"/>
    <w:rsid w:val="00696957"/>
    <w:rsid w:val="00696FBF"/>
    <w:rsid w:val="00697BB0"/>
    <w:rsid w:val="006A120E"/>
    <w:rsid w:val="006A2384"/>
    <w:rsid w:val="006A286E"/>
    <w:rsid w:val="006A357C"/>
    <w:rsid w:val="006A369B"/>
    <w:rsid w:val="006A37F5"/>
    <w:rsid w:val="006A3CA8"/>
    <w:rsid w:val="006A5068"/>
    <w:rsid w:val="006A5A36"/>
    <w:rsid w:val="006A5DD9"/>
    <w:rsid w:val="006A6924"/>
    <w:rsid w:val="006A6E93"/>
    <w:rsid w:val="006A728D"/>
    <w:rsid w:val="006A7549"/>
    <w:rsid w:val="006A7B5C"/>
    <w:rsid w:val="006A7BED"/>
    <w:rsid w:val="006B00AA"/>
    <w:rsid w:val="006B09B5"/>
    <w:rsid w:val="006B0B0E"/>
    <w:rsid w:val="006B0B42"/>
    <w:rsid w:val="006B0F76"/>
    <w:rsid w:val="006B1699"/>
    <w:rsid w:val="006B220F"/>
    <w:rsid w:val="006B2322"/>
    <w:rsid w:val="006B27BE"/>
    <w:rsid w:val="006B2BED"/>
    <w:rsid w:val="006B2EB3"/>
    <w:rsid w:val="006B3392"/>
    <w:rsid w:val="006B34B3"/>
    <w:rsid w:val="006B38FF"/>
    <w:rsid w:val="006B3BA0"/>
    <w:rsid w:val="006B5438"/>
    <w:rsid w:val="006B6074"/>
    <w:rsid w:val="006B62F5"/>
    <w:rsid w:val="006B63C3"/>
    <w:rsid w:val="006B6A8A"/>
    <w:rsid w:val="006B6DD7"/>
    <w:rsid w:val="006B6F82"/>
    <w:rsid w:val="006B7180"/>
    <w:rsid w:val="006C0118"/>
    <w:rsid w:val="006C02EB"/>
    <w:rsid w:val="006C047C"/>
    <w:rsid w:val="006C15B1"/>
    <w:rsid w:val="006C179B"/>
    <w:rsid w:val="006C1892"/>
    <w:rsid w:val="006C1E2E"/>
    <w:rsid w:val="006C1FAB"/>
    <w:rsid w:val="006C25C9"/>
    <w:rsid w:val="006C2779"/>
    <w:rsid w:val="006C27D9"/>
    <w:rsid w:val="006C2BEE"/>
    <w:rsid w:val="006C341C"/>
    <w:rsid w:val="006C3832"/>
    <w:rsid w:val="006C506D"/>
    <w:rsid w:val="006C5B73"/>
    <w:rsid w:val="006C62C4"/>
    <w:rsid w:val="006C645D"/>
    <w:rsid w:val="006C6A1E"/>
    <w:rsid w:val="006C6F6C"/>
    <w:rsid w:val="006C7270"/>
    <w:rsid w:val="006C7547"/>
    <w:rsid w:val="006C7559"/>
    <w:rsid w:val="006D02BD"/>
    <w:rsid w:val="006D111B"/>
    <w:rsid w:val="006D1CCA"/>
    <w:rsid w:val="006D1D9B"/>
    <w:rsid w:val="006D2834"/>
    <w:rsid w:val="006D4BFA"/>
    <w:rsid w:val="006D7615"/>
    <w:rsid w:val="006E03E5"/>
    <w:rsid w:val="006E0FE8"/>
    <w:rsid w:val="006E1502"/>
    <w:rsid w:val="006E1A81"/>
    <w:rsid w:val="006E1ADB"/>
    <w:rsid w:val="006E1E8E"/>
    <w:rsid w:val="006E273F"/>
    <w:rsid w:val="006E2A00"/>
    <w:rsid w:val="006E2D2A"/>
    <w:rsid w:val="006E3069"/>
    <w:rsid w:val="006E377B"/>
    <w:rsid w:val="006E37A3"/>
    <w:rsid w:val="006E3CC3"/>
    <w:rsid w:val="006E5220"/>
    <w:rsid w:val="006E57CF"/>
    <w:rsid w:val="006E61B1"/>
    <w:rsid w:val="006E64B9"/>
    <w:rsid w:val="006E6AD0"/>
    <w:rsid w:val="006E7094"/>
    <w:rsid w:val="006E74A5"/>
    <w:rsid w:val="006E782B"/>
    <w:rsid w:val="006F0708"/>
    <w:rsid w:val="006F099E"/>
    <w:rsid w:val="006F2F7D"/>
    <w:rsid w:val="006F3AAE"/>
    <w:rsid w:val="006F4071"/>
    <w:rsid w:val="006F47FD"/>
    <w:rsid w:val="006F4944"/>
    <w:rsid w:val="006F4F2F"/>
    <w:rsid w:val="006F6876"/>
    <w:rsid w:val="006F6AB7"/>
    <w:rsid w:val="006F6DCC"/>
    <w:rsid w:val="006F729F"/>
    <w:rsid w:val="006F756F"/>
    <w:rsid w:val="006F75E3"/>
    <w:rsid w:val="006F7697"/>
    <w:rsid w:val="006F76BC"/>
    <w:rsid w:val="00700A0B"/>
    <w:rsid w:val="00700C44"/>
    <w:rsid w:val="00700D12"/>
    <w:rsid w:val="00700F17"/>
    <w:rsid w:val="00701E5B"/>
    <w:rsid w:val="00702356"/>
    <w:rsid w:val="0070266B"/>
    <w:rsid w:val="0070297C"/>
    <w:rsid w:val="0070513F"/>
    <w:rsid w:val="00705221"/>
    <w:rsid w:val="00705485"/>
    <w:rsid w:val="0070549E"/>
    <w:rsid w:val="00705784"/>
    <w:rsid w:val="00706444"/>
    <w:rsid w:val="00706C48"/>
    <w:rsid w:val="00706E5B"/>
    <w:rsid w:val="00706E8E"/>
    <w:rsid w:val="007075B3"/>
    <w:rsid w:val="0070795C"/>
    <w:rsid w:val="007079C3"/>
    <w:rsid w:val="00710185"/>
    <w:rsid w:val="00711210"/>
    <w:rsid w:val="0071206E"/>
    <w:rsid w:val="007123D7"/>
    <w:rsid w:val="0071257E"/>
    <w:rsid w:val="00712689"/>
    <w:rsid w:val="0071327E"/>
    <w:rsid w:val="007132A4"/>
    <w:rsid w:val="007136FA"/>
    <w:rsid w:val="00713BFF"/>
    <w:rsid w:val="00713D04"/>
    <w:rsid w:val="0071407A"/>
    <w:rsid w:val="007143D5"/>
    <w:rsid w:val="0071449E"/>
    <w:rsid w:val="00714762"/>
    <w:rsid w:val="00714932"/>
    <w:rsid w:val="00714EEF"/>
    <w:rsid w:val="007171E0"/>
    <w:rsid w:val="00717411"/>
    <w:rsid w:val="0071796C"/>
    <w:rsid w:val="00717971"/>
    <w:rsid w:val="00717E4E"/>
    <w:rsid w:val="00720A82"/>
    <w:rsid w:val="00720ABB"/>
    <w:rsid w:val="00720ED4"/>
    <w:rsid w:val="007213D9"/>
    <w:rsid w:val="00721469"/>
    <w:rsid w:val="00721A0F"/>
    <w:rsid w:val="00721E5D"/>
    <w:rsid w:val="00722495"/>
    <w:rsid w:val="007224E8"/>
    <w:rsid w:val="0072276F"/>
    <w:rsid w:val="00722938"/>
    <w:rsid w:val="00722B53"/>
    <w:rsid w:val="007234CE"/>
    <w:rsid w:val="007245F7"/>
    <w:rsid w:val="00724966"/>
    <w:rsid w:val="007250AA"/>
    <w:rsid w:val="00725605"/>
    <w:rsid w:val="0072591D"/>
    <w:rsid w:val="00725C0F"/>
    <w:rsid w:val="00725CD6"/>
    <w:rsid w:val="0072605C"/>
    <w:rsid w:val="0072688C"/>
    <w:rsid w:val="00726B56"/>
    <w:rsid w:val="00726FFB"/>
    <w:rsid w:val="00730B1C"/>
    <w:rsid w:val="00731D05"/>
    <w:rsid w:val="0073270D"/>
    <w:rsid w:val="00732E8E"/>
    <w:rsid w:val="007332C8"/>
    <w:rsid w:val="007333EF"/>
    <w:rsid w:val="007337F4"/>
    <w:rsid w:val="00733834"/>
    <w:rsid w:val="00734D3B"/>
    <w:rsid w:val="00735965"/>
    <w:rsid w:val="00735F55"/>
    <w:rsid w:val="0073660D"/>
    <w:rsid w:val="007367E9"/>
    <w:rsid w:val="00736BC8"/>
    <w:rsid w:val="00736D40"/>
    <w:rsid w:val="007372CE"/>
    <w:rsid w:val="00737C86"/>
    <w:rsid w:val="00737DA4"/>
    <w:rsid w:val="00740BF6"/>
    <w:rsid w:val="00741243"/>
    <w:rsid w:val="0074220D"/>
    <w:rsid w:val="007422E9"/>
    <w:rsid w:val="00742366"/>
    <w:rsid w:val="007426FC"/>
    <w:rsid w:val="007428CA"/>
    <w:rsid w:val="00742CBA"/>
    <w:rsid w:val="00743B01"/>
    <w:rsid w:val="00743B50"/>
    <w:rsid w:val="00743CC1"/>
    <w:rsid w:val="00743DF5"/>
    <w:rsid w:val="00744484"/>
    <w:rsid w:val="007449C7"/>
    <w:rsid w:val="00746B0E"/>
    <w:rsid w:val="00746CF3"/>
    <w:rsid w:val="00747C2A"/>
    <w:rsid w:val="007501E3"/>
    <w:rsid w:val="00750466"/>
    <w:rsid w:val="007509DD"/>
    <w:rsid w:val="00750A0B"/>
    <w:rsid w:val="00750D20"/>
    <w:rsid w:val="00751979"/>
    <w:rsid w:val="00751F27"/>
    <w:rsid w:val="00751F80"/>
    <w:rsid w:val="00752015"/>
    <w:rsid w:val="00752A25"/>
    <w:rsid w:val="00752D4F"/>
    <w:rsid w:val="00753C7C"/>
    <w:rsid w:val="00754593"/>
    <w:rsid w:val="0075522F"/>
    <w:rsid w:val="007561CF"/>
    <w:rsid w:val="007566DC"/>
    <w:rsid w:val="0075690D"/>
    <w:rsid w:val="007570FE"/>
    <w:rsid w:val="007571AC"/>
    <w:rsid w:val="007571B6"/>
    <w:rsid w:val="007571EC"/>
    <w:rsid w:val="00757214"/>
    <w:rsid w:val="00757318"/>
    <w:rsid w:val="00757378"/>
    <w:rsid w:val="00757547"/>
    <w:rsid w:val="00760308"/>
    <w:rsid w:val="007617B2"/>
    <w:rsid w:val="007623B1"/>
    <w:rsid w:val="00762DA3"/>
    <w:rsid w:val="00762F9F"/>
    <w:rsid w:val="00763457"/>
    <w:rsid w:val="00763474"/>
    <w:rsid w:val="00763800"/>
    <w:rsid w:val="00764088"/>
    <w:rsid w:val="0076421E"/>
    <w:rsid w:val="00764660"/>
    <w:rsid w:val="0076509B"/>
    <w:rsid w:val="00765B6B"/>
    <w:rsid w:val="00766184"/>
    <w:rsid w:val="00766E4E"/>
    <w:rsid w:val="00767235"/>
    <w:rsid w:val="007678A8"/>
    <w:rsid w:val="007678F4"/>
    <w:rsid w:val="00767F70"/>
    <w:rsid w:val="00770395"/>
    <w:rsid w:val="00770B19"/>
    <w:rsid w:val="0077156E"/>
    <w:rsid w:val="00771A8A"/>
    <w:rsid w:val="007721CE"/>
    <w:rsid w:val="00772AD2"/>
    <w:rsid w:val="00772DF8"/>
    <w:rsid w:val="0077340C"/>
    <w:rsid w:val="00773576"/>
    <w:rsid w:val="00773736"/>
    <w:rsid w:val="00773D3B"/>
    <w:rsid w:val="00773EE9"/>
    <w:rsid w:val="00773F4D"/>
    <w:rsid w:val="007741C4"/>
    <w:rsid w:val="007745D7"/>
    <w:rsid w:val="0077468D"/>
    <w:rsid w:val="00774A3F"/>
    <w:rsid w:val="0077514D"/>
    <w:rsid w:val="0077576F"/>
    <w:rsid w:val="007757A5"/>
    <w:rsid w:val="00776337"/>
    <w:rsid w:val="00776393"/>
    <w:rsid w:val="0078028D"/>
    <w:rsid w:val="007803AE"/>
    <w:rsid w:val="007808C2"/>
    <w:rsid w:val="00781026"/>
    <w:rsid w:val="007813D8"/>
    <w:rsid w:val="00781AD1"/>
    <w:rsid w:val="0078257B"/>
    <w:rsid w:val="007826FA"/>
    <w:rsid w:val="0078368E"/>
    <w:rsid w:val="007837DA"/>
    <w:rsid w:val="007838E8"/>
    <w:rsid w:val="00783D75"/>
    <w:rsid w:val="007843E2"/>
    <w:rsid w:val="00784C0A"/>
    <w:rsid w:val="00785DCB"/>
    <w:rsid w:val="00786037"/>
    <w:rsid w:val="00786312"/>
    <w:rsid w:val="00786364"/>
    <w:rsid w:val="0078639A"/>
    <w:rsid w:val="00786817"/>
    <w:rsid w:val="00786DE5"/>
    <w:rsid w:val="00787333"/>
    <w:rsid w:val="00787395"/>
    <w:rsid w:val="007873E8"/>
    <w:rsid w:val="00787D70"/>
    <w:rsid w:val="007902CF"/>
    <w:rsid w:val="00790453"/>
    <w:rsid w:val="00790A49"/>
    <w:rsid w:val="00790B3A"/>
    <w:rsid w:val="00790BBB"/>
    <w:rsid w:val="00790BFD"/>
    <w:rsid w:val="00790DCE"/>
    <w:rsid w:val="00790E71"/>
    <w:rsid w:val="0079175C"/>
    <w:rsid w:val="007918D5"/>
    <w:rsid w:val="00791959"/>
    <w:rsid w:val="00791B86"/>
    <w:rsid w:val="00792490"/>
    <w:rsid w:val="00792514"/>
    <w:rsid w:val="00792AF9"/>
    <w:rsid w:val="00792D91"/>
    <w:rsid w:val="00792DAD"/>
    <w:rsid w:val="007938B0"/>
    <w:rsid w:val="00794189"/>
    <w:rsid w:val="007941DC"/>
    <w:rsid w:val="0079421C"/>
    <w:rsid w:val="007946BD"/>
    <w:rsid w:val="00794B40"/>
    <w:rsid w:val="00794E46"/>
    <w:rsid w:val="007968E9"/>
    <w:rsid w:val="00796E26"/>
    <w:rsid w:val="00797075"/>
    <w:rsid w:val="00797281"/>
    <w:rsid w:val="00797302"/>
    <w:rsid w:val="00797801"/>
    <w:rsid w:val="00797821"/>
    <w:rsid w:val="007A059B"/>
    <w:rsid w:val="007A0B14"/>
    <w:rsid w:val="007A0CCB"/>
    <w:rsid w:val="007A1079"/>
    <w:rsid w:val="007A11D7"/>
    <w:rsid w:val="007A1CA7"/>
    <w:rsid w:val="007A2248"/>
    <w:rsid w:val="007A2977"/>
    <w:rsid w:val="007A30F0"/>
    <w:rsid w:val="007A36B9"/>
    <w:rsid w:val="007A385D"/>
    <w:rsid w:val="007A4736"/>
    <w:rsid w:val="007A487C"/>
    <w:rsid w:val="007A602C"/>
    <w:rsid w:val="007A68F1"/>
    <w:rsid w:val="007A6A37"/>
    <w:rsid w:val="007A6CFC"/>
    <w:rsid w:val="007A7FAA"/>
    <w:rsid w:val="007B0102"/>
    <w:rsid w:val="007B0326"/>
    <w:rsid w:val="007B0B5C"/>
    <w:rsid w:val="007B1365"/>
    <w:rsid w:val="007B15C6"/>
    <w:rsid w:val="007B1878"/>
    <w:rsid w:val="007B2677"/>
    <w:rsid w:val="007B2AE7"/>
    <w:rsid w:val="007B3107"/>
    <w:rsid w:val="007B3E6D"/>
    <w:rsid w:val="007B3F04"/>
    <w:rsid w:val="007B40F1"/>
    <w:rsid w:val="007B516D"/>
    <w:rsid w:val="007B58BB"/>
    <w:rsid w:val="007B61ED"/>
    <w:rsid w:val="007B6243"/>
    <w:rsid w:val="007B6658"/>
    <w:rsid w:val="007B6DC8"/>
    <w:rsid w:val="007B6E3E"/>
    <w:rsid w:val="007B706E"/>
    <w:rsid w:val="007B76AB"/>
    <w:rsid w:val="007B7762"/>
    <w:rsid w:val="007C015B"/>
    <w:rsid w:val="007C0394"/>
    <w:rsid w:val="007C0B34"/>
    <w:rsid w:val="007C0F65"/>
    <w:rsid w:val="007C1825"/>
    <w:rsid w:val="007C21B5"/>
    <w:rsid w:val="007C29F8"/>
    <w:rsid w:val="007C2C95"/>
    <w:rsid w:val="007C300D"/>
    <w:rsid w:val="007C3487"/>
    <w:rsid w:val="007C381F"/>
    <w:rsid w:val="007C3835"/>
    <w:rsid w:val="007C4298"/>
    <w:rsid w:val="007C51DE"/>
    <w:rsid w:val="007C51FB"/>
    <w:rsid w:val="007C5354"/>
    <w:rsid w:val="007C5C96"/>
    <w:rsid w:val="007C5E97"/>
    <w:rsid w:val="007C733D"/>
    <w:rsid w:val="007C7537"/>
    <w:rsid w:val="007C7D1D"/>
    <w:rsid w:val="007C7F16"/>
    <w:rsid w:val="007D1D23"/>
    <w:rsid w:val="007D3412"/>
    <w:rsid w:val="007D3ABA"/>
    <w:rsid w:val="007D41DF"/>
    <w:rsid w:val="007D47DF"/>
    <w:rsid w:val="007D48A0"/>
    <w:rsid w:val="007D5004"/>
    <w:rsid w:val="007D592B"/>
    <w:rsid w:val="007D5965"/>
    <w:rsid w:val="007D5AA6"/>
    <w:rsid w:val="007D5B99"/>
    <w:rsid w:val="007D5F82"/>
    <w:rsid w:val="007D625F"/>
    <w:rsid w:val="007D6566"/>
    <w:rsid w:val="007D6FF1"/>
    <w:rsid w:val="007D74B5"/>
    <w:rsid w:val="007D7A91"/>
    <w:rsid w:val="007E02F3"/>
    <w:rsid w:val="007E164F"/>
    <w:rsid w:val="007E212D"/>
    <w:rsid w:val="007E29E4"/>
    <w:rsid w:val="007E3E0E"/>
    <w:rsid w:val="007E438B"/>
    <w:rsid w:val="007E47D5"/>
    <w:rsid w:val="007E5FD2"/>
    <w:rsid w:val="007E6456"/>
    <w:rsid w:val="007E724A"/>
    <w:rsid w:val="007E7B9E"/>
    <w:rsid w:val="007F16A3"/>
    <w:rsid w:val="007F1BDD"/>
    <w:rsid w:val="007F207C"/>
    <w:rsid w:val="007F25FC"/>
    <w:rsid w:val="007F3566"/>
    <w:rsid w:val="007F3AC2"/>
    <w:rsid w:val="007F4A5C"/>
    <w:rsid w:val="007F52EA"/>
    <w:rsid w:val="007F5536"/>
    <w:rsid w:val="007F5664"/>
    <w:rsid w:val="007F5AC5"/>
    <w:rsid w:val="007F5E18"/>
    <w:rsid w:val="007F7028"/>
    <w:rsid w:val="0080044A"/>
    <w:rsid w:val="008006F2"/>
    <w:rsid w:val="00800BEC"/>
    <w:rsid w:val="00801E82"/>
    <w:rsid w:val="00802781"/>
    <w:rsid w:val="00802793"/>
    <w:rsid w:val="00802C10"/>
    <w:rsid w:val="00802D74"/>
    <w:rsid w:val="00802D8B"/>
    <w:rsid w:val="00803934"/>
    <w:rsid w:val="0080455A"/>
    <w:rsid w:val="00804569"/>
    <w:rsid w:val="0080484C"/>
    <w:rsid w:val="008048B3"/>
    <w:rsid w:val="00804DAA"/>
    <w:rsid w:val="00804E86"/>
    <w:rsid w:val="00804F44"/>
    <w:rsid w:val="00804FC3"/>
    <w:rsid w:val="00806197"/>
    <w:rsid w:val="00806850"/>
    <w:rsid w:val="00810E67"/>
    <w:rsid w:val="0081134F"/>
    <w:rsid w:val="00811861"/>
    <w:rsid w:val="00811943"/>
    <w:rsid w:val="0081214D"/>
    <w:rsid w:val="0081295A"/>
    <w:rsid w:val="008137C5"/>
    <w:rsid w:val="00813850"/>
    <w:rsid w:val="008152B9"/>
    <w:rsid w:val="008155EC"/>
    <w:rsid w:val="00815724"/>
    <w:rsid w:val="00815A17"/>
    <w:rsid w:val="00815C81"/>
    <w:rsid w:val="008163DD"/>
    <w:rsid w:val="008165F8"/>
    <w:rsid w:val="00816615"/>
    <w:rsid w:val="00816C59"/>
    <w:rsid w:val="008171FD"/>
    <w:rsid w:val="00817266"/>
    <w:rsid w:val="00817417"/>
    <w:rsid w:val="00817695"/>
    <w:rsid w:val="008200BE"/>
    <w:rsid w:val="008202B6"/>
    <w:rsid w:val="00820584"/>
    <w:rsid w:val="008211F4"/>
    <w:rsid w:val="00821677"/>
    <w:rsid w:val="0082297F"/>
    <w:rsid w:val="00823C2A"/>
    <w:rsid w:val="008247CE"/>
    <w:rsid w:val="008257FF"/>
    <w:rsid w:val="00825B0F"/>
    <w:rsid w:val="0082618A"/>
    <w:rsid w:val="008266ED"/>
    <w:rsid w:val="008271A5"/>
    <w:rsid w:val="0082769B"/>
    <w:rsid w:val="00827CD0"/>
    <w:rsid w:val="00827E3B"/>
    <w:rsid w:val="00830684"/>
    <w:rsid w:val="008306ED"/>
    <w:rsid w:val="00830EF3"/>
    <w:rsid w:val="008311B8"/>
    <w:rsid w:val="00831553"/>
    <w:rsid w:val="008316A1"/>
    <w:rsid w:val="00831854"/>
    <w:rsid w:val="00831BD6"/>
    <w:rsid w:val="008321B0"/>
    <w:rsid w:val="00833683"/>
    <w:rsid w:val="00833716"/>
    <w:rsid w:val="00834243"/>
    <w:rsid w:val="00835500"/>
    <w:rsid w:val="0083564E"/>
    <w:rsid w:val="00835C41"/>
    <w:rsid w:val="00835E9D"/>
    <w:rsid w:val="008362DE"/>
    <w:rsid w:val="008365AA"/>
    <w:rsid w:val="00836C03"/>
    <w:rsid w:val="00836FE8"/>
    <w:rsid w:val="008371F3"/>
    <w:rsid w:val="008374C4"/>
    <w:rsid w:val="0083774F"/>
    <w:rsid w:val="00837DAE"/>
    <w:rsid w:val="00837DE1"/>
    <w:rsid w:val="00840748"/>
    <w:rsid w:val="00840870"/>
    <w:rsid w:val="00840F4B"/>
    <w:rsid w:val="00841F42"/>
    <w:rsid w:val="0084253F"/>
    <w:rsid w:val="008425D6"/>
    <w:rsid w:val="0084339A"/>
    <w:rsid w:val="00843DD5"/>
    <w:rsid w:val="008444E1"/>
    <w:rsid w:val="0084451B"/>
    <w:rsid w:val="00844ABF"/>
    <w:rsid w:val="008453BD"/>
    <w:rsid w:val="00845A2A"/>
    <w:rsid w:val="00845AEE"/>
    <w:rsid w:val="00846D8B"/>
    <w:rsid w:val="008476B5"/>
    <w:rsid w:val="00847EEE"/>
    <w:rsid w:val="00847FFC"/>
    <w:rsid w:val="0085042D"/>
    <w:rsid w:val="00850872"/>
    <w:rsid w:val="0085101E"/>
    <w:rsid w:val="00851584"/>
    <w:rsid w:val="00852F98"/>
    <w:rsid w:val="008530F8"/>
    <w:rsid w:val="008565B0"/>
    <w:rsid w:val="00856C39"/>
    <w:rsid w:val="00857969"/>
    <w:rsid w:val="00860816"/>
    <w:rsid w:val="00861864"/>
    <w:rsid w:val="00862738"/>
    <w:rsid w:val="00863828"/>
    <w:rsid w:val="00863A1F"/>
    <w:rsid w:val="00863CA2"/>
    <w:rsid w:val="00864A86"/>
    <w:rsid w:val="00864AC7"/>
    <w:rsid w:val="00864B72"/>
    <w:rsid w:val="008650B4"/>
    <w:rsid w:val="00865203"/>
    <w:rsid w:val="0086581A"/>
    <w:rsid w:val="00866B39"/>
    <w:rsid w:val="00867F03"/>
    <w:rsid w:val="008701C7"/>
    <w:rsid w:val="00870690"/>
    <w:rsid w:val="008707EF"/>
    <w:rsid w:val="00870B06"/>
    <w:rsid w:val="00871C82"/>
    <w:rsid w:val="0087318B"/>
    <w:rsid w:val="00873605"/>
    <w:rsid w:val="00873794"/>
    <w:rsid w:val="00873CA9"/>
    <w:rsid w:val="0087429D"/>
    <w:rsid w:val="0087458F"/>
    <w:rsid w:val="008770F5"/>
    <w:rsid w:val="00877449"/>
    <w:rsid w:val="008775BC"/>
    <w:rsid w:val="00877CC2"/>
    <w:rsid w:val="00877D84"/>
    <w:rsid w:val="00880094"/>
    <w:rsid w:val="00880259"/>
    <w:rsid w:val="008810ED"/>
    <w:rsid w:val="00881633"/>
    <w:rsid w:val="008816A4"/>
    <w:rsid w:val="00881BAC"/>
    <w:rsid w:val="00882BA6"/>
    <w:rsid w:val="00882CC4"/>
    <w:rsid w:val="00882CE3"/>
    <w:rsid w:val="00883BDC"/>
    <w:rsid w:val="00883D27"/>
    <w:rsid w:val="008844AC"/>
    <w:rsid w:val="00884514"/>
    <w:rsid w:val="00885958"/>
    <w:rsid w:val="00886636"/>
    <w:rsid w:val="00886A7B"/>
    <w:rsid w:val="00886B79"/>
    <w:rsid w:val="00886E83"/>
    <w:rsid w:val="008871BF"/>
    <w:rsid w:val="0088720B"/>
    <w:rsid w:val="008873B8"/>
    <w:rsid w:val="008877E7"/>
    <w:rsid w:val="00887C4D"/>
    <w:rsid w:val="00887CDF"/>
    <w:rsid w:val="00887D33"/>
    <w:rsid w:val="008907DB"/>
    <w:rsid w:val="008912D5"/>
    <w:rsid w:val="0089177C"/>
    <w:rsid w:val="008919AA"/>
    <w:rsid w:val="00891A59"/>
    <w:rsid w:val="00892490"/>
    <w:rsid w:val="00892585"/>
    <w:rsid w:val="00892F07"/>
    <w:rsid w:val="0089362C"/>
    <w:rsid w:val="00894513"/>
    <w:rsid w:val="00894619"/>
    <w:rsid w:val="008946FC"/>
    <w:rsid w:val="00894800"/>
    <w:rsid w:val="008949FB"/>
    <w:rsid w:val="00894E20"/>
    <w:rsid w:val="008951CD"/>
    <w:rsid w:val="0089533F"/>
    <w:rsid w:val="0089584C"/>
    <w:rsid w:val="0089596C"/>
    <w:rsid w:val="00895BFE"/>
    <w:rsid w:val="00895CC9"/>
    <w:rsid w:val="00896ACC"/>
    <w:rsid w:val="00896B0D"/>
    <w:rsid w:val="00896BDA"/>
    <w:rsid w:val="00897F46"/>
    <w:rsid w:val="008A0216"/>
    <w:rsid w:val="008A08C4"/>
    <w:rsid w:val="008A0CC6"/>
    <w:rsid w:val="008A0D91"/>
    <w:rsid w:val="008A142A"/>
    <w:rsid w:val="008A14ED"/>
    <w:rsid w:val="008A2345"/>
    <w:rsid w:val="008A234C"/>
    <w:rsid w:val="008A2C67"/>
    <w:rsid w:val="008A2E3D"/>
    <w:rsid w:val="008A2F31"/>
    <w:rsid w:val="008A3288"/>
    <w:rsid w:val="008A39E7"/>
    <w:rsid w:val="008A3A69"/>
    <w:rsid w:val="008A40EC"/>
    <w:rsid w:val="008A4103"/>
    <w:rsid w:val="008A4720"/>
    <w:rsid w:val="008A4759"/>
    <w:rsid w:val="008A487C"/>
    <w:rsid w:val="008A4896"/>
    <w:rsid w:val="008A49BD"/>
    <w:rsid w:val="008A4BDD"/>
    <w:rsid w:val="008A5374"/>
    <w:rsid w:val="008A67D0"/>
    <w:rsid w:val="008A7364"/>
    <w:rsid w:val="008B0091"/>
    <w:rsid w:val="008B1BE0"/>
    <w:rsid w:val="008B3067"/>
    <w:rsid w:val="008B3593"/>
    <w:rsid w:val="008B3846"/>
    <w:rsid w:val="008B4553"/>
    <w:rsid w:val="008B4587"/>
    <w:rsid w:val="008B45AC"/>
    <w:rsid w:val="008B497A"/>
    <w:rsid w:val="008B49CA"/>
    <w:rsid w:val="008B51F6"/>
    <w:rsid w:val="008B57BC"/>
    <w:rsid w:val="008B5F27"/>
    <w:rsid w:val="008B686A"/>
    <w:rsid w:val="008B6FC1"/>
    <w:rsid w:val="008B733A"/>
    <w:rsid w:val="008B7372"/>
    <w:rsid w:val="008B7CD0"/>
    <w:rsid w:val="008C0447"/>
    <w:rsid w:val="008C0BC1"/>
    <w:rsid w:val="008C0CA3"/>
    <w:rsid w:val="008C1000"/>
    <w:rsid w:val="008C192C"/>
    <w:rsid w:val="008C1B85"/>
    <w:rsid w:val="008C1DB1"/>
    <w:rsid w:val="008C2B88"/>
    <w:rsid w:val="008C3AB8"/>
    <w:rsid w:val="008C442A"/>
    <w:rsid w:val="008C44BB"/>
    <w:rsid w:val="008C4E22"/>
    <w:rsid w:val="008C4E9A"/>
    <w:rsid w:val="008C4F81"/>
    <w:rsid w:val="008C56E3"/>
    <w:rsid w:val="008C5C27"/>
    <w:rsid w:val="008C62AA"/>
    <w:rsid w:val="008C6A45"/>
    <w:rsid w:val="008C7261"/>
    <w:rsid w:val="008C73D0"/>
    <w:rsid w:val="008C76A0"/>
    <w:rsid w:val="008C78F3"/>
    <w:rsid w:val="008C7E03"/>
    <w:rsid w:val="008C7F71"/>
    <w:rsid w:val="008D05A5"/>
    <w:rsid w:val="008D0635"/>
    <w:rsid w:val="008D10DB"/>
    <w:rsid w:val="008D1B6D"/>
    <w:rsid w:val="008D2B00"/>
    <w:rsid w:val="008D2B0E"/>
    <w:rsid w:val="008D339F"/>
    <w:rsid w:val="008D34AF"/>
    <w:rsid w:val="008D36E1"/>
    <w:rsid w:val="008D47D7"/>
    <w:rsid w:val="008D4A5D"/>
    <w:rsid w:val="008D5483"/>
    <w:rsid w:val="008D59E3"/>
    <w:rsid w:val="008D69FF"/>
    <w:rsid w:val="008D6D16"/>
    <w:rsid w:val="008D78E0"/>
    <w:rsid w:val="008D7B9C"/>
    <w:rsid w:val="008E0C29"/>
    <w:rsid w:val="008E1159"/>
    <w:rsid w:val="008E1A52"/>
    <w:rsid w:val="008E1E9F"/>
    <w:rsid w:val="008E24D2"/>
    <w:rsid w:val="008E2B08"/>
    <w:rsid w:val="008E3791"/>
    <w:rsid w:val="008E3975"/>
    <w:rsid w:val="008E3AC2"/>
    <w:rsid w:val="008E3EA6"/>
    <w:rsid w:val="008E3F0D"/>
    <w:rsid w:val="008E4075"/>
    <w:rsid w:val="008E4E59"/>
    <w:rsid w:val="008E4F28"/>
    <w:rsid w:val="008E4F7A"/>
    <w:rsid w:val="008E4FF7"/>
    <w:rsid w:val="008E61E9"/>
    <w:rsid w:val="008E6292"/>
    <w:rsid w:val="008E6663"/>
    <w:rsid w:val="008E67D8"/>
    <w:rsid w:val="008E70FC"/>
    <w:rsid w:val="008E7AE8"/>
    <w:rsid w:val="008E7E94"/>
    <w:rsid w:val="008F1765"/>
    <w:rsid w:val="008F1B50"/>
    <w:rsid w:val="008F1E3E"/>
    <w:rsid w:val="008F2039"/>
    <w:rsid w:val="008F2119"/>
    <w:rsid w:val="008F23EB"/>
    <w:rsid w:val="008F30DD"/>
    <w:rsid w:val="008F3273"/>
    <w:rsid w:val="008F38BB"/>
    <w:rsid w:val="008F3F1E"/>
    <w:rsid w:val="008F50A1"/>
    <w:rsid w:val="008F52F7"/>
    <w:rsid w:val="008F5C58"/>
    <w:rsid w:val="008F6077"/>
    <w:rsid w:val="008F6154"/>
    <w:rsid w:val="008F6BF6"/>
    <w:rsid w:val="008F6F1A"/>
    <w:rsid w:val="008F74C2"/>
    <w:rsid w:val="008F7CC0"/>
    <w:rsid w:val="0090131E"/>
    <w:rsid w:val="00901DCB"/>
    <w:rsid w:val="00901E80"/>
    <w:rsid w:val="009026E1"/>
    <w:rsid w:val="00903028"/>
    <w:rsid w:val="009039C0"/>
    <w:rsid w:val="00903B6A"/>
    <w:rsid w:val="00903D4C"/>
    <w:rsid w:val="00904731"/>
    <w:rsid w:val="00904801"/>
    <w:rsid w:val="00904F61"/>
    <w:rsid w:val="00905251"/>
    <w:rsid w:val="00905545"/>
    <w:rsid w:val="009066B6"/>
    <w:rsid w:val="009066E5"/>
    <w:rsid w:val="00906B62"/>
    <w:rsid w:val="00906E61"/>
    <w:rsid w:val="0090745D"/>
    <w:rsid w:val="009076CB"/>
    <w:rsid w:val="00910CFE"/>
    <w:rsid w:val="00910D83"/>
    <w:rsid w:val="00911411"/>
    <w:rsid w:val="0091158A"/>
    <w:rsid w:val="009120B3"/>
    <w:rsid w:val="00912AC9"/>
    <w:rsid w:val="00912E49"/>
    <w:rsid w:val="00912FA6"/>
    <w:rsid w:val="00913083"/>
    <w:rsid w:val="0091373E"/>
    <w:rsid w:val="00914638"/>
    <w:rsid w:val="00915C04"/>
    <w:rsid w:val="00915EE2"/>
    <w:rsid w:val="00916B38"/>
    <w:rsid w:val="009173DF"/>
    <w:rsid w:val="00917488"/>
    <w:rsid w:val="009178C7"/>
    <w:rsid w:val="00917E28"/>
    <w:rsid w:val="009200B2"/>
    <w:rsid w:val="009204F1"/>
    <w:rsid w:val="00920557"/>
    <w:rsid w:val="009209AB"/>
    <w:rsid w:val="00920AFA"/>
    <w:rsid w:val="00921F09"/>
    <w:rsid w:val="00922102"/>
    <w:rsid w:val="009223CA"/>
    <w:rsid w:val="0092282D"/>
    <w:rsid w:val="00922F6A"/>
    <w:rsid w:val="009232EF"/>
    <w:rsid w:val="00925811"/>
    <w:rsid w:val="00925A93"/>
    <w:rsid w:val="00925AA5"/>
    <w:rsid w:val="00925C91"/>
    <w:rsid w:val="009263BC"/>
    <w:rsid w:val="00926474"/>
    <w:rsid w:val="009264B7"/>
    <w:rsid w:val="009267AA"/>
    <w:rsid w:val="00926E4A"/>
    <w:rsid w:val="00926F55"/>
    <w:rsid w:val="0092700E"/>
    <w:rsid w:val="009301E7"/>
    <w:rsid w:val="009303CB"/>
    <w:rsid w:val="009309C7"/>
    <w:rsid w:val="00931076"/>
    <w:rsid w:val="009311BF"/>
    <w:rsid w:val="00931409"/>
    <w:rsid w:val="00932729"/>
    <w:rsid w:val="00934891"/>
    <w:rsid w:val="00934D0F"/>
    <w:rsid w:val="00934F2B"/>
    <w:rsid w:val="009351DD"/>
    <w:rsid w:val="00935222"/>
    <w:rsid w:val="0093540D"/>
    <w:rsid w:val="009358C3"/>
    <w:rsid w:val="00936E7D"/>
    <w:rsid w:val="009372FF"/>
    <w:rsid w:val="00937518"/>
    <w:rsid w:val="00937529"/>
    <w:rsid w:val="00937C4F"/>
    <w:rsid w:val="0094019D"/>
    <w:rsid w:val="0094027A"/>
    <w:rsid w:val="009402D4"/>
    <w:rsid w:val="00940306"/>
    <w:rsid w:val="009410EA"/>
    <w:rsid w:val="00941571"/>
    <w:rsid w:val="009419C9"/>
    <w:rsid w:val="00942C11"/>
    <w:rsid w:val="00942CAE"/>
    <w:rsid w:val="009434CA"/>
    <w:rsid w:val="0094351F"/>
    <w:rsid w:val="0094380A"/>
    <w:rsid w:val="00944B39"/>
    <w:rsid w:val="0094592E"/>
    <w:rsid w:val="00945FCE"/>
    <w:rsid w:val="009465DF"/>
    <w:rsid w:val="00946AEC"/>
    <w:rsid w:val="00946B9A"/>
    <w:rsid w:val="00946D62"/>
    <w:rsid w:val="00946E3C"/>
    <w:rsid w:val="00947440"/>
    <w:rsid w:val="00947800"/>
    <w:rsid w:val="00947AD3"/>
    <w:rsid w:val="00947BBD"/>
    <w:rsid w:val="009526D3"/>
    <w:rsid w:val="00952B02"/>
    <w:rsid w:val="00952F4A"/>
    <w:rsid w:val="00953760"/>
    <w:rsid w:val="009547F8"/>
    <w:rsid w:val="009547FC"/>
    <w:rsid w:val="00954D09"/>
    <w:rsid w:val="00955CE6"/>
    <w:rsid w:val="00955D23"/>
    <w:rsid w:val="00956113"/>
    <w:rsid w:val="0095651A"/>
    <w:rsid w:val="009566AB"/>
    <w:rsid w:val="0095690E"/>
    <w:rsid w:val="00956968"/>
    <w:rsid w:val="00956A82"/>
    <w:rsid w:val="009572EB"/>
    <w:rsid w:val="0095756D"/>
    <w:rsid w:val="00957B00"/>
    <w:rsid w:val="00960ED1"/>
    <w:rsid w:val="0096142B"/>
    <w:rsid w:val="0096146A"/>
    <w:rsid w:val="009619E8"/>
    <w:rsid w:val="0096223F"/>
    <w:rsid w:val="0096254F"/>
    <w:rsid w:val="00962A22"/>
    <w:rsid w:val="00962ACF"/>
    <w:rsid w:val="00962D1E"/>
    <w:rsid w:val="00963EE1"/>
    <w:rsid w:val="009653BB"/>
    <w:rsid w:val="00965834"/>
    <w:rsid w:val="00966049"/>
    <w:rsid w:val="00967EDA"/>
    <w:rsid w:val="00970185"/>
    <w:rsid w:val="009703BE"/>
    <w:rsid w:val="009705FA"/>
    <w:rsid w:val="00970E33"/>
    <w:rsid w:val="0097151D"/>
    <w:rsid w:val="0097194F"/>
    <w:rsid w:val="009719A5"/>
    <w:rsid w:val="00971A65"/>
    <w:rsid w:val="009729D4"/>
    <w:rsid w:val="00972C41"/>
    <w:rsid w:val="009737C2"/>
    <w:rsid w:val="009739F1"/>
    <w:rsid w:val="0097427F"/>
    <w:rsid w:val="00974588"/>
    <w:rsid w:val="00974B02"/>
    <w:rsid w:val="00975290"/>
    <w:rsid w:val="009762E9"/>
    <w:rsid w:val="0097645D"/>
    <w:rsid w:val="0097668C"/>
    <w:rsid w:val="009767B0"/>
    <w:rsid w:val="00976F5C"/>
    <w:rsid w:val="00977124"/>
    <w:rsid w:val="00977553"/>
    <w:rsid w:val="00977764"/>
    <w:rsid w:val="00977C7B"/>
    <w:rsid w:val="0098037A"/>
    <w:rsid w:val="00980663"/>
    <w:rsid w:val="009806F5"/>
    <w:rsid w:val="00980759"/>
    <w:rsid w:val="00980E89"/>
    <w:rsid w:val="009814ED"/>
    <w:rsid w:val="009817B0"/>
    <w:rsid w:val="00981B61"/>
    <w:rsid w:val="00981B87"/>
    <w:rsid w:val="00981D92"/>
    <w:rsid w:val="009821CE"/>
    <w:rsid w:val="009823EB"/>
    <w:rsid w:val="009830DD"/>
    <w:rsid w:val="009854A7"/>
    <w:rsid w:val="009856F9"/>
    <w:rsid w:val="009865D2"/>
    <w:rsid w:val="009866B8"/>
    <w:rsid w:val="00986F10"/>
    <w:rsid w:val="009870B8"/>
    <w:rsid w:val="00987C28"/>
    <w:rsid w:val="009906C7"/>
    <w:rsid w:val="00990C21"/>
    <w:rsid w:val="00990F4A"/>
    <w:rsid w:val="00991367"/>
    <w:rsid w:val="00991B8B"/>
    <w:rsid w:val="00991F3C"/>
    <w:rsid w:val="0099243D"/>
    <w:rsid w:val="00992486"/>
    <w:rsid w:val="009925C6"/>
    <w:rsid w:val="00992686"/>
    <w:rsid w:val="00993161"/>
    <w:rsid w:val="009945E6"/>
    <w:rsid w:val="009948D1"/>
    <w:rsid w:val="00994945"/>
    <w:rsid w:val="00994F21"/>
    <w:rsid w:val="00995338"/>
    <w:rsid w:val="00995432"/>
    <w:rsid w:val="0099579B"/>
    <w:rsid w:val="00995DFB"/>
    <w:rsid w:val="00995FF7"/>
    <w:rsid w:val="0099642B"/>
    <w:rsid w:val="00996A99"/>
    <w:rsid w:val="00996EA0"/>
    <w:rsid w:val="009972EA"/>
    <w:rsid w:val="0099768A"/>
    <w:rsid w:val="009976B1"/>
    <w:rsid w:val="00997D8C"/>
    <w:rsid w:val="00997E97"/>
    <w:rsid w:val="009A0B8A"/>
    <w:rsid w:val="009A0BA2"/>
    <w:rsid w:val="009A0D6F"/>
    <w:rsid w:val="009A0F0E"/>
    <w:rsid w:val="009A277C"/>
    <w:rsid w:val="009A27C6"/>
    <w:rsid w:val="009A42FA"/>
    <w:rsid w:val="009A4379"/>
    <w:rsid w:val="009A56A9"/>
    <w:rsid w:val="009A5EE4"/>
    <w:rsid w:val="009A658F"/>
    <w:rsid w:val="009A6D99"/>
    <w:rsid w:val="009A7302"/>
    <w:rsid w:val="009A73ED"/>
    <w:rsid w:val="009A74AB"/>
    <w:rsid w:val="009B0177"/>
    <w:rsid w:val="009B04BB"/>
    <w:rsid w:val="009B088F"/>
    <w:rsid w:val="009B0C1E"/>
    <w:rsid w:val="009B0CED"/>
    <w:rsid w:val="009B1780"/>
    <w:rsid w:val="009B1BED"/>
    <w:rsid w:val="009B1F26"/>
    <w:rsid w:val="009B2249"/>
    <w:rsid w:val="009B294E"/>
    <w:rsid w:val="009B2A68"/>
    <w:rsid w:val="009B33EC"/>
    <w:rsid w:val="009B3B7A"/>
    <w:rsid w:val="009B3BEC"/>
    <w:rsid w:val="009B3DC6"/>
    <w:rsid w:val="009B4CC4"/>
    <w:rsid w:val="009B4F1E"/>
    <w:rsid w:val="009B5555"/>
    <w:rsid w:val="009B5B6C"/>
    <w:rsid w:val="009B644F"/>
    <w:rsid w:val="009B6875"/>
    <w:rsid w:val="009B7385"/>
    <w:rsid w:val="009B73A8"/>
    <w:rsid w:val="009B78C9"/>
    <w:rsid w:val="009C04F6"/>
    <w:rsid w:val="009C064B"/>
    <w:rsid w:val="009C0799"/>
    <w:rsid w:val="009C086D"/>
    <w:rsid w:val="009C0F28"/>
    <w:rsid w:val="009C0F60"/>
    <w:rsid w:val="009C1415"/>
    <w:rsid w:val="009C2163"/>
    <w:rsid w:val="009C28F6"/>
    <w:rsid w:val="009C2B58"/>
    <w:rsid w:val="009C3242"/>
    <w:rsid w:val="009C5910"/>
    <w:rsid w:val="009C706C"/>
    <w:rsid w:val="009C7A5F"/>
    <w:rsid w:val="009C7ED2"/>
    <w:rsid w:val="009D04C8"/>
    <w:rsid w:val="009D0B58"/>
    <w:rsid w:val="009D0F1D"/>
    <w:rsid w:val="009D11A1"/>
    <w:rsid w:val="009D1F23"/>
    <w:rsid w:val="009D2CFF"/>
    <w:rsid w:val="009D2EA3"/>
    <w:rsid w:val="009D33C2"/>
    <w:rsid w:val="009D3F47"/>
    <w:rsid w:val="009D3F8B"/>
    <w:rsid w:val="009D413E"/>
    <w:rsid w:val="009D4EC2"/>
    <w:rsid w:val="009D4F6C"/>
    <w:rsid w:val="009D50DD"/>
    <w:rsid w:val="009D518A"/>
    <w:rsid w:val="009D57CB"/>
    <w:rsid w:val="009D5CC5"/>
    <w:rsid w:val="009D5E8F"/>
    <w:rsid w:val="009D6006"/>
    <w:rsid w:val="009D6248"/>
    <w:rsid w:val="009D7998"/>
    <w:rsid w:val="009D7E03"/>
    <w:rsid w:val="009E02D1"/>
    <w:rsid w:val="009E0CA5"/>
    <w:rsid w:val="009E1450"/>
    <w:rsid w:val="009E16F4"/>
    <w:rsid w:val="009E171B"/>
    <w:rsid w:val="009E1F7D"/>
    <w:rsid w:val="009E2530"/>
    <w:rsid w:val="009E2CA8"/>
    <w:rsid w:val="009E41DE"/>
    <w:rsid w:val="009E4215"/>
    <w:rsid w:val="009E48B3"/>
    <w:rsid w:val="009E4CAA"/>
    <w:rsid w:val="009E4DF4"/>
    <w:rsid w:val="009E4F1E"/>
    <w:rsid w:val="009E54A2"/>
    <w:rsid w:val="009E5AD7"/>
    <w:rsid w:val="009E5B22"/>
    <w:rsid w:val="009E6E52"/>
    <w:rsid w:val="009E7C08"/>
    <w:rsid w:val="009E7FD4"/>
    <w:rsid w:val="009F05FB"/>
    <w:rsid w:val="009F07CB"/>
    <w:rsid w:val="009F10A0"/>
    <w:rsid w:val="009F14A1"/>
    <w:rsid w:val="009F16A1"/>
    <w:rsid w:val="009F1A4F"/>
    <w:rsid w:val="009F1C4D"/>
    <w:rsid w:val="009F1CAA"/>
    <w:rsid w:val="009F1EF0"/>
    <w:rsid w:val="009F20A5"/>
    <w:rsid w:val="009F2FF6"/>
    <w:rsid w:val="009F32ED"/>
    <w:rsid w:val="009F4C27"/>
    <w:rsid w:val="009F51D9"/>
    <w:rsid w:val="009F554F"/>
    <w:rsid w:val="009F574D"/>
    <w:rsid w:val="009F5B4A"/>
    <w:rsid w:val="009F5CC2"/>
    <w:rsid w:val="009F6023"/>
    <w:rsid w:val="009F6AAC"/>
    <w:rsid w:val="009F6CEA"/>
    <w:rsid w:val="009F6EE9"/>
    <w:rsid w:val="009F740C"/>
    <w:rsid w:val="009F75E0"/>
    <w:rsid w:val="009F76DA"/>
    <w:rsid w:val="00A00AED"/>
    <w:rsid w:val="00A00AF0"/>
    <w:rsid w:val="00A013FA"/>
    <w:rsid w:val="00A015E8"/>
    <w:rsid w:val="00A01737"/>
    <w:rsid w:val="00A0178D"/>
    <w:rsid w:val="00A01D9D"/>
    <w:rsid w:val="00A01F7F"/>
    <w:rsid w:val="00A027D5"/>
    <w:rsid w:val="00A02818"/>
    <w:rsid w:val="00A02B78"/>
    <w:rsid w:val="00A031E8"/>
    <w:rsid w:val="00A03302"/>
    <w:rsid w:val="00A03731"/>
    <w:rsid w:val="00A0403D"/>
    <w:rsid w:val="00A045EF"/>
    <w:rsid w:val="00A04BF8"/>
    <w:rsid w:val="00A0513C"/>
    <w:rsid w:val="00A05B88"/>
    <w:rsid w:val="00A06252"/>
    <w:rsid w:val="00A0680C"/>
    <w:rsid w:val="00A0738B"/>
    <w:rsid w:val="00A07BA4"/>
    <w:rsid w:val="00A07D47"/>
    <w:rsid w:val="00A07DAD"/>
    <w:rsid w:val="00A07E1B"/>
    <w:rsid w:val="00A07FBD"/>
    <w:rsid w:val="00A1020C"/>
    <w:rsid w:val="00A103A5"/>
    <w:rsid w:val="00A10593"/>
    <w:rsid w:val="00A10A88"/>
    <w:rsid w:val="00A10B7B"/>
    <w:rsid w:val="00A1197E"/>
    <w:rsid w:val="00A11CFF"/>
    <w:rsid w:val="00A12EF8"/>
    <w:rsid w:val="00A12EFA"/>
    <w:rsid w:val="00A12F62"/>
    <w:rsid w:val="00A1331E"/>
    <w:rsid w:val="00A13FAF"/>
    <w:rsid w:val="00A141D2"/>
    <w:rsid w:val="00A14FE9"/>
    <w:rsid w:val="00A155F0"/>
    <w:rsid w:val="00A16237"/>
    <w:rsid w:val="00A168F1"/>
    <w:rsid w:val="00A16EAD"/>
    <w:rsid w:val="00A17ABB"/>
    <w:rsid w:val="00A20583"/>
    <w:rsid w:val="00A20994"/>
    <w:rsid w:val="00A214D0"/>
    <w:rsid w:val="00A214FA"/>
    <w:rsid w:val="00A21D7B"/>
    <w:rsid w:val="00A2281B"/>
    <w:rsid w:val="00A22DFF"/>
    <w:rsid w:val="00A22E4E"/>
    <w:rsid w:val="00A231DB"/>
    <w:rsid w:val="00A2349A"/>
    <w:rsid w:val="00A24074"/>
    <w:rsid w:val="00A249AC"/>
    <w:rsid w:val="00A24BD1"/>
    <w:rsid w:val="00A253F0"/>
    <w:rsid w:val="00A25CE3"/>
    <w:rsid w:val="00A264BF"/>
    <w:rsid w:val="00A26D28"/>
    <w:rsid w:val="00A27649"/>
    <w:rsid w:val="00A2795F"/>
    <w:rsid w:val="00A30533"/>
    <w:rsid w:val="00A305F6"/>
    <w:rsid w:val="00A31191"/>
    <w:rsid w:val="00A320A7"/>
    <w:rsid w:val="00A326A1"/>
    <w:rsid w:val="00A330CE"/>
    <w:rsid w:val="00A34C87"/>
    <w:rsid w:val="00A35044"/>
    <w:rsid w:val="00A359BF"/>
    <w:rsid w:val="00A36ADE"/>
    <w:rsid w:val="00A36F1E"/>
    <w:rsid w:val="00A3726E"/>
    <w:rsid w:val="00A3749B"/>
    <w:rsid w:val="00A37502"/>
    <w:rsid w:val="00A37D87"/>
    <w:rsid w:val="00A41135"/>
    <w:rsid w:val="00A419E4"/>
    <w:rsid w:val="00A4238B"/>
    <w:rsid w:val="00A4250D"/>
    <w:rsid w:val="00A4269A"/>
    <w:rsid w:val="00A42C18"/>
    <w:rsid w:val="00A43146"/>
    <w:rsid w:val="00A44148"/>
    <w:rsid w:val="00A4439D"/>
    <w:rsid w:val="00A4500D"/>
    <w:rsid w:val="00A451E8"/>
    <w:rsid w:val="00A453CA"/>
    <w:rsid w:val="00A453F1"/>
    <w:rsid w:val="00A454B0"/>
    <w:rsid w:val="00A4557C"/>
    <w:rsid w:val="00A46276"/>
    <w:rsid w:val="00A466C8"/>
    <w:rsid w:val="00A473C4"/>
    <w:rsid w:val="00A4787F"/>
    <w:rsid w:val="00A50D88"/>
    <w:rsid w:val="00A511B5"/>
    <w:rsid w:val="00A515A7"/>
    <w:rsid w:val="00A5182A"/>
    <w:rsid w:val="00A527BF"/>
    <w:rsid w:val="00A528EF"/>
    <w:rsid w:val="00A52B36"/>
    <w:rsid w:val="00A53471"/>
    <w:rsid w:val="00A54654"/>
    <w:rsid w:val="00A54E9C"/>
    <w:rsid w:val="00A54F83"/>
    <w:rsid w:val="00A557B8"/>
    <w:rsid w:val="00A55D6E"/>
    <w:rsid w:val="00A5646D"/>
    <w:rsid w:val="00A568A6"/>
    <w:rsid w:val="00A56923"/>
    <w:rsid w:val="00A56E97"/>
    <w:rsid w:val="00A57A65"/>
    <w:rsid w:val="00A57A98"/>
    <w:rsid w:val="00A57FFE"/>
    <w:rsid w:val="00A601C5"/>
    <w:rsid w:val="00A60589"/>
    <w:rsid w:val="00A62E42"/>
    <w:rsid w:val="00A630D0"/>
    <w:rsid w:val="00A635C4"/>
    <w:rsid w:val="00A64863"/>
    <w:rsid w:val="00A64A71"/>
    <w:rsid w:val="00A64CBE"/>
    <w:rsid w:val="00A65144"/>
    <w:rsid w:val="00A65828"/>
    <w:rsid w:val="00A65ADB"/>
    <w:rsid w:val="00A65B81"/>
    <w:rsid w:val="00A65BFF"/>
    <w:rsid w:val="00A65E76"/>
    <w:rsid w:val="00A660F6"/>
    <w:rsid w:val="00A662DD"/>
    <w:rsid w:val="00A67286"/>
    <w:rsid w:val="00A672C8"/>
    <w:rsid w:val="00A6733A"/>
    <w:rsid w:val="00A67D3C"/>
    <w:rsid w:val="00A70715"/>
    <w:rsid w:val="00A714FD"/>
    <w:rsid w:val="00A7162B"/>
    <w:rsid w:val="00A71782"/>
    <w:rsid w:val="00A7236C"/>
    <w:rsid w:val="00A723E5"/>
    <w:rsid w:val="00A72960"/>
    <w:rsid w:val="00A72D3E"/>
    <w:rsid w:val="00A72D8F"/>
    <w:rsid w:val="00A72DC5"/>
    <w:rsid w:val="00A7323E"/>
    <w:rsid w:val="00A73439"/>
    <w:rsid w:val="00A7355E"/>
    <w:rsid w:val="00A735E6"/>
    <w:rsid w:val="00A74815"/>
    <w:rsid w:val="00A74B09"/>
    <w:rsid w:val="00A74B4B"/>
    <w:rsid w:val="00A75C0F"/>
    <w:rsid w:val="00A76038"/>
    <w:rsid w:val="00A7631D"/>
    <w:rsid w:val="00A76CC6"/>
    <w:rsid w:val="00A76D0E"/>
    <w:rsid w:val="00A77590"/>
    <w:rsid w:val="00A7784C"/>
    <w:rsid w:val="00A80138"/>
    <w:rsid w:val="00A80418"/>
    <w:rsid w:val="00A80FED"/>
    <w:rsid w:val="00A81A67"/>
    <w:rsid w:val="00A81D94"/>
    <w:rsid w:val="00A8214F"/>
    <w:rsid w:val="00A825E7"/>
    <w:rsid w:val="00A82913"/>
    <w:rsid w:val="00A83308"/>
    <w:rsid w:val="00A836AE"/>
    <w:rsid w:val="00A8379F"/>
    <w:rsid w:val="00A83D3F"/>
    <w:rsid w:val="00A83E45"/>
    <w:rsid w:val="00A848E0"/>
    <w:rsid w:val="00A863CB"/>
    <w:rsid w:val="00A86D22"/>
    <w:rsid w:val="00A870D1"/>
    <w:rsid w:val="00A87FB2"/>
    <w:rsid w:val="00A9006D"/>
    <w:rsid w:val="00A9027C"/>
    <w:rsid w:val="00A9062F"/>
    <w:rsid w:val="00A90913"/>
    <w:rsid w:val="00A91643"/>
    <w:rsid w:val="00A92780"/>
    <w:rsid w:val="00A92A4E"/>
    <w:rsid w:val="00A92B9A"/>
    <w:rsid w:val="00A931D9"/>
    <w:rsid w:val="00A93401"/>
    <w:rsid w:val="00A934FC"/>
    <w:rsid w:val="00A93864"/>
    <w:rsid w:val="00A939B8"/>
    <w:rsid w:val="00A941D3"/>
    <w:rsid w:val="00A9478D"/>
    <w:rsid w:val="00A947A7"/>
    <w:rsid w:val="00A94F12"/>
    <w:rsid w:val="00A950C8"/>
    <w:rsid w:val="00A951FA"/>
    <w:rsid w:val="00A95483"/>
    <w:rsid w:val="00A9599A"/>
    <w:rsid w:val="00A96078"/>
    <w:rsid w:val="00A967D9"/>
    <w:rsid w:val="00A97160"/>
    <w:rsid w:val="00A97207"/>
    <w:rsid w:val="00A97538"/>
    <w:rsid w:val="00A97791"/>
    <w:rsid w:val="00AA07ED"/>
    <w:rsid w:val="00AA0CB1"/>
    <w:rsid w:val="00AA0EE8"/>
    <w:rsid w:val="00AA0EFA"/>
    <w:rsid w:val="00AA14CA"/>
    <w:rsid w:val="00AA232F"/>
    <w:rsid w:val="00AA38EC"/>
    <w:rsid w:val="00AA44A1"/>
    <w:rsid w:val="00AA516A"/>
    <w:rsid w:val="00AA5362"/>
    <w:rsid w:val="00AA61B0"/>
    <w:rsid w:val="00AA6D7F"/>
    <w:rsid w:val="00AA788E"/>
    <w:rsid w:val="00AA7952"/>
    <w:rsid w:val="00AA7A50"/>
    <w:rsid w:val="00AA7B1F"/>
    <w:rsid w:val="00AB043C"/>
    <w:rsid w:val="00AB0DED"/>
    <w:rsid w:val="00AB18BD"/>
    <w:rsid w:val="00AB1A2F"/>
    <w:rsid w:val="00AB2155"/>
    <w:rsid w:val="00AB21DD"/>
    <w:rsid w:val="00AB2A0E"/>
    <w:rsid w:val="00AB3149"/>
    <w:rsid w:val="00AB345D"/>
    <w:rsid w:val="00AB380C"/>
    <w:rsid w:val="00AB3DE0"/>
    <w:rsid w:val="00AB46CB"/>
    <w:rsid w:val="00AB48CF"/>
    <w:rsid w:val="00AB4A85"/>
    <w:rsid w:val="00AB4FD8"/>
    <w:rsid w:val="00AB5BFF"/>
    <w:rsid w:val="00AB6814"/>
    <w:rsid w:val="00AC04AC"/>
    <w:rsid w:val="00AC0EB9"/>
    <w:rsid w:val="00AC1D44"/>
    <w:rsid w:val="00AC1D6E"/>
    <w:rsid w:val="00AC27A7"/>
    <w:rsid w:val="00AC3196"/>
    <w:rsid w:val="00AC370D"/>
    <w:rsid w:val="00AC3758"/>
    <w:rsid w:val="00AC3827"/>
    <w:rsid w:val="00AC390D"/>
    <w:rsid w:val="00AC4065"/>
    <w:rsid w:val="00AC4753"/>
    <w:rsid w:val="00AC4F23"/>
    <w:rsid w:val="00AC4FCB"/>
    <w:rsid w:val="00AC500A"/>
    <w:rsid w:val="00AC5325"/>
    <w:rsid w:val="00AC5DA4"/>
    <w:rsid w:val="00AC64A2"/>
    <w:rsid w:val="00AC66AD"/>
    <w:rsid w:val="00AC75E2"/>
    <w:rsid w:val="00AC77B4"/>
    <w:rsid w:val="00AC7CC8"/>
    <w:rsid w:val="00AC7F74"/>
    <w:rsid w:val="00AD00DC"/>
    <w:rsid w:val="00AD04F5"/>
    <w:rsid w:val="00AD0C80"/>
    <w:rsid w:val="00AD1167"/>
    <w:rsid w:val="00AD117E"/>
    <w:rsid w:val="00AD148C"/>
    <w:rsid w:val="00AD210B"/>
    <w:rsid w:val="00AD21E3"/>
    <w:rsid w:val="00AD229A"/>
    <w:rsid w:val="00AD382E"/>
    <w:rsid w:val="00AD3D4B"/>
    <w:rsid w:val="00AD4489"/>
    <w:rsid w:val="00AD54A7"/>
    <w:rsid w:val="00AD54CE"/>
    <w:rsid w:val="00AD56E9"/>
    <w:rsid w:val="00AD5837"/>
    <w:rsid w:val="00AD5D75"/>
    <w:rsid w:val="00AD62DF"/>
    <w:rsid w:val="00AD6638"/>
    <w:rsid w:val="00AD75B9"/>
    <w:rsid w:val="00AD7BCC"/>
    <w:rsid w:val="00AE1794"/>
    <w:rsid w:val="00AE1A70"/>
    <w:rsid w:val="00AE1DF9"/>
    <w:rsid w:val="00AE27AF"/>
    <w:rsid w:val="00AE27E1"/>
    <w:rsid w:val="00AE2955"/>
    <w:rsid w:val="00AE2F90"/>
    <w:rsid w:val="00AE33CE"/>
    <w:rsid w:val="00AE34E1"/>
    <w:rsid w:val="00AE3511"/>
    <w:rsid w:val="00AE3BB4"/>
    <w:rsid w:val="00AE3E33"/>
    <w:rsid w:val="00AE482A"/>
    <w:rsid w:val="00AE52F0"/>
    <w:rsid w:val="00AE55FB"/>
    <w:rsid w:val="00AE589F"/>
    <w:rsid w:val="00AE7021"/>
    <w:rsid w:val="00AE726B"/>
    <w:rsid w:val="00AE76F5"/>
    <w:rsid w:val="00AF031F"/>
    <w:rsid w:val="00AF096A"/>
    <w:rsid w:val="00AF207C"/>
    <w:rsid w:val="00AF2214"/>
    <w:rsid w:val="00AF297D"/>
    <w:rsid w:val="00AF2A36"/>
    <w:rsid w:val="00AF2EF5"/>
    <w:rsid w:val="00AF2F29"/>
    <w:rsid w:val="00AF3B4B"/>
    <w:rsid w:val="00AF3D0B"/>
    <w:rsid w:val="00AF4F13"/>
    <w:rsid w:val="00AF553B"/>
    <w:rsid w:val="00AF5B65"/>
    <w:rsid w:val="00AF6120"/>
    <w:rsid w:val="00AF6503"/>
    <w:rsid w:val="00AF6592"/>
    <w:rsid w:val="00AF6593"/>
    <w:rsid w:val="00AF7647"/>
    <w:rsid w:val="00AF78D6"/>
    <w:rsid w:val="00AF7CFC"/>
    <w:rsid w:val="00B00084"/>
    <w:rsid w:val="00B0057E"/>
    <w:rsid w:val="00B0140E"/>
    <w:rsid w:val="00B019B0"/>
    <w:rsid w:val="00B02224"/>
    <w:rsid w:val="00B02B1F"/>
    <w:rsid w:val="00B02EA9"/>
    <w:rsid w:val="00B03D73"/>
    <w:rsid w:val="00B03DD6"/>
    <w:rsid w:val="00B04B07"/>
    <w:rsid w:val="00B04B99"/>
    <w:rsid w:val="00B051C5"/>
    <w:rsid w:val="00B057DF"/>
    <w:rsid w:val="00B05BF5"/>
    <w:rsid w:val="00B0635E"/>
    <w:rsid w:val="00B06891"/>
    <w:rsid w:val="00B06F25"/>
    <w:rsid w:val="00B07CC6"/>
    <w:rsid w:val="00B07E68"/>
    <w:rsid w:val="00B07E79"/>
    <w:rsid w:val="00B07EF1"/>
    <w:rsid w:val="00B116CA"/>
    <w:rsid w:val="00B12278"/>
    <w:rsid w:val="00B12C78"/>
    <w:rsid w:val="00B13308"/>
    <w:rsid w:val="00B13D98"/>
    <w:rsid w:val="00B1415A"/>
    <w:rsid w:val="00B1470E"/>
    <w:rsid w:val="00B14AD9"/>
    <w:rsid w:val="00B14C57"/>
    <w:rsid w:val="00B14D1A"/>
    <w:rsid w:val="00B15790"/>
    <w:rsid w:val="00B15E85"/>
    <w:rsid w:val="00B16BBB"/>
    <w:rsid w:val="00B16DA9"/>
    <w:rsid w:val="00B16FDE"/>
    <w:rsid w:val="00B17739"/>
    <w:rsid w:val="00B17974"/>
    <w:rsid w:val="00B17AB8"/>
    <w:rsid w:val="00B2048E"/>
    <w:rsid w:val="00B207BF"/>
    <w:rsid w:val="00B20C77"/>
    <w:rsid w:val="00B20CFB"/>
    <w:rsid w:val="00B212B4"/>
    <w:rsid w:val="00B214C6"/>
    <w:rsid w:val="00B2191F"/>
    <w:rsid w:val="00B223C1"/>
    <w:rsid w:val="00B2266D"/>
    <w:rsid w:val="00B22D31"/>
    <w:rsid w:val="00B2310C"/>
    <w:rsid w:val="00B238A2"/>
    <w:rsid w:val="00B241C6"/>
    <w:rsid w:val="00B2491C"/>
    <w:rsid w:val="00B24A52"/>
    <w:rsid w:val="00B24C9D"/>
    <w:rsid w:val="00B24F57"/>
    <w:rsid w:val="00B26313"/>
    <w:rsid w:val="00B26581"/>
    <w:rsid w:val="00B26710"/>
    <w:rsid w:val="00B2688A"/>
    <w:rsid w:val="00B26DC9"/>
    <w:rsid w:val="00B274F7"/>
    <w:rsid w:val="00B30219"/>
    <w:rsid w:val="00B30279"/>
    <w:rsid w:val="00B30F40"/>
    <w:rsid w:val="00B327E2"/>
    <w:rsid w:val="00B332A3"/>
    <w:rsid w:val="00B33644"/>
    <w:rsid w:val="00B33A6F"/>
    <w:rsid w:val="00B34624"/>
    <w:rsid w:val="00B34FAC"/>
    <w:rsid w:val="00B357A6"/>
    <w:rsid w:val="00B3583B"/>
    <w:rsid w:val="00B3654E"/>
    <w:rsid w:val="00B36CDB"/>
    <w:rsid w:val="00B37A8F"/>
    <w:rsid w:val="00B40856"/>
    <w:rsid w:val="00B41178"/>
    <w:rsid w:val="00B41405"/>
    <w:rsid w:val="00B41A5E"/>
    <w:rsid w:val="00B42E35"/>
    <w:rsid w:val="00B43A1A"/>
    <w:rsid w:val="00B446DA"/>
    <w:rsid w:val="00B44A07"/>
    <w:rsid w:val="00B44A86"/>
    <w:rsid w:val="00B461C6"/>
    <w:rsid w:val="00B46CEF"/>
    <w:rsid w:val="00B46D66"/>
    <w:rsid w:val="00B47735"/>
    <w:rsid w:val="00B50051"/>
    <w:rsid w:val="00B50266"/>
    <w:rsid w:val="00B50BF4"/>
    <w:rsid w:val="00B51545"/>
    <w:rsid w:val="00B517BD"/>
    <w:rsid w:val="00B518B3"/>
    <w:rsid w:val="00B51943"/>
    <w:rsid w:val="00B523AD"/>
    <w:rsid w:val="00B54573"/>
    <w:rsid w:val="00B54F11"/>
    <w:rsid w:val="00B55B04"/>
    <w:rsid w:val="00B55F1D"/>
    <w:rsid w:val="00B563C3"/>
    <w:rsid w:val="00B566AA"/>
    <w:rsid w:val="00B5720C"/>
    <w:rsid w:val="00B57435"/>
    <w:rsid w:val="00B57576"/>
    <w:rsid w:val="00B579AF"/>
    <w:rsid w:val="00B609A3"/>
    <w:rsid w:val="00B609F8"/>
    <w:rsid w:val="00B60A0E"/>
    <w:rsid w:val="00B60B5F"/>
    <w:rsid w:val="00B61006"/>
    <w:rsid w:val="00B616C6"/>
    <w:rsid w:val="00B618F3"/>
    <w:rsid w:val="00B62A91"/>
    <w:rsid w:val="00B62B8D"/>
    <w:rsid w:val="00B630B3"/>
    <w:rsid w:val="00B635CC"/>
    <w:rsid w:val="00B637E3"/>
    <w:rsid w:val="00B63AF4"/>
    <w:rsid w:val="00B63AFE"/>
    <w:rsid w:val="00B642F8"/>
    <w:rsid w:val="00B65347"/>
    <w:rsid w:val="00B653C0"/>
    <w:rsid w:val="00B657A7"/>
    <w:rsid w:val="00B65DE1"/>
    <w:rsid w:val="00B662A9"/>
    <w:rsid w:val="00B67943"/>
    <w:rsid w:val="00B67FD5"/>
    <w:rsid w:val="00B70868"/>
    <w:rsid w:val="00B70DAE"/>
    <w:rsid w:val="00B726B1"/>
    <w:rsid w:val="00B72AF0"/>
    <w:rsid w:val="00B72EA6"/>
    <w:rsid w:val="00B73294"/>
    <w:rsid w:val="00B737EB"/>
    <w:rsid w:val="00B7392F"/>
    <w:rsid w:val="00B73D8E"/>
    <w:rsid w:val="00B741E3"/>
    <w:rsid w:val="00B741ED"/>
    <w:rsid w:val="00B74983"/>
    <w:rsid w:val="00B749A4"/>
    <w:rsid w:val="00B74A6D"/>
    <w:rsid w:val="00B75BDE"/>
    <w:rsid w:val="00B76671"/>
    <w:rsid w:val="00B76A7A"/>
    <w:rsid w:val="00B775EE"/>
    <w:rsid w:val="00B77729"/>
    <w:rsid w:val="00B80365"/>
    <w:rsid w:val="00B805E9"/>
    <w:rsid w:val="00B8076B"/>
    <w:rsid w:val="00B80C8F"/>
    <w:rsid w:val="00B80D05"/>
    <w:rsid w:val="00B811F2"/>
    <w:rsid w:val="00B812F1"/>
    <w:rsid w:val="00B81C00"/>
    <w:rsid w:val="00B8204E"/>
    <w:rsid w:val="00B82D0E"/>
    <w:rsid w:val="00B83389"/>
    <w:rsid w:val="00B837BC"/>
    <w:rsid w:val="00B8458C"/>
    <w:rsid w:val="00B8483B"/>
    <w:rsid w:val="00B84A23"/>
    <w:rsid w:val="00B85916"/>
    <w:rsid w:val="00B85A29"/>
    <w:rsid w:val="00B85B47"/>
    <w:rsid w:val="00B86827"/>
    <w:rsid w:val="00B87339"/>
    <w:rsid w:val="00B87927"/>
    <w:rsid w:val="00B87D5A"/>
    <w:rsid w:val="00B87EA6"/>
    <w:rsid w:val="00B9005C"/>
    <w:rsid w:val="00B90946"/>
    <w:rsid w:val="00B90A70"/>
    <w:rsid w:val="00B9252A"/>
    <w:rsid w:val="00B92B90"/>
    <w:rsid w:val="00B92F8B"/>
    <w:rsid w:val="00B9313A"/>
    <w:rsid w:val="00B9319F"/>
    <w:rsid w:val="00B945C5"/>
    <w:rsid w:val="00B94624"/>
    <w:rsid w:val="00B94636"/>
    <w:rsid w:val="00B947FD"/>
    <w:rsid w:val="00B94B87"/>
    <w:rsid w:val="00B958BD"/>
    <w:rsid w:val="00B96672"/>
    <w:rsid w:val="00B96B6F"/>
    <w:rsid w:val="00B96C00"/>
    <w:rsid w:val="00B97644"/>
    <w:rsid w:val="00BA0640"/>
    <w:rsid w:val="00BA0ACE"/>
    <w:rsid w:val="00BA0AF1"/>
    <w:rsid w:val="00BA0CF0"/>
    <w:rsid w:val="00BA1155"/>
    <w:rsid w:val="00BA1837"/>
    <w:rsid w:val="00BA1D53"/>
    <w:rsid w:val="00BA1D60"/>
    <w:rsid w:val="00BA2342"/>
    <w:rsid w:val="00BA3926"/>
    <w:rsid w:val="00BA3E5F"/>
    <w:rsid w:val="00BA4499"/>
    <w:rsid w:val="00BA6BD9"/>
    <w:rsid w:val="00BA6EA1"/>
    <w:rsid w:val="00BA6F57"/>
    <w:rsid w:val="00BA72B6"/>
    <w:rsid w:val="00BA7B7D"/>
    <w:rsid w:val="00BA7E31"/>
    <w:rsid w:val="00BA7E77"/>
    <w:rsid w:val="00BB00F3"/>
    <w:rsid w:val="00BB0673"/>
    <w:rsid w:val="00BB0B9E"/>
    <w:rsid w:val="00BB1081"/>
    <w:rsid w:val="00BB1566"/>
    <w:rsid w:val="00BB1DAA"/>
    <w:rsid w:val="00BB1F2B"/>
    <w:rsid w:val="00BB2112"/>
    <w:rsid w:val="00BB26A7"/>
    <w:rsid w:val="00BB2A9C"/>
    <w:rsid w:val="00BB2AD7"/>
    <w:rsid w:val="00BB2C34"/>
    <w:rsid w:val="00BB382A"/>
    <w:rsid w:val="00BB3995"/>
    <w:rsid w:val="00BB3C21"/>
    <w:rsid w:val="00BB4B31"/>
    <w:rsid w:val="00BB4E2D"/>
    <w:rsid w:val="00BB61CD"/>
    <w:rsid w:val="00BB62CF"/>
    <w:rsid w:val="00BB63F4"/>
    <w:rsid w:val="00BB65B5"/>
    <w:rsid w:val="00BB7C50"/>
    <w:rsid w:val="00BC0BC4"/>
    <w:rsid w:val="00BC1137"/>
    <w:rsid w:val="00BC2690"/>
    <w:rsid w:val="00BC2A4C"/>
    <w:rsid w:val="00BC3D4F"/>
    <w:rsid w:val="00BC3FF8"/>
    <w:rsid w:val="00BC435E"/>
    <w:rsid w:val="00BC4EBA"/>
    <w:rsid w:val="00BC53A8"/>
    <w:rsid w:val="00BC5EA9"/>
    <w:rsid w:val="00BC6746"/>
    <w:rsid w:val="00BC6E04"/>
    <w:rsid w:val="00BC6E69"/>
    <w:rsid w:val="00BC7292"/>
    <w:rsid w:val="00BC72F2"/>
    <w:rsid w:val="00BC731D"/>
    <w:rsid w:val="00BC7ABF"/>
    <w:rsid w:val="00BD0619"/>
    <w:rsid w:val="00BD0728"/>
    <w:rsid w:val="00BD190B"/>
    <w:rsid w:val="00BD20F8"/>
    <w:rsid w:val="00BD2134"/>
    <w:rsid w:val="00BD219D"/>
    <w:rsid w:val="00BD2497"/>
    <w:rsid w:val="00BD26AA"/>
    <w:rsid w:val="00BD2B12"/>
    <w:rsid w:val="00BD2D0A"/>
    <w:rsid w:val="00BD31B8"/>
    <w:rsid w:val="00BD3393"/>
    <w:rsid w:val="00BD3464"/>
    <w:rsid w:val="00BD454F"/>
    <w:rsid w:val="00BD469F"/>
    <w:rsid w:val="00BD5947"/>
    <w:rsid w:val="00BD5A01"/>
    <w:rsid w:val="00BD5A47"/>
    <w:rsid w:val="00BD6B62"/>
    <w:rsid w:val="00BD6C3C"/>
    <w:rsid w:val="00BD7223"/>
    <w:rsid w:val="00BD7276"/>
    <w:rsid w:val="00BD7848"/>
    <w:rsid w:val="00BD7CA2"/>
    <w:rsid w:val="00BD7DA3"/>
    <w:rsid w:val="00BE054E"/>
    <w:rsid w:val="00BE0E13"/>
    <w:rsid w:val="00BE1014"/>
    <w:rsid w:val="00BE1889"/>
    <w:rsid w:val="00BE2556"/>
    <w:rsid w:val="00BE26C8"/>
    <w:rsid w:val="00BE280F"/>
    <w:rsid w:val="00BE2B68"/>
    <w:rsid w:val="00BE3D94"/>
    <w:rsid w:val="00BE4198"/>
    <w:rsid w:val="00BE46CD"/>
    <w:rsid w:val="00BE4D4D"/>
    <w:rsid w:val="00BE654D"/>
    <w:rsid w:val="00BE6B41"/>
    <w:rsid w:val="00BE744E"/>
    <w:rsid w:val="00BE768F"/>
    <w:rsid w:val="00BE7B2A"/>
    <w:rsid w:val="00BE7EA5"/>
    <w:rsid w:val="00BF0083"/>
    <w:rsid w:val="00BF0962"/>
    <w:rsid w:val="00BF0C01"/>
    <w:rsid w:val="00BF0C98"/>
    <w:rsid w:val="00BF0ECC"/>
    <w:rsid w:val="00BF256C"/>
    <w:rsid w:val="00BF27E3"/>
    <w:rsid w:val="00BF2A3C"/>
    <w:rsid w:val="00BF2DFA"/>
    <w:rsid w:val="00BF3DCB"/>
    <w:rsid w:val="00BF49B8"/>
    <w:rsid w:val="00BF4E74"/>
    <w:rsid w:val="00BF51C4"/>
    <w:rsid w:val="00BF54E3"/>
    <w:rsid w:val="00BF6092"/>
    <w:rsid w:val="00BF6360"/>
    <w:rsid w:val="00BF6486"/>
    <w:rsid w:val="00BF6A22"/>
    <w:rsid w:val="00BF6B7E"/>
    <w:rsid w:val="00BF6B98"/>
    <w:rsid w:val="00BF6F8F"/>
    <w:rsid w:val="00C00109"/>
    <w:rsid w:val="00C0020A"/>
    <w:rsid w:val="00C0042C"/>
    <w:rsid w:val="00C01A23"/>
    <w:rsid w:val="00C01DCC"/>
    <w:rsid w:val="00C027AB"/>
    <w:rsid w:val="00C0303D"/>
    <w:rsid w:val="00C03367"/>
    <w:rsid w:val="00C036E9"/>
    <w:rsid w:val="00C03769"/>
    <w:rsid w:val="00C06396"/>
    <w:rsid w:val="00C071FF"/>
    <w:rsid w:val="00C0774B"/>
    <w:rsid w:val="00C07BB2"/>
    <w:rsid w:val="00C07E89"/>
    <w:rsid w:val="00C07F34"/>
    <w:rsid w:val="00C1069B"/>
    <w:rsid w:val="00C10BB5"/>
    <w:rsid w:val="00C11EF4"/>
    <w:rsid w:val="00C1258B"/>
    <w:rsid w:val="00C140C9"/>
    <w:rsid w:val="00C14AE8"/>
    <w:rsid w:val="00C14B8B"/>
    <w:rsid w:val="00C14CE3"/>
    <w:rsid w:val="00C16A78"/>
    <w:rsid w:val="00C16AE6"/>
    <w:rsid w:val="00C17786"/>
    <w:rsid w:val="00C17DA1"/>
    <w:rsid w:val="00C20061"/>
    <w:rsid w:val="00C202B3"/>
    <w:rsid w:val="00C20471"/>
    <w:rsid w:val="00C2086B"/>
    <w:rsid w:val="00C20D07"/>
    <w:rsid w:val="00C21EE0"/>
    <w:rsid w:val="00C2268A"/>
    <w:rsid w:val="00C2287D"/>
    <w:rsid w:val="00C23427"/>
    <w:rsid w:val="00C237E1"/>
    <w:rsid w:val="00C24DC7"/>
    <w:rsid w:val="00C24F0F"/>
    <w:rsid w:val="00C25950"/>
    <w:rsid w:val="00C25DA3"/>
    <w:rsid w:val="00C26B80"/>
    <w:rsid w:val="00C26D17"/>
    <w:rsid w:val="00C27039"/>
    <w:rsid w:val="00C27280"/>
    <w:rsid w:val="00C30297"/>
    <w:rsid w:val="00C3034B"/>
    <w:rsid w:val="00C312D6"/>
    <w:rsid w:val="00C32844"/>
    <w:rsid w:val="00C338EB"/>
    <w:rsid w:val="00C341C3"/>
    <w:rsid w:val="00C34532"/>
    <w:rsid w:val="00C34836"/>
    <w:rsid w:val="00C35251"/>
    <w:rsid w:val="00C35D35"/>
    <w:rsid w:val="00C364C5"/>
    <w:rsid w:val="00C36FC9"/>
    <w:rsid w:val="00C373A2"/>
    <w:rsid w:val="00C37DE2"/>
    <w:rsid w:val="00C40876"/>
    <w:rsid w:val="00C4282F"/>
    <w:rsid w:val="00C428B4"/>
    <w:rsid w:val="00C4408D"/>
    <w:rsid w:val="00C44921"/>
    <w:rsid w:val="00C44926"/>
    <w:rsid w:val="00C4493B"/>
    <w:rsid w:val="00C455E1"/>
    <w:rsid w:val="00C467B0"/>
    <w:rsid w:val="00C4767F"/>
    <w:rsid w:val="00C5079B"/>
    <w:rsid w:val="00C50B48"/>
    <w:rsid w:val="00C50B8E"/>
    <w:rsid w:val="00C50D9D"/>
    <w:rsid w:val="00C51338"/>
    <w:rsid w:val="00C536A4"/>
    <w:rsid w:val="00C5386B"/>
    <w:rsid w:val="00C53B23"/>
    <w:rsid w:val="00C543D6"/>
    <w:rsid w:val="00C545CB"/>
    <w:rsid w:val="00C54755"/>
    <w:rsid w:val="00C54774"/>
    <w:rsid w:val="00C555AC"/>
    <w:rsid w:val="00C55E2F"/>
    <w:rsid w:val="00C5627B"/>
    <w:rsid w:val="00C5648E"/>
    <w:rsid w:val="00C56492"/>
    <w:rsid w:val="00C56E6C"/>
    <w:rsid w:val="00C56FFC"/>
    <w:rsid w:val="00C5704B"/>
    <w:rsid w:val="00C57938"/>
    <w:rsid w:val="00C57A9D"/>
    <w:rsid w:val="00C57C78"/>
    <w:rsid w:val="00C605B6"/>
    <w:rsid w:val="00C60F51"/>
    <w:rsid w:val="00C6125C"/>
    <w:rsid w:val="00C614FB"/>
    <w:rsid w:val="00C6193F"/>
    <w:rsid w:val="00C61E70"/>
    <w:rsid w:val="00C627ED"/>
    <w:rsid w:val="00C63ECA"/>
    <w:rsid w:val="00C63EFE"/>
    <w:rsid w:val="00C646C1"/>
    <w:rsid w:val="00C64C0D"/>
    <w:rsid w:val="00C64E00"/>
    <w:rsid w:val="00C651AF"/>
    <w:rsid w:val="00C657F3"/>
    <w:rsid w:val="00C6620D"/>
    <w:rsid w:val="00C66E14"/>
    <w:rsid w:val="00C674B8"/>
    <w:rsid w:val="00C678FC"/>
    <w:rsid w:val="00C679C9"/>
    <w:rsid w:val="00C707C9"/>
    <w:rsid w:val="00C709DA"/>
    <w:rsid w:val="00C713ED"/>
    <w:rsid w:val="00C71EC7"/>
    <w:rsid w:val="00C72318"/>
    <w:rsid w:val="00C7232E"/>
    <w:rsid w:val="00C724E6"/>
    <w:rsid w:val="00C72609"/>
    <w:rsid w:val="00C72698"/>
    <w:rsid w:val="00C72A79"/>
    <w:rsid w:val="00C72CED"/>
    <w:rsid w:val="00C739D7"/>
    <w:rsid w:val="00C73B9F"/>
    <w:rsid w:val="00C746D5"/>
    <w:rsid w:val="00C747A5"/>
    <w:rsid w:val="00C74DAA"/>
    <w:rsid w:val="00C754F1"/>
    <w:rsid w:val="00C7573B"/>
    <w:rsid w:val="00C75B53"/>
    <w:rsid w:val="00C76CA6"/>
    <w:rsid w:val="00C76D7B"/>
    <w:rsid w:val="00C77448"/>
    <w:rsid w:val="00C778E1"/>
    <w:rsid w:val="00C8046E"/>
    <w:rsid w:val="00C80856"/>
    <w:rsid w:val="00C80A25"/>
    <w:rsid w:val="00C82C51"/>
    <w:rsid w:val="00C82C8D"/>
    <w:rsid w:val="00C835AE"/>
    <w:rsid w:val="00C849A5"/>
    <w:rsid w:val="00C84EA4"/>
    <w:rsid w:val="00C85293"/>
    <w:rsid w:val="00C85314"/>
    <w:rsid w:val="00C854A0"/>
    <w:rsid w:val="00C857A2"/>
    <w:rsid w:val="00C85D70"/>
    <w:rsid w:val="00C8644B"/>
    <w:rsid w:val="00C86A58"/>
    <w:rsid w:val="00C87AD4"/>
    <w:rsid w:val="00C900DD"/>
    <w:rsid w:val="00C9040F"/>
    <w:rsid w:val="00C9042B"/>
    <w:rsid w:val="00C93009"/>
    <w:rsid w:val="00C93281"/>
    <w:rsid w:val="00C9391A"/>
    <w:rsid w:val="00C941BE"/>
    <w:rsid w:val="00C948A8"/>
    <w:rsid w:val="00C94B07"/>
    <w:rsid w:val="00C95206"/>
    <w:rsid w:val="00C95820"/>
    <w:rsid w:val="00C95A22"/>
    <w:rsid w:val="00C95C27"/>
    <w:rsid w:val="00C964E0"/>
    <w:rsid w:val="00C96BEA"/>
    <w:rsid w:val="00C96C5C"/>
    <w:rsid w:val="00C9769C"/>
    <w:rsid w:val="00C977A4"/>
    <w:rsid w:val="00CA0116"/>
    <w:rsid w:val="00CA0303"/>
    <w:rsid w:val="00CA0363"/>
    <w:rsid w:val="00CA0AEB"/>
    <w:rsid w:val="00CA11D3"/>
    <w:rsid w:val="00CA1529"/>
    <w:rsid w:val="00CA2427"/>
    <w:rsid w:val="00CA244E"/>
    <w:rsid w:val="00CA2551"/>
    <w:rsid w:val="00CA266F"/>
    <w:rsid w:val="00CA2CDA"/>
    <w:rsid w:val="00CA2D97"/>
    <w:rsid w:val="00CA2DF7"/>
    <w:rsid w:val="00CA3A8B"/>
    <w:rsid w:val="00CA3E56"/>
    <w:rsid w:val="00CA4106"/>
    <w:rsid w:val="00CA444D"/>
    <w:rsid w:val="00CA4BC0"/>
    <w:rsid w:val="00CA5637"/>
    <w:rsid w:val="00CA5694"/>
    <w:rsid w:val="00CA57BF"/>
    <w:rsid w:val="00CA5CA8"/>
    <w:rsid w:val="00CA5E00"/>
    <w:rsid w:val="00CA6BB0"/>
    <w:rsid w:val="00CA6E3B"/>
    <w:rsid w:val="00CA6ED4"/>
    <w:rsid w:val="00CA70F5"/>
    <w:rsid w:val="00CA7194"/>
    <w:rsid w:val="00CA7266"/>
    <w:rsid w:val="00CA7794"/>
    <w:rsid w:val="00CA78DF"/>
    <w:rsid w:val="00CB0157"/>
    <w:rsid w:val="00CB0306"/>
    <w:rsid w:val="00CB0706"/>
    <w:rsid w:val="00CB08D5"/>
    <w:rsid w:val="00CB0F01"/>
    <w:rsid w:val="00CB1710"/>
    <w:rsid w:val="00CB2018"/>
    <w:rsid w:val="00CB24A5"/>
    <w:rsid w:val="00CB27C0"/>
    <w:rsid w:val="00CB28E9"/>
    <w:rsid w:val="00CB29ED"/>
    <w:rsid w:val="00CB3665"/>
    <w:rsid w:val="00CB40A2"/>
    <w:rsid w:val="00CB433E"/>
    <w:rsid w:val="00CB44CD"/>
    <w:rsid w:val="00CB4A6F"/>
    <w:rsid w:val="00CB5205"/>
    <w:rsid w:val="00CB52C6"/>
    <w:rsid w:val="00CB53D5"/>
    <w:rsid w:val="00CB55A2"/>
    <w:rsid w:val="00CB5827"/>
    <w:rsid w:val="00CB5BD0"/>
    <w:rsid w:val="00CB6353"/>
    <w:rsid w:val="00CB670E"/>
    <w:rsid w:val="00CB6921"/>
    <w:rsid w:val="00CB6E9C"/>
    <w:rsid w:val="00CB706A"/>
    <w:rsid w:val="00CB7AEA"/>
    <w:rsid w:val="00CB7D2B"/>
    <w:rsid w:val="00CB7F8E"/>
    <w:rsid w:val="00CC0324"/>
    <w:rsid w:val="00CC040E"/>
    <w:rsid w:val="00CC1752"/>
    <w:rsid w:val="00CC1CAF"/>
    <w:rsid w:val="00CC1F0E"/>
    <w:rsid w:val="00CC233F"/>
    <w:rsid w:val="00CC3279"/>
    <w:rsid w:val="00CC38AC"/>
    <w:rsid w:val="00CC3F74"/>
    <w:rsid w:val="00CC559D"/>
    <w:rsid w:val="00CC56FB"/>
    <w:rsid w:val="00CC586B"/>
    <w:rsid w:val="00CC5A0B"/>
    <w:rsid w:val="00CC6881"/>
    <w:rsid w:val="00CC7843"/>
    <w:rsid w:val="00CD0589"/>
    <w:rsid w:val="00CD0B78"/>
    <w:rsid w:val="00CD0BB7"/>
    <w:rsid w:val="00CD0C13"/>
    <w:rsid w:val="00CD122B"/>
    <w:rsid w:val="00CD1CAA"/>
    <w:rsid w:val="00CD29E5"/>
    <w:rsid w:val="00CD2D16"/>
    <w:rsid w:val="00CD2FCD"/>
    <w:rsid w:val="00CD30A3"/>
    <w:rsid w:val="00CD3734"/>
    <w:rsid w:val="00CD4F31"/>
    <w:rsid w:val="00CD50DB"/>
    <w:rsid w:val="00CD5262"/>
    <w:rsid w:val="00CD58C4"/>
    <w:rsid w:val="00CD59B4"/>
    <w:rsid w:val="00CD5DE3"/>
    <w:rsid w:val="00CD6306"/>
    <w:rsid w:val="00CD654B"/>
    <w:rsid w:val="00CD789E"/>
    <w:rsid w:val="00CD7B10"/>
    <w:rsid w:val="00CE0807"/>
    <w:rsid w:val="00CE0F26"/>
    <w:rsid w:val="00CE12AF"/>
    <w:rsid w:val="00CE1478"/>
    <w:rsid w:val="00CE213F"/>
    <w:rsid w:val="00CE223E"/>
    <w:rsid w:val="00CE2A56"/>
    <w:rsid w:val="00CE3181"/>
    <w:rsid w:val="00CE33E9"/>
    <w:rsid w:val="00CE38DA"/>
    <w:rsid w:val="00CE3BCB"/>
    <w:rsid w:val="00CE431B"/>
    <w:rsid w:val="00CE52C8"/>
    <w:rsid w:val="00CE77E8"/>
    <w:rsid w:val="00CE7911"/>
    <w:rsid w:val="00CE7BAA"/>
    <w:rsid w:val="00CF0788"/>
    <w:rsid w:val="00CF0AD7"/>
    <w:rsid w:val="00CF0B86"/>
    <w:rsid w:val="00CF0BC1"/>
    <w:rsid w:val="00CF166D"/>
    <w:rsid w:val="00CF1BB7"/>
    <w:rsid w:val="00CF231F"/>
    <w:rsid w:val="00CF2766"/>
    <w:rsid w:val="00CF2A94"/>
    <w:rsid w:val="00CF2EE3"/>
    <w:rsid w:val="00CF3F0D"/>
    <w:rsid w:val="00CF4018"/>
    <w:rsid w:val="00CF53AD"/>
    <w:rsid w:val="00CF5B03"/>
    <w:rsid w:val="00CF5F77"/>
    <w:rsid w:val="00CF67F2"/>
    <w:rsid w:val="00CF68C0"/>
    <w:rsid w:val="00CF6FB7"/>
    <w:rsid w:val="00CF70A1"/>
    <w:rsid w:val="00CF726F"/>
    <w:rsid w:val="00D00351"/>
    <w:rsid w:val="00D00B4A"/>
    <w:rsid w:val="00D01125"/>
    <w:rsid w:val="00D01B53"/>
    <w:rsid w:val="00D01BA7"/>
    <w:rsid w:val="00D01DAD"/>
    <w:rsid w:val="00D02206"/>
    <w:rsid w:val="00D022AD"/>
    <w:rsid w:val="00D02E2F"/>
    <w:rsid w:val="00D03BA4"/>
    <w:rsid w:val="00D0481B"/>
    <w:rsid w:val="00D0502B"/>
    <w:rsid w:val="00D058C3"/>
    <w:rsid w:val="00D065F1"/>
    <w:rsid w:val="00D06B3A"/>
    <w:rsid w:val="00D072E9"/>
    <w:rsid w:val="00D07A70"/>
    <w:rsid w:val="00D101F7"/>
    <w:rsid w:val="00D10348"/>
    <w:rsid w:val="00D10F9B"/>
    <w:rsid w:val="00D111AB"/>
    <w:rsid w:val="00D11803"/>
    <w:rsid w:val="00D1232B"/>
    <w:rsid w:val="00D12EED"/>
    <w:rsid w:val="00D1365A"/>
    <w:rsid w:val="00D139E8"/>
    <w:rsid w:val="00D144C5"/>
    <w:rsid w:val="00D145F5"/>
    <w:rsid w:val="00D1517B"/>
    <w:rsid w:val="00D15A1C"/>
    <w:rsid w:val="00D15C20"/>
    <w:rsid w:val="00D165C5"/>
    <w:rsid w:val="00D16C76"/>
    <w:rsid w:val="00D16F22"/>
    <w:rsid w:val="00D17B8B"/>
    <w:rsid w:val="00D17BD4"/>
    <w:rsid w:val="00D17CBF"/>
    <w:rsid w:val="00D20492"/>
    <w:rsid w:val="00D20D39"/>
    <w:rsid w:val="00D20F6F"/>
    <w:rsid w:val="00D21455"/>
    <w:rsid w:val="00D21958"/>
    <w:rsid w:val="00D22409"/>
    <w:rsid w:val="00D224BB"/>
    <w:rsid w:val="00D22516"/>
    <w:rsid w:val="00D236AF"/>
    <w:rsid w:val="00D237AC"/>
    <w:rsid w:val="00D23AA8"/>
    <w:rsid w:val="00D23ABC"/>
    <w:rsid w:val="00D24470"/>
    <w:rsid w:val="00D24733"/>
    <w:rsid w:val="00D259A0"/>
    <w:rsid w:val="00D26023"/>
    <w:rsid w:val="00D267FB"/>
    <w:rsid w:val="00D27219"/>
    <w:rsid w:val="00D3159B"/>
    <w:rsid w:val="00D316A1"/>
    <w:rsid w:val="00D31713"/>
    <w:rsid w:val="00D32053"/>
    <w:rsid w:val="00D323F9"/>
    <w:rsid w:val="00D329F1"/>
    <w:rsid w:val="00D32A4C"/>
    <w:rsid w:val="00D33880"/>
    <w:rsid w:val="00D33F28"/>
    <w:rsid w:val="00D3469A"/>
    <w:rsid w:val="00D34B59"/>
    <w:rsid w:val="00D34C71"/>
    <w:rsid w:val="00D354F0"/>
    <w:rsid w:val="00D355F0"/>
    <w:rsid w:val="00D37BDC"/>
    <w:rsid w:val="00D400C2"/>
    <w:rsid w:val="00D4128D"/>
    <w:rsid w:val="00D41346"/>
    <w:rsid w:val="00D41423"/>
    <w:rsid w:val="00D4143F"/>
    <w:rsid w:val="00D417DF"/>
    <w:rsid w:val="00D43AC8"/>
    <w:rsid w:val="00D43FA1"/>
    <w:rsid w:val="00D44773"/>
    <w:rsid w:val="00D44E1F"/>
    <w:rsid w:val="00D44F06"/>
    <w:rsid w:val="00D45664"/>
    <w:rsid w:val="00D45941"/>
    <w:rsid w:val="00D463F0"/>
    <w:rsid w:val="00D46A42"/>
    <w:rsid w:val="00D46E38"/>
    <w:rsid w:val="00D50879"/>
    <w:rsid w:val="00D50BEC"/>
    <w:rsid w:val="00D50D7D"/>
    <w:rsid w:val="00D50EB8"/>
    <w:rsid w:val="00D514D1"/>
    <w:rsid w:val="00D51610"/>
    <w:rsid w:val="00D52D52"/>
    <w:rsid w:val="00D53731"/>
    <w:rsid w:val="00D54F9B"/>
    <w:rsid w:val="00D5505B"/>
    <w:rsid w:val="00D552DD"/>
    <w:rsid w:val="00D56113"/>
    <w:rsid w:val="00D572DA"/>
    <w:rsid w:val="00D573C8"/>
    <w:rsid w:val="00D57CD5"/>
    <w:rsid w:val="00D57E24"/>
    <w:rsid w:val="00D57FD4"/>
    <w:rsid w:val="00D6010A"/>
    <w:rsid w:val="00D60258"/>
    <w:rsid w:val="00D609CF"/>
    <w:rsid w:val="00D61A6A"/>
    <w:rsid w:val="00D624BB"/>
    <w:rsid w:val="00D6265E"/>
    <w:rsid w:val="00D627D8"/>
    <w:rsid w:val="00D63BB5"/>
    <w:rsid w:val="00D643F4"/>
    <w:rsid w:val="00D649E1"/>
    <w:rsid w:val="00D64B5D"/>
    <w:rsid w:val="00D65FF3"/>
    <w:rsid w:val="00D664AE"/>
    <w:rsid w:val="00D666B3"/>
    <w:rsid w:val="00D668A5"/>
    <w:rsid w:val="00D66986"/>
    <w:rsid w:val="00D66C4A"/>
    <w:rsid w:val="00D67037"/>
    <w:rsid w:val="00D67612"/>
    <w:rsid w:val="00D70319"/>
    <w:rsid w:val="00D713AE"/>
    <w:rsid w:val="00D72884"/>
    <w:rsid w:val="00D72F47"/>
    <w:rsid w:val="00D7368F"/>
    <w:rsid w:val="00D73898"/>
    <w:rsid w:val="00D739D6"/>
    <w:rsid w:val="00D73D92"/>
    <w:rsid w:val="00D73DF2"/>
    <w:rsid w:val="00D75924"/>
    <w:rsid w:val="00D75959"/>
    <w:rsid w:val="00D76621"/>
    <w:rsid w:val="00D76A72"/>
    <w:rsid w:val="00D7758B"/>
    <w:rsid w:val="00D80BFA"/>
    <w:rsid w:val="00D80CAF"/>
    <w:rsid w:val="00D8160A"/>
    <w:rsid w:val="00D816CB"/>
    <w:rsid w:val="00D818E1"/>
    <w:rsid w:val="00D8226C"/>
    <w:rsid w:val="00D833D9"/>
    <w:rsid w:val="00D83BB7"/>
    <w:rsid w:val="00D83BD9"/>
    <w:rsid w:val="00D83D14"/>
    <w:rsid w:val="00D83FBA"/>
    <w:rsid w:val="00D84539"/>
    <w:rsid w:val="00D8478B"/>
    <w:rsid w:val="00D847C7"/>
    <w:rsid w:val="00D858C2"/>
    <w:rsid w:val="00D85ABC"/>
    <w:rsid w:val="00D85B65"/>
    <w:rsid w:val="00D86823"/>
    <w:rsid w:val="00D86CBC"/>
    <w:rsid w:val="00D878F6"/>
    <w:rsid w:val="00D8791F"/>
    <w:rsid w:val="00D87D1C"/>
    <w:rsid w:val="00D87FFD"/>
    <w:rsid w:val="00D9077E"/>
    <w:rsid w:val="00D915D6"/>
    <w:rsid w:val="00D91948"/>
    <w:rsid w:val="00D92180"/>
    <w:rsid w:val="00D92A69"/>
    <w:rsid w:val="00D9370D"/>
    <w:rsid w:val="00D93A04"/>
    <w:rsid w:val="00D94049"/>
    <w:rsid w:val="00D9451F"/>
    <w:rsid w:val="00D94691"/>
    <w:rsid w:val="00D94C28"/>
    <w:rsid w:val="00D94DCF"/>
    <w:rsid w:val="00D94EAE"/>
    <w:rsid w:val="00D94F0C"/>
    <w:rsid w:val="00D957A8"/>
    <w:rsid w:val="00D95B9D"/>
    <w:rsid w:val="00D95D63"/>
    <w:rsid w:val="00D96329"/>
    <w:rsid w:val="00D964D9"/>
    <w:rsid w:val="00D965CD"/>
    <w:rsid w:val="00D96888"/>
    <w:rsid w:val="00D97EEA"/>
    <w:rsid w:val="00D97F90"/>
    <w:rsid w:val="00DA0734"/>
    <w:rsid w:val="00DA0D6C"/>
    <w:rsid w:val="00DA1852"/>
    <w:rsid w:val="00DA24BE"/>
    <w:rsid w:val="00DA25BF"/>
    <w:rsid w:val="00DA2F97"/>
    <w:rsid w:val="00DA362A"/>
    <w:rsid w:val="00DA3D2F"/>
    <w:rsid w:val="00DA4970"/>
    <w:rsid w:val="00DA586F"/>
    <w:rsid w:val="00DA590E"/>
    <w:rsid w:val="00DA5A31"/>
    <w:rsid w:val="00DA6F24"/>
    <w:rsid w:val="00DA7467"/>
    <w:rsid w:val="00DA7576"/>
    <w:rsid w:val="00DA797B"/>
    <w:rsid w:val="00DA7C0B"/>
    <w:rsid w:val="00DB01DE"/>
    <w:rsid w:val="00DB08DA"/>
    <w:rsid w:val="00DB092B"/>
    <w:rsid w:val="00DB0B8F"/>
    <w:rsid w:val="00DB0D34"/>
    <w:rsid w:val="00DB0ECE"/>
    <w:rsid w:val="00DB0EDD"/>
    <w:rsid w:val="00DB19EE"/>
    <w:rsid w:val="00DB266B"/>
    <w:rsid w:val="00DB297F"/>
    <w:rsid w:val="00DB2A42"/>
    <w:rsid w:val="00DB2BAB"/>
    <w:rsid w:val="00DB3179"/>
    <w:rsid w:val="00DB34ED"/>
    <w:rsid w:val="00DB3D0B"/>
    <w:rsid w:val="00DB42FA"/>
    <w:rsid w:val="00DB45F8"/>
    <w:rsid w:val="00DB4975"/>
    <w:rsid w:val="00DB53D5"/>
    <w:rsid w:val="00DB5615"/>
    <w:rsid w:val="00DB5779"/>
    <w:rsid w:val="00DB588B"/>
    <w:rsid w:val="00DB5B5B"/>
    <w:rsid w:val="00DB6144"/>
    <w:rsid w:val="00DB621E"/>
    <w:rsid w:val="00DB6A74"/>
    <w:rsid w:val="00DB7BAB"/>
    <w:rsid w:val="00DB7F09"/>
    <w:rsid w:val="00DC00E8"/>
    <w:rsid w:val="00DC0EDA"/>
    <w:rsid w:val="00DC0F6F"/>
    <w:rsid w:val="00DC1C56"/>
    <w:rsid w:val="00DC1ECE"/>
    <w:rsid w:val="00DC1F5C"/>
    <w:rsid w:val="00DC21B3"/>
    <w:rsid w:val="00DC266C"/>
    <w:rsid w:val="00DC28FD"/>
    <w:rsid w:val="00DC3163"/>
    <w:rsid w:val="00DC318E"/>
    <w:rsid w:val="00DC3614"/>
    <w:rsid w:val="00DC3A18"/>
    <w:rsid w:val="00DC3CE9"/>
    <w:rsid w:val="00DC3FCE"/>
    <w:rsid w:val="00DC4756"/>
    <w:rsid w:val="00DC4955"/>
    <w:rsid w:val="00DC5017"/>
    <w:rsid w:val="00DC5242"/>
    <w:rsid w:val="00DC57D2"/>
    <w:rsid w:val="00DC5BA4"/>
    <w:rsid w:val="00DC5DC7"/>
    <w:rsid w:val="00DC6294"/>
    <w:rsid w:val="00DC6379"/>
    <w:rsid w:val="00DC639D"/>
    <w:rsid w:val="00DC6708"/>
    <w:rsid w:val="00DC670C"/>
    <w:rsid w:val="00DC6AAD"/>
    <w:rsid w:val="00DC7362"/>
    <w:rsid w:val="00DC7FC0"/>
    <w:rsid w:val="00DD020A"/>
    <w:rsid w:val="00DD1233"/>
    <w:rsid w:val="00DD1CA7"/>
    <w:rsid w:val="00DD23C8"/>
    <w:rsid w:val="00DD250C"/>
    <w:rsid w:val="00DD2787"/>
    <w:rsid w:val="00DD30C4"/>
    <w:rsid w:val="00DD3526"/>
    <w:rsid w:val="00DD4053"/>
    <w:rsid w:val="00DD496B"/>
    <w:rsid w:val="00DD5A2E"/>
    <w:rsid w:val="00DD625E"/>
    <w:rsid w:val="00DD694D"/>
    <w:rsid w:val="00DD6D8B"/>
    <w:rsid w:val="00DD7235"/>
    <w:rsid w:val="00DD75E3"/>
    <w:rsid w:val="00DD7613"/>
    <w:rsid w:val="00DE0A18"/>
    <w:rsid w:val="00DE1005"/>
    <w:rsid w:val="00DE14D4"/>
    <w:rsid w:val="00DE1CF1"/>
    <w:rsid w:val="00DE2763"/>
    <w:rsid w:val="00DE2F7E"/>
    <w:rsid w:val="00DE3A53"/>
    <w:rsid w:val="00DE3C77"/>
    <w:rsid w:val="00DE4417"/>
    <w:rsid w:val="00DE44F8"/>
    <w:rsid w:val="00DE47FB"/>
    <w:rsid w:val="00DE4AD7"/>
    <w:rsid w:val="00DE4C23"/>
    <w:rsid w:val="00DE4F01"/>
    <w:rsid w:val="00DE5309"/>
    <w:rsid w:val="00DE576E"/>
    <w:rsid w:val="00DE59F3"/>
    <w:rsid w:val="00DE5B09"/>
    <w:rsid w:val="00DE6099"/>
    <w:rsid w:val="00DE62F7"/>
    <w:rsid w:val="00DE67DE"/>
    <w:rsid w:val="00DE70F1"/>
    <w:rsid w:val="00DE712E"/>
    <w:rsid w:val="00DE71D7"/>
    <w:rsid w:val="00DE760E"/>
    <w:rsid w:val="00DF0889"/>
    <w:rsid w:val="00DF0C71"/>
    <w:rsid w:val="00DF0FF0"/>
    <w:rsid w:val="00DF11CD"/>
    <w:rsid w:val="00DF1344"/>
    <w:rsid w:val="00DF14EE"/>
    <w:rsid w:val="00DF1A63"/>
    <w:rsid w:val="00DF1A9D"/>
    <w:rsid w:val="00DF1AF0"/>
    <w:rsid w:val="00DF21BB"/>
    <w:rsid w:val="00DF2203"/>
    <w:rsid w:val="00DF29B5"/>
    <w:rsid w:val="00DF2E55"/>
    <w:rsid w:val="00DF326C"/>
    <w:rsid w:val="00DF3709"/>
    <w:rsid w:val="00DF45BF"/>
    <w:rsid w:val="00DF494B"/>
    <w:rsid w:val="00DF4A63"/>
    <w:rsid w:val="00DF4B00"/>
    <w:rsid w:val="00DF5450"/>
    <w:rsid w:val="00DF5AA0"/>
    <w:rsid w:val="00DF5B38"/>
    <w:rsid w:val="00DF6143"/>
    <w:rsid w:val="00DF6F61"/>
    <w:rsid w:val="00DF748A"/>
    <w:rsid w:val="00DF78E9"/>
    <w:rsid w:val="00DF79CE"/>
    <w:rsid w:val="00E000C2"/>
    <w:rsid w:val="00E00315"/>
    <w:rsid w:val="00E00414"/>
    <w:rsid w:val="00E016FF"/>
    <w:rsid w:val="00E01802"/>
    <w:rsid w:val="00E026EA"/>
    <w:rsid w:val="00E03A44"/>
    <w:rsid w:val="00E04C4C"/>
    <w:rsid w:val="00E05061"/>
    <w:rsid w:val="00E0584B"/>
    <w:rsid w:val="00E05929"/>
    <w:rsid w:val="00E06C08"/>
    <w:rsid w:val="00E073F6"/>
    <w:rsid w:val="00E074BA"/>
    <w:rsid w:val="00E074E3"/>
    <w:rsid w:val="00E101C6"/>
    <w:rsid w:val="00E10411"/>
    <w:rsid w:val="00E111B6"/>
    <w:rsid w:val="00E113EE"/>
    <w:rsid w:val="00E1186D"/>
    <w:rsid w:val="00E11920"/>
    <w:rsid w:val="00E11E10"/>
    <w:rsid w:val="00E11F90"/>
    <w:rsid w:val="00E12056"/>
    <w:rsid w:val="00E12095"/>
    <w:rsid w:val="00E121AF"/>
    <w:rsid w:val="00E12375"/>
    <w:rsid w:val="00E1263B"/>
    <w:rsid w:val="00E12D53"/>
    <w:rsid w:val="00E13510"/>
    <w:rsid w:val="00E13E42"/>
    <w:rsid w:val="00E14259"/>
    <w:rsid w:val="00E149FB"/>
    <w:rsid w:val="00E155A3"/>
    <w:rsid w:val="00E15FDB"/>
    <w:rsid w:val="00E16465"/>
    <w:rsid w:val="00E167E7"/>
    <w:rsid w:val="00E17345"/>
    <w:rsid w:val="00E178D4"/>
    <w:rsid w:val="00E200FD"/>
    <w:rsid w:val="00E20B60"/>
    <w:rsid w:val="00E21A47"/>
    <w:rsid w:val="00E22D51"/>
    <w:rsid w:val="00E23C71"/>
    <w:rsid w:val="00E24454"/>
    <w:rsid w:val="00E253BB"/>
    <w:rsid w:val="00E25495"/>
    <w:rsid w:val="00E25EC8"/>
    <w:rsid w:val="00E26133"/>
    <w:rsid w:val="00E262D9"/>
    <w:rsid w:val="00E26DE0"/>
    <w:rsid w:val="00E26E67"/>
    <w:rsid w:val="00E27AD9"/>
    <w:rsid w:val="00E30694"/>
    <w:rsid w:val="00E30E25"/>
    <w:rsid w:val="00E319D7"/>
    <w:rsid w:val="00E32161"/>
    <w:rsid w:val="00E327F6"/>
    <w:rsid w:val="00E330A9"/>
    <w:rsid w:val="00E3390B"/>
    <w:rsid w:val="00E34157"/>
    <w:rsid w:val="00E347A4"/>
    <w:rsid w:val="00E349A7"/>
    <w:rsid w:val="00E35474"/>
    <w:rsid w:val="00E35E6C"/>
    <w:rsid w:val="00E35F72"/>
    <w:rsid w:val="00E36BFB"/>
    <w:rsid w:val="00E376B6"/>
    <w:rsid w:val="00E37B89"/>
    <w:rsid w:val="00E37DB6"/>
    <w:rsid w:val="00E37E71"/>
    <w:rsid w:val="00E406A0"/>
    <w:rsid w:val="00E408B6"/>
    <w:rsid w:val="00E4092D"/>
    <w:rsid w:val="00E409E0"/>
    <w:rsid w:val="00E40B60"/>
    <w:rsid w:val="00E40C39"/>
    <w:rsid w:val="00E41261"/>
    <w:rsid w:val="00E41B41"/>
    <w:rsid w:val="00E41D5A"/>
    <w:rsid w:val="00E41EE0"/>
    <w:rsid w:val="00E420D5"/>
    <w:rsid w:val="00E4264E"/>
    <w:rsid w:val="00E426B2"/>
    <w:rsid w:val="00E42A6B"/>
    <w:rsid w:val="00E42F98"/>
    <w:rsid w:val="00E42FEA"/>
    <w:rsid w:val="00E43A7A"/>
    <w:rsid w:val="00E43AA6"/>
    <w:rsid w:val="00E43AC9"/>
    <w:rsid w:val="00E440C0"/>
    <w:rsid w:val="00E45182"/>
    <w:rsid w:val="00E45538"/>
    <w:rsid w:val="00E45731"/>
    <w:rsid w:val="00E464F1"/>
    <w:rsid w:val="00E466EF"/>
    <w:rsid w:val="00E46FA0"/>
    <w:rsid w:val="00E4733E"/>
    <w:rsid w:val="00E503E2"/>
    <w:rsid w:val="00E50E7C"/>
    <w:rsid w:val="00E51545"/>
    <w:rsid w:val="00E51D9E"/>
    <w:rsid w:val="00E5279B"/>
    <w:rsid w:val="00E52C61"/>
    <w:rsid w:val="00E530BC"/>
    <w:rsid w:val="00E53233"/>
    <w:rsid w:val="00E537D1"/>
    <w:rsid w:val="00E53C36"/>
    <w:rsid w:val="00E544FC"/>
    <w:rsid w:val="00E54597"/>
    <w:rsid w:val="00E545C0"/>
    <w:rsid w:val="00E55657"/>
    <w:rsid w:val="00E55C0B"/>
    <w:rsid w:val="00E56049"/>
    <w:rsid w:val="00E567E6"/>
    <w:rsid w:val="00E56971"/>
    <w:rsid w:val="00E577AC"/>
    <w:rsid w:val="00E57F2D"/>
    <w:rsid w:val="00E6110C"/>
    <w:rsid w:val="00E61484"/>
    <w:rsid w:val="00E61CDE"/>
    <w:rsid w:val="00E6281A"/>
    <w:rsid w:val="00E63011"/>
    <w:rsid w:val="00E635E3"/>
    <w:rsid w:val="00E63C98"/>
    <w:rsid w:val="00E64060"/>
    <w:rsid w:val="00E640B1"/>
    <w:rsid w:val="00E64ADE"/>
    <w:rsid w:val="00E64C0B"/>
    <w:rsid w:val="00E65019"/>
    <w:rsid w:val="00E6562B"/>
    <w:rsid w:val="00E656B1"/>
    <w:rsid w:val="00E65774"/>
    <w:rsid w:val="00E6577E"/>
    <w:rsid w:val="00E65CC1"/>
    <w:rsid w:val="00E65E42"/>
    <w:rsid w:val="00E65F8D"/>
    <w:rsid w:val="00E65FB8"/>
    <w:rsid w:val="00E7017C"/>
    <w:rsid w:val="00E711D7"/>
    <w:rsid w:val="00E712F6"/>
    <w:rsid w:val="00E71BDA"/>
    <w:rsid w:val="00E726B4"/>
    <w:rsid w:val="00E728B2"/>
    <w:rsid w:val="00E7306C"/>
    <w:rsid w:val="00E73AF7"/>
    <w:rsid w:val="00E73B78"/>
    <w:rsid w:val="00E73FBD"/>
    <w:rsid w:val="00E73FCB"/>
    <w:rsid w:val="00E740D3"/>
    <w:rsid w:val="00E75D0A"/>
    <w:rsid w:val="00E771A9"/>
    <w:rsid w:val="00E772E7"/>
    <w:rsid w:val="00E77623"/>
    <w:rsid w:val="00E80134"/>
    <w:rsid w:val="00E80177"/>
    <w:rsid w:val="00E803BC"/>
    <w:rsid w:val="00E804F2"/>
    <w:rsid w:val="00E8075C"/>
    <w:rsid w:val="00E814DB"/>
    <w:rsid w:val="00E815E1"/>
    <w:rsid w:val="00E81816"/>
    <w:rsid w:val="00E81DF7"/>
    <w:rsid w:val="00E81EA6"/>
    <w:rsid w:val="00E820BB"/>
    <w:rsid w:val="00E82D82"/>
    <w:rsid w:val="00E83AD9"/>
    <w:rsid w:val="00E842C5"/>
    <w:rsid w:val="00E84502"/>
    <w:rsid w:val="00E84A44"/>
    <w:rsid w:val="00E850F9"/>
    <w:rsid w:val="00E8589D"/>
    <w:rsid w:val="00E85C63"/>
    <w:rsid w:val="00E85DEC"/>
    <w:rsid w:val="00E85F6F"/>
    <w:rsid w:val="00E86D31"/>
    <w:rsid w:val="00E87047"/>
    <w:rsid w:val="00E873ED"/>
    <w:rsid w:val="00E877D5"/>
    <w:rsid w:val="00E8793E"/>
    <w:rsid w:val="00E87F52"/>
    <w:rsid w:val="00E90085"/>
    <w:rsid w:val="00E902B0"/>
    <w:rsid w:val="00E902E8"/>
    <w:rsid w:val="00E904A0"/>
    <w:rsid w:val="00E904E4"/>
    <w:rsid w:val="00E90C1B"/>
    <w:rsid w:val="00E90C6E"/>
    <w:rsid w:val="00E90CBD"/>
    <w:rsid w:val="00E90E63"/>
    <w:rsid w:val="00E9152B"/>
    <w:rsid w:val="00E9296B"/>
    <w:rsid w:val="00E92CAD"/>
    <w:rsid w:val="00E93987"/>
    <w:rsid w:val="00E93B07"/>
    <w:rsid w:val="00E93FE3"/>
    <w:rsid w:val="00E946C8"/>
    <w:rsid w:val="00E9504E"/>
    <w:rsid w:val="00E95C7D"/>
    <w:rsid w:val="00E96211"/>
    <w:rsid w:val="00E96899"/>
    <w:rsid w:val="00E968A1"/>
    <w:rsid w:val="00E97B3A"/>
    <w:rsid w:val="00E97C19"/>
    <w:rsid w:val="00EA001B"/>
    <w:rsid w:val="00EA00DE"/>
    <w:rsid w:val="00EA13F7"/>
    <w:rsid w:val="00EA23AC"/>
    <w:rsid w:val="00EA2CB8"/>
    <w:rsid w:val="00EA398F"/>
    <w:rsid w:val="00EA3B84"/>
    <w:rsid w:val="00EA4061"/>
    <w:rsid w:val="00EA4FB7"/>
    <w:rsid w:val="00EA52E5"/>
    <w:rsid w:val="00EA580B"/>
    <w:rsid w:val="00EA5892"/>
    <w:rsid w:val="00EA5E75"/>
    <w:rsid w:val="00EA5F33"/>
    <w:rsid w:val="00EA64B6"/>
    <w:rsid w:val="00EA688B"/>
    <w:rsid w:val="00EA721C"/>
    <w:rsid w:val="00EA7562"/>
    <w:rsid w:val="00EA7C3D"/>
    <w:rsid w:val="00EB0605"/>
    <w:rsid w:val="00EB0816"/>
    <w:rsid w:val="00EB0BB6"/>
    <w:rsid w:val="00EB18A8"/>
    <w:rsid w:val="00EB1E22"/>
    <w:rsid w:val="00EB2428"/>
    <w:rsid w:val="00EB284F"/>
    <w:rsid w:val="00EB3419"/>
    <w:rsid w:val="00EB37ED"/>
    <w:rsid w:val="00EB440A"/>
    <w:rsid w:val="00EB4764"/>
    <w:rsid w:val="00EB4909"/>
    <w:rsid w:val="00EB4B0B"/>
    <w:rsid w:val="00EB5317"/>
    <w:rsid w:val="00EB53AE"/>
    <w:rsid w:val="00EB5536"/>
    <w:rsid w:val="00EB6878"/>
    <w:rsid w:val="00EB6C75"/>
    <w:rsid w:val="00EB76F3"/>
    <w:rsid w:val="00EB7761"/>
    <w:rsid w:val="00EB7854"/>
    <w:rsid w:val="00EC02A0"/>
    <w:rsid w:val="00EC02F7"/>
    <w:rsid w:val="00EC173E"/>
    <w:rsid w:val="00EC1E0E"/>
    <w:rsid w:val="00EC2115"/>
    <w:rsid w:val="00EC217E"/>
    <w:rsid w:val="00EC236D"/>
    <w:rsid w:val="00EC24BB"/>
    <w:rsid w:val="00EC29C7"/>
    <w:rsid w:val="00EC3A2B"/>
    <w:rsid w:val="00EC40D5"/>
    <w:rsid w:val="00EC4109"/>
    <w:rsid w:val="00EC450B"/>
    <w:rsid w:val="00EC4CED"/>
    <w:rsid w:val="00EC4DB9"/>
    <w:rsid w:val="00EC5094"/>
    <w:rsid w:val="00EC5BC0"/>
    <w:rsid w:val="00EC5DC4"/>
    <w:rsid w:val="00EC622E"/>
    <w:rsid w:val="00EC62CC"/>
    <w:rsid w:val="00EC6941"/>
    <w:rsid w:val="00EC6B16"/>
    <w:rsid w:val="00EC76FC"/>
    <w:rsid w:val="00EC7AC0"/>
    <w:rsid w:val="00ED0A80"/>
    <w:rsid w:val="00ED1730"/>
    <w:rsid w:val="00ED1828"/>
    <w:rsid w:val="00ED1CD9"/>
    <w:rsid w:val="00ED2521"/>
    <w:rsid w:val="00ED3035"/>
    <w:rsid w:val="00ED31ED"/>
    <w:rsid w:val="00ED3600"/>
    <w:rsid w:val="00ED3AE2"/>
    <w:rsid w:val="00ED5238"/>
    <w:rsid w:val="00ED5A20"/>
    <w:rsid w:val="00ED64D4"/>
    <w:rsid w:val="00ED7C00"/>
    <w:rsid w:val="00EE0076"/>
    <w:rsid w:val="00EE0609"/>
    <w:rsid w:val="00EE08F9"/>
    <w:rsid w:val="00EE0999"/>
    <w:rsid w:val="00EE0BA7"/>
    <w:rsid w:val="00EE1385"/>
    <w:rsid w:val="00EE1447"/>
    <w:rsid w:val="00EE15AB"/>
    <w:rsid w:val="00EE1BF1"/>
    <w:rsid w:val="00EE1E64"/>
    <w:rsid w:val="00EE285D"/>
    <w:rsid w:val="00EE3292"/>
    <w:rsid w:val="00EE4864"/>
    <w:rsid w:val="00EE4885"/>
    <w:rsid w:val="00EE4ABB"/>
    <w:rsid w:val="00EE4AC7"/>
    <w:rsid w:val="00EE4AD4"/>
    <w:rsid w:val="00EE4DC1"/>
    <w:rsid w:val="00EE4EAC"/>
    <w:rsid w:val="00EE5195"/>
    <w:rsid w:val="00EE53D7"/>
    <w:rsid w:val="00EE54B2"/>
    <w:rsid w:val="00EE5E2B"/>
    <w:rsid w:val="00EE5EE6"/>
    <w:rsid w:val="00EE66DE"/>
    <w:rsid w:val="00EE6C07"/>
    <w:rsid w:val="00EE73E2"/>
    <w:rsid w:val="00EE76CE"/>
    <w:rsid w:val="00EE7744"/>
    <w:rsid w:val="00EF0330"/>
    <w:rsid w:val="00EF03E1"/>
    <w:rsid w:val="00EF07F3"/>
    <w:rsid w:val="00EF12CD"/>
    <w:rsid w:val="00EF145E"/>
    <w:rsid w:val="00EF20C5"/>
    <w:rsid w:val="00EF2606"/>
    <w:rsid w:val="00EF272F"/>
    <w:rsid w:val="00EF2BBB"/>
    <w:rsid w:val="00EF344C"/>
    <w:rsid w:val="00EF3504"/>
    <w:rsid w:val="00EF377D"/>
    <w:rsid w:val="00EF56BF"/>
    <w:rsid w:val="00EF5C83"/>
    <w:rsid w:val="00EF73CF"/>
    <w:rsid w:val="00EF7CAC"/>
    <w:rsid w:val="00F0082D"/>
    <w:rsid w:val="00F00D2D"/>
    <w:rsid w:val="00F015AB"/>
    <w:rsid w:val="00F01706"/>
    <w:rsid w:val="00F01D7B"/>
    <w:rsid w:val="00F02225"/>
    <w:rsid w:val="00F024BE"/>
    <w:rsid w:val="00F026FF"/>
    <w:rsid w:val="00F02AC4"/>
    <w:rsid w:val="00F02AF5"/>
    <w:rsid w:val="00F03791"/>
    <w:rsid w:val="00F03C9D"/>
    <w:rsid w:val="00F04161"/>
    <w:rsid w:val="00F042C8"/>
    <w:rsid w:val="00F045E0"/>
    <w:rsid w:val="00F053C2"/>
    <w:rsid w:val="00F066D3"/>
    <w:rsid w:val="00F06A6E"/>
    <w:rsid w:val="00F072D7"/>
    <w:rsid w:val="00F07958"/>
    <w:rsid w:val="00F07C90"/>
    <w:rsid w:val="00F105A7"/>
    <w:rsid w:val="00F109EC"/>
    <w:rsid w:val="00F10F1E"/>
    <w:rsid w:val="00F11769"/>
    <w:rsid w:val="00F11EF3"/>
    <w:rsid w:val="00F12112"/>
    <w:rsid w:val="00F12669"/>
    <w:rsid w:val="00F12E3B"/>
    <w:rsid w:val="00F14203"/>
    <w:rsid w:val="00F1496B"/>
    <w:rsid w:val="00F151C4"/>
    <w:rsid w:val="00F157CF"/>
    <w:rsid w:val="00F16F32"/>
    <w:rsid w:val="00F17845"/>
    <w:rsid w:val="00F17AE2"/>
    <w:rsid w:val="00F20180"/>
    <w:rsid w:val="00F2047E"/>
    <w:rsid w:val="00F20557"/>
    <w:rsid w:val="00F206E9"/>
    <w:rsid w:val="00F20DC3"/>
    <w:rsid w:val="00F20F8A"/>
    <w:rsid w:val="00F22FD4"/>
    <w:rsid w:val="00F234C4"/>
    <w:rsid w:val="00F23ABA"/>
    <w:rsid w:val="00F23DAB"/>
    <w:rsid w:val="00F23EBB"/>
    <w:rsid w:val="00F240A0"/>
    <w:rsid w:val="00F2453D"/>
    <w:rsid w:val="00F249D2"/>
    <w:rsid w:val="00F24C51"/>
    <w:rsid w:val="00F25125"/>
    <w:rsid w:val="00F25676"/>
    <w:rsid w:val="00F256D1"/>
    <w:rsid w:val="00F25848"/>
    <w:rsid w:val="00F2597D"/>
    <w:rsid w:val="00F26341"/>
    <w:rsid w:val="00F263C2"/>
    <w:rsid w:val="00F267A9"/>
    <w:rsid w:val="00F26DA5"/>
    <w:rsid w:val="00F2735B"/>
    <w:rsid w:val="00F27C5A"/>
    <w:rsid w:val="00F304A4"/>
    <w:rsid w:val="00F30D57"/>
    <w:rsid w:val="00F32265"/>
    <w:rsid w:val="00F32D5B"/>
    <w:rsid w:val="00F3349D"/>
    <w:rsid w:val="00F33858"/>
    <w:rsid w:val="00F33DB8"/>
    <w:rsid w:val="00F34064"/>
    <w:rsid w:val="00F34713"/>
    <w:rsid w:val="00F364F6"/>
    <w:rsid w:val="00F36B2D"/>
    <w:rsid w:val="00F37B27"/>
    <w:rsid w:val="00F40077"/>
    <w:rsid w:val="00F40928"/>
    <w:rsid w:val="00F40ED8"/>
    <w:rsid w:val="00F411D6"/>
    <w:rsid w:val="00F41654"/>
    <w:rsid w:val="00F417D6"/>
    <w:rsid w:val="00F426D9"/>
    <w:rsid w:val="00F42966"/>
    <w:rsid w:val="00F429A8"/>
    <w:rsid w:val="00F43625"/>
    <w:rsid w:val="00F4376D"/>
    <w:rsid w:val="00F4496D"/>
    <w:rsid w:val="00F4630C"/>
    <w:rsid w:val="00F475CC"/>
    <w:rsid w:val="00F500D4"/>
    <w:rsid w:val="00F50728"/>
    <w:rsid w:val="00F5133D"/>
    <w:rsid w:val="00F51828"/>
    <w:rsid w:val="00F51D7F"/>
    <w:rsid w:val="00F522CF"/>
    <w:rsid w:val="00F5289C"/>
    <w:rsid w:val="00F5365A"/>
    <w:rsid w:val="00F53BB5"/>
    <w:rsid w:val="00F548BC"/>
    <w:rsid w:val="00F54AD7"/>
    <w:rsid w:val="00F54F02"/>
    <w:rsid w:val="00F55211"/>
    <w:rsid w:val="00F552C0"/>
    <w:rsid w:val="00F55CFA"/>
    <w:rsid w:val="00F56603"/>
    <w:rsid w:val="00F57062"/>
    <w:rsid w:val="00F57BED"/>
    <w:rsid w:val="00F57C83"/>
    <w:rsid w:val="00F57F5C"/>
    <w:rsid w:val="00F60198"/>
    <w:rsid w:val="00F611E0"/>
    <w:rsid w:val="00F61C3C"/>
    <w:rsid w:val="00F61C8B"/>
    <w:rsid w:val="00F62637"/>
    <w:rsid w:val="00F63DFC"/>
    <w:rsid w:val="00F64659"/>
    <w:rsid w:val="00F650C4"/>
    <w:rsid w:val="00F65432"/>
    <w:rsid w:val="00F65917"/>
    <w:rsid w:val="00F65E1A"/>
    <w:rsid w:val="00F660DF"/>
    <w:rsid w:val="00F669CD"/>
    <w:rsid w:val="00F676DD"/>
    <w:rsid w:val="00F677FD"/>
    <w:rsid w:val="00F67B55"/>
    <w:rsid w:val="00F67F74"/>
    <w:rsid w:val="00F704A2"/>
    <w:rsid w:val="00F7113D"/>
    <w:rsid w:val="00F711D0"/>
    <w:rsid w:val="00F71288"/>
    <w:rsid w:val="00F71DCC"/>
    <w:rsid w:val="00F7241F"/>
    <w:rsid w:val="00F7251B"/>
    <w:rsid w:val="00F72648"/>
    <w:rsid w:val="00F72655"/>
    <w:rsid w:val="00F72954"/>
    <w:rsid w:val="00F72AD0"/>
    <w:rsid w:val="00F72CDC"/>
    <w:rsid w:val="00F737DB"/>
    <w:rsid w:val="00F73EAD"/>
    <w:rsid w:val="00F73EBA"/>
    <w:rsid w:val="00F745CC"/>
    <w:rsid w:val="00F74745"/>
    <w:rsid w:val="00F74E78"/>
    <w:rsid w:val="00F75AA2"/>
    <w:rsid w:val="00F75FB7"/>
    <w:rsid w:val="00F7613A"/>
    <w:rsid w:val="00F7629D"/>
    <w:rsid w:val="00F77B79"/>
    <w:rsid w:val="00F77E9E"/>
    <w:rsid w:val="00F811C4"/>
    <w:rsid w:val="00F8124E"/>
    <w:rsid w:val="00F816CF"/>
    <w:rsid w:val="00F81A5D"/>
    <w:rsid w:val="00F82746"/>
    <w:rsid w:val="00F82BF6"/>
    <w:rsid w:val="00F82F64"/>
    <w:rsid w:val="00F82FCF"/>
    <w:rsid w:val="00F83329"/>
    <w:rsid w:val="00F836F9"/>
    <w:rsid w:val="00F83916"/>
    <w:rsid w:val="00F845D7"/>
    <w:rsid w:val="00F84690"/>
    <w:rsid w:val="00F8499D"/>
    <w:rsid w:val="00F84BA7"/>
    <w:rsid w:val="00F851C1"/>
    <w:rsid w:val="00F8545E"/>
    <w:rsid w:val="00F85688"/>
    <w:rsid w:val="00F858F9"/>
    <w:rsid w:val="00F85E35"/>
    <w:rsid w:val="00F86341"/>
    <w:rsid w:val="00F86464"/>
    <w:rsid w:val="00F86554"/>
    <w:rsid w:val="00F868C6"/>
    <w:rsid w:val="00F86EFF"/>
    <w:rsid w:val="00F8746F"/>
    <w:rsid w:val="00F908EF"/>
    <w:rsid w:val="00F9095F"/>
    <w:rsid w:val="00F90E55"/>
    <w:rsid w:val="00F9190F"/>
    <w:rsid w:val="00F92279"/>
    <w:rsid w:val="00F9265F"/>
    <w:rsid w:val="00F92F28"/>
    <w:rsid w:val="00F9317D"/>
    <w:rsid w:val="00F93C34"/>
    <w:rsid w:val="00F94CC7"/>
    <w:rsid w:val="00F951CE"/>
    <w:rsid w:val="00F95F0E"/>
    <w:rsid w:val="00F95F47"/>
    <w:rsid w:val="00F96547"/>
    <w:rsid w:val="00F97874"/>
    <w:rsid w:val="00F97FFD"/>
    <w:rsid w:val="00FA0043"/>
    <w:rsid w:val="00FA00D6"/>
    <w:rsid w:val="00FA05D7"/>
    <w:rsid w:val="00FA0DE4"/>
    <w:rsid w:val="00FA10BF"/>
    <w:rsid w:val="00FA112F"/>
    <w:rsid w:val="00FA133A"/>
    <w:rsid w:val="00FA1613"/>
    <w:rsid w:val="00FA1711"/>
    <w:rsid w:val="00FA225D"/>
    <w:rsid w:val="00FA26FC"/>
    <w:rsid w:val="00FA431E"/>
    <w:rsid w:val="00FA4773"/>
    <w:rsid w:val="00FA4CFB"/>
    <w:rsid w:val="00FA4D30"/>
    <w:rsid w:val="00FA50ED"/>
    <w:rsid w:val="00FA592B"/>
    <w:rsid w:val="00FA5B68"/>
    <w:rsid w:val="00FA622A"/>
    <w:rsid w:val="00FA63C2"/>
    <w:rsid w:val="00FA6558"/>
    <w:rsid w:val="00FA6CCE"/>
    <w:rsid w:val="00FA6DCD"/>
    <w:rsid w:val="00FB0093"/>
    <w:rsid w:val="00FB14C3"/>
    <w:rsid w:val="00FB1630"/>
    <w:rsid w:val="00FB16E5"/>
    <w:rsid w:val="00FB1DFB"/>
    <w:rsid w:val="00FB1F4E"/>
    <w:rsid w:val="00FB24A7"/>
    <w:rsid w:val="00FB26BF"/>
    <w:rsid w:val="00FB2BDA"/>
    <w:rsid w:val="00FB3048"/>
    <w:rsid w:val="00FB32D6"/>
    <w:rsid w:val="00FB3F10"/>
    <w:rsid w:val="00FB4788"/>
    <w:rsid w:val="00FB4D21"/>
    <w:rsid w:val="00FB525B"/>
    <w:rsid w:val="00FB55E0"/>
    <w:rsid w:val="00FB5B8E"/>
    <w:rsid w:val="00FB5DA4"/>
    <w:rsid w:val="00FB65E1"/>
    <w:rsid w:val="00FB6D1A"/>
    <w:rsid w:val="00FB738A"/>
    <w:rsid w:val="00FB762B"/>
    <w:rsid w:val="00FB7B5F"/>
    <w:rsid w:val="00FB7B92"/>
    <w:rsid w:val="00FC047A"/>
    <w:rsid w:val="00FC11B8"/>
    <w:rsid w:val="00FC1985"/>
    <w:rsid w:val="00FC21AD"/>
    <w:rsid w:val="00FC2283"/>
    <w:rsid w:val="00FC2F8B"/>
    <w:rsid w:val="00FC3324"/>
    <w:rsid w:val="00FC3B88"/>
    <w:rsid w:val="00FC3BEA"/>
    <w:rsid w:val="00FC4389"/>
    <w:rsid w:val="00FC5286"/>
    <w:rsid w:val="00FC68C1"/>
    <w:rsid w:val="00FC6A2C"/>
    <w:rsid w:val="00FC6ADA"/>
    <w:rsid w:val="00FC6B05"/>
    <w:rsid w:val="00FC7A04"/>
    <w:rsid w:val="00FD0833"/>
    <w:rsid w:val="00FD1758"/>
    <w:rsid w:val="00FD2244"/>
    <w:rsid w:val="00FD2262"/>
    <w:rsid w:val="00FD230E"/>
    <w:rsid w:val="00FD276A"/>
    <w:rsid w:val="00FD2E34"/>
    <w:rsid w:val="00FD3220"/>
    <w:rsid w:val="00FD36ED"/>
    <w:rsid w:val="00FD3C14"/>
    <w:rsid w:val="00FD3D82"/>
    <w:rsid w:val="00FD406C"/>
    <w:rsid w:val="00FD4140"/>
    <w:rsid w:val="00FD445E"/>
    <w:rsid w:val="00FD4640"/>
    <w:rsid w:val="00FD4BD5"/>
    <w:rsid w:val="00FD4D2F"/>
    <w:rsid w:val="00FD4E6D"/>
    <w:rsid w:val="00FD51AD"/>
    <w:rsid w:val="00FD537A"/>
    <w:rsid w:val="00FD57CD"/>
    <w:rsid w:val="00FD5B8A"/>
    <w:rsid w:val="00FD7231"/>
    <w:rsid w:val="00FD7A2B"/>
    <w:rsid w:val="00FD7A38"/>
    <w:rsid w:val="00FE07C8"/>
    <w:rsid w:val="00FE17A0"/>
    <w:rsid w:val="00FE17DA"/>
    <w:rsid w:val="00FE1C50"/>
    <w:rsid w:val="00FE242C"/>
    <w:rsid w:val="00FE2EC6"/>
    <w:rsid w:val="00FE2FC3"/>
    <w:rsid w:val="00FE304E"/>
    <w:rsid w:val="00FE3B53"/>
    <w:rsid w:val="00FE44BF"/>
    <w:rsid w:val="00FE4632"/>
    <w:rsid w:val="00FE4685"/>
    <w:rsid w:val="00FE4B12"/>
    <w:rsid w:val="00FE4C1A"/>
    <w:rsid w:val="00FE4E7E"/>
    <w:rsid w:val="00FE4F31"/>
    <w:rsid w:val="00FE5717"/>
    <w:rsid w:val="00FE5B51"/>
    <w:rsid w:val="00FE693B"/>
    <w:rsid w:val="00FE725E"/>
    <w:rsid w:val="00FE7386"/>
    <w:rsid w:val="00FE7584"/>
    <w:rsid w:val="00FE7B3F"/>
    <w:rsid w:val="00FE7D60"/>
    <w:rsid w:val="00FF0453"/>
    <w:rsid w:val="00FF0543"/>
    <w:rsid w:val="00FF067F"/>
    <w:rsid w:val="00FF0DD6"/>
    <w:rsid w:val="00FF0E65"/>
    <w:rsid w:val="00FF1653"/>
    <w:rsid w:val="00FF3017"/>
    <w:rsid w:val="00FF32F9"/>
    <w:rsid w:val="00FF5337"/>
    <w:rsid w:val="00FF60AD"/>
    <w:rsid w:val="00FF6E80"/>
    <w:rsid w:val="00FF70FB"/>
    <w:rsid w:val="00FF77E0"/>
    <w:rsid w:val="012C0D92"/>
    <w:rsid w:val="01A34CB0"/>
    <w:rsid w:val="039348C1"/>
    <w:rsid w:val="053D0263"/>
    <w:rsid w:val="07D7D4D3"/>
    <w:rsid w:val="0838C043"/>
    <w:rsid w:val="09C00F2B"/>
    <w:rsid w:val="0A674BC2"/>
    <w:rsid w:val="0F3BB2BC"/>
    <w:rsid w:val="10D12F35"/>
    <w:rsid w:val="1137951B"/>
    <w:rsid w:val="11FCD18D"/>
    <w:rsid w:val="12861D08"/>
    <w:rsid w:val="15735A4F"/>
    <w:rsid w:val="1632CB85"/>
    <w:rsid w:val="1757D2AE"/>
    <w:rsid w:val="18E51458"/>
    <w:rsid w:val="19297EA3"/>
    <w:rsid w:val="1C79213B"/>
    <w:rsid w:val="1DCB4ADC"/>
    <w:rsid w:val="22206E5E"/>
    <w:rsid w:val="2DB3E8E4"/>
    <w:rsid w:val="2E2A7FDC"/>
    <w:rsid w:val="2E55F827"/>
    <w:rsid w:val="2EF04145"/>
    <w:rsid w:val="348A429A"/>
    <w:rsid w:val="350FA789"/>
    <w:rsid w:val="395E3659"/>
    <w:rsid w:val="3F099467"/>
    <w:rsid w:val="418FCF1C"/>
    <w:rsid w:val="42EE147E"/>
    <w:rsid w:val="4405A8A9"/>
    <w:rsid w:val="44E307DC"/>
    <w:rsid w:val="44FC12F4"/>
    <w:rsid w:val="45E69C77"/>
    <w:rsid w:val="4B26F29D"/>
    <w:rsid w:val="4B509E1F"/>
    <w:rsid w:val="4EBEFD2B"/>
    <w:rsid w:val="4FC503B7"/>
    <w:rsid w:val="51B17694"/>
    <w:rsid w:val="54232AE5"/>
    <w:rsid w:val="55465F64"/>
    <w:rsid w:val="567163A1"/>
    <w:rsid w:val="582C13D2"/>
    <w:rsid w:val="590217D5"/>
    <w:rsid w:val="617A4781"/>
    <w:rsid w:val="65F015B8"/>
    <w:rsid w:val="66932C63"/>
    <w:rsid w:val="67D29673"/>
    <w:rsid w:val="694406DF"/>
    <w:rsid w:val="6AA561BC"/>
    <w:rsid w:val="6D231D0A"/>
    <w:rsid w:val="6E865729"/>
    <w:rsid w:val="70E29146"/>
    <w:rsid w:val="71C0BEE8"/>
    <w:rsid w:val="7310CB30"/>
    <w:rsid w:val="769FF474"/>
    <w:rsid w:val="77191390"/>
    <w:rsid w:val="782A572D"/>
    <w:rsid w:val="79D79536"/>
    <w:rsid w:val="7C06E8C7"/>
    <w:rsid w:val="7C5F43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BD19"/>
  <w15:docId w15:val="{78D4C0EE-288D-4AF9-9631-CB702A20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12"/>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uiPriority w:val="9"/>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uiPriority w:val="9"/>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uiPriority w:val="9"/>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E349A7"/>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unhideWhenUsed/>
    <w:qFormat/>
    <w:rsid w:val="00B63AF4"/>
    <w:pPr>
      <w:keepNext/>
      <w:keepLines/>
      <w:spacing w:before="40" w:after="0" w:line="259" w:lineRule="auto"/>
      <w:outlineLvl w:val="6"/>
    </w:pPr>
    <w:rPr>
      <w:rFonts w:asciiTheme="majorHAnsi" w:eastAsiaTheme="majorEastAsia" w:hAnsiTheme="majorHAnsi" w:cstheme="majorBidi"/>
      <w:i/>
      <w:iCs/>
      <w:color w:val="161B24" w:themeColor="accent1" w:themeShade="7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uiPriority w:val="9"/>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aliases w:val="b Char,b + line Char Char,b Char Char,b1 Char,b + line Char,Body Char,level 1 Char,Bulleted Para Char,Bullets Char,Number Char,F5 List Paragraph Char,Dot pt Char,Bullet + line Char,L Char,List Paragraph11 Char"/>
    <w:basedOn w:val="DefaultParagraphFont"/>
    <w:link w:val="Bullet"/>
    <w:qFormat/>
    <w:locked/>
    <w:rsid w:val="003F3914"/>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b + line,b1,Body,level 1,Bullet + line,BodyNum,Bullet Char1,Bullet Char1 Char Char Char,Bullet Char1 Char Char Char Char,Bullet Char1 Char Char Char Char Char,b1 Char Char Char,bulleted"/>
    <w:basedOn w:val="Normal"/>
    <w:link w:val="BulletChar"/>
    <w:qFormat/>
    <w:rsid w:val="003F3914"/>
    <w:pPr>
      <w:numPr>
        <w:numId w:val="11"/>
      </w:numPr>
      <w:spacing w:before="0" w:line="276" w:lineRule="auto"/>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1"/>
      </w:numPr>
      <w:spacing w:before="0"/>
    </w:pPr>
  </w:style>
  <w:style w:type="paragraph" w:customStyle="1" w:styleId="DoubleDot">
    <w:name w:val="Double Dot"/>
    <w:basedOn w:val="Normal"/>
    <w:link w:val="DoubleDotChar"/>
    <w:qFormat/>
    <w:rsid w:val="000E0B74"/>
    <w:pPr>
      <w:numPr>
        <w:ilvl w:val="2"/>
        <w:numId w:val="11"/>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0E0B74"/>
    <w:pPr>
      <w:numPr>
        <w:numId w:val="5"/>
      </w:numPr>
      <w:spacing w:before="0"/>
    </w:pPr>
  </w:style>
  <w:style w:type="paragraph" w:customStyle="1" w:styleId="OutlineNumbered2">
    <w:name w:val="Outline Numbered 2"/>
    <w:basedOn w:val="Normal"/>
    <w:link w:val="OutlineNumbered2Char"/>
    <w:rsid w:val="000E0B74"/>
    <w:pPr>
      <w:numPr>
        <w:ilvl w:val="1"/>
        <w:numId w:val="5"/>
      </w:numPr>
      <w:tabs>
        <w:tab w:val="clear" w:pos="1134"/>
        <w:tab w:val="num" w:pos="360"/>
      </w:tabs>
      <w:spacing w:before="0"/>
      <w:ind w:left="0" w:firstLine="0"/>
    </w:pPr>
  </w:style>
  <w:style w:type="paragraph" w:customStyle="1" w:styleId="OutlineNumbered3">
    <w:name w:val="Outline Numbered 3"/>
    <w:basedOn w:val="Normal"/>
    <w:link w:val="OutlineNumbered3Char"/>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uiPriority w:val="39"/>
    <w:rsid w:val="008F2119"/>
    <w:pPr>
      <w:spacing w:before="40" w:after="40" w:line="240" w:lineRule="auto"/>
    </w:pPr>
    <w:rPr>
      <w:rFonts w:ascii="Calibri Light" w:eastAsia="Times New Roman" w:hAnsi="Calibri Light" w:cs="Times New Roman"/>
      <w:sz w:val="18"/>
      <w:szCs w:val="20"/>
      <w:lang w:eastAsia="en-AU"/>
    </w:rPr>
    <w:tblPr>
      <w:tblBorders>
        <w:top w:val="single" w:sz="4" w:space="0" w:color="5F5F5F" w:themeColor="text2"/>
        <w:left w:val="single" w:sz="4" w:space="0" w:color="5F5F5F" w:themeColor="text2"/>
        <w:bottom w:val="single" w:sz="4" w:space="0" w:color="5F5F5F" w:themeColor="text2"/>
        <w:right w:val="single" w:sz="4" w:space="0" w:color="5F5F5F" w:themeColor="text2"/>
        <w:insideH w:val="single" w:sz="4" w:space="0" w:color="5F5F5F" w:themeColor="text2"/>
        <w:insideV w:val="single" w:sz="4" w:space="0" w:color="5F5F5F" w:themeColor="text2"/>
      </w:tblBorders>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qFormat/>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aliases w:val="NFP GP Bulleted List,List Paragraph1,Recommendation"/>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qFormat/>
    <w:rsid w:val="00744484"/>
    <w:pPr>
      <w:spacing w:before="0" w:after="0"/>
      <w:ind w:left="397" w:hanging="397"/>
    </w:pPr>
    <w:rPr>
      <w:sz w:val="20"/>
    </w:rPr>
  </w:style>
  <w:style w:type="character" w:customStyle="1" w:styleId="FootnoteTextChar">
    <w:name w:val="Footnote Text Char"/>
    <w:basedOn w:val="DefaultParagraphFont"/>
    <w:link w:val="FootnoteText"/>
    <w:rsid w:val="00744484"/>
    <w:rPr>
      <w:rFonts w:ascii="Calibri" w:eastAsia="Times New Roman" w:hAnsi="Calibri" w:cs="Times New Roman"/>
      <w:sz w:val="20"/>
      <w:szCs w:val="20"/>
      <w:lang w:eastAsia="en-AU"/>
    </w:rPr>
  </w:style>
  <w:style w:type="character" w:styleId="FootnoteReference">
    <w:name w:val="footnote reference"/>
    <w:basedOn w:val="DefaultParagraphFont"/>
    <w:rsid w:val="00744484"/>
    <w:rPr>
      <w:sz w:val="18"/>
    </w:rPr>
  </w:style>
  <w:style w:type="paragraph" w:styleId="BalloonText">
    <w:name w:val="Balloon Text"/>
    <w:basedOn w:val="Normal"/>
    <w:link w:val="BalloonTextChar"/>
    <w:uiPriority w:val="99"/>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customStyle="1" w:styleId="ListParagraphChar">
    <w:name w:val="List Paragraph Char"/>
    <w:aliases w:val="NFP GP Bulleted List Char,List Paragraph1 Char,Recommendation Char"/>
    <w:basedOn w:val="DefaultParagraphFont"/>
    <w:link w:val="ListParagraph"/>
    <w:uiPriority w:val="34"/>
    <w:rsid w:val="00533AC3"/>
    <w:rPr>
      <w:rFonts w:ascii="Calibri Light" w:eastAsia="Times New Roman" w:hAnsi="Calibri Light" w:cs="Times New Roman"/>
      <w:szCs w:val="20"/>
      <w:lang w:eastAsia="en-AU"/>
    </w:rPr>
  </w:style>
  <w:style w:type="paragraph" w:customStyle="1" w:styleId="numberedtext">
    <w:name w:val="numbered text"/>
    <w:basedOn w:val="Normal"/>
    <w:link w:val="numberedtextChar"/>
    <w:qFormat/>
    <w:rsid w:val="00894619"/>
    <w:pPr>
      <w:ind w:left="720" w:hanging="720"/>
    </w:pPr>
    <w:rPr>
      <w:rFonts w:asciiTheme="minorHAnsi" w:eastAsiaTheme="minorHAnsi" w:hAnsiTheme="minorHAnsi" w:cstheme="minorBidi"/>
      <w:szCs w:val="22"/>
      <w:lang w:eastAsia="en-US"/>
    </w:rPr>
  </w:style>
  <w:style w:type="character" w:customStyle="1" w:styleId="numberedtextChar">
    <w:name w:val="numbered text Char"/>
    <w:basedOn w:val="DefaultParagraphFont"/>
    <w:link w:val="numberedtext"/>
    <w:rsid w:val="00894619"/>
  </w:style>
  <w:style w:type="character" w:customStyle="1" w:styleId="Heading7Char">
    <w:name w:val="Heading 7 Char"/>
    <w:basedOn w:val="DefaultParagraphFont"/>
    <w:link w:val="Heading7"/>
    <w:uiPriority w:val="9"/>
    <w:rsid w:val="00B63AF4"/>
    <w:rPr>
      <w:rFonts w:asciiTheme="majorHAnsi" w:eastAsiaTheme="majorEastAsia" w:hAnsiTheme="majorHAnsi" w:cstheme="majorBidi"/>
      <w:i/>
      <w:iCs/>
      <w:color w:val="161B24" w:themeColor="accent1" w:themeShade="7F"/>
    </w:rPr>
  </w:style>
  <w:style w:type="paragraph" w:styleId="Revision">
    <w:name w:val="Revision"/>
    <w:hidden/>
    <w:uiPriority w:val="99"/>
    <w:semiHidden/>
    <w:rsid w:val="00B63AF4"/>
    <w:pPr>
      <w:spacing w:after="0" w:line="240" w:lineRule="auto"/>
    </w:pPr>
    <w:rPr>
      <w:rFonts w:ascii="Calibri Light" w:eastAsia="Times New Roman" w:hAnsi="Calibri Light" w:cs="Times New Roman"/>
      <w:szCs w:val="20"/>
      <w:lang w:eastAsia="en-AU"/>
    </w:rPr>
  </w:style>
  <w:style w:type="table" w:customStyle="1" w:styleId="TableGrid1">
    <w:name w:val="Table Grid1"/>
    <w:basedOn w:val="TableNormal"/>
    <w:next w:val="TableGrid"/>
    <w:uiPriority w:val="39"/>
    <w:rsid w:val="008F2119"/>
    <w:pPr>
      <w:spacing w:after="240" w:line="260" w:lineRule="exact"/>
      <w:jc w:val="center"/>
    </w:pPr>
    <w:rPr>
      <w:rFonts w:ascii="Times New Roman" w:eastAsia="Times New Roman" w:hAnsi="Times New Roman" w:cs="Times New Roman"/>
      <w:sz w:val="20"/>
      <w:szCs w:val="20"/>
      <w:lang w:eastAsia="en-AU"/>
    </w:rPr>
    <w:tblPr>
      <w:tblCellMar>
        <w:top w:w="227" w:type="dxa"/>
        <w:left w:w="227" w:type="dxa"/>
        <w:bottom w:w="227" w:type="dxa"/>
        <w:right w:w="227" w:type="dxa"/>
      </w:tblCellMar>
    </w:tblPr>
    <w:tcPr>
      <w:shd w:val="clear" w:color="auto" w:fill="E6E6E6"/>
    </w:tcPr>
  </w:style>
  <w:style w:type="paragraph" w:styleId="CommentSubject">
    <w:name w:val="annotation subject"/>
    <w:basedOn w:val="CommentText"/>
    <w:next w:val="CommentText"/>
    <w:link w:val="CommentSubjectChar"/>
    <w:uiPriority w:val="99"/>
    <w:semiHidden/>
    <w:unhideWhenUsed/>
    <w:rsid w:val="00B63AF4"/>
    <w:rPr>
      <w:rFonts w:ascii="Calibri Light" w:hAnsi="Calibri Light"/>
      <w:b/>
      <w:bCs/>
    </w:rPr>
  </w:style>
  <w:style w:type="character" w:customStyle="1" w:styleId="CommentSubjectChar">
    <w:name w:val="Comment Subject Char"/>
    <w:basedOn w:val="CommentTextChar"/>
    <w:link w:val="CommentSubject"/>
    <w:uiPriority w:val="99"/>
    <w:semiHidden/>
    <w:rsid w:val="00B63AF4"/>
    <w:rPr>
      <w:rFonts w:ascii="Calibri Light" w:eastAsia="Times New Roman" w:hAnsi="Calibri Light" w:cs="Times New Roman"/>
      <w:b/>
      <w:bCs/>
      <w:sz w:val="20"/>
      <w:szCs w:val="20"/>
      <w:lang w:eastAsia="en-AU"/>
    </w:rPr>
  </w:style>
  <w:style w:type="numbering" w:customStyle="1" w:styleId="AlphaParagraphList1">
    <w:name w:val="Alpha Paragraph List1"/>
    <w:uiPriority w:val="99"/>
    <w:rsid w:val="00B63AF4"/>
    <w:pPr>
      <w:numPr>
        <w:numId w:val="16"/>
      </w:numPr>
    </w:pPr>
  </w:style>
  <w:style w:type="character" w:styleId="PageNumber">
    <w:name w:val="page number"/>
    <w:basedOn w:val="DefaultParagraphFont"/>
    <w:rsid w:val="00B63AF4"/>
  </w:style>
  <w:style w:type="character" w:customStyle="1" w:styleId="OutlineNumbered1Char">
    <w:name w:val="Outline Numbered 1 Char"/>
    <w:basedOn w:val="DefaultParagraphFont"/>
    <w:link w:val="OutlineNumbered1"/>
    <w:rsid w:val="00B63AF4"/>
    <w:rPr>
      <w:rFonts w:ascii="Calibri Light" w:eastAsia="Times New Roman" w:hAnsi="Calibri Light" w:cs="Times New Roman"/>
      <w:szCs w:val="20"/>
      <w:lang w:eastAsia="en-AU"/>
    </w:rPr>
  </w:style>
  <w:style w:type="character" w:customStyle="1" w:styleId="OutlineNumbered2Char">
    <w:name w:val="Outline Numbered 2 Char"/>
    <w:basedOn w:val="DefaultParagraphFont"/>
    <w:link w:val="OutlineNumbered2"/>
    <w:rsid w:val="00B63AF4"/>
    <w:rPr>
      <w:rFonts w:ascii="Calibri Light" w:eastAsia="Times New Roman" w:hAnsi="Calibri Light" w:cs="Times New Roman"/>
      <w:szCs w:val="20"/>
      <w:lang w:eastAsia="en-AU"/>
    </w:rPr>
  </w:style>
  <w:style w:type="character" w:customStyle="1" w:styleId="OutlineNumbered3Char">
    <w:name w:val="Outline Numbered 3 Char"/>
    <w:basedOn w:val="DefaultParagraphFont"/>
    <w:link w:val="OutlineNumbered3"/>
    <w:rsid w:val="00B63AF4"/>
    <w:rPr>
      <w:rFonts w:ascii="Calibri Light" w:eastAsia="Times New Roman" w:hAnsi="Calibri Light" w:cs="Times New Roman"/>
      <w:szCs w:val="20"/>
      <w:lang w:eastAsia="en-AU"/>
    </w:rPr>
  </w:style>
  <w:style w:type="paragraph" w:styleId="NoSpacing">
    <w:name w:val="No Spacing"/>
    <w:link w:val="NoSpacingChar"/>
    <w:uiPriority w:val="1"/>
    <w:qFormat/>
    <w:rsid w:val="00B63AF4"/>
    <w:pPr>
      <w:spacing w:after="0" w:line="240" w:lineRule="auto"/>
    </w:pPr>
  </w:style>
  <w:style w:type="character" w:customStyle="1" w:styleId="NoSpacingChar">
    <w:name w:val="No Spacing Char"/>
    <w:basedOn w:val="DefaultParagraphFont"/>
    <w:link w:val="NoSpacing"/>
    <w:uiPriority w:val="1"/>
    <w:rsid w:val="00B63AF4"/>
  </w:style>
  <w:style w:type="character" w:customStyle="1" w:styleId="UnresolvedMention1">
    <w:name w:val="Unresolved Mention1"/>
    <w:basedOn w:val="DefaultParagraphFont"/>
    <w:uiPriority w:val="99"/>
    <w:unhideWhenUsed/>
    <w:rsid w:val="00B63AF4"/>
    <w:rPr>
      <w:color w:val="605E5C"/>
      <w:shd w:val="clear" w:color="auto" w:fill="E1DFDD"/>
    </w:rPr>
  </w:style>
  <w:style w:type="table" w:styleId="ListTable3-Accent2">
    <w:name w:val="List Table 3 Accent 2"/>
    <w:basedOn w:val="TableNormal"/>
    <w:uiPriority w:val="48"/>
    <w:rsid w:val="00B63AF4"/>
    <w:pPr>
      <w:spacing w:after="0" w:line="240" w:lineRule="auto"/>
    </w:pPr>
    <w:tblPr>
      <w:tblStyleRowBandSize w:val="1"/>
      <w:tblStyleColBandSize w:val="1"/>
      <w:tblBorders>
        <w:top w:val="single" w:sz="4" w:space="0" w:color="4D7861" w:themeColor="accent2"/>
        <w:left w:val="single" w:sz="4" w:space="0" w:color="4D7861" w:themeColor="accent2"/>
        <w:bottom w:val="single" w:sz="4" w:space="0" w:color="4D7861" w:themeColor="accent2"/>
        <w:right w:val="single" w:sz="4" w:space="0" w:color="4D7861" w:themeColor="accent2"/>
      </w:tblBorders>
    </w:tblPr>
    <w:tblStylePr w:type="firstRow">
      <w:rPr>
        <w:b/>
        <w:bCs/>
        <w:color w:val="FFFFFF" w:themeColor="background1"/>
      </w:rPr>
      <w:tblPr/>
      <w:tcPr>
        <w:shd w:val="clear" w:color="auto" w:fill="4D7861" w:themeFill="accent2"/>
      </w:tcPr>
    </w:tblStylePr>
    <w:tblStylePr w:type="lastRow">
      <w:rPr>
        <w:b/>
        <w:bCs/>
      </w:rPr>
      <w:tblPr/>
      <w:tcPr>
        <w:tcBorders>
          <w:top w:val="double" w:sz="4" w:space="0" w:color="4D786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861" w:themeColor="accent2"/>
          <w:right w:val="single" w:sz="4" w:space="0" w:color="4D7861" w:themeColor="accent2"/>
        </w:tcBorders>
      </w:tcPr>
    </w:tblStylePr>
    <w:tblStylePr w:type="band1Horz">
      <w:tblPr/>
      <w:tcPr>
        <w:tcBorders>
          <w:top w:val="single" w:sz="4" w:space="0" w:color="4D7861" w:themeColor="accent2"/>
          <w:bottom w:val="single" w:sz="4" w:space="0" w:color="4D786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861" w:themeColor="accent2"/>
          <w:left w:val="nil"/>
        </w:tcBorders>
      </w:tcPr>
    </w:tblStylePr>
    <w:tblStylePr w:type="swCell">
      <w:tblPr/>
      <w:tcPr>
        <w:tcBorders>
          <w:top w:val="double" w:sz="4" w:space="0" w:color="4D7861" w:themeColor="accent2"/>
          <w:right w:val="nil"/>
        </w:tcBorders>
      </w:tcPr>
    </w:tblStylePr>
  </w:style>
  <w:style w:type="paragraph" w:styleId="NormalWeb">
    <w:name w:val="Normal (Web)"/>
    <w:basedOn w:val="Normal"/>
    <w:uiPriority w:val="99"/>
    <w:semiHidden/>
    <w:unhideWhenUsed/>
    <w:rsid w:val="00B63AF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unhideWhenUsed/>
    <w:rsid w:val="00B63AF4"/>
    <w:rPr>
      <w:color w:val="605E5C"/>
      <w:shd w:val="clear" w:color="auto" w:fill="E1DFDD"/>
    </w:rPr>
  </w:style>
  <w:style w:type="character" w:styleId="Mention">
    <w:name w:val="Mention"/>
    <w:basedOn w:val="DefaultParagraphFont"/>
    <w:uiPriority w:val="99"/>
    <w:unhideWhenUsed/>
    <w:rsid w:val="00B63AF4"/>
    <w:rPr>
      <w:color w:val="2B579A"/>
      <w:shd w:val="clear" w:color="auto" w:fill="E1DFDD"/>
    </w:rPr>
  </w:style>
  <w:style w:type="table" w:customStyle="1" w:styleId="TableGrid2">
    <w:name w:val="Table Grid2"/>
    <w:basedOn w:val="TableNormal"/>
    <w:next w:val="TableGrid"/>
    <w:rsid w:val="00B6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63AF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BoxTextBase">
    <w:name w:val="Box Text Base"/>
    <w:basedOn w:val="Normal"/>
    <w:rsid w:val="00B63AF4"/>
    <w:pPr>
      <w:spacing w:before="0" w:after="220"/>
    </w:pPr>
    <w:rPr>
      <w:rFonts w:ascii="Calibri" w:eastAsia="Calibri" w:hAnsi="Calibri" w:cs="Arial"/>
      <w:color w:val="000000"/>
      <w:szCs w:val="22"/>
      <w:lang w:eastAsia="en-US"/>
    </w:rPr>
  </w:style>
  <w:style w:type="paragraph" w:customStyle="1" w:styleId="BoxBullet0">
    <w:name w:val="Box Bullet"/>
    <w:basedOn w:val="BoxTextBase"/>
    <w:rsid w:val="00B63AF4"/>
    <w:pPr>
      <w:tabs>
        <w:tab w:val="num" w:pos="284"/>
      </w:tabs>
      <w:ind w:left="284" w:hanging="284"/>
    </w:pPr>
  </w:style>
  <w:style w:type="paragraph" w:customStyle="1" w:styleId="BoxDash0">
    <w:name w:val="Box Dash"/>
    <w:basedOn w:val="Normal"/>
    <w:rsid w:val="00B63AF4"/>
    <w:pPr>
      <w:spacing w:before="0" w:after="220"/>
      <w:ind w:left="720" w:hanging="360"/>
    </w:pPr>
    <w:rPr>
      <w:rFonts w:ascii="Calibri" w:eastAsia="Calibri" w:hAnsi="Calibri" w:cs="Arial"/>
      <w:color w:val="000000"/>
      <w:szCs w:val="22"/>
      <w:lang w:eastAsia="en-US"/>
    </w:rPr>
  </w:style>
  <w:style w:type="paragraph" w:customStyle="1" w:styleId="BoxDoubleDot0">
    <w:name w:val="Box Double Dot"/>
    <w:basedOn w:val="BoxTextBase"/>
    <w:rsid w:val="00B63AF4"/>
    <w:pPr>
      <w:ind w:left="1080" w:hanging="360"/>
    </w:pPr>
  </w:style>
  <w:style w:type="paragraph" w:customStyle="1" w:styleId="OneLevelNumberedParagraph">
    <w:name w:val="One Level Numbered Paragraph"/>
    <w:basedOn w:val="Normal"/>
    <w:rsid w:val="00B63AF4"/>
    <w:pPr>
      <w:numPr>
        <w:numId w:val="20"/>
      </w:numPr>
      <w:tabs>
        <w:tab w:val="clear" w:pos="567"/>
      </w:tabs>
      <w:spacing w:before="0" w:line="276" w:lineRule="auto"/>
    </w:pPr>
    <w:rPr>
      <w:rFonts w:ascii="Calibri" w:hAnsi="Calibri"/>
      <w:color w:val="000000"/>
    </w:rPr>
  </w:style>
  <w:style w:type="paragraph" w:customStyle="1" w:styleId="ListPara1">
    <w:name w:val="List Para 1"/>
    <w:basedOn w:val="Normal"/>
    <w:link w:val="ListPara1Char"/>
    <w:autoRedefine/>
    <w:uiPriority w:val="4"/>
    <w:qFormat/>
    <w:rsid w:val="00B63AF4"/>
    <w:pPr>
      <w:spacing w:before="0" w:after="200" w:line="276" w:lineRule="auto"/>
    </w:pPr>
    <w:rPr>
      <w:rFonts w:ascii="Calibri" w:hAnsi="Calibri" w:cs="Arial"/>
      <w:lang w:val="en-US"/>
    </w:rPr>
  </w:style>
  <w:style w:type="character" w:customStyle="1" w:styleId="ListPara1Char">
    <w:name w:val="List Para 1 Char"/>
    <w:basedOn w:val="DefaultParagraphFont"/>
    <w:link w:val="ListPara1"/>
    <w:uiPriority w:val="4"/>
    <w:rsid w:val="00B63AF4"/>
    <w:rPr>
      <w:rFonts w:ascii="Calibri" w:eastAsia="Times New Roman" w:hAnsi="Calibri" w:cs="Arial"/>
      <w:szCs w:val="20"/>
      <w:lang w:val="en-US" w:eastAsia="en-AU"/>
    </w:rPr>
  </w:style>
  <w:style w:type="numbering" w:customStyle="1" w:styleId="AlphaParagraphList">
    <w:name w:val="Alpha Paragraph List"/>
    <w:uiPriority w:val="99"/>
    <w:rsid w:val="00B63AF4"/>
    <w:pPr>
      <w:numPr>
        <w:numId w:val="21"/>
      </w:numPr>
    </w:pPr>
  </w:style>
  <w:style w:type="paragraph" w:customStyle="1" w:styleId="AppendixHeadingNotNumbered">
    <w:name w:val="Appendix Heading Not Numbered"/>
    <w:basedOn w:val="Normal"/>
    <w:rsid w:val="00B63AF4"/>
    <w:pPr>
      <w:keepNext/>
      <w:numPr>
        <w:numId w:val="22"/>
      </w:numPr>
      <w:spacing w:before="480" w:after="320"/>
    </w:pPr>
    <w:rPr>
      <w:rFonts w:ascii="Arial" w:eastAsia="Calibri" w:hAnsi="Arial" w:cs="Arial"/>
      <w:b/>
      <w:smallCaps/>
      <w:color w:val="003157"/>
      <w:sz w:val="32"/>
      <w:szCs w:val="28"/>
      <w:lang w:eastAsia="en-US"/>
    </w:rPr>
  </w:style>
  <w:style w:type="paragraph" w:customStyle="1" w:styleId="AppendixHeadingLevel2">
    <w:name w:val="Appendix Heading Level 2"/>
    <w:basedOn w:val="AppendixHeadingNotNumbered"/>
    <w:next w:val="Normal"/>
    <w:rsid w:val="00B63AF4"/>
    <w:pPr>
      <w:numPr>
        <w:ilvl w:val="1"/>
      </w:numPr>
      <w:tabs>
        <w:tab w:val="clear" w:pos="1134"/>
      </w:tabs>
      <w:ind w:left="720" w:hanging="360"/>
    </w:pPr>
  </w:style>
  <w:style w:type="paragraph" w:customStyle="1" w:styleId="AppendixHeadingLevel3">
    <w:name w:val="Appendix Heading Level 3"/>
    <w:basedOn w:val="Heading3"/>
    <w:next w:val="Normal"/>
    <w:rsid w:val="00B63AF4"/>
    <w:pPr>
      <w:widowControl w:val="0"/>
      <w:numPr>
        <w:ilvl w:val="2"/>
        <w:numId w:val="22"/>
      </w:numPr>
      <w:tabs>
        <w:tab w:val="left" w:pos="0"/>
      </w:tabs>
      <w:adjustRightInd w:val="0"/>
      <w:spacing w:before="120" w:after="240" w:line="240" w:lineRule="auto"/>
      <w:textAlignment w:val="baseline"/>
    </w:pPr>
    <w:rPr>
      <w:rFonts w:ascii="Arial" w:hAnsi="Arial" w:cs="Times New Roman"/>
      <w:color w:val="003157"/>
      <w:kern w:val="0"/>
      <w:sz w:val="32"/>
      <w:szCs w:val="32"/>
      <w:lang w:val="en-US"/>
    </w:rPr>
  </w:style>
  <w:style w:type="paragraph" w:customStyle="1" w:styleId="AppendixHeadingLevel4">
    <w:name w:val="Appendix Heading Level 4"/>
    <w:basedOn w:val="Heading4"/>
    <w:next w:val="Normal"/>
    <w:rsid w:val="00B63AF4"/>
    <w:pPr>
      <w:numPr>
        <w:ilvl w:val="3"/>
        <w:numId w:val="22"/>
      </w:numPr>
      <w:tabs>
        <w:tab w:val="clear" w:pos="1135"/>
        <w:tab w:val="left" w:pos="680"/>
      </w:tabs>
      <w:spacing w:before="120" w:after="120" w:line="240" w:lineRule="auto"/>
      <w:ind w:left="1440" w:hanging="360"/>
    </w:pPr>
    <w:rPr>
      <w:rFonts w:ascii="Calibri" w:eastAsia="Calibri" w:hAnsi="Calibri" w:cs="Calibri"/>
      <w:b/>
      <w:i/>
      <w:color w:val="003157"/>
      <w:kern w:val="0"/>
      <w:sz w:val="22"/>
      <w:szCs w:val="22"/>
      <w:lang w:eastAsia="en-US"/>
    </w:rPr>
  </w:style>
  <w:style w:type="paragraph" w:customStyle="1" w:styleId="tablebullet">
    <w:name w:val="table bullet"/>
    <w:basedOn w:val="Normal"/>
    <w:rsid w:val="00B63AF4"/>
    <w:pPr>
      <w:widowControl w:val="0"/>
      <w:numPr>
        <w:numId w:val="23"/>
      </w:numPr>
      <w:tabs>
        <w:tab w:val="clear" w:pos="170"/>
      </w:tabs>
      <w:spacing w:before="60" w:after="0" w:line="240" w:lineRule="atLeast"/>
      <w:ind w:left="284" w:hanging="284"/>
    </w:pPr>
    <w:rPr>
      <w:rFonts w:ascii="Arial" w:eastAsia="Calibri" w:hAnsi="Arial" w:cs="Arial"/>
      <w:sz w:val="18"/>
      <w:szCs w:val="18"/>
      <w:lang w:eastAsia="en-US"/>
    </w:rPr>
  </w:style>
  <w:style w:type="paragraph" w:customStyle="1" w:styleId="NumberedParagraph">
    <w:name w:val="Numbered Paragraph"/>
    <w:basedOn w:val="Normal"/>
    <w:autoRedefine/>
    <w:rsid w:val="00B63AF4"/>
    <w:pPr>
      <w:keepNext/>
      <w:spacing w:before="0" w:after="220"/>
    </w:pPr>
    <w:rPr>
      <w:rFonts w:ascii="Calibri" w:eastAsia="Calibri" w:hAnsi="Calibri" w:cs="Arial"/>
      <w:i/>
      <w:color w:val="000000"/>
      <w:szCs w:val="22"/>
      <w:lang w:eastAsia="en-US"/>
    </w:rPr>
  </w:style>
  <w:style w:type="paragraph" w:customStyle="1" w:styleId="base-text-paragraph">
    <w:name w:val="base-text-paragraph"/>
    <w:basedOn w:val="Normal"/>
    <w:rsid w:val="00B63AF4"/>
    <w:pPr>
      <w:spacing w:before="100" w:beforeAutospacing="1" w:after="100" w:afterAutospacing="1"/>
    </w:pPr>
    <w:rPr>
      <w:rFonts w:ascii="Times New Roman" w:hAnsi="Times New Roman"/>
      <w:sz w:val="24"/>
      <w:szCs w:val="24"/>
    </w:rPr>
  </w:style>
  <w:style w:type="paragraph" w:customStyle="1" w:styleId="subsection">
    <w:name w:val="subsection"/>
    <w:basedOn w:val="Normal"/>
    <w:rsid w:val="00B63AF4"/>
    <w:pPr>
      <w:spacing w:before="100" w:beforeAutospacing="1" w:after="100" w:afterAutospacing="1"/>
    </w:pPr>
    <w:rPr>
      <w:rFonts w:ascii="Times New Roman" w:hAnsi="Times New Roman"/>
      <w:sz w:val="24"/>
      <w:szCs w:val="24"/>
    </w:rPr>
  </w:style>
  <w:style w:type="character" w:customStyle="1" w:styleId="FollowedHyperlink1">
    <w:name w:val="FollowedHyperlink1"/>
    <w:basedOn w:val="DefaultParagraphFont"/>
    <w:uiPriority w:val="99"/>
    <w:semiHidden/>
    <w:unhideWhenUsed/>
    <w:rsid w:val="00B63AF4"/>
    <w:rPr>
      <w:color w:val="954F72"/>
      <w:u w:val="single"/>
    </w:rPr>
  </w:style>
  <w:style w:type="paragraph" w:customStyle="1" w:styleId="ldclause">
    <w:name w:val="ldclause"/>
    <w:basedOn w:val="Normal"/>
    <w:rsid w:val="00B63AF4"/>
    <w:pPr>
      <w:spacing w:before="100" w:beforeAutospacing="1" w:after="100" w:afterAutospacing="1"/>
    </w:pPr>
    <w:rPr>
      <w:rFonts w:ascii="Times New Roman" w:hAnsi="Times New Roman"/>
      <w:sz w:val="24"/>
      <w:szCs w:val="24"/>
    </w:rPr>
  </w:style>
  <w:style w:type="paragraph" w:customStyle="1" w:styleId="ldp1a">
    <w:name w:val="ldp1a"/>
    <w:basedOn w:val="Normal"/>
    <w:rsid w:val="00B63AF4"/>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sid w:val="00B63AF4"/>
    <w:rPr>
      <w:color w:val="2B579A"/>
      <w:shd w:val="clear" w:color="auto" w:fill="E1DFDD"/>
    </w:rPr>
  </w:style>
  <w:style w:type="paragraph" w:customStyle="1" w:styleId="tabletitlefullwidth">
    <w:name w:val="table title full width"/>
    <w:basedOn w:val="Normal"/>
    <w:rsid w:val="00B63AF4"/>
    <w:pPr>
      <w:keepNext/>
      <w:spacing w:before="360" w:line="240" w:lineRule="atLeast"/>
      <w:ind w:left="992" w:hanging="992"/>
    </w:pPr>
    <w:rPr>
      <w:rFonts w:ascii="Arial" w:hAnsi="Arial" w:cs="Arial"/>
      <w:b/>
      <w:sz w:val="20"/>
    </w:rPr>
  </w:style>
  <w:style w:type="paragraph" w:styleId="BodyText">
    <w:name w:val="Body Text"/>
    <w:aliases w:val="Corporate Plan - Body Text"/>
    <w:basedOn w:val="Normal"/>
    <w:link w:val="BodyTextChar"/>
    <w:rsid w:val="00B63AF4"/>
    <w:pPr>
      <w:numPr>
        <w:numId w:val="25"/>
      </w:numPr>
      <w:spacing w:before="200" w:after="0" w:line="300" w:lineRule="atLeast"/>
    </w:pPr>
    <w:rPr>
      <w:rFonts w:ascii="Times New Roman" w:hAnsi="Times New Roman"/>
      <w:szCs w:val="22"/>
    </w:rPr>
  </w:style>
  <w:style w:type="character" w:customStyle="1" w:styleId="BodyTextChar">
    <w:name w:val="Body Text Char"/>
    <w:aliases w:val="Corporate Plan - Body Text Char"/>
    <w:basedOn w:val="DefaultParagraphFont"/>
    <w:link w:val="BodyText"/>
    <w:rsid w:val="00B63AF4"/>
    <w:rPr>
      <w:rFonts w:ascii="Times New Roman" w:eastAsia="Times New Roman" w:hAnsi="Times New Roman" w:cs="Times New Roman"/>
      <w:lang w:eastAsia="en-AU"/>
    </w:rPr>
  </w:style>
  <w:style w:type="paragraph" w:customStyle="1" w:styleId="subparaa">
    <w:name w:val="sub para (a)"/>
    <w:basedOn w:val="BodyText"/>
    <w:rsid w:val="00B63AF4"/>
    <w:pPr>
      <w:numPr>
        <w:ilvl w:val="1"/>
      </w:numPr>
      <w:spacing w:before="100"/>
    </w:pPr>
  </w:style>
  <w:style w:type="paragraph" w:customStyle="1" w:styleId="subsubparai">
    <w:name w:val="sub sub para (i)"/>
    <w:basedOn w:val="subparaa"/>
    <w:rsid w:val="00B63AF4"/>
    <w:pPr>
      <w:numPr>
        <w:ilvl w:val="2"/>
      </w:numPr>
    </w:pPr>
  </w:style>
  <w:style w:type="paragraph" w:customStyle="1" w:styleId="sub3paraA">
    <w:name w:val="sub3para (A)"/>
    <w:basedOn w:val="subsubparai"/>
    <w:qFormat/>
    <w:rsid w:val="00B63AF4"/>
    <w:pPr>
      <w:numPr>
        <w:ilvl w:val="3"/>
      </w:numPr>
    </w:pPr>
  </w:style>
  <w:style w:type="paragraph" w:customStyle="1" w:styleId="sub4paraI">
    <w:name w:val="sub4para (I)"/>
    <w:basedOn w:val="subsubparai"/>
    <w:qFormat/>
    <w:rsid w:val="00B63AF4"/>
    <w:pPr>
      <w:numPr>
        <w:ilvl w:val="4"/>
      </w:numPr>
    </w:pPr>
  </w:style>
  <w:style w:type="paragraph" w:customStyle="1" w:styleId="CRISIntroAppendixH1">
    <w:name w:val="CRIS Intro/Appendix H1"/>
    <w:basedOn w:val="Normal"/>
    <w:qFormat/>
    <w:rsid w:val="00B63AF4"/>
    <w:pPr>
      <w:pageBreakBefore/>
      <w:spacing w:before="0" w:after="400"/>
      <w:outlineLvl w:val="0"/>
    </w:pPr>
    <w:rPr>
      <w:rFonts w:ascii="Arial" w:hAnsi="Arial" w:cs="Arial"/>
      <w:b/>
      <w:sz w:val="36"/>
      <w:szCs w:val="36"/>
    </w:rPr>
  </w:style>
  <w:style w:type="character" w:customStyle="1" w:styleId="UnresolvedMention2">
    <w:name w:val="Unresolved Mention2"/>
    <w:basedOn w:val="DefaultParagraphFont"/>
    <w:uiPriority w:val="99"/>
    <w:unhideWhenUsed/>
    <w:rsid w:val="00B63AF4"/>
    <w:rPr>
      <w:color w:val="605E5C"/>
      <w:shd w:val="clear" w:color="auto" w:fill="E1DFDD"/>
    </w:rPr>
  </w:style>
  <w:style w:type="paragraph" w:customStyle="1" w:styleId="tabletext">
    <w:name w:val="tabletext"/>
    <w:basedOn w:val="Normal"/>
    <w:rsid w:val="00B63AF4"/>
    <w:pPr>
      <w:spacing w:before="100" w:beforeAutospacing="1" w:after="100" w:afterAutospacing="1"/>
    </w:pPr>
    <w:rPr>
      <w:rFonts w:ascii="Times New Roman" w:hAnsi="Times New Roman"/>
      <w:sz w:val="24"/>
      <w:szCs w:val="24"/>
    </w:rPr>
  </w:style>
  <w:style w:type="paragraph" w:customStyle="1" w:styleId="tablea">
    <w:name w:val="tablea"/>
    <w:basedOn w:val="Normal"/>
    <w:rsid w:val="00B63AF4"/>
    <w:pPr>
      <w:spacing w:before="100" w:beforeAutospacing="1" w:after="100" w:afterAutospacing="1"/>
    </w:pPr>
    <w:rPr>
      <w:rFonts w:ascii="Times New Roman" w:hAnsi="Times New Roman"/>
      <w:sz w:val="24"/>
      <w:szCs w:val="24"/>
    </w:rPr>
  </w:style>
  <w:style w:type="paragraph" w:customStyle="1" w:styleId="Default">
    <w:name w:val="Default"/>
    <w:rsid w:val="00B63AF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63AF4"/>
    <w:rPr>
      <w:color w:val="844D9E" w:themeColor="followedHyperlink"/>
      <w:u w:val="single"/>
    </w:rPr>
  </w:style>
  <w:style w:type="table" w:customStyle="1" w:styleId="TableGridLight2">
    <w:name w:val="Table Grid Light2"/>
    <w:basedOn w:val="TableNormal"/>
    <w:next w:val="TableGridLight"/>
    <w:uiPriority w:val="40"/>
    <w:rsid w:val="00B63AF4"/>
    <w:pPr>
      <w:spacing w:after="0" w:line="240" w:lineRule="auto"/>
    </w:pPr>
    <w:rPr>
      <w:rFonts w:ascii="Times New Roman" w:eastAsia="Times New Roma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B63A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andItalic">
    <w:name w:val="Bold and Italic"/>
    <w:basedOn w:val="DefaultParagraphFont"/>
    <w:rsid w:val="00B63AF4"/>
    <w:rPr>
      <w:rFonts w:ascii="Arial" w:hAnsi="Arial"/>
      <w:b/>
      <w:i/>
    </w:rPr>
  </w:style>
  <w:style w:type="paragraph" w:styleId="TOC4">
    <w:name w:val="toc 4"/>
    <w:basedOn w:val="Normal"/>
    <w:next w:val="Normal"/>
    <w:autoRedefine/>
    <w:uiPriority w:val="39"/>
    <w:unhideWhenUsed/>
    <w:rsid w:val="006F729F"/>
    <w:pPr>
      <w:spacing w:before="0"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6F729F"/>
    <w:pPr>
      <w:spacing w:before="0"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F729F"/>
    <w:pPr>
      <w:spacing w:before="0"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F729F"/>
    <w:pPr>
      <w:spacing w:before="0"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F729F"/>
    <w:pPr>
      <w:spacing w:before="0"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F729F"/>
    <w:pPr>
      <w:spacing w:before="0" w:after="100" w:line="259" w:lineRule="auto"/>
      <w:ind w:left="1760"/>
    </w:pPr>
    <w:rPr>
      <w:rFonts w:asciiTheme="minorHAnsi" w:eastAsiaTheme="minorEastAsia" w:hAnsiTheme="minorHAnsi" w:cstheme="minorBidi"/>
      <w:szCs w:val="22"/>
    </w:rPr>
  </w:style>
  <w:style w:type="paragraph" w:customStyle="1" w:styleId="OutlineNumbered4">
    <w:name w:val="Outline Numbered 4"/>
    <w:basedOn w:val="Normal"/>
    <w:rsid w:val="00BD2134"/>
    <w:pPr>
      <w:tabs>
        <w:tab w:val="num" w:pos="851"/>
      </w:tabs>
      <w:spacing w:line="276" w:lineRule="auto"/>
      <w:ind w:left="851" w:hanging="851"/>
    </w:pPr>
    <w:rPr>
      <w:rFonts w:ascii="Calibri" w:hAnsi="Calibri"/>
      <w:color w:val="000000"/>
    </w:rPr>
  </w:style>
  <w:style w:type="paragraph" w:customStyle="1" w:styleId="OutlineNumbered5">
    <w:name w:val="Outline Numbered 5"/>
    <w:basedOn w:val="Normal"/>
    <w:rsid w:val="00BD2134"/>
    <w:pPr>
      <w:tabs>
        <w:tab w:val="num" w:pos="1008"/>
      </w:tabs>
      <w:spacing w:line="276" w:lineRule="auto"/>
      <w:ind w:left="1008" w:hanging="1008"/>
    </w:pPr>
    <w:rPr>
      <w:rFonts w:ascii="Calibri" w:hAnsi="Calibri"/>
      <w:color w:val="000000"/>
    </w:rPr>
  </w:style>
  <w:style w:type="table" w:customStyle="1" w:styleId="Style1">
    <w:name w:val="Style1"/>
    <w:basedOn w:val="TableNormal"/>
    <w:uiPriority w:val="99"/>
    <w:rsid w:val="003A78C4"/>
    <w:pPr>
      <w:spacing w:after="0" w:line="240" w:lineRule="auto"/>
    </w:pPr>
    <w:tblPr>
      <w:tblCellMar>
        <w:top w:w="227" w:type="dxa"/>
        <w:left w:w="227" w:type="dxa"/>
        <w:bottom w:w="227" w:type="dxa"/>
        <w:right w:w="227"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842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63380290">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07368054">
      <w:bodyDiv w:val="1"/>
      <w:marLeft w:val="0"/>
      <w:marRight w:val="0"/>
      <w:marTop w:val="0"/>
      <w:marBottom w:val="0"/>
      <w:divBdr>
        <w:top w:val="none" w:sz="0" w:space="0" w:color="auto"/>
        <w:left w:val="none" w:sz="0" w:space="0" w:color="auto"/>
        <w:bottom w:val="none" w:sz="0" w:space="0" w:color="auto"/>
        <w:right w:val="none" w:sz="0" w:space="0" w:color="auto"/>
      </w:divBdr>
    </w:div>
    <w:div w:id="1544054322">
      <w:bodyDiv w:val="1"/>
      <w:marLeft w:val="0"/>
      <w:marRight w:val="0"/>
      <w:marTop w:val="0"/>
      <w:marBottom w:val="0"/>
      <w:divBdr>
        <w:top w:val="none" w:sz="0" w:space="0" w:color="auto"/>
        <w:left w:val="none" w:sz="0" w:space="0" w:color="auto"/>
        <w:bottom w:val="none" w:sz="0" w:space="0" w:color="auto"/>
        <w:right w:val="none" w:sz="0" w:space="0" w:color="auto"/>
      </w:divBdr>
    </w:div>
    <w:div w:id="1696419323">
      <w:bodyDiv w:val="1"/>
      <w:marLeft w:val="0"/>
      <w:marRight w:val="0"/>
      <w:marTop w:val="0"/>
      <w:marBottom w:val="0"/>
      <w:divBdr>
        <w:top w:val="none" w:sz="0" w:space="0" w:color="auto"/>
        <w:left w:val="none" w:sz="0" w:space="0" w:color="auto"/>
        <w:bottom w:val="none" w:sz="0" w:space="0" w:color="auto"/>
        <w:right w:val="none" w:sz="0" w:space="0" w:color="auto"/>
      </w:divBdr>
    </w:div>
    <w:div w:id="19703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9.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footer" Target="foot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mc.gov.au/honours-and-symbols/commonwealth-coat-arms" TargetMode="External"/><Relationship Id="rId29" Type="http://schemas.openxmlformats.org/officeDocument/2006/relationships/hyperlink" Target="https://www.legislation.gov.au/Details/C2017C00269" TargetMode="Externa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s://asic.gov.au/about-asic/news-centre/find-a-media-release/2020-releases/20-134mr-industry-funding-asic-publishes-cost-recovery-implementation-statement-2019-20-for-feedback/" TargetMode="External"/><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image" Target="media/image9.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7.png"/><Relationship Id="rId35" Type="http://schemas.openxmlformats.org/officeDocument/2006/relationships/image" Target="media/image8.png"/><Relationship Id="rId43" Type="http://schemas.openxmlformats.org/officeDocument/2006/relationships/image" Target="media/image10.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ic.gov.au/about-asic/news-centre/find-a-media-release/2017-releases/17-334mr-industry-funding-asic-publishes-estimated-regulation-costs-for-2017-18/" TargetMode="External"/><Relationship Id="rId17" Type="http://schemas.openxmlformats.org/officeDocument/2006/relationships/hyperlink" Target="https://download.asic.gov.au/media/4zujamd3/cris-asic-industry-funding-model-2021-22-for-feedback-published-6-june-2022.pdf" TargetMode="Externa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footer" Target="footer12.xml"/><Relationship Id="rId20" Type="http://schemas.openxmlformats.org/officeDocument/2006/relationships/footer" Target="footer1.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footer13.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archive.budget.gov.au/2021-22/myefo/download/myefo-2021-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4.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EF4BD4A1CAA240B86226CF48B8A9B8" ma:contentTypeVersion="" ma:contentTypeDescription="PDMS Document Site Content Type" ma:contentTypeScope="" ma:versionID="7c667c6a4d8fea619abf9a22b5f72acb">
  <xsd:schema xmlns:xsd="http://www.w3.org/2001/XMLSchema" xmlns:xs="http://www.w3.org/2001/XMLSchema" xmlns:p="http://schemas.microsoft.com/office/2006/metadata/properties" xmlns:ns2="2F0F3C49-9042-4D61-8720-2E8F256933F5" targetNamespace="http://schemas.microsoft.com/office/2006/metadata/properties" ma:root="true" ma:fieldsID="c3b9af093d00be8e3129de0183f9c890" ns2:_="">
    <xsd:import namespace="2F0F3C49-9042-4D61-8720-2E8F256933F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3C49-9042-4D61-8720-2E8F256933F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F0F3C49-9042-4D61-8720-2E8F256933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580CE-963C-4F5A-84F5-C0E6DDD8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F3C49-9042-4D61-8720-2E8F25693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90712-37E9-4016-9670-87B08F727B22}">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2F0F3C49-9042-4D61-8720-2E8F256933F5"/>
    <ds:schemaRef ds:uri="http://purl.org/dc/terms/"/>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CB37E049-A6C4-4FD9-9DF3-60D204320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A4 Report.dotm</Template>
  <TotalTime>2</TotalTime>
  <Pages>81</Pages>
  <Words>27914</Words>
  <Characters>154319</Characters>
  <Application>Microsoft Office Word</Application>
  <DocSecurity>0</DocSecurity>
  <Lines>2980</Lines>
  <Paragraphs>1408</Paragraphs>
  <ScaleCrop>false</ScaleCrop>
  <HeadingPairs>
    <vt:vector size="2" baseType="variant">
      <vt:variant>
        <vt:lpstr>Title</vt:lpstr>
      </vt:variant>
      <vt:variant>
        <vt:i4>1</vt:i4>
      </vt:variant>
    </vt:vector>
  </HeadingPairs>
  <TitlesOfParts>
    <vt:vector size="1" baseType="lpstr">
      <vt:lpstr>Review of the Australian Securities and Investments Commission Industry Funding Model Final Report</vt:lpstr>
    </vt:vector>
  </TitlesOfParts>
  <Company/>
  <LinksUpToDate>false</LinksUpToDate>
  <CharactersWithSpaces>181520</CharactersWithSpaces>
  <SharedDoc>false</SharedDoc>
  <HLinks>
    <vt:vector size="690" baseType="variant">
      <vt:variant>
        <vt:i4>8126496</vt:i4>
      </vt:variant>
      <vt:variant>
        <vt:i4>666</vt:i4>
      </vt:variant>
      <vt:variant>
        <vt:i4>0</vt:i4>
      </vt:variant>
      <vt:variant>
        <vt:i4>5</vt:i4>
      </vt:variant>
      <vt:variant>
        <vt:lpwstr>https://www.legislation.gov.au/Details/C2017C00269</vt:lpwstr>
      </vt:variant>
      <vt:variant>
        <vt:lpwstr/>
      </vt:variant>
      <vt:variant>
        <vt:i4>1245240</vt:i4>
      </vt:variant>
      <vt:variant>
        <vt:i4>659</vt:i4>
      </vt:variant>
      <vt:variant>
        <vt:i4>0</vt:i4>
      </vt:variant>
      <vt:variant>
        <vt:i4>5</vt:i4>
      </vt:variant>
      <vt:variant>
        <vt:lpwstr/>
      </vt:variant>
      <vt:variant>
        <vt:lpwstr>_Toc129265613</vt:lpwstr>
      </vt:variant>
      <vt:variant>
        <vt:i4>1245240</vt:i4>
      </vt:variant>
      <vt:variant>
        <vt:i4>653</vt:i4>
      </vt:variant>
      <vt:variant>
        <vt:i4>0</vt:i4>
      </vt:variant>
      <vt:variant>
        <vt:i4>5</vt:i4>
      </vt:variant>
      <vt:variant>
        <vt:lpwstr/>
      </vt:variant>
      <vt:variant>
        <vt:lpwstr>_Toc129265612</vt:lpwstr>
      </vt:variant>
      <vt:variant>
        <vt:i4>1245240</vt:i4>
      </vt:variant>
      <vt:variant>
        <vt:i4>647</vt:i4>
      </vt:variant>
      <vt:variant>
        <vt:i4>0</vt:i4>
      </vt:variant>
      <vt:variant>
        <vt:i4>5</vt:i4>
      </vt:variant>
      <vt:variant>
        <vt:lpwstr/>
      </vt:variant>
      <vt:variant>
        <vt:lpwstr>_Toc129265611</vt:lpwstr>
      </vt:variant>
      <vt:variant>
        <vt:i4>1245240</vt:i4>
      </vt:variant>
      <vt:variant>
        <vt:i4>641</vt:i4>
      </vt:variant>
      <vt:variant>
        <vt:i4>0</vt:i4>
      </vt:variant>
      <vt:variant>
        <vt:i4>5</vt:i4>
      </vt:variant>
      <vt:variant>
        <vt:lpwstr/>
      </vt:variant>
      <vt:variant>
        <vt:lpwstr>_Toc129265610</vt:lpwstr>
      </vt:variant>
      <vt:variant>
        <vt:i4>1179704</vt:i4>
      </vt:variant>
      <vt:variant>
        <vt:i4>635</vt:i4>
      </vt:variant>
      <vt:variant>
        <vt:i4>0</vt:i4>
      </vt:variant>
      <vt:variant>
        <vt:i4>5</vt:i4>
      </vt:variant>
      <vt:variant>
        <vt:lpwstr/>
      </vt:variant>
      <vt:variant>
        <vt:lpwstr>_Toc129265609</vt:lpwstr>
      </vt:variant>
      <vt:variant>
        <vt:i4>1179704</vt:i4>
      </vt:variant>
      <vt:variant>
        <vt:i4>629</vt:i4>
      </vt:variant>
      <vt:variant>
        <vt:i4>0</vt:i4>
      </vt:variant>
      <vt:variant>
        <vt:i4>5</vt:i4>
      </vt:variant>
      <vt:variant>
        <vt:lpwstr/>
      </vt:variant>
      <vt:variant>
        <vt:lpwstr>_Toc129265608</vt:lpwstr>
      </vt:variant>
      <vt:variant>
        <vt:i4>1179704</vt:i4>
      </vt:variant>
      <vt:variant>
        <vt:i4>623</vt:i4>
      </vt:variant>
      <vt:variant>
        <vt:i4>0</vt:i4>
      </vt:variant>
      <vt:variant>
        <vt:i4>5</vt:i4>
      </vt:variant>
      <vt:variant>
        <vt:lpwstr/>
      </vt:variant>
      <vt:variant>
        <vt:lpwstr>_Toc129265607</vt:lpwstr>
      </vt:variant>
      <vt:variant>
        <vt:i4>1179704</vt:i4>
      </vt:variant>
      <vt:variant>
        <vt:i4>617</vt:i4>
      </vt:variant>
      <vt:variant>
        <vt:i4>0</vt:i4>
      </vt:variant>
      <vt:variant>
        <vt:i4>5</vt:i4>
      </vt:variant>
      <vt:variant>
        <vt:lpwstr/>
      </vt:variant>
      <vt:variant>
        <vt:lpwstr>_Toc129265606</vt:lpwstr>
      </vt:variant>
      <vt:variant>
        <vt:i4>1179704</vt:i4>
      </vt:variant>
      <vt:variant>
        <vt:i4>611</vt:i4>
      </vt:variant>
      <vt:variant>
        <vt:i4>0</vt:i4>
      </vt:variant>
      <vt:variant>
        <vt:i4>5</vt:i4>
      </vt:variant>
      <vt:variant>
        <vt:lpwstr/>
      </vt:variant>
      <vt:variant>
        <vt:lpwstr>_Toc129265605</vt:lpwstr>
      </vt:variant>
      <vt:variant>
        <vt:i4>1179704</vt:i4>
      </vt:variant>
      <vt:variant>
        <vt:i4>605</vt:i4>
      </vt:variant>
      <vt:variant>
        <vt:i4>0</vt:i4>
      </vt:variant>
      <vt:variant>
        <vt:i4>5</vt:i4>
      </vt:variant>
      <vt:variant>
        <vt:lpwstr/>
      </vt:variant>
      <vt:variant>
        <vt:lpwstr>_Toc129265604</vt:lpwstr>
      </vt:variant>
      <vt:variant>
        <vt:i4>1179704</vt:i4>
      </vt:variant>
      <vt:variant>
        <vt:i4>599</vt:i4>
      </vt:variant>
      <vt:variant>
        <vt:i4>0</vt:i4>
      </vt:variant>
      <vt:variant>
        <vt:i4>5</vt:i4>
      </vt:variant>
      <vt:variant>
        <vt:lpwstr/>
      </vt:variant>
      <vt:variant>
        <vt:lpwstr>_Toc129265603</vt:lpwstr>
      </vt:variant>
      <vt:variant>
        <vt:i4>1179704</vt:i4>
      </vt:variant>
      <vt:variant>
        <vt:i4>593</vt:i4>
      </vt:variant>
      <vt:variant>
        <vt:i4>0</vt:i4>
      </vt:variant>
      <vt:variant>
        <vt:i4>5</vt:i4>
      </vt:variant>
      <vt:variant>
        <vt:lpwstr/>
      </vt:variant>
      <vt:variant>
        <vt:lpwstr>_Toc129265602</vt:lpwstr>
      </vt:variant>
      <vt:variant>
        <vt:i4>1179704</vt:i4>
      </vt:variant>
      <vt:variant>
        <vt:i4>587</vt:i4>
      </vt:variant>
      <vt:variant>
        <vt:i4>0</vt:i4>
      </vt:variant>
      <vt:variant>
        <vt:i4>5</vt:i4>
      </vt:variant>
      <vt:variant>
        <vt:lpwstr/>
      </vt:variant>
      <vt:variant>
        <vt:lpwstr>_Toc129265601</vt:lpwstr>
      </vt:variant>
      <vt:variant>
        <vt:i4>1179704</vt:i4>
      </vt:variant>
      <vt:variant>
        <vt:i4>581</vt:i4>
      </vt:variant>
      <vt:variant>
        <vt:i4>0</vt:i4>
      </vt:variant>
      <vt:variant>
        <vt:i4>5</vt:i4>
      </vt:variant>
      <vt:variant>
        <vt:lpwstr/>
      </vt:variant>
      <vt:variant>
        <vt:lpwstr>_Toc129265600</vt:lpwstr>
      </vt:variant>
      <vt:variant>
        <vt:i4>1769531</vt:i4>
      </vt:variant>
      <vt:variant>
        <vt:i4>575</vt:i4>
      </vt:variant>
      <vt:variant>
        <vt:i4>0</vt:i4>
      </vt:variant>
      <vt:variant>
        <vt:i4>5</vt:i4>
      </vt:variant>
      <vt:variant>
        <vt:lpwstr/>
      </vt:variant>
      <vt:variant>
        <vt:lpwstr>_Toc129265599</vt:lpwstr>
      </vt:variant>
      <vt:variant>
        <vt:i4>1769531</vt:i4>
      </vt:variant>
      <vt:variant>
        <vt:i4>569</vt:i4>
      </vt:variant>
      <vt:variant>
        <vt:i4>0</vt:i4>
      </vt:variant>
      <vt:variant>
        <vt:i4>5</vt:i4>
      </vt:variant>
      <vt:variant>
        <vt:lpwstr/>
      </vt:variant>
      <vt:variant>
        <vt:lpwstr>_Toc129265598</vt:lpwstr>
      </vt:variant>
      <vt:variant>
        <vt:i4>1769531</vt:i4>
      </vt:variant>
      <vt:variant>
        <vt:i4>563</vt:i4>
      </vt:variant>
      <vt:variant>
        <vt:i4>0</vt:i4>
      </vt:variant>
      <vt:variant>
        <vt:i4>5</vt:i4>
      </vt:variant>
      <vt:variant>
        <vt:lpwstr/>
      </vt:variant>
      <vt:variant>
        <vt:lpwstr>_Toc129265597</vt:lpwstr>
      </vt:variant>
      <vt:variant>
        <vt:i4>1769531</vt:i4>
      </vt:variant>
      <vt:variant>
        <vt:i4>557</vt:i4>
      </vt:variant>
      <vt:variant>
        <vt:i4>0</vt:i4>
      </vt:variant>
      <vt:variant>
        <vt:i4>5</vt:i4>
      </vt:variant>
      <vt:variant>
        <vt:lpwstr/>
      </vt:variant>
      <vt:variant>
        <vt:lpwstr>_Toc129265596</vt:lpwstr>
      </vt:variant>
      <vt:variant>
        <vt:i4>1769531</vt:i4>
      </vt:variant>
      <vt:variant>
        <vt:i4>551</vt:i4>
      </vt:variant>
      <vt:variant>
        <vt:i4>0</vt:i4>
      </vt:variant>
      <vt:variant>
        <vt:i4>5</vt:i4>
      </vt:variant>
      <vt:variant>
        <vt:lpwstr/>
      </vt:variant>
      <vt:variant>
        <vt:lpwstr>_Toc129265595</vt:lpwstr>
      </vt:variant>
      <vt:variant>
        <vt:i4>1769531</vt:i4>
      </vt:variant>
      <vt:variant>
        <vt:i4>545</vt:i4>
      </vt:variant>
      <vt:variant>
        <vt:i4>0</vt:i4>
      </vt:variant>
      <vt:variant>
        <vt:i4>5</vt:i4>
      </vt:variant>
      <vt:variant>
        <vt:lpwstr/>
      </vt:variant>
      <vt:variant>
        <vt:lpwstr>_Toc129265594</vt:lpwstr>
      </vt:variant>
      <vt:variant>
        <vt:i4>1769531</vt:i4>
      </vt:variant>
      <vt:variant>
        <vt:i4>539</vt:i4>
      </vt:variant>
      <vt:variant>
        <vt:i4>0</vt:i4>
      </vt:variant>
      <vt:variant>
        <vt:i4>5</vt:i4>
      </vt:variant>
      <vt:variant>
        <vt:lpwstr/>
      </vt:variant>
      <vt:variant>
        <vt:lpwstr>_Toc129265593</vt:lpwstr>
      </vt:variant>
      <vt:variant>
        <vt:i4>1769531</vt:i4>
      </vt:variant>
      <vt:variant>
        <vt:i4>533</vt:i4>
      </vt:variant>
      <vt:variant>
        <vt:i4>0</vt:i4>
      </vt:variant>
      <vt:variant>
        <vt:i4>5</vt:i4>
      </vt:variant>
      <vt:variant>
        <vt:lpwstr/>
      </vt:variant>
      <vt:variant>
        <vt:lpwstr>_Toc129265592</vt:lpwstr>
      </vt:variant>
      <vt:variant>
        <vt:i4>1769531</vt:i4>
      </vt:variant>
      <vt:variant>
        <vt:i4>527</vt:i4>
      </vt:variant>
      <vt:variant>
        <vt:i4>0</vt:i4>
      </vt:variant>
      <vt:variant>
        <vt:i4>5</vt:i4>
      </vt:variant>
      <vt:variant>
        <vt:lpwstr/>
      </vt:variant>
      <vt:variant>
        <vt:lpwstr>_Toc129265591</vt:lpwstr>
      </vt:variant>
      <vt:variant>
        <vt:i4>1769531</vt:i4>
      </vt:variant>
      <vt:variant>
        <vt:i4>521</vt:i4>
      </vt:variant>
      <vt:variant>
        <vt:i4>0</vt:i4>
      </vt:variant>
      <vt:variant>
        <vt:i4>5</vt:i4>
      </vt:variant>
      <vt:variant>
        <vt:lpwstr/>
      </vt:variant>
      <vt:variant>
        <vt:lpwstr>_Toc129265590</vt:lpwstr>
      </vt:variant>
      <vt:variant>
        <vt:i4>1703995</vt:i4>
      </vt:variant>
      <vt:variant>
        <vt:i4>515</vt:i4>
      </vt:variant>
      <vt:variant>
        <vt:i4>0</vt:i4>
      </vt:variant>
      <vt:variant>
        <vt:i4>5</vt:i4>
      </vt:variant>
      <vt:variant>
        <vt:lpwstr/>
      </vt:variant>
      <vt:variant>
        <vt:lpwstr>_Toc129265589</vt:lpwstr>
      </vt:variant>
      <vt:variant>
        <vt:i4>1703995</vt:i4>
      </vt:variant>
      <vt:variant>
        <vt:i4>509</vt:i4>
      </vt:variant>
      <vt:variant>
        <vt:i4>0</vt:i4>
      </vt:variant>
      <vt:variant>
        <vt:i4>5</vt:i4>
      </vt:variant>
      <vt:variant>
        <vt:lpwstr/>
      </vt:variant>
      <vt:variant>
        <vt:lpwstr>_Toc129265588</vt:lpwstr>
      </vt:variant>
      <vt:variant>
        <vt:i4>1703995</vt:i4>
      </vt:variant>
      <vt:variant>
        <vt:i4>503</vt:i4>
      </vt:variant>
      <vt:variant>
        <vt:i4>0</vt:i4>
      </vt:variant>
      <vt:variant>
        <vt:i4>5</vt:i4>
      </vt:variant>
      <vt:variant>
        <vt:lpwstr/>
      </vt:variant>
      <vt:variant>
        <vt:lpwstr>_Toc129265587</vt:lpwstr>
      </vt:variant>
      <vt:variant>
        <vt:i4>1703995</vt:i4>
      </vt:variant>
      <vt:variant>
        <vt:i4>497</vt:i4>
      </vt:variant>
      <vt:variant>
        <vt:i4>0</vt:i4>
      </vt:variant>
      <vt:variant>
        <vt:i4>5</vt:i4>
      </vt:variant>
      <vt:variant>
        <vt:lpwstr/>
      </vt:variant>
      <vt:variant>
        <vt:lpwstr>_Toc129265586</vt:lpwstr>
      </vt:variant>
      <vt:variant>
        <vt:i4>1703995</vt:i4>
      </vt:variant>
      <vt:variant>
        <vt:i4>491</vt:i4>
      </vt:variant>
      <vt:variant>
        <vt:i4>0</vt:i4>
      </vt:variant>
      <vt:variant>
        <vt:i4>5</vt:i4>
      </vt:variant>
      <vt:variant>
        <vt:lpwstr/>
      </vt:variant>
      <vt:variant>
        <vt:lpwstr>_Toc129265585</vt:lpwstr>
      </vt:variant>
      <vt:variant>
        <vt:i4>1703995</vt:i4>
      </vt:variant>
      <vt:variant>
        <vt:i4>485</vt:i4>
      </vt:variant>
      <vt:variant>
        <vt:i4>0</vt:i4>
      </vt:variant>
      <vt:variant>
        <vt:i4>5</vt:i4>
      </vt:variant>
      <vt:variant>
        <vt:lpwstr/>
      </vt:variant>
      <vt:variant>
        <vt:lpwstr>_Toc129265584</vt:lpwstr>
      </vt:variant>
      <vt:variant>
        <vt:i4>1703995</vt:i4>
      </vt:variant>
      <vt:variant>
        <vt:i4>479</vt:i4>
      </vt:variant>
      <vt:variant>
        <vt:i4>0</vt:i4>
      </vt:variant>
      <vt:variant>
        <vt:i4>5</vt:i4>
      </vt:variant>
      <vt:variant>
        <vt:lpwstr/>
      </vt:variant>
      <vt:variant>
        <vt:lpwstr>_Toc129265583</vt:lpwstr>
      </vt:variant>
      <vt:variant>
        <vt:i4>1703995</vt:i4>
      </vt:variant>
      <vt:variant>
        <vt:i4>473</vt:i4>
      </vt:variant>
      <vt:variant>
        <vt:i4>0</vt:i4>
      </vt:variant>
      <vt:variant>
        <vt:i4>5</vt:i4>
      </vt:variant>
      <vt:variant>
        <vt:lpwstr/>
      </vt:variant>
      <vt:variant>
        <vt:lpwstr>_Toc129265582</vt:lpwstr>
      </vt:variant>
      <vt:variant>
        <vt:i4>1703995</vt:i4>
      </vt:variant>
      <vt:variant>
        <vt:i4>467</vt:i4>
      </vt:variant>
      <vt:variant>
        <vt:i4>0</vt:i4>
      </vt:variant>
      <vt:variant>
        <vt:i4>5</vt:i4>
      </vt:variant>
      <vt:variant>
        <vt:lpwstr/>
      </vt:variant>
      <vt:variant>
        <vt:lpwstr>_Toc129265581</vt:lpwstr>
      </vt:variant>
      <vt:variant>
        <vt:i4>1703995</vt:i4>
      </vt:variant>
      <vt:variant>
        <vt:i4>461</vt:i4>
      </vt:variant>
      <vt:variant>
        <vt:i4>0</vt:i4>
      </vt:variant>
      <vt:variant>
        <vt:i4>5</vt:i4>
      </vt:variant>
      <vt:variant>
        <vt:lpwstr/>
      </vt:variant>
      <vt:variant>
        <vt:lpwstr>_Toc129265580</vt:lpwstr>
      </vt:variant>
      <vt:variant>
        <vt:i4>1376315</vt:i4>
      </vt:variant>
      <vt:variant>
        <vt:i4>455</vt:i4>
      </vt:variant>
      <vt:variant>
        <vt:i4>0</vt:i4>
      </vt:variant>
      <vt:variant>
        <vt:i4>5</vt:i4>
      </vt:variant>
      <vt:variant>
        <vt:lpwstr/>
      </vt:variant>
      <vt:variant>
        <vt:lpwstr>_Toc129265579</vt:lpwstr>
      </vt:variant>
      <vt:variant>
        <vt:i4>1376315</vt:i4>
      </vt:variant>
      <vt:variant>
        <vt:i4>449</vt:i4>
      </vt:variant>
      <vt:variant>
        <vt:i4>0</vt:i4>
      </vt:variant>
      <vt:variant>
        <vt:i4>5</vt:i4>
      </vt:variant>
      <vt:variant>
        <vt:lpwstr/>
      </vt:variant>
      <vt:variant>
        <vt:lpwstr>_Toc129265578</vt:lpwstr>
      </vt:variant>
      <vt:variant>
        <vt:i4>1376315</vt:i4>
      </vt:variant>
      <vt:variant>
        <vt:i4>443</vt:i4>
      </vt:variant>
      <vt:variant>
        <vt:i4>0</vt:i4>
      </vt:variant>
      <vt:variant>
        <vt:i4>5</vt:i4>
      </vt:variant>
      <vt:variant>
        <vt:lpwstr/>
      </vt:variant>
      <vt:variant>
        <vt:lpwstr>_Toc129265577</vt:lpwstr>
      </vt:variant>
      <vt:variant>
        <vt:i4>1376315</vt:i4>
      </vt:variant>
      <vt:variant>
        <vt:i4>437</vt:i4>
      </vt:variant>
      <vt:variant>
        <vt:i4>0</vt:i4>
      </vt:variant>
      <vt:variant>
        <vt:i4>5</vt:i4>
      </vt:variant>
      <vt:variant>
        <vt:lpwstr/>
      </vt:variant>
      <vt:variant>
        <vt:lpwstr>_Toc129265576</vt:lpwstr>
      </vt:variant>
      <vt:variant>
        <vt:i4>1376315</vt:i4>
      </vt:variant>
      <vt:variant>
        <vt:i4>431</vt:i4>
      </vt:variant>
      <vt:variant>
        <vt:i4>0</vt:i4>
      </vt:variant>
      <vt:variant>
        <vt:i4>5</vt:i4>
      </vt:variant>
      <vt:variant>
        <vt:lpwstr/>
      </vt:variant>
      <vt:variant>
        <vt:lpwstr>_Toc129265575</vt:lpwstr>
      </vt:variant>
      <vt:variant>
        <vt:i4>1376315</vt:i4>
      </vt:variant>
      <vt:variant>
        <vt:i4>425</vt:i4>
      </vt:variant>
      <vt:variant>
        <vt:i4>0</vt:i4>
      </vt:variant>
      <vt:variant>
        <vt:i4>5</vt:i4>
      </vt:variant>
      <vt:variant>
        <vt:lpwstr/>
      </vt:variant>
      <vt:variant>
        <vt:lpwstr>_Toc129265574</vt:lpwstr>
      </vt:variant>
      <vt:variant>
        <vt:i4>1376315</vt:i4>
      </vt:variant>
      <vt:variant>
        <vt:i4>419</vt:i4>
      </vt:variant>
      <vt:variant>
        <vt:i4>0</vt:i4>
      </vt:variant>
      <vt:variant>
        <vt:i4>5</vt:i4>
      </vt:variant>
      <vt:variant>
        <vt:lpwstr/>
      </vt:variant>
      <vt:variant>
        <vt:lpwstr>_Toc129265573</vt:lpwstr>
      </vt:variant>
      <vt:variant>
        <vt:i4>1376315</vt:i4>
      </vt:variant>
      <vt:variant>
        <vt:i4>413</vt:i4>
      </vt:variant>
      <vt:variant>
        <vt:i4>0</vt:i4>
      </vt:variant>
      <vt:variant>
        <vt:i4>5</vt:i4>
      </vt:variant>
      <vt:variant>
        <vt:lpwstr/>
      </vt:variant>
      <vt:variant>
        <vt:lpwstr>_Toc129265572</vt:lpwstr>
      </vt:variant>
      <vt:variant>
        <vt:i4>1376315</vt:i4>
      </vt:variant>
      <vt:variant>
        <vt:i4>407</vt:i4>
      </vt:variant>
      <vt:variant>
        <vt:i4>0</vt:i4>
      </vt:variant>
      <vt:variant>
        <vt:i4>5</vt:i4>
      </vt:variant>
      <vt:variant>
        <vt:lpwstr/>
      </vt:variant>
      <vt:variant>
        <vt:lpwstr>_Toc129265571</vt:lpwstr>
      </vt:variant>
      <vt:variant>
        <vt:i4>1376315</vt:i4>
      </vt:variant>
      <vt:variant>
        <vt:i4>401</vt:i4>
      </vt:variant>
      <vt:variant>
        <vt:i4>0</vt:i4>
      </vt:variant>
      <vt:variant>
        <vt:i4>5</vt:i4>
      </vt:variant>
      <vt:variant>
        <vt:lpwstr/>
      </vt:variant>
      <vt:variant>
        <vt:lpwstr>_Toc129265570</vt:lpwstr>
      </vt:variant>
      <vt:variant>
        <vt:i4>1310779</vt:i4>
      </vt:variant>
      <vt:variant>
        <vt:i4>395</vt:i4>
      </vt:variant>
      <vt:variant>
        <vt:i4>0</vt:i4>
      </vt:variant>
      <vt:variant>
        <vt:i4>5</vt:i4>
      </vt:variant>
      <vt:variant>
        <vt:lpwstr/>
      </vt:variant>
      <vt:variant>
        <vt:lpwstr>_Toc129265569</vt:lpwstr>
      </vt:variant>
      <vt:variant>
        <vt:i4>1310779</vt:i4>
      </vt:variant>
      <vt:variant>
        <vt:i4>389</vt:i4>
      </vt:variant>
      <vt:variant>
        <vt:i4>0</vt:i4>
      </vt:variant>
      <vt:variant>
        <vt:i4>5</vt:i4>
      </vt:variant>
      <vt:variant>
        <vt:lpwstr/>
      </vt:variant>
      <vt:variant>
        <vt:lpwstr>_Toc129265568</vt:lpwstr>
      </vt:variant>
      <vt:variant>
        <vt:i4>1310779</vt:i4>
      </vt:variant>
      <vt:variant>
        <vt:i4>383</vt:i4>
      </vt:variant>
      <vt:variant>
        <vt:i4>0</vt:i4>
      </vt:variant>
      <vt:variant>
        <vt:i4>5</vt:i4>
      </vt:variant>
      <vt:variant>
        <vt:lpwstr/>
      </vt:variant>
      <vt:variant>
        <vt:lpwstr>_Toc129265567</vt:lpwstr>
      </vt:variant>
      <vt:variant>
        <vt:i4>1310779</vt:i4>
      </vt:variant>
      <vt:variant>
        <vt:i4>377</vt:i4>
      </vt:variant>
      <vt:variant>
        <vt:i4>0</vt:i4>
      </vt:variant>
      <vt:variant>
        <vt:i4>5</vt:i4>
      </vt:variant>
      <vt:variant>
        <vt:lpwstr/>
      </vt:variant>
      <vt:variant>
        <vt:lpwstr>_Toc129265566</vt:lpwstr>
      </vt:variant>
      <vt:variant>
        <vt:i4>1310779</vt:i4>
      </vt:variant>
      <vt:variant>
        <vt:i4>371</vt:i4>
      </vt:variant>
      <vt:variant>
        <vt:i4>0</vt:i4>
      </vt:variant>
      <vt:variant>
        <vt:i4>5</vt:i4>
      </vt:variant>
      <vt:variant>
        <vt:lpwstr/>
      </vt:variant>
      <vt:variant>
        <vt:lpwstr>_Toc129265565</vt:lpwstr>
      </vt:variant>
      <vt:variant>
        <vt:i4>1310779</vt:i4>
      </vt:variant>
      <vt:variant>
        <vt:i4>365</vt:i4>
      </vt:variant>
      <vt:variant>
        <vt:i4>0</vt:i4>
      </vt:variant>
      <vt:variant>
        <vt:i4>5</vt:i4>
      </vt:variant>
      <vt:variant>
        <vt:lpwstr/>
      </vt:variant>
      <vt:variant>
        <vt:lpwstr>_Toc129265564</vt:lpwstr>
      </vt:variant>
      <vt:variant>
        <vt:i4>1310779</vt:i4>
      </vt:variant>
      <vt:variant>
        <vt:i4>359</vt:i4>
      </vt:variant>
      <vt:variant>
        <vt:i4>0</vt:i4>
      </vt:variant>
      <vt:variant>
        <vt:i4>5</vt:i4>
      </vt:variant>
      <vt:variant>
        <vt:lpwstr/>
      </vt:variant>
      <vt:variant>
        <vt:lpwstr>_Toc129265563</vt:lpwstr>
      </vt:variant>
      <vt:variant>
        <vt:i4>1310779</vt:i4>
      </vt:variant>
      <vt:variant>
        <vt:i4>353</vt:i4>
      </vt:variant>
      <vt:variant>
        <vt:i4>0</vt:i4>
      </vt:variant>
      <vt:variant>
        <vt:i4>5</vt:i4>
      </vt:variant>
      <vt:variant>
        <vt:lpwstr/>
      </vt:variant>
      <vt:variant>
        <vt:lpwstr>_Toc129265562</vt:lpwstr>
      </vt:variant>
      <vt:variant>
        <vt:i4>1310779</vt:i4>
      </vt:variant>
      <vt:variant>
        <vt:i4>347</vt:i4>
      </vt:variant>
      <vt:variant>
        <vt:i4>0</vt:i4>
      </vt:variant>
      <vt:variant>
        <vt:i4>5</vt:i4>
      </vt:variant>
      <vt:variant>
        <vt:lpwstr/>
      </vt:variant>
      <vt:variant>
        <vt:lpwstr>_Toc129265561</vt:lpwstr>
      </vt:variant>
      <vt:variant>
        <vt:i4>1310779</vt:i4>
      </vt:variant>
      <vt:variant>
        <vt:i4>341</vt:i4>
      </vt:variant>
      <vt:variant>
        <vt:i4>0</vt:i4>
      </vt:variant>
      <vt:variant>
        <vt:i4>5</vt:i4>
      </vt:variant>
      <vt:variant>
        <vt:lpwstr/>
      </vt:variant>
      <vt:variant>
        <vt:lpwstr>_Toc129265560</vt:lpwstr>
      </vt:variant>
      <vt:variant>
        <vt:i4>1507387</vt:i4>
      </vt:variant>
      <vt:variant>
        <vt:i4>335</vt:i4>
      </vt:variant>
      <vt:variant>
        <vt:i4>0</vt:i4>
      </vt:variant>
      <vt:variant>
        <vt:i4>5</vt:i4>
      </vt:variant>
      <vt:variant>
        <vt:lpwstr/>
      </vt:variant>
      <vt:variant>
        <vt:lpwstr>_Toc129265559</vt:lpwstr>
      </vt:variant>
      <vt:variant>
        <vt:i4>1507387</vt:i4>
      </vt:variant>
      <vt:variant>
        <vt:i4>329</vt:i4>
      </vt:variant>
      <vt:variant>
        <vt:i4>0</vt:i4>
      </vt:variant>
      <vt:variant>
        <vt:i4>5</vt:i4>
      </vt:variant>
      <vt:variant>
        <vt:lpwstr/>
      </vt:variant>
      <vt:variant>
        <vt:lpwstr>_Toc129265558</vt:lpwstr>
      </vt:variant>
      <vt:variant>
        <vt:i4>1507387</vt:i4>
      </vt:variant>
      <vt:variant>
        <vt:i4>323</vt:i4>
      </vt:variant>
      <vt:variant>
        <vt:i4>0</vt:i4>
      </vt:variant>
      <vt:variant>
        <vt:i4>5</vt:i4>
      </vt:variant>
      <vt:variant>
        <vt:lpwstr/>
      </vt:variant>
      <vt:variant>
        <vt:lpwstr>_Toc129265557</vt:lpwstr>
      </vt:variant>
      <vt:variant>
        <vt:i4>1507387</vt:i4>
      </vt:variant>
      <vt:variant>
        <vt:i4>317</vt:i4>
      </vt:variant>
      <vt:variant>
        <vt:i4>0</vt:i4>
      </vt:variant>
      <vt:variant>
        <vt:i4>5</vt:i4>
      </vt:variant>
      <vt:variant>
        <vt:lpwstr/>
      </vt:variant>
      <vt:variant>
        <vt:lpwstr>_Toc129265556</vt:lpwstr>
      </vt:variant>
      <vt:variant>
        <vt:i4>1507387</vt:i4>
      </vt:variant>
      <vt:variant>
        <vt:i4>311</vt:i4>
      </vt:variant>
      <vt:variant>
        <vt:i4>0</vt:i4>
      </vt:variant>
      <vt:variant>
        <vt:i4>5</vt:i4>
      </vt:variant>
      <vt:variant>
        <vt:lpwstr/>
      </vt:variant>
      <vt:variant>
        <vt:lpwstr>_Toc129265555</vt:lpwstr>
      </vt:variant>
      <vt:variant>
        <vt:i4>1507387</vt:i4>
      </vt:variant>
      <vt:variant>
        <vt:i4>305</vt:i4>
      </vt:variant>
      <vt:variant>
        <vt:i4>0</vt:i4>
      </vt:variant>
      <vt:variant>
        <vt:i4>5</vt:i4>
      </vt:variant>
      <vt:variant>
        <vt:lpwstr/>
      </vt:variant>
      <vt:variant>
        <vt:lpwstr>_Toc129265554</vt:lpwstr>
      </vt:variant>
      <vt:variant>
        <vt:i4>1507387</vt:i4>
      </vt:variant>
      <vt:variant>
        <vt:i4>299</vt:i4>
      </vt:variant>
      <vt:variant>
        <vt:i4>0</vt:i4>
      </vt:variant>
      <vt:variant>
        <vt:i4>5</vt:i4>
      </vt:variant>
      <vt:variant>
        <vt:lpwstr/>
      </vt:variant>
      <vt:variant>
        <vt:lpwstr>_Toc129265553</vt:lpwstr>
      </vt:variant>
      <vt:variant>
        <vt:i4>1507387</vt:i4>
      </vt:variant>
      <vt:variant>
        <vt:i4>293</vt:i4>
      </vt:variant>
      <vt:variant>
        <vt:i4>0</vt:i4>
      </vt:variant>
      <vt:variant>
        <vt:i4>5</vt:i4>
      </vt:variant>
      <vt:variant>
        <vt:lpwstr/>
      </vt:variant>
      <vt:variant>
        <vt:lpwstr>_Toc129265552</vt:lpwstr>
      </vt:variant>
      <vt:variant>
        <vt:i4>1507387</vt:i4>
      </vt:variant>
      <vt:variant>
        <vt:i4>287</vt:i4>
      </vt:variant>
      <vt:variant>
        <vt:i4>0</vt:i4>
      </vt:variant>
      <vt:variant>
        <vt:i4>5</vt:i4>
      </vt:variant>
      <vt:variant>
        <vt:lpwstr/>
      </vt:variant>
      <vt:variant>
        <vt:lpwstr>_Toc129265551</vt:lpwstr>
      </vt:variant>
      <vt:variant>
        <vt:i4>1507387</vt:i4>
      </vt:variant>
      <vt:variant>
        <vt:i4>281</vt:i4>
      </vt:variant>
      <vt:variant>
        <vt:i4>0</vt:i4>
      </vt:variant>
      <vt:variant>
        <vt:i4>5</vt:i4>
      </vt:variant>
      <vt:variant>
        <vt:lpwstr/>
      </vt:variant>
      <vt:variant>
        <vt:lpwstr>_Toc129265550</vt:lpwstr>
      </vt:variant>
      <vt:variant>
        <vt:i4>1441851</vt:i4>
      </vt:variant>
      <vt:variant>
        <vt:i4>275</vt:i4>
      </vt:variant>
      <vt:variant>
        <vt:i4>0</vt:i4>
      </vt:variant>
      <vt:variant>
        <vt:i4>5</vt:i4>
      </vt:variant>
      <vt:variant>
        <vt:lpwstr/>
      </vt:variant>
      <vt:variant>
        <vt:lpwstr>_Toc129265549</vt:lpwstr>
      </vt:variant>
      <vt:variant>
        <vt:i4>1441851</vt:i4>
      </vt:variant>
      <vt:variant>
        <vt:i4>269</vt:i4>
      </vt:variant>
      <vt:variant>
        <vt:i4>0</vt:i4>
      </vt:variant>
      <vt:variant>
        <vt:i4>5</vt:i4>
      </vt:variant>
      <vt:variant>
        <vt:lpwstr/>
      </vt:variant>
      <vt:variant>
        <vt:lpwstr>_Toc129265548</vt:lpwstr>
      </vt:variant>
      <vt:variant>
        <vt:i4>1441851</vt:i4>
      </vt:variant>
      <vt:variant>
        <vt:i4>263</vt:i4>
      </vt:variant>
      <vt:variant>
        <vt:i4>0</vt:i4>
      </vt:variant>
      <vt:variant>
        <vt:i4>5</vt:i4>
      </vt:variant>
      <vt:variant>
        <vt:lpwstr/>
      </vt:variant>
      <vt:variant>
        <vt:lpwstr>_Toc129265547</vt:lpwstr>
      </vt:variant>
      <vt:variant>
        <vt:i4>1441851</vt:i4>
      </vt:variant>
      <vt:variant>
        <vt:i4>257</vt:i4>
      </vt:variant>
      <vt:variant>
        <vt:i4>0</vt:i4>
      </vt:variant>
      <vt:variant>
        <vt:i4>5</vt:i4>
      </vt:variant>
      <vt:variant>
        <vt:lpwstr/>
      </vt:variant>
      <vt:variant>
        <vt:lpwstr>_Toc129265546</vt:lpwstr>
      </vt:variant>
      <vt:variant>
        <vt:i4>1441851</vt:i4>
      </vt:variant>
      <vt:variant>
        <vt:i4>251</vt:i4>
      </vt:variant>
      <vt:variant>
        <vt:i4>0</vt:i4>
      </vt:variant>
      <vt:variant>
        <vt:i4>5</vt:i4>
      </vt:variant>
      <vt:variant>
        <vt:lpwstr/>
      </vt:variant>
      <vt:variant>
        <vt:lpwstr>_Toc129265545</vt:lpwstr>
      </vt:variant>
      <vt:variant>
        <vt:i4>1441851</vt:i4>
      </vt:variant>
      <vt:variant>
        <vt:i4>245</vt:i4>
      </vt:variant>
      <vt:variant>
        <vt:i4>0</vt:i4>
      </vt:variant>
      <vt:variant>
        <vt:i4>5</vt:i4>
      </vt:variant>
      <vt:variant>
        <vt:lpwstr/>
      </vt:variant>
      <vt:variant>
        <vt:lpwstr>_Toc129265544</vt:lpwstr>
      </vt:variant>
      <vt:variant>
        <vt:i4>1441851</vt:i4>
      </vt:variant>
      <vt:variant>
        <vt:i4>239</vt:i4>
      </vt:variant>
      <vt:variant>
        <vt:i4>0</vt:i4>
      </vt:variant>
      <vt:variant>
        <vt:i4>5</vt:i4>
      </vt:variant>
      <vt:variant>
        <vt:lpwstr/>
      </vt:variant>
      <vt:variant>
        <vt:lpwstr>_Toc129265543</vt:lpwstr>
      </vt:variant>
      <vt:variant>
        <vt:i4>1441851</vt:i4>
      </vt:variant>
      <vt:variant>
        <vt:i4>233</vt:i4>
      </vt:variant>
      <vt:variant>
        <vt:i4>0</vt:i4>
      </vt:variant>
      <vt:variant>
        <vt:i4>5</vt:i4>
      </vt:variant>
      <vt:variant>
        <vt:lpwstr/>
      </vt:variant>
      <vt:variant>
        <vt:lpwstr>_Toc129265542</vt:lpwstr>
      </vt:variant>
      <vt:variant>
        <vt:i4>1441851</vt:i4>
      </vt:variant>
      <vt:variant>
        <vt:i4>227</vt:i4>
      </vt:variant>
      <vt:variant>
        <vt:i4>0</vt:i4>
      </vt:variant>
      <vt:variant>
        <vt:i4>5</vt:i4>
      </vt:variant>
      <vt:variant>
        <vt:lpwstr/>
      </vt:variant>
      <vt:variant>
        <vt:lpwstr>_Toc129265541</vt:lpwstr>
      </vt:variant>
      <vt:variant>
        <vt:i4>1441851</vt:i4>
      </vt:variant>
      <vt:variant>
        <vt:i4>221</vt:i4>
      </vt:variant>
      <vt:variant>
        <vt:i4>0</vt:i4>
      </vt:variant>
      <vt:variant>
        <vt:i4>5</vt:i4>
      </vt:variant>
      <vt:variant>
        <vt:lpwstr/>
      </vt:variant>
      <vt:variant>
        <vt:lpwstr>_Toc129265540</vt:lpwstr>
      </vt:variant>
      <vt:variant>
        <vt:i4>1114171</vt:i4>
      </vt:variant>
      <vt:variant>
        <vt:i4>215</vt:i4>
      </vt:variant>
      <vt:variant>
        <vt:i4>0</vt:i4>
      </vt:variant>
      <vt:variant>
        <vt:i4>5</vt:i4>
      </vt:variant>
      <vt:variant>
        <vt:lpwstr/>
      </vt:variant>
      <vt:variant>
        <vt:lpwstr>_Toc129265539</vt:lpwstr>
      </vt:variant>
      <vt:variant>
        <vt:i4>1114171</vt:i4>
      </vt:variant>
      <vt:variant>
        <vt:i4>209</vt:i4>
      </vt:variant>
      <vt:variant>
        <vt:i4>0</vt:i4>
      </vt:variant>
      <vt:variant>
        <vt:i4>5</vt:i4>
      </vt:variant>
      <vt:variant>
        <vt:lpwstr/>
      </vt:variant>
      <vt:variant>
        <vt:lpwstr>_Toc129265538</vt:lpwstr>
      </vt:variant>
      <vt:variant>
        <vt:i4>1114171</vt:i4>
      </vt:variant>
      <vt:variant>
        <vt:i4>203</vt:i4>
      </vt:variant>
      <vt:variant>
        <vt:i4>0</vt:i4>
      </vt:variant>
      <vt:variant>
        <vt:i4>5</vt:i4>
      </vt:variant>
      <vt:variant>
        <vt:lpwstr/>
      </vt:variant>
      <vt:variant>
        <vt:lpwstr>_Toc129265537</vt:lpwstr>
      </vt:variant>
      <vt:variant>
        <vt:i4>1114171</vt:i4>
      </vt:variant>
      <vt:variant>
        <vt:i4>197</vt:i4>
      </vt:variant>
      <vt:variant>
        <vt:i4>0</vt:i4>
      </vt:variant>
      <vt:variant>
        <vt:i4>5</vt:i4>
      </vt:variant>
      <vt:variant>
        <vt:lpwstr/>
      </vt:variant>
      <vt:variant>
        <vt:lpwstr>_Toc129265536</vt:lpwstr>
      </vt:variant>
      <vt:variant>
        <vt:i4>1114171</vt:i4>
      </vt:variant>
      <vt:variant>
        <vt:i4>191</vt:i4>
      </vt:variant>
      <vt:variant>
        <vt:i4>0</vt:i4>
      </vt:variant>
      <vt:variant>
        <vt:i4>5</vt:i4>
      </vt:variant>
      <vt:variant>
        <vt:lpwstr/>
      </vt:variant>
      <vt:variant>
        <vt:lpwstr>_Toc129265535</vt:lpwstr>
      </vt:variant>
      <vt:variant>
        <vt:i4>1114171</vt:i4>
      </vt:variant>
      <vt:variant>
        <vt:i4>185</vt:i4>
      </vt:variant>
      <vt:variant>
        <vt:i4>0</vt:i4>
      </vt:variant>
      <vt:variant>
        <vt:i4>5</vt:i4>
      </vt:variant>
      <vt:variant>
        <vt:lpwstr/>
      </vt:variant>
      <vt:variant>
        <vt:lpwstr>_Toc129265534</vt:lpwstr>
      </vt:variant>
      <vt:variant>
        <vt:i4>1114171</vt:i4>
      </vt:variant>
      <vt:variant>
        <vt:i4>179</vt:i4>
      </vt:variant>
      <vt:variant>
        <vt:i4>0</vt:i4>
      </vt:variant>
      <vt:variant>
        <vt:i4>5</vt:i4>
      </vt:variant>
      <vt:variant>
        <vt:lpwstr/>
      </vt:variant>
      <vt:variant>
        <vt:lpwstr>_Toc129265533</vt:lpwstr>
      </vt:variant>
      <vt:variant>
        <vt:i4>1114171</vt:i4>
      </vt:variant>
      <vt:variant>
        <vt:i4>173</vt:i4>
      </vt:variant>
      <vt:variant>
        <vt:i4>0</vt:i4>
      </vt:variant>
      <vt:variant>
        <vt:i4>5</vt:i4>
      </vt:variant>
      <vt:variant>
        <vt:lpwstr/>
      </vt:variant>
      <vt:variant>
        <vt:lpwstr>_Toc129265532</vt:lpwstr>
      </vt:variant>
      <vt:variant>
        <vt:i4>1114171</vt:i4>
      </vt:variant>
      <vt:variant>
        <vt:i4>167</vt:i4>
      </vt:variant>
      <vt:variant>
        <vt:i4>0</vt:i4>
      </vt:variant>
      <vt:variant>
        <vt:i4>5</vt:i4>
      </vt:variant>
      <vt:variant>
        <vt:lpwstr/>
      </vt:variant>
      <vt:variant>
        <vt:lpwstr>_Toc129265531</vt:lpwstr>
      </vt:variant>
      <vt:variant>
        <vt:i4>1114171</vt:i4>
      </vt:variant>
      <vt:variant>
        <vt:i4>161</vt:i4>
      </vt:variant>
      <vt:variant>
        <vt:i4>0</vt:i4>
      </vt:variant>
      <vt:variant>
        <vt:i4>5</vt:i4>
      </vt:variant>
      <vt:variant>
        <vt:lpwstr/>
      </vt:variant>
      <vt:variant>
        <vt:lpwstr>_Toc129265530</vt:lpwstr>
      </vt:variant>
      <vt:variant>
        <vt:i4>1048635</vt:i4>
      </vt:variant>
      <vt:variant>
        <vt:i4>155</vt:i4>
      </vt:variant>
      <vt:variant>
        <vt:i4>0</vt:i4>
      </vt:variant>
      <vt:variant>
        <vt:i4>5</vt:i4>
      </vt:variant>
      <vt:variant>
        <vt:lpwstr/>
      </vt:variant>
      <vt:variant>
        <vt:lpwstr>_Toc129265529</vt:lpwstr>
      </vt:variant>
      <vt:variant>
        <vt:i4>1048635</vt:i4>
      </vt:variant>
      <vt:variant>
        <vt:i4>149</vt:i4>
      </vt:variant>
      <vt:variant>
        <vt:i4>0</vt:i4>
      </vt:variant>
      <vt:variant>
        <vt:i4>5</vt:i4>
      </vt:variant>
      <vt:variant>
        <vt:lpwstr/>
      </vt:variant>
      <vt:variant>
        <vt:lpwstr>_Toc129265528</vt:lpwstr>
      </vt:variant>
      <vt:variant>
        <vt:i4>1048635</vt:i4>
      </vt:variant>
      <vt:variant>
        <vt:i4>143</vt:i4>
      </vt:variant>
      <vt:variant>
        <vt:i4>0</vt:i4>
      </vt:variant>
      <vt:variant>
        <vt:i4>5</vt:i4>
      </vt:variant>
      <vt:variant>
        <vt:lpwstr/>
      </vt:variant>
      <vt:variant>
        <vt:lpwstr>_Toc129265527</vt:lpwstr>
      </vt:variant>
      <vt:variant>
        <vt:i4>1048635</vt:i4>
      </vt:variant>
      <vt:variant>
        <vt:i4>137</vt:i4>
      </vt:variant>
      <vt:variant>
        <vt:i4>0</vt:i4>
      </vt:variant>
      <vt:variant>
        <vt:i4>5</vt:i4>
      </vt:variant>
      <vt:variant>
        <vt:lpwstr/>
      </vt:variant>
      <vt:variant>
        <vt:lpwstr>_Toc129265526</vt:lpwstr>
      </vt:variant>
      <vt:variant>
        <vt:i4>1048635</vt:i4>
      </vt:variant>
      <vt:variant>
        <vt:i4>131</vt:i4>
      </vt:variant>
      <vt:variant>
        <vt:i4>0</vt:i4>
      </vt:variant>
      <vt:variant>
        <vt:i4>5</vt:i4>
      </vt:variant>
      <vt:variant>
        <vt:lpwstr/>
      </vt:variant>
      <vt:variant>
        <vt:lpwstr>_Toc129265525</vt:lpwstr>
      </vt:variant>
      <vt:variant>
        <vt:i4>1048635</vt:i4>
      </vt:variant>
      <vt:variant>
        <vt:i4>125</vt:i4>
      </vt:variant>
      <vt:variant>
        <vt:i4>0</vt:i4>
      </vt:variant>
      <vt:variant>
        <vt:i4>5</vt:i4>
      </vt:variant>
      <vt:variant>
        <vt:lpwstr/>
      </vt:variant>
      <vt:variant>
        <vt:lpwstr>_Toc129265524</vt:lpwstr>
      </vt:variant>
      <vt:variant>
        <vt:i4>1048635</vt:i4>
      </vt:variant>
      <vt:variant>
        <vt:i4>119</vt:i4>
      </vt:variant>
      <vt:variant>
        <vt:i4>0</vt:i4>
      </vt:variant>
      <vt:variant>
        <vt:i4>5</vt:i4>
      </vt:variant>
      <vt:variant>
        <vt:lpwstr/>
      </vt:variant>
      <vt:variant>
        <vt:lpwstr>_Toc129265523</vt:lpwstr>
      </vt:variant>
      <vt:variant>
        <vt:i4>1048635</vt:i4>
      </vt:variant>
      <vt:variant>
        <vt:i4>113</vt:i4>
      </vt:variant>
      <vt:variant>
        <vt:i4>0</vt:i4>
      </vt:variant>
      <vt:variant>
        <vt:i4>5</vt:i4>
      </vt:variant>
      <vt:variant>
        <vt:lpwstr/>
      </vt:variant>
      <vt:variant>
        <vt:lpwstr>_Toc129265522</vt:lpwstr>
      </vt:variant>
      <vt:variant>
        <vt:i4>1048635</vt:i4>
      </vt:variant>
      <vt:variant>
        <vt:i4>107</vt:i4>
      </vt:variant>
      <vt:variant>
        <vt:i4>0</vt:i4>
      </vt:variant>
      <vt:variant>
        <vt:i4>5</vt:i4>
      </vt:variant>
      <vt:variant>
        <vt:lpwstr/>
      </vt:variant>
      <vt:variant>
        <vt:lpwstr>_Toc129265521</vt:lpwstr>
      </vt:variant>
      <vt:variant>
        <vt:i4>1048635</vt:i4>
      </vt:variant>
      <vt:variant>
        <vt:i4>101</vt:i4>
      </vt:variant>
      <vt:variant>
        <vt:i4>0</vt:i4>
      </vt:variant>
      <vt:variant>
        <vt:i4>5</vt:i4>
      </vt:variant>
      <vt:variant>
        <vt:lpwstr/>
      </vt:variant>
      <vt:variant>
        <vt:lpwstr>_Toc129265520</vt:lpwstr>
      </vt:variant>
      <vt:variant>
        <vt:i4>1245243</vt:i4>
      </vt:variant>
      <vt:variant>
        <vt:i4>95</vt:i4>
      </vt:variant>
      <vt:variant>
        <vt:i4>0</vt:i4>
      </vt:variant>
      <vt:variant>
        <vt:i4>5</vt:i4>
      </vt:variant>
      <vt:variant>
        <vt:lpwstr/>
      </vt:variant>
      <vt:variant>
        <vt:lpwstr>_Toc129265519</vt:lpwstr>
      </vt:variant>
      <vt:variant>
        <vt:i4>1245243</vt:i4>
      </vt:variant>
      <vt:variant>
        <vt:i4>89</vt:i4>
      </vt:variant>
      <vt:variant>
        <vt:i4>0</vt:i4>
      </vt:variant>
      <vt:variant>
        <vt:i4>5</vt:i4>
      </vt:variant>
      <vt:variant>
        <vt:lpwstr/>
      </vt:variant>
      <vt:variant>
        <vt:lpwstr>_Toc129265518</vt:lpwstr>
      </vt:variant>
      <vt:variant>
        <vt:i4>1245243</vt:i4>
      </vt:variant>
      <vt:variant>
        <vt:i4>83</vt:i4>
      </vt:variant>
      <vt:variant>
        <vt:i4>0</vt:i4>
      </vt:variant>
      <vt:variant>
        <vt:i4>5</vt:i4>
      </vt:variant>
      <vt:variant>
        <vt:lpwstr/>
      </vt:variant>
      <vt:variant>
        <vt:lpwstr>_Toc129265517</vt:lpwstr>
      </vt:variant>
      <vt:variant>
        <vt:i4>1245243</vt:i4>
      </vt:variant>
      <vt:variant>
        <vt:i4>77</vt:i4>
      </vt:variant>
      <vt:variant>
        <vt:i4>0</vt:i4>
      </vt:variant>
      <vt:variant>
        <vt:i4>5</vt:i4>
      </vt:variant>
      <vt:variant>
        <vt:lpwstr/>
      </vt:variant>
      <vt:variant>
        <vt:lpwstr>_Toc129265516</vt:lpwstr>
      </vt:variant>
      <vt:variant>
        <vt:i4>1245243</vt:i4>
      </vt:variant>
      <vt:variant>
        <vt:i4>71</vt:i4>
      </vt:variant>
      <vt:variant>
        <vt:i4>0</vt:i4>
      </vt:variant>
      <vt:variant>
        <vt:i4>5</vt:i4>
      </vt:variant>
      <vt:variant>
        <vt:lpwstr/>
      </vt:variant>
      <vt:variant>
        <vt:lpwstr>_Toc129265515</vt:lpwstr>
      </vt:variant>
      <vt:variant>
        <vt:i4>1245243</vt:i4>
      </vt:variant>
      <vt:variant>
        <vt:i4>65</vt:i4>
      </vt:variant>
      <vt:variant>
        <vt:i4>0</vt:i4>
      </vt:variant>
      <vt:variant>
        <vt:i4>5</vt:i4>
      </vt:variant>
      <vt:variant>
        <vt:lpwstr/>
      </vt:variant>
      <vt:variant>
        <vt:lpwstr>_Toc129265514</vt:lpwstr>
      </vt:variant>
      <vt:variant>
        <vt:i4>1245243</vt:i4>
      </vt:variant>
      <vt:variant>
        <vt:i4>59</vt:i4>
      </vt:variant>
      <vt:variant>
        <vt:i4>0</vt:i4>
      </vt:variant>
      <vt:variant>
        <vt:i4>5</vt:i4>
      </vt:variant>
      <vt:variant>
        <vt:lpwstr/>
      </vt:variant>
      <vt:variant>
        <vt:lpwstr>_Toc129265513</vt:lpwstr>
      </vt:variant>
      <vt:variant>
        <vt:i4>1245243</vt:i4>
      </vt:variant>
      <vt:variant>
        <vt:i4>53</vt:i4>
      </vt:variant>
      <vt:variant>
        <vt:i4>0</vt:i4>
      </vt:variant>
      <vt:variant>
        <vt:i4>5</vt:i4>
      </vt:variant>
      <vt:variant>
        <vt:lpwstr/>
      </vt:variant>
      <vt:variant>
        <vt:lpwstr>_Toc129265512</vt:lpwstr>
      </vt:variant>
      <vt:variant>
        <vt:i4>1245243</vt:i4>
      </vt:variant>
      <vt:variant>
        <vt:i4>47</vt:i4>
      </vt:variant>
      <vt:variant>
        <vt:i4>0</vt:i4>
      </vt:variant>
      <vt:variant>
        <vt:i4>5</vt:i4>
      </vt:variant>
      <vt:variant>
        <vt:lpwstr/>
      </vt:variant>
      <vt:variant>
        <vt:lpwstr>_Toc129265511</vt:lpwstr>
      </vt:variant>
      <vt:variant>
        <vt:i4>1245243</vt:i4>
      </vt:variant>
      <vt:variant>
        <vt:i4>41</vt:i4>
      </vt:variant>
      <vt:variant>
        <vt:i4>0</vt:i4>
      </vt:variant>
      <vt:variant>
        <vt:i4>5</vt:i4>
      </vt:variant>
      <vt:variant>
        <vt:lpwstr/>
      </vt:variant>
      <vt:variant>
        <vt:lpwstr>_Toc129265510</vt:lpwstr>
      </vt:variant>
      <vt:variant>
        <vt:i4>1179707</vt:i4>
      </vt:variant>
      <vt:variant>
        <vt:i4>35</vt:i4>
      </vt:variant>
      <vt:variant>
        <vt:i4>0</vt:i4>
      </vt:variant>
      <vt:variant>
        <vt:i4>5</vt:i4>
      </vt:variant>
      <vt:variant>
        <vt:lpwstr/>
      </vt:variant>
      <vt:variant>
        <vt:lpwstr>_Toc129265509</vt:lpwstr>
      </vt:variant>
      <vt:variant>
        <vt:i4>1179707</vt:i4>
      </vt:variant>
      <vt:variant>
        <vt:i4>29</vt:i4>
      </vt:variant>
      <vt:variant>
        <vt:i4>0</vt:i4>
      </vt:variant>
      <vt:variant>
        <vt:i4>5</vt:i4>
      </vt:variant>
      <vt:variant>
        <vt:lpwstr/>
      </vt:variant>
      <vt:variant>
        <vt:lpwstr>_Toc129265508</vt:lpwstr>
      </vt:variant>
      <vt:variant>
        <vt:i4>1179707</vt:i4>
      </vt:variant>
      <vt:variant>
        <vt:i4>23</vt:i4>
      </vt:variant>
      <vt:variant>
        <vt:i4>0</vt:i4>
      </vt:variant>
      <vt:variant>
        <vt:i4>5</vt:i4>
      </vt:variant>
      <vt:variant>
        <vt:lpwstr/>
      </vt:variant>
      <vt:variant>
        <vt:lpwstr>_Toc129265507</vt:lpwstr>
      </vt:variant>
      <vt:variant>
        <vt:i4>1179707</vt:i4>
      </vt:variant>
      <vt:variant>
        <vt:i4>17</vt:i4>
      </vt:variant>
      <vt:variant>
        <vt:i4>0</vt:i4>
      </vt:variant>
      <vt:variant>
        <vt:i4>5</vt:i4>
      </vt:variant>
      <vt:variant>
        <vt:lpwstr/>
      </vt:variant>
      <vt:variant>
        <vt:lpwstr>_Toc129265506</vt:lpwstr>
      </vt:variant>
      <vt:variant>
        <vt:i4>2752636</vt:i4>
      </vt:variant>
      <vt:variant>
        <vt:i4>12</vt:i4>
      </vt:variant>
      <vt:variant>
        <vt:i4>0</vt:i4>
      </vt:variant>
      <vt:variant>
        <vt:i4>5</vt:i4>
      </vt:variant>
      <vt:variant>
        <vt:lpwstr>https://download.asic.gov.au/media/4zujamd3/cris-asic-industry-funding-model-2021-22-for-feedback-published-6-june-2022.pdf</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3211304</vt:i4>
      </vt:variant>
      <vt:variant>
        <vt:i4>6</vt:i4>
      </vt:variant>
      <vt:variant>
        <vt:i4>0</vt:i4>
      </vt:variant>
      <vt:variant>
        <vt:i4>5</vt:i4>
      </vt:variant>
      <vt:variant>
        <vt:lpwstr>https://asic.gov.au/about-asic/news-centre/find-a-media-release/2020-releases/20-134mr-industry-funding-asic-publishes-cost-recovery-implementation-statement-2019-20-for-feedback/</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8126501</vt:i4>
      </vt:variant>
      <vt:variant>
        <vt:i4>0</vt:i4>
      </vt:variant>
      <vt:variant>
        <vt:i4>0</vt:i4>
      </vt:variant>
      <vt:variant>
        <vt:i4>5</vt:i4>
      </vt:variant>
      <vt:variant>
        <vt:lpwstr>https://asic.gov.au/about-asic/news-centre/find-a-media-release/2017-releases/17-334mr-industry-funding-asic-publishes-estimated-regulation-costs-for-2017-18/</vt:lpwstr>
      </vt:variant>
      <vt:variant>
        <vt:lpwstr/>
      </vt:variant>
      <vt:variant>
        <vt:i4>2228277</vt:i4>
      </vt:variant>
      <vt:variant>
        <vt:i4>0</vt:i4>
      </vt:variant>
      <vt:variant>
        <vt:i4>0</vt:i4>
      </vt:variant>
      <vt:variant>
        <vt:i4>5</vt:i4>
      </vt:variant>
      <vt:variant>
        <vt:lpwstr>https://archive.budget.gov.au/2021-22/myefo/download/myefo-2021-22.pdf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Securities and Investments Commission Industry Funding Model Final Report</dc:title>
  <dc:subject/>
  <dc:creator>Treasury</dc:creator>
  <cp:keywords/>
  <cp:lastModifiedBy>Hill, Christine</cp:lastModifiedBy>
  <cp:revision>4</cp:revision>
  <cp:lastPrinted>2023-06-22T07:58:00Z</cp:lastPrinted>
  <dcterms:created xsi:type="dcterms:W3CDTF">2023-06-22T07:58:00Z</dcterms:created>
  <dcterms:modified xsi:type="dcterms:W3CDTF">2023-06-22T22:50:00Z</dcterms:modified>
</cp:coreProperties>
</file>