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28DD4" w14:textId="77777777" w:rsidR="00E24AA1" w:rsidRDefault="002F5302" w:rsidP="00E24AA1">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2022</w:t>
      </w:r>
      <w:r w:rsidR="00041348">
        <w:t>–2023</w:t>
      </w:r>
    </w:p>
    <w:p w14:paraId="62F7CD37" w14:textId="77777777" w:rsidR="00E24AA1" w:rsidRDefault="00E24AA1" w:rsidP="00E24AA1">
      <w:pPr>
        <w:pStyle w:val="Baseparagraphcentred"/>
      </w:pPr>
    </w:p>
    <w:p w14:paraId="57889098" w14:textId="77777777" w:rsidR="00E24AA1" w:rsidRDefault="00E24AA1" w:rsidP="00E24AA1">
      <w:pPr>
        <w:pStyle w:val="Baseparagraphcentred"/>
      </w:pPr>
      <w:r>
        <w:t>THE PARLIAMENT OF THE COMMONWEALTH OF AUSTRALIA</w:t>
      </w:r>
    </w:p>
    <w:p w14:paraId="2D1FFA5A" w14:textId="77777777" w:rsidR="00E24AA1" w:rsidRDefault="00E24AA1" w:rsidP="00E24AA1">
      <w:pPr>
        <w:pStyle w:val="Baseparagraphcentred"/>
      </w:pPr>
    </w:p>
    <w:p w14:paraId="3ED40E16" w14:textId="77777777" w:rsidR="00E24AA1" w:rsidRDefault="00E24AA1" w:rsidP="00E24AA1">
      <w:pPr>
        <w:pStyle w:val="Baseparagraphcentred"/>
      </w:pPr>
    </w:p>
    <w:p w14:paraId="682D2F17" w14:textId="77777777" w:rsidR="00E24AA1" w:rsidRDefault="00E24AA1" w:rsidP="00E24AA1">
      <w:pPr>
        <w:pStyle w:val="Baseparagraphcentred"/>
      </w:pPr>
    </w:p>
    <w:p w14:paraId="2874820A" w14:textId="2DDE0B05" w:rsidR="00E24AA1" w:rsidRDefault="000944D1" w:rsidP="00E24AA1">
      <w:pPr>
        <w:pStyle w:val="Baseparagraphcentred"/>
      </w:pPr>
      <w:r>
        <w:t>HOUSE OF REPRESENTATIVES</w:t>
      </w:r>
    </w:p>
    <w:p w14:paraId="18AD76B4" w14:textId="77777777" w:rsidR="00E24AA1" w:rsidRDefault="00E24AA1" w:rsidP="00E24AA1">
      <w:pPr>
        <w:pStyle w:val="Baseparagraphcentred"/>
      </w:pPr>
    </w:p>
    <w:p w14:paraId="51AF8C4A" w14:textId="77777777" w:rsidR="00E24AA1" w:rsidRDefault="00E24AA1" w:rsidP="00E24AA1">
      <w:pPr>
        <w:pStyle w:val="Baseparagraphcentred"/>
      </w:pPr>
    </w:p>
    <w:p w14:paraId="56A5D5DD" w14:textId="77777777" w:rsidR="00E24AA1" w:rsidRDefault="00E24AA1" w:rsidP="00E24AA1">
      <w:pPr>
        <w:pStyle w:val="Baseparagraphcentred"/>
        <w:pBdr>
          <w:bottom w:val="single" w:sz="4" w:space="1" w:color="auto"/>
        </w:pBdr>
      </w:pPr>
    </w:p>
    <w:p w14:paraId="330A571A" w14:textId="4713EAFB" w:rsidR="00E24AA1" w:rsidRPr="00E24AA1" w:rsidRDefault="007D1A1A" w:rsidP="00E24AA1">
      <w:pPr>
        <w:pStyle w:val="BillName"/>
      </w:pPr>
      <w:bookmarkStart w:id="6" w:name="BillName"/>
      <w:bookmarkEnd w:id="6"/>
      <w:r>
        <w:t>Treasury Laws Amendment (Measures for Future Bills) Bill 2023: income tax amendments for updates to accounting standards for</w:t>
      </w:r>
      <w:r w:rsidR="005F3141">
        <w:t xml:space="preserve"> general</w:t>
      </w:r>
      <w:r>
        <w:t xml:space="preserve"> insurance contracts</w:t>
      </w:r>
    </w:p>
    <w:p w14:paraId="2EBC55CA" w14:textId="77777777" w:rsidR="00E24AA1" w:rsidRDefault="00E24AA1" w:rsidP="00E24AA1">
      <w:pPr>
        <w:pStyle w:val="Baseparagraphcentred"/>
        <w:pBdr>
          <w:top w:val="single" w:sz="4" w:space="1" w:color="auto"/>
        </w:pBdr>
      </w:pPr>
    </w:p>
    <w:p w14:paraId="0A33FBF4" w14:textId="77777777" w:rsidR="00E24AA1" w:rsidRDefault="00E24AA1" w:rsidP="00E24AA1">
      <w:pPr>
        <w:pStyle w:val="Baseparagraphcentred"/>
      </w:pPr>
    </w:p>
    <w:p w14:paraId="075583C1" w14:textId="77777777" w:rsidR="00E24AA1" w:rsidRDefault="00E24AA1" w:rsidP="00E24AA1">
      <w:pPr>
        <w:pStyle w:val="Baseparagraphcentred"/>
      </w:pPr>
    </w:p>
    <w:p w14:paraId="76AC3ADB" w14:textId="77777777" w:rsidR="00E24AA1" w:rsidRDefault="00E24AA1" w:rsidP="00E24AA1">
      <w:pPr>
        <w:pStyle w:val="Baseparagraphcentred"/>
      </w:pPr>
    </w:p>
    <w:p w14:paraId="59641F90" w14:textId="77777777" w:rsidR="0024099F" w:rsidRDefault="0024099F" w:rsidP="00E24AA1">
      <w:pPr>
        <w:pStyle w:val="Baseparagraphcentred"/>
      </w:pPr>
      <w:r>
        <w:t>EXPOSURE DRAFT EXPLANATORY MATERIALS</w:t>
      </w:r>
    </w:p>
    <w:p w14:paraId="62AF7846" w14:textId="69180426" w:rsidR="00E24AA1" w:rsidRDefault="00E24AA1" w:rsidP="00E24AA1">
      <w:pPr>
        <w:pStyle w:val="Baseparagraphcentred"/>
      </w:pPr>
    </w:p>
    <w:p w14:paraId="00A5FFFB" w14:textId="77777777" w:rsidR="00E24AA1" w:rsidRDefault="00E24AA1" w:rsidP="00E24AA1">
      <w:pPr>
        <w:pStyle w:val="Baseparagraphcentred"/>
      </w:pPr>
    </w:p>
    <w:p w14:paraId="7B59FEE5" w14:textId="77777777" w:rsidR="00E24AA1" w:rsidRDefault="00E24AA1" w:rsidP="00E24AA1">
      <w:pPr>
        <w:pStyle w:val="ParaCentredNoSpacing"/>
      </w:pPr>
    </w:p>
    <w:p w14:paraId="469498AB" w14:textId="77777777" w:rsidR="00E24AA1" w:rsidRPr="00967273" w:rsidRDefault="00E24AA1" w:rsidP="00E24AA1">
      <w:pPr>
        <w:pStyle w:val="Normalparatextnonumbers"/>
        <w:jc w:val="center"/>
        <w:rPr>
          <w:rFonts w:cs="Calibri"/>
          <w:color w:val="000000" w:themeColor="text1"/>
        </w:rPr>
      </w:pPr>
    </w:p>
    <w:p w14:paraId="3607B067" w14:textId="77777777" w:rsidR="00873094" w:rsidRDefault="00873094" w:rsidP="00873094">
      <w:pPr>
        <w:pStyle w:val="Normalparatextnonumbers"/>
      </w:pPr>
    </w:p>
    <w:p w14:paraId="60071F2E" w14:textId="77777777" w:rsidR="00E24AA1" w:rsidRPr="00020288" w:rsidRDefault="00E24AA1" w:rsidP="00873094">
      <w:pPr>
        <w:pStyle w:val="Normalparatextnonumbers"/>
      </w:pPr>
    </w:p>
    <w:p w14:paraId="0C4417A8" w14:textId="77777777" w:rsidR="00873094" w:rsidRPr="00020288" w:rsidRDefault="00873094" w:rsidP="00873094">
      <w:pPr>
        <w:pStyle w:val="TOC1"/>
        <w:sectPr w:rsidR="00873094" w:rsidRPr="00020288" w:rsidSect="00000BFC">
          <w:headerReference w:type="even" r:id="rId12"/>
          <w:headerReference w:type="default" r:id="rId13"/>
          <w:footerReference w:type="even" r:id="rId14"/>
          <w:footerReference w:type="default" r:id="rId15"/>
          <w:headerReference w:type="first" r:id="rId16"/>
          <w:footerReference w:type="first" r:id="rId17"/>
          <w:type w:val="oddPage"/>
          <w:pgSz w:w="9979" w:h="14175" w:code="138"/>
          <w:pgMar w:top="567" w:right="1134" w:bottom="567" w:left="1134" w:header="709" w:footer="709" w:gutter="0"/>
          <w:cols w:space="708"/>
          <w:titlePg/>
          <w:docGrid w:linePitch="360"/>
        </w:sectPr>
      </w:pPr>
    </w:p>
    <w:p w14:paraId="2B4C49BF" w14:textId="77777777" w:rsidR="00873094" w:rsidRPr="00020288" w:rsidRDefault="00873094" w:rsidP="00873094">
      <w:pPr>
        <w:pStyle w:val="TOCHeading"/>
      </w:pPr>
      <w:bookmarkStart w:id="7" w:name="_Toc80172450"/>
      <w:bookmarkStart w:id="8" w:name="_Toc80197114"/>
      <w:bookmarkStart w:id="9" w:name="_Toc81852681"/>
      <w:bookmarkEnd w:id="0"/>
      <w:bookmarkEnd w:id="1"/>
      <w:bookmarkEnd w:id="2"/>
      <w:bookmarkEnd w:id="3"/>
      <w:bookmarkEnd w:id="4"/>
      <w:r w:rsidRPr="00020288">
        <w:lastRenderedPageBreak/>
        <w:t>Table of Contents</w:t>
      </w:r>
      <w:bookmarkStart w:id="10" w:name="_Toc78549733"/>
      <w:bookmarkStart w:id="11" w:name="_Toc78549778"/>
      <w:bookmarkStart w:id="12" w:name="_Toc80097483"/>
      <w:bookmarkStart w:id="13" w:name="_Toc80097777"/>
      <w:bookmarkStart w:id="14" w:name="_Toc80115276"/>
      <w:bookmarkStart w:id="15" w:name="_Toc80172451"/>
      <w:bookmarkStart w:id="16" w:name="_Toc80197115"/>
      <w:bookmarkStart w:id="17" w:name="_Toc81852682"/>
      <w:bookmarkStart w:id="18" w:name="_Toc81852727"/>
      <w:bookmarkEnd w:id="7"/>
      <w:bookmarkEnd w:id="8"/>
      <w:bookmarkEnd w:id="9"/>
    </w:p>
    <w:p w14:paraId="5E0B808C" w14:textId="3A66AF0D" w:rsidR="00A751A4" w:rsidRDefault="00873094">
      <w:pPr>
        <w:pStyle w:val="TOC1"/>
        <w:rPr>
          <w:rFonts w:asciiTheme="minorHAnsi" w:eastAsiaTheme="minorEastAsia" w:hAnsiTheme="minorHAnsi" w:cstheme="minorBidi"/>
          <w:bCs w:val="0"/>
          <w:noProof/>
          <w:sz w:val="22"/>
          <w:szCs w:val="22"/>
          <w:lang w:eastAsia="en-AU"/>
        </w:rPr>
      </w:pPr>
      <w:r w:rsidRPr="00BC2E4A">
        <w:fldChar w:fldCharType="begin"/>
      </w:r>
      <w:r w:rsidRPr="00BC2E4A">
        <w:instrText xml:space="preserve"> TOC \o "1-1" \u </w:instrText>
      </w:r>
      <w:r w:rsidRPr="00BC2E4A">
        <w:fldChar w:fldCharType="separate"/>
      </w:r>
      <w:r w:rsidR="00A751A4">
        <w:rPr>
          <w:noProof/>
        </w:rPr>
        <w:t>Glossary</w:t>
      </w:r>
      <w:r w:rsidR="00A751A4">
        <w:rPr>
          <w:noProof/>
        </w:rPr>
        <w:tab/>
      </w:r>
      <w:r w:rsidR="00A751A4">
        <w:rPr>
          <w:noProof/>
        </w:rPr>
        <w:tab/>
      </w:r>
      <w:r w:rsidR="00A751A4">
        <w:rPr>
          <w:noProof/>
        </w:rPr>
        <w:fldChar w:fldCharType="begin"/>
      </w:r>
      <w:r w:rsidR="00A751A4">
        <w:rPr>
          <w:noProof/>
        </w:rPr>
        <w:instrText xml:space="preserve"> PAGEREF _Toc138942699 \h </w:instrText>
      </w:r>
      <w:r w:rsidR="00A751A4">
        <w:rPr>
          <w:noProof/>
        </w:rPr>
      </w:r>
      <w:r w:rsidR="00A751A4">
        <w:rPr>
          <w:noProof/>
        </w:rPr>
        <w:fldChar w:fldCharType="separate"/>
      </w:r>
      <w:r w:rsidR="00E00D89">
        <w:rPr>
          <w:noProof/>
        </w:rPr>
        <w:t>iii</w:t>
      </w:r>
      <w:r w:rsidR="00A751A4">
        <w:rPr>
          <w:noProof/>
        </w:rPr>
        <w:fldChar w:fldCharType="end"/>
      </w:r>
    </w:p>
    <w:p w14:paraId="7A4F7404" w14:textId="5ADC7D28" w:rsidR="00A751A4" w:rsidRDefault="00A751A4">
      <w:pPr>
        <w:pStyle w:val="TOC1"/>
        <w:rPr>
          <w:rFonts w:asciiTheme="minorHAnsi" w:eastAsiaTheme="minorEastAsia" w:hAnsiTheme="minorHAnsi" w:cstheme="minorBidi"/>
          <w:bCs w:val="0"/>
          <w:noProof/>
          <w:sz w:val="22"/>
          <w:szCs w:val="22"/>
          <w:lang w:eastAsia="en-AU"/>
        </w:rPr>
      </w:pPr>
      <w:r w:rsidRPr="00134B3D">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sz w:val="22"/>
          <w:szCs w:val="22"/>
          <w:lang w:eastAsia="en-AU"/>
        </w:rPr>
        <w:tab/>
      </w:r>
      <w:r>
        <w:rPr>
          <w:noProof/>
        </w:rPr>
        <w:t>Income tax amendments for updates to accounting standards for general insurance contracts</w:t>
      </w:r>
      <w:r>
        <w:rPr>
          <w:noProof/>
        </w:rPr>
        <w:tab/>
      </w:r>
      <w:r>
        <w:rPr>
          <w:noProof/>
        </w:rPr>
        <w:fldChar w:fldCharType="begin"/>
      </w:r>
      <w:r>
        <w:rPr>
          <w:noProof/>
        </w:rPr>
        <w:instrText xml:space="preserve"> PAGEREF _Toc138942700 \h </w:instrText>
      </w:r>
      <w:r>
        <w:rPr>
          <w:noProof/>
        </w:rPr>
      </w:r>
      <w:r>
        <w:rPr>
          <w:noProof/>
        </w:rPr>
        <w:fldChar w:fldCharType="separate"/>
      </w:r>
      <w:r w:rsidR="00E00D89">
        <w:rPr>
          <w:noProof/>
        </w:rPr>
        <w:t>5</w:t>
      </w:r>
      <w:r>
        <w:rPr>
          <w:noProof/>
        </w:rPr>
        <w:fldChar w:fldCharType="end"/>
      </w:r>
    </w:p>
    <w:p w14:paraId="36308476" w14:textId="5522B2A4" w:rsidR="00873094" w:rsidRPr="00020288" w:rsidRDefault="00873094" w:rsidP="00BC2E4A">
      <w:pPr>
        <w:pStyle w:val="TOC1"/>
      </w:pPr>
      <w:r w:rsidRPr="00BC2E4A">
        <w:fldChar w:fldCharType="end"/>
      </w:r>
    </w:p>
    <w:p w14:paraId="3CF1E536" w14:textId="77777777" w:rsidR="00873094" w:rsidRPr="00020288" w:rsidRDefault="00873094" w:rsidP="00873094"/>
    <w:p w14:paraId="26F31ABE" w14:textId="77777777" w:rsidR="00873094" w:rsidRPr="00020288" w:rsidRDefault="00873094" w:rsidP="00873094"/>
    <w:p w14:paraId="5755A17F" w14:textId="77777777" w:rsidR="00873094" w:rsidRPr="00020288" w:rsidRDefault="00873094" w:rsidP="00873094">
      <w:pPr>
        <w:sectPr w:rsidR="00873094" w:rsidRPr="00020288" w:rsidSect="00000BFC">
          <w:headerReference w:type="even" r:id="rId18"/>
          <w:headerReference w:type="default" r:id="rId19"/>
          <w:footerReference w:type="even" r:id="rId20"/>
          <w:footerReference w:type="default" r:id="rId21"/>
          <w:headerReference w:type="first" r:id="rId22"/>
          <w:footerReference w:type="first" r:id="rId23"/>
          <w:type w:val="oddPage"/>
          <w:pgSz w:w="9979" w:h="14175" w:code="9"/>
          <w:pgMar w:top="567" w:right="1134" w:bottom="567" w:left="1134" w:header="709" w:footer="709" w:gutter="0"/>
          <w:pgNumType w:start="1"/>
          <w:cols w:space="708"/>
          <w:titlePg/>
          <w:docGrid w:linePitch="360"/>
        </w:sectPr>
      </w:pPr>
    </w:p>
    <w:p w14:paraId="0B216101" w14:textId="77777777" w:rsidR="00873094" w:rsidRPr="00020288" w:rsidRDefault="00873094" w:rsidP="00873094">
      <w:pPr>
        <w:pStyle w:val="Heading1"/>
        <w:rPr>
          <w:rFonts w:hint="eastAsia"/>
        </w:rPr>
      </w:pPr>
      <w:bookmarkStart w:id="19" w:name="_Toc82021619"/>
      <w:bookmarkStart w:id="20" w:name="_Toc82067318"/>
      <w:bookmarkStart w:id="21" w:name="_Toc82072959"/>
      <w:bookmarkStart w:id="22" w:name="_Toc82073275"/>
      <w:bookmarkStart w:id="23" w:name="_Toc82073912"/>
      <w:bookmarkStart w:id="24" w:name="_Toc82074016"/>
      <w:bookmarkStart w:id="25" w:name="_Toc138942699"/>
      <w:r w:rsidRPr="00020288">
        <w:lastRenderedPageBreak/>
        <w:t>Glossary</w:t>
      </w:r>
      <w:bookmarkStart w:id="26" w:name="_Toc485286223"/>
      <w:bookmarkStart w:id="27" w:name="_Toc78193244"/>
      <w:bookmarkStart w:id="28" w:name="_Toc7819340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A930B01"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230025C4" w14:textId="77777777" w:rsidTr="2DD2A6DF">
        <w:tc>
          <w:tcPr>
            <w:tcW w:w="3776" w:type="dxa"/>
            <w:shd w:val="clear" w:color="auto" w:fill="auto"/>
          </w:tcPr>
          <w:p w14:paraId="1619DC37" w14:textId="77777777" w:rsidR="00873094" w:rsidRPr="002E7A73" w:rsidRDefault="00873094" w:rsidP="00B7393A">
            <w:pPr>
              <w:pStyle w:val="Tableheaderrowtext"/>
            </w:pPr>
            <w:bookmarkStart w:id="29" w:name="GlossaryTableStart"/>
            <w:bookmarkEnd w:id="29"/>
            <w:r w:rsidRPr="002E7A73">
              <w:t>Abbreviation</w:t>
            </w:r>
          </w:p>
        </w:tc>
        <w:tc>
          <w:tcPr>
            <w:tcW w:w="3874" w:type="dxa"/>
            <w:shd w:val="clear" w:color="auto" w:fill="auto"/>
          </w:tcPr>
          <w:p w14:paraId="7921DBF4" w14:textId="77777777" w:rsidR="00873094" w:rsidRPr="002E7A73" w:rsidRDefault="00873094" w:rsidP="00B7393A">
            <w:pPr>
              <w:pStyle w:val="Tableheaderrowtext"/>
            </w:pPr>
            <w:r w:rsidRPr="002E7A73">
              <w:t>Definition</w:t>
            </w:r>
          </w:p>
        </w:tc>
      </w:tr>
      <w:tr w:rsidR="003E1DE1" w:rsidRPr="00020288" w14:paraId="5B9D69A7" w14:textId="77777777" w:rsidTr="2DD2A6DF">
        <w:tc>
          <w:tcPr>
            <w:tcW w:w="3776" w:type="dxa"/>
          </w:tcPr>
          <w:p w14:paraId="4E82E13D" w14:textId="77777777" w:rsidR="003E1DE1" w:rsidRPr="00020288" w:rsidRDefault="003E1DE1">
            <w:pPr>
              <w:pStyle w:val="Normalparatextnonumbers"/>
            </w:pPr>
            <w:r>
              <w:t>AASB 17</w:t>
            </w:r>
          </w:p>
        </w:tc>
        <w:tc>
          <w:tcPr>
            <w:tcW w:w="3874" w:type="dxa"/>
          </w:tcPr>
          <w:p w14:paraId="0E07C857" w14:textId="77777777" w:rsidR="003E1DE1" w:rsidRPr="00020288" w:rsidRDefault="003E1DE1">
            <w:pPr>
              <w:pStyle w:val="Normalparatextnonumbers"/>
            </w:pPr>
            <w:r>
              <w:t xml:space="preserve">Australian Accounting Standards Board Accounting Standard 17 </w:t>
            </w:r>
            <w:r>
              <w:rPr>
                <w:i/>
                <w:iCs/>
              </w:rPr>
              <w:t>Insurance Contracts</w:t>
            </w:r>
            <w:r>
              <w:t xml:space="preserve"> </w:t>
            </w:r>
          </w:p>
        </w:tc>
      </w:tr>
      <w:tr w:rsidR="00650263" w:rsidRPr="00020288" w14:paraId="5DC511A9" w14:textId="77777777" w:rsidTr="2DD2A6DF">
        <w:tc>
          <w:tcPr>
            <w:tcW w:w="3776" w:type="dxa"/>
          </w:tcPr>
          <w:p w14:paraId="2E397BB4" w14:textId="4916D844" w:rsidR="00650263" w:rsidRDefault="00650263">
            <w:pPr>
              <w:pStyle w:val="Normalparatextnonumbers"/>
            </w:pPr>
            <w:r>
              <w:t>AASB 1023</w:t>
            </w:r>
          </w:p>
        </w:tc>
        <w:tc>
          <w:tcPr>
            <w:tcW w:w="3874" w:type="dxa"/>
          </w:tcPr>
          <w:p w14:paraId="6E4B6741" w14:textId="36715B68" w:rsidR="00650263" w:rsidRDefault="00510D73">
            <w:pPr>
              <w:pStyle w:val="Normalparatextnonumbers"/>
            </w:pPr>
            <w:r>
              <w:t xml:space="preserve">Australian Accounting Standards Board Accounting Standard 1023 </w:t>
            </w:r>
            <w:r>
              <w:rPr>
                <w:i/>
                <w:iCs/>
              </w:rPr>
              <w:t>General Insurance Contracts</w:t>
            </w:r>
          </w:p>
        </w:tc>
      </w:tr>
      <w:tr w:rsidR="00E12EC6" w:rsidRPr="00020288" w14:paraId="4507161F" w14:textId="77777777" w:rsidTr="2DD2A6DF">
        <w:tc>
          <w:tcPr>
            <w:tcW w:w="3776" w:type="dxa"/>
          </w:tcPr>
          <w:p w14:paraId="0ECEF2C8" w14:textId="4C47181C" w:rsidR="00E12EC6" w:rsidRDefault="00E12EC6">
            <w:pPr>
              <w:pStyle w:val="Normalparatextnonumbers"/>
            </w:pPr>
            <w:r>
              <w:t>Bill</w:t>
            </w:r>
          </w:p>
        </w:tc>
        <w:tc>
          <w:tcPr>
            <w:tcW w:w="3874" w:type="dxa"/>
          </w:tcPr>
          <w:p w14:paraId="34448DF7" w14:textId="352D4D3B" w:rsidR="00E12EC6" w:rsidRDefault="7281C1C0">
            <w:pPr>
              <w:pStyle w:val="Normalparatextnonumbers"/>
            </w:pPr>
            <w:r>
              <w:t xml:space="preserve">Treasury </w:t>
            </w:r>
            <w:r w:rsidR="63913A83">
              <w:t>Laws Amendment (Measures for Future Bills) Bill 2023</w:t>
            </w:r>
            <w:r w:rsidR="6C7E35A3">
              <w:t>: income tax amendments for updates to accounting standard</w:t>
            </w:r>
            <w:r w:rsidR="00D156BD">
              <w:t>s</w:t>
            </w:r>
            <w:r w:rsidR="6C7E35A3">
              <w:t xml:space="preserve"> for general insurance contracts</w:t>
            </w:r>
          </w:p>
        </w:tc>
      </w:tr>
      <w:tr w:rsidR="007D3D68" w:rsidRPr="00020288" w14:paraId="7A4E7289" w14:textId="77777777" w:rsidTr="2DD2A6DF">
        <w:tc>
          <w:tcPr>
            <w:tcW w:w="3776" w:type="dxa"/>
          </w:tcPr>
          <w:p w14:paraId="75463A6C" w14:textId="1BF7B6DA" w:rsidR="007D3D68" w:rsidRDefault="007D3D68">
            <w:pPr>
              <w:pStyle w:val="Normalparatextnonumbers"/>
            </w:pPr>
            <w:r>
              <w:t>Commissioner</w:t>
            </w:r>
          </w:p>
        </w:tc>
        <w:tc>
          <w:tcPr>
            <w:tcW w:w="3874" w:type="dxa"/>
          </w:tcPr>
          <w:p w14:paraId="223C31C7" w14:textId="15155511" w:rsidR="007D3D68" w:rsidRDefault="007D3D68">
            <w:pPr>
              <w:pStyle w:val="Normalparatextnonumbers"/>
            </w:pPr>
            <w:r>
              <w:t>Commissioner of Taxation</w:t>
            </w:r>
          </w:p>
        </w:tc>
      </w:tr>
      <w:tr w:rsidR="00873094" w:rsidRPr="00020288" w14:paraId="5E302E9E" w14:textId="77777777" w:rsidTr="2DD2A6DF">
        <w:tc>
          <w:tcPr>
            <w:tcW w:w="3776" w:type="dxa"/>
          </w:tcPr>
          <w:p w14:paraId="57B58913" w14:textId="7B89E02D" w:rsidR="00873094" w:rsidRPr="00020288" w:rsidRDefault="003402A2" w:rsidP="00DD50B9">
            <w:pPr>
              <w:pStyle w:val="Normalparatextnonumbers"/>
            </w:pPr>
            <w:r>
              <w:t>ITAA 1936</w:t>
            </w:r>
          </w:p>
        </w:tc>
        <w:tc>
          <w:tcPr>
            <w:tcW w:w="3874" w:type="dxa"/>
          </w:tcPr>
          <w:p w14:paraId="6A587292" w14:textId="1604CB9D" w:rsidR="00873094" w:rsidRPr="00692424" w:rsidRDefault="003402A2" w:rsidP="002425D9">
            <w:pPr>
              <w:pStyle w:val="Normalparatextnonumbers"/>
              <w:rPr>
                <w:i/>
                <w:iCs/>
              </w:rPr>
            </w:pPr>
            <w:r>
              <w:rPr>
                <w:i/>
                <w:iCs/>
              </w:rPr>
              <w:t>In</w:t>
            </w:r>
            <w:r w:rsidR="00DD50B9">
              <w:rPr>
                <w:i/>
                <w:iCs/>
              </w:rPr>
              <w:t>come Tax Assessment Act 1936</w:t>
            </w:r>
          </w:p>
        </w:tc>
      </w:tr>
      <w:tr w:rsidR="00873094" w:rsidRPr="00020288" w14:paraId="6821766D" w14:textId="77777777" w:rsidTr="2DD2A6DF">
        <w:tc>
          <w:tcPr>
            <w:tcW w:w="3776" w:type="dxa"/>
          </w:tcPr>
          <w:p w14:paraId="79794C98" w14:textId="673F3B4E" w:rsidR="00873094" w:rsidRPr="00020288" w:rsidRDefault="00DD50B9" w:rsidP="002425D9">
            <w:pPr>
              <w:pStyle w:val="Normalparatextnonumbers"/>
            </w:pPr>
            <w:r>
              <w:t>ITAA 1997</w:t>
            </w:r>
          </w:p>
        </w:tc>
        <w:tc>
          <w:tcPr>
            <w:tcW w:w="3874" w:type="dxa"/>
          </w:tcPr>
          <w:p w14:paraId="3D7C6452" w14:textId="2FA0FAB3" w:rsidR="00873094" w:rsidRPr="00692424" w:rsidRDefault="00DD50B9" w:rsidP="002425D9">
            <w:pPr>
              <w:pStyle w:val="Normalparatextnonumbers"/>
              <w:rPr>
                <w:i/>
                <w:iCs/>
              </w:rPr>
            </w:pPr>
            <w:r>
              <w:rPr>
                <w:i/>
                <w:iCs/>
              </w:rPr>
              <w:t>Income Tax Assessment Act 1997</w:t>
            </w:r>
          </w:p>
        </w:tc>
      </w:tr>
    </w:tbl>
    <w:p w14:paraId="3F14FFF4" w14:textId="77777777" w:rsidR="00873094" w:rsidRPr="00020288" w:rsidRDefault="00873094" w:rsidP="00873094"/>
    <w:p w14:paraId="5B4004D5" w14:textId="77777777" w:rsidR="00873094" w:rsidRPr="00020288" w:rsidRDefault="00873094" w:rsidP="00873094"/>
    <w:p w14:paraId="42064BBA" w14:textId="77777777" w:rsidR="00873094" w:rsidRPr="00020288" w:rsidRDefault="00873094" w:rsidP="00873094">
      <w:pPr>
        <w:pStyle w:val="Heading1"/>
        <w:rPr>
          <w:rFonts w:hint="eastAsia"/>
        </w:rPr>
        <w:sectPr w:rsidR="00873094" w:rsidRPr="00020288" w:rsidSect="00000BFC">
          <w:headerReference w:type="even" r:id="rId24"/>
          <w:headerReference w:type="default" r:id="rId25"/>
          <w:footerReference w:type="even" r:id="rId26"/>
          <w:footerReference w:type="default" r:id="rId27"/>
          <w:headerReference w:type="first" r:id="rId28"/>
          <w:footerReference w:type="first" r:id="rId29"/>
          <w:type w:val="oddPage"/>
          <w:pgSz w:w="9979" w:h="14175" w:code="9"/>
          <w:pgMar w:top="567" w:right="1134" w:bottom="567" w:left="1134" w:header="709" w:footer="709" w:gutter="0"/>
          <w:pgNumType w:fmt="lowerRoman"/>
          <w:cols w:space="708"/>
          <w:docGrid w:linePitch="360"/>
        </w:sectPr>
      </w:pPr>
      <w:bookmarkStart w:id="30" w:name="_Toc78548464"/>
      <w:bookmarkStart w:id="31" w:name="_Toc78549735"/>
      <w:bookmarkStart w:id="32" w:name="_Toc78549780"/>
      <w:bookmarkStart w:id="33" w:name="_Toc80097484"/>
      <w:bookmarkStart w:id="34" w:name="_Toc80097778"/>
      <w:bookmarkStart w:id="35" w:name="_Toc80115277"/>
      <w:bookmarkStart w:id="36" w:name="_Toc80172452"/>
      <w:bookmarkStart w:id="37" w:name="_Toc80197116"/>
      <w:bookmarkStart w:id="38" w:name="_Toc81852683"/>
      <w:bookmarkStart w:id="39" w:name="_Toc81852728"/>
    </w:p>
    <w:p w14:paraId="006FBF49" w14:textId="37194E7A" w:rsidR="00873094" w:rsidRPr="0073326A" w:rsidRDefault="000A69F0" w:rsidP="00777A92">
      <w:pPr>
        <w:pStyle w:val="Chapterheading"/>
        <w:rPr>
          <w:rFonts w:hint="eastAsia"/>
        </w:rPr>
      </w:pPr>
      <w:bookmarkStart w:id="40" w:name="GeneralOutline"/>
      <w:bookmarkStart w:id="41" w:name="_Toc138942700"/>
      <w:bookmarkEnd w:id="26"/>
      <w:bookmarkEnd w:id="27"/>
      <w:bookmarkEnd w:id="28"/>
      <w:bookmarkEnd w:id="30"/>
      <w:bookmarkEnd w:id="31"/>
      <w:bookmarkEnd w:id="32"/>
      <w:bookmarkEnd w:id="33"/>
      <w:bookmarkEnd w:id="34"/>
      <w:bookmarkEnd w:id="35"/>
      <w:bookmarkEnd w:id="36"/>
      <w:bookmarkEnd w:id="37"/>
      <w:bookmarkEnd w:id="38"/>
      <w:bookmarkEnd w:id="39"/>
      <w:bookmarkEnd w:id="40"/>
      <w:r w:rsidRPr="000A69F0">
        <w:lastRenderedPageBreak/>
        <w:t>Income tax amendments for updates to accounting standards for general insurance contracts</w:t>
      </w:r>
      <w:bookmarkEnd w:id="41"/>
    </w:p>
    <w:p w14:paraId="1E55918D" w14:textId="77777777" w:rsidR="00873094" w:rsidRPr="00020288" w:rsidRDefault="00873094" w:rsidP="005D0844">
      <w:pPr>
        <w:pStyle w:val="Heading2"/>
        <w:rPr>
          <w:rFonts w:hint="eastAsia"/>
        </w:rPr>
      </w:pPr>
      <w:r w:rsidRPr="00020288">
        <w:t xml:space="preserve">Outline </w:t>
      </w:r>
      <w:r w:rsidRPr="005D0844">
        <w:t>of</w:t>
      </w:r>
      <w:r w:rsidRPr="00020288">
        <w:t xml:space="preserve"> chapter</w:t>
      </w:r>
    </w:p>
    <w:p w14:paraId="53BD89DE" w14:textId="2FD80534" w:rsidR="00873094" w:rsidRPr="000E521B" w:rsidRDefault="007D3D68" w:rsidP="002F0F50">
      <w:pPr>
        <w:pStyle w:val="Normalparatextnonumbers"/>
      </w:pPr>
      <w:r>
        <w:t>Schedule #</w:t>
      </w:r>
      <w:r w:rsidR="00631D4A">
        <w:t xml:space="preserve"> to the Bill</w:t>
      </w:r>
      <w:r w:rsidR="00487F64">
        <w:t xml:space="preserve"> amends the </w:t>
      </w:r>
      <w:r>
        <w:t xml:space="preserve">income </w:t>
      </w:r>
      <w:r w:rsidR="00487F64">
        <w:t>tax law</w:t>
      </w:r>
      <w:r>
        <w:t xml:space="preserve"> with respect to general insurance</w:t>
      </w:r>
      <w:r w:rsidR="00487F64">
        <w:t xml:space="preserve"> to provide broad alignment with the new AASB 17.</w:t>
      </w:r>
      <w:r>
        <w:t xml:space="preserve"> </w:t>
      </w:r>
      <w:r w:rsidR="00487F64">
        <w:t>This reduces the income tax compliance burden</w:t>
      </w:r>
      <w:r w:rsidR="00AA3E0E">
        <w:t xml:space="preserve"> on the general insurance industry</w:t>
      </w:r>
      <w:r w:rsidR="00487F64">
        <w:t xml:space="preserve"> caused by the misalignment between the </w:t>
      </w:r>
      <w:r>
        <w:t xml:space="preserve">new </w:t>
      </w:r>
      <w:r w:rsidR="00487F64">
        <w:t>AASB 17 and the existing ITAA</w:t>
      </w:r>
      <w:r w:rsidR="001631A4">
        <w:t> </w:t>
      </w:r>
      <w:r w:rsidR="00487F64">
        <w:t>1997 requirements</w:t>
      </w:r>
      <w:r w:rsidR="00AA3E0E">
        <w:t>.</w:t>
      </w:r>
    </w:p>
    <w:p w14:paraId="35D7882B" w14:textId="77777777" w:rsidR="00873094" w:rsidRPr="00020288" w:rsidRDefault="00873094" w:rsidP="005D0844">
      <w:pPr>
        <w:pStyle w:val="Heading2"/>
        <w:rPr>
          <w:rFonts w:hint="eastAsia"/>
        </w:rPr>
      </w:pPr>
      <w:r w:rsidRPr="00020288">
        <w:t xml:space="preserve">Context of </w:t>
      </w:r>
      <w:r w:rsidRPr="005D0844">
        <w:t>amendments</w:t>
      </w:r>
    </w:p>
    <w:p w14:paraId="772E5EE1" w14:textId="2258091B" w:rsidR="00D15020" w:rsidRDefault="00A45F50" w:rsidP="00873094">
      <w:pPr>
        <w:pStyle w:val="Normalparatextwithnumbers"/>
        <w:numPr>
          <w:ilvl w:val="1"/>
          <w:numId w:val="3"/>
        </w:numPr>
      </w:pPr>
      <w:r>
        <w:t xml:space="preserve">Division 321 of the ITAA </w:t>
      </w:r>
      <w:r w:rsidR="003E6896">
        <w:t>19</w:t>
      </w:r>
      <w:r>
        <w:t xml:space="preserve">97 sets out </w:t>
      </w:r>
      <w:r w:rsidR="004010FD">
        <w:t xml:space="preserve">requirements for </w:t>
      </w:r>
      <w:r w:rsidR="00CE55F0">
        <w:t>calculating tax liabilities that arise from</w:t>
      </w:r>
      <w:r>
        <w:t xml:space="preserve"> </w:t>
      </w:r>
      <w:r w:rsidR="00247184">
        <w:t xml:space="preserve">general insurance contracts. </w:t>
      </w:r>
      <w:r w:rsidR="00497E40">
        <w:t>Prior to the amendments, t</w:t>
      </w:r>
      <w:r w:rsidR="00247184">
        <w:t xml:space="preserve">he key methodologies in Division 321 </w:t>
      </w:r>
      <w:r w:rsidR="007B0674">
        <w:t>broadly align with the requirements of AASB 1023. From 1 January 2023</w:t>
      </w:r>
      <w:r w:rsidR="00DC22D0">
        <w:t>,</w:t>
      </w:r>
      <w:r w:rsidR="007B0674">
        <w:t xml:space="preserve"> </w:t>
      </w:r>
      <w:r w:rsidR="004866DD">
        <w:t xml:space="preserve">AASB </w:t>
      </w:r>
      <w:r w:rsidR="000036EC">
        <w:t xml:space="preserve">17 </w:t>
      </w:r>
      <w:r w:rsidR="00497E40">
        <w:t xml:space="preserve">replaced </w:t>
      </w:r>
      <w:r w:rsidR="000036EC">
        <w:t>AASB 1023</w:t>
      </w:r>
      <w:r w:rsidR="007B0674">
        <w:t xml:space="preserve"> </w:t>
      </w:r>
      <w:r w:rsidR="00A321D2">
        <w:t xml:space="preserve">as the mandatory methodology for accounting for insurance contracts for </w:t>
      </w:r>
      <w:r w:rsidR="006C33B0">
        <w:t>financial reporting</w:t>
      </w:r>
      <w:r w:rsidR="00A321D2">
        <w:t xml:space="preserve"> purposes.</w:t>
      </w:r>
      <w:r w:rsidR="0014198F">
        <w:t xml:space="preserve"> </w:t>
      </w:r>
    </w:p>
    <w:p w14:paraId="228202A8" w14:textId="5A95985E" w:rsidR="0085441B" w:rsidRDefault="0085441B" w:rsidP="00873094">
      <w:pPr>
        <w:pStyle w:val="Normalparatextwithnumbers"/>
        <w:numPr>
          <w:ilvl w:val="1"/>
          <w:numId w:val="3"/>
        </w:numPr>
      </w:pPr>
      <w:r>
        <w:t>The amendments seek to minimise the regulatory burden facing general insurers following the introduction of the AASB</w:t>
      </w:r>
      <w:r w:rsidR="00484239">
        <w:t xml:space="preserve"> </w:t>
      </w:r>
      <w:r>
        <w:t xml:space="preserve">17, which </w:t>
      </w:r>
      <w:r w:rsidR="7AE8EC0D">
        <w:t xml:space="preserve">fundamentally </w:t>
      </w:r>
      <w:r w:rsidR="003E6896">
        <w:t>differs from</w:t>
      </w:r>
      <w:r w:rsidR="00497E40">
        <w:t xml:space="preserve"> account</w:t>
      </w:r>
      <w:r w:rsidR="00C7086D">
        <w:t>ing standard</w:t>
      </w:r>
      <w:r w:rsidR="003E6896">
        <w:t xml:space="preserve"> AASB 1023</w:t>
      </w:r>
      <w:r>
        <w:t>. This will allow general insurers to continue using audited financial reporting information as the basis for their tax returns.</w:t>
      </w:r>
    </w:p>
    <w:p w14:paraId="6C36D9EB" w14:textId="037086F5" w:rsidR="00A7125D" w:rsidRPr="00020288" w:rsidRDefault="00A7125D" w:rsidP="00873094">
      <w:pPr>
        <w:pStyle w:val="Normalparatextwithnumbers"/>
        <w:numPr>
          <w:ilvl w:val="1"/>
          <w:numId w:val="3"/>
        </w:numPr>
      </w:pPr>
      <w:r>
        <w:t xml:space="preserve">Legislative references </w:t>
      </w:r>
      <w:r w:rsidR="006A6C42">
        <w:t xml:space="preserve">in this Chapter </w:t>
      </w:r>
      <w:r>
        <w:t>are made to the ITAA 1997 unless otherwise specified.</w:t>
      </w:r>
    </w:p>
    <w:p w14:paraId="47D1DC71" w14:textId="77777777" w:rsidR="00873094" w:rsidRPr="00020288" w:rsidRDefault="00873094" w:rsidP="00AF50CE">
      <w:pPr>
        <w:pStyle w:val="Heading2"/>
        <w:rPr>
          <w:rFonts w:hint="eastAsia"/>
        </w:rPr>
      </w:pPr>
      <w:r w:rsidRPr="00AF50CE">
        <w:t>Comparison</w:t>
      </w:r>
      <w:r w:rsidRPr="00020288">
        <w:t xml:space="preserve"> of key features of new law and current law</w:t>
      </w:r>
    </w:p>
    <w:p w14:paraId="1E4BCD5B" w14:textId="77777777" w:rsidR="00873094" w:rsidRPr="002D3B91" w:rsidRDefault="00873094" w:rsidP="00873094">
      <w:pPr>
        <w:pStyle w:val="TableHeading"/>
        <w:numPr>
          <w:ilvl w:val="4"/>
          <w:numId w:val="3"/>
        </w:numPr>
      </w:pPr>
      <w:r w:rsidRPr="002D3B91">
        <w:t>Comparison of new law and current law</w:t>
      </w:r>
    </w:p>
    <w:tbl>
      <w:tblPr>
        <w:tblStyle w:val="Treasurytable"/>
        <w:tblW w:w="0" w:type="auto"/>
        <w:tblLook w:val="01E0" w:firstRow="1" w:lastRow="1" w:firstColumn="1" w:lastColumn="1" w:noHBand="0" w:noVBand="0"/>
      </w:tblPr>
      <w:tblGrid>
        <w:gridCol w:w="3776"/>
        <w:gridCol w:w="3874"/>
      </w:tblGrid>
      <w:tr w:rsidR="00873094" w:rsidRPr="00020288" w14:paraId="0D2DA0EE" w14:textId="77777777" w:rsidTr="2DD2A6DF">
        <w:trPr>
          <w:cnfStyle w:val="100000000000" w:firstRow="1" w:lastRow="0" w:firstColumn="0" w:lastColumn="0" w:oddVBand="0" w:evenVBand="0" w:oddHBand="0" w:evenHBand="0" w:firstRowFirstColumn="0" w:firstRowLastColumn="0" w:lastRowFirstColumn="0" w:lastRowLastColumn="0"/>
        </w:trPr>
        <w:tc>
          <w:tcPr>
            <w:tcW w:w="3776" w:type="dxa"/>
          </w:tcPr>
          <w:p w14:paraId="5D11D60D" w14:textId="77777777" w:rsidR="00873094" w:rsidRPr="00A61FE9" w:rsidRDefault="00873094" w:rsidP="00873094">
            <w:pPr>
              <w:pStyle w:val="Tableheaderrowtext"/>
              <w:numPr>
                <w:ilvl w:val="3"/>
                <w:numId w:val="2"/>
              </w:numPr>
              <w:ind w:left="1701" w:hanging="1701"/>
            </w:pPr>
            <w:r w:rsidRPr="00A61FE9">
              <w:t>New law</w:t>
            </w:r>
          </w:p>
        </w:tc>
        <w:tc>
          <w:tcPr>
            <w:tcW w:w="3874" w:type="dxa"/>
          </w:tcPr>
          <w:p w14:paraId="104DA131" w14:textId="77777777" w:rsidR="00873094" w:rsidRPr="00A61FE9" w:rsidRDefault="00873094" w:rsidP="00873094">
            <w:pPr>
              <w:pStyle w:val="Tableheaderrowtext"/>
              <w:numPr>
                <w:ilvl w:val="3"/>
                <w:numId w:val="2"/>
              </w:numPr>
              <w:ind w:left="1701" w:hanging="1701"/>
            </w:pPr>
            <w:r w:rsidRPr="00A61FE9">
              <w:t>Current law</w:t>
            </w:r>
          </w:p>
        </w:tc>
      </w:tr>
      <w:tr w:rsidR="00873094" w:rsidRPr="00020288" w14:paraId="0E206FB3" w14:textId="77777777" w:rsidTr="2DD2A6DF">
        <w:tc>
          <w:tcPr>
            <w:tcW w:w="3776" w:type="dxa"/>
          </w:tcPr>
          <w:p w14:paraId="3DB11CC1" w14:textId="3737367A" w:rsidR="00873094" w:rsidRDefault="4BF1D017" w:rsidP="002425D9">
            <w:pPr>
              <w:pStyle w:val="Tabletext"/>
            </w:pPr>
            <w:r>
              <w:t xml:space="preserve">Subdivision 321-A </w:t>
            </w:r>
            <w:r w:rsidR="7B7A60C0">
              <w:t>–</w:t>
            </w:r>
            <w:r>
              <w:t xml:space="preserve"> </w:t>
            </w:r>
            <w:r w:rsidR="20078F50">
              <w:t xml:space="preserve">compare the value of </w:t>
            </w:r>
            <w:r w:rsidR="56F701C2" w:rsidRPr="2DD2A6DF">
              <w:rPr>
                <w:i/>
                <w:iCs/>
              </w:rPr>
              <w:t xml:space="preserve">adjusted </w:t>
            </w:r>
            <w:r w:rsidR="20078F50" w:rsidRPr="2DD2A6DF">
              <w:rPr>
                <w:i/>
                <w:iCs/>
              </w:rPr>
              <w:t>liability for incurred claims</w:t>
            </w:r>
            <w:r w:rsidR="20078F50">
              <w:t xml:space="preserve"> at the end of an income year with the value at the </w:t>
            </w:r>
            <w:r w:rsidR="20078F50">
              <w:lastRenderedPageBreak/>
              <w:t xml:space="preserve">end of the previous income year to determine if </w:t>
            </w:r>
            <w:r w:rsidR="56F701C2">
              <w:t>the</w:t>
            </w:r>
            <w:r w:rsidR="68F2BF27">
              <w:t xml:space="preserve"> change in the</w:t>
            </w:r>
            <w:r w:rsidR="56F701C2">
              <w:t xml:space="preserve"> adjusted liability for incurred</w:t>
            </w:r>
            <w:r w:rsidR="20078F50">
              <w:t xml:space="preserve"> claims should be treated as assessable income or as a deduction</w:t>
            </w:r>
            <w:r w:rsidR="1EA87EE5">
              <w:t>.</w:t>
            </w:r>
          </w:p>
          <w:p w14:paraId="62AB389E" w14:textId="77777777" w:rsidR="00101E69" w:rsidRDefault="00101E69" w:rsidP="002425D9">
            <w:pPr>
              <w:pStyle w:val="Tabletext"/>
            </w:pPr>
          </w:p>
          <w:p w14:paraId="1109FC7D" w14:textId="31B0876D" w:rsidR="003431B2" w:rsidRDefault="2D36428C" w:rsidP="0074297F">
            <w:pPr>
              <w:pStyle w:val="Tabletext"/>
            </w:pPr>
            <w:r>
              <w:t xml:space="preserve">The </w:t>
            </w:r>
            <w:r w:rsidR="5464FFA5">
              <w:t>measurement of liability</w:t>
            </w:r>
            <w:r w:rsidR="0A64DE56">
              <w:t xml:space="preserve"> for incurred claims</w:t>
            </w:r>
            <w:r>
              <w:t xml:space="preserve"> is aligned</w:t>
            </w:r>
            <w:r w:rsidR="5464FFA5">
              <w:t xml:space="preserve"> to the AASB 17, except where </w:t>
            </w:r>
            <w:r w:rsidR="0A64DE56">
              <w:t xml:space="preserve">an accounting to tax </w:t>
            </w:r>
            <w:r w:rsidR="578EB0D1">
              <w:t>adjustment</w:t>
            </w:r>
            <w:r w:rsidR="0A64DE56">
              <w:t xml:space="preserve"> is necessary.</w:t>
            </w:r>
            <w:r w:rsidR="7750D15E">
              <w:t xml:space="preserve"> </w:t>
            </w:r>
            <w:r>
              <w:t>This amount is reduced</w:t>
            </w:r>
            <w:r w:rsidR="01D66812">
              <w:t xml:space="preserve"> by</w:t>
            </w:r>
            <w:r w:rsidR="7750D15E">
              <w:t xml:space="preserve"> estimated recoveries from reinsurance premiums.</w:t>
            </w:r>
          </w:p>
          <w:p w14:paraId="19C371F6" w14:textId="59060D92" w:rsidR="2DD2A6DF" w:rsidRDefault="2DD2A6DF" w:rsidP="2DD2A6DF">
            <w:pPr>
              <w:pStyle w:val="Tabletext"/>
            </w:pPr>
          </w:p>
          <w:p w14:paraId="1815E5EC" w14:textId="2990CF9E" w:rsidR="555D104A" w:rsidRDefault="555D104A" w:rsidP="2DD2A6DF">
            <w:pPr>
              <w:pStyle w:val="Tabletext"/>
            </w:pPr>
            <w:r>
              <w:t>A general insurance company continues to be able to deduct claims paid during the current year.</w:t>
            </w:r>
          </w:p>
          <w:p w14:paraId="2A8392EB" w14:textId="3DDAE182" w:rsidR="003431B2" w:rsidRPr="00101E69" w:rsidRDefault="003431B2" w:rsidP="0074297F">
            <w:pPr>
              <w:pStyle w:val="Tabletext"/>
            </w:pPr>
          </w:p>
        </w:tc>
        <w:tc>
          <w:tcPr>
            <w:tcW w:w="3874" w:type="dxa"/>
          </w:tcPr>
          <w:p w14:paraId="6B70EFD8" w14:textId="4E2EC70C" w:rsidR="004772A3" w:rsidRDefault="4F332994" w:rsidP="002425D9">
            <w:pPr>
              <w:pStyle w:val="Tabletext"/>
            </w:pPr>
            <w:r>
              <w:lastRenderedPageBreak/>
              <w:t xml:space="preserve">Subdivision 321-A </w:t>
            </w:r>
            <w:r w:rsidR="1EE504C1">
              <w:t>–</w:t>
            </w:r>
            <w:r w:rsidR="5D7A353E">
              <w:t xml:space="preserve"> compare the value of </w:t>
            </w:r>
            <w:r w:rsidR="5D7A353E" w:rsidRPr="2DD2A6DF">
              <w:rPr>
                <w:i/>
                <w:iCs/>
              </w:rPr>
              <w:t>outstanding claims liability</w:t>
            </w:r>
            <w:r w:rsidR="5D7A353E">
              <w:t xml:space="preserve"> at the end of an income year with the value at the end of the </w:t>
            </w:r>
            <w:r w:rsidR="5D7A353E">
              <w:lastRenderedPageBreak/>
              <w:t>previous income year to determine if</w:t>
            </w:r>
            <w:r w:rsidR="64AC4753">
              <w:t xml:space="preserve"> the change in the liability for</w:t>
            </w:r>
            <w:r w:rsidR="5D7A353E">
              <w:t xml:space="preserve"> outstanding claims should be treated as assessable income or as a deduction</w:t>
            </w:r>
            <w:r w:rsidR="1EA87EE5">
              <w:t>.</w:t>
            </w:r>
          </w:p>
          <w:p w14:paraId="4FB5561B" w14:textId="77777777" w:rsidR="008854EA" w:rsidRDefault="008854EA" w:rsidP="002425D9">
            <w:pPr>
              <w:pStyle w:val="Tabletext"/>
            </w:pPr>
          </w:p>
          <w:p w14:paraId="1ED0BB89" w14:textId="7DBDBFD5" w:rsidR="004B2C45" w:rsidRPr="008854EA" w:rsidRDefault="09BD7C23" w:rsidP="004B2C45">
            <w:pPr>
              <w:pStyle w:val="Tabletext"/>
            </w:pPr>
            <w:r>
              <w:t>The subdivision sets</w:t>
            </w:r>
            <w:r w:rsidR="15741273">
              <w:t xml:space="preserve"> out a two-step method statement </w:t>
            </w:r>
            <w:r w:rsidR="484AC68D">
              <w:t xml:space="preserve">to calculate outstanding claims liability: calculate the present value of the estimated outstanding claims liabilities of a general insurance company and reduce this amount by the present value of estimated recoveries. </w:t>
            </w:r>
          </w:p>
          <w:p w14:paraId="53461521" w14:textId="4B7C3C8A" w:rsidR="004B2C45" w:rsidRPr="008854EA" w:rsidRDefault="004B2C45" w:rsidP="004B2C45">
            <w:pPr>
              <w:pStyle w:val="Tabletext"/>
            </w:pPr>
          </w:p>
          <w:p w14:paraId="14A80DA7" w14:textId="36CF27E2" w:rsidR="004B2C45" w:rsidRPr="008854EA" w:rsidRDefault="44A778F9" w:rsidP="004B2C45">
            <w:pPr>
              <w:pStyle w:val="Tabletext"/>
            </w:pPr>
            <w:r>
              <w:t>A general insurance company can deduct claims paid during the current year.</w:t>
            </w:r>
          </w:p>
        </w:tc>
      </w:tr>
      <w:tr w:rsidR="00873094" w:rsidRPr="00020288" w14:paraId="028CFA00" w14:textId="77777777" w:rsidTr="2DD2A6DF">
        <w:tc>
          <w:tcPr>
            <w:tcW w:w="3776" w:type="dxa"/>
          </w:tcPr>
          <w:p w14:paraId="14393091" w14:textId="2E152603" w:rsidR="00873094" w:rsidRDefault="37383652" w:rsidP="2DD2A6DF">
            <w:pPr>
              <w:pStyle w:val="Tabletext"/>
              <w:rPr>
                <w:i/>
                <w:iCs/>
              </w:rPr>
            </w:pPr>
            <w:r>
              <w:lastRenderedPageBreak/>
              <w:t xml:space="preserve">Subdivision 321-B – </w:t>
            </w:r>
            <w:r w:rsidR="5D7A353E">
              <w:t xml:space="preserve">compare the value of </w:t>
            </w:r>
            <w:r w:rsidR="56F701C2" w:rsidRPr="2DD2A6DF">
              <w:rPr>
                <w:i/>
                <w:iCs/>
              </w:rPr>
              <w:t xml:space="preserve">adjusted </w:t>
            </w:r>
            <w:r w:rsidR="5D7A353E" w:rsidRPr="2DD2A6DF">
              <w:rPr>
                <w:i/>
                <w:iCs/>
              </w:rPr>
              <w:t>liability for remaining coverage</w:t>
            </w:r>
            <w:r w:rsidR="5D7A353E">
              <w:t xml:space="preserve"> at the end of an income year with the value at the end of the previous income year to determine if</w:t>
            </w:r>
            <w:r w:rsidR="28E8EB74">
              <w:t xml:space="preserve"> the change in the</w:t>
            </w:r>
            <w:r w:rsidR="5D7A353E">
              <w:t xml:space="preserve"> </w:t>
            </w:r>
            <w:r w:rsidR="56F701C2">
              <w:t>adjusted</w:t>
            </w:r>
            <w:r w:rsidR="5D7A353E">
              <w:t xml:space="preserve"> </w:t>
            </w:r>
            <w:r w:rsidR="56F701C2">
              <w:t>liability for remaining coverage</w:t>
            </w:r>
            <w:r w:rsidR="5D7A353E">
              <w:t xml:space="preserve"> should be treated as assessable income or as a deduction.</w:t>
            </w:r>
          </w:p>
          <w:p w14:paraId="6D5D6D5B" w14:textId="77777777" w:rsidR="006E255D" w:rsidRDefault="006E255D" w:rsidP="002425D9">
            <w:pPr>
              <w:pStyle w:val="Tabletext"/>
              <w:rPr>
                <w:i/>
                <w:iCs/>
              </w:rPr>
            </w:pPr>
          </w:p>
          <w:p w14:paraId="1D776C79" w14:textId="263DD42C" w:rsidR="006E255D" w:rsidRDefault="7DF8B39E" w:rsidP="002425D9">
            <w:pPr>
              <w:pStyle w:val="Tabletext"/>
            </w:pPr>
            <w:r>
              <w:t xml:space="preserve">The </w:t>
            </w:r>
            <w:r w:rsidR="0A64DE56">
              <w:t>measurement of liability for remaining coverage</w:t>
            </w:r>
            <w:r>
              <w:t xml:space="preserve"> is aligned</w:t>
            </w:r>
            <w:r w:rsidR="0A64DE56">
              <w:t xml:space="preserve"> to the AASB 17, except where an accounting to tax </w:t>
            </w:r>
            <w:r w:rsidR="00384F9A">
              <w:t>adjustment</w:t>
            </w:r>
            <w:r w:rsidR="0A64DE56">
              <w:t xml:space="preserve"> is necessary.</w:t>
            </w:r>
            <w:r w:rsidR="01D66812">
              <w:t xml:space="preserve"> </w:t>
            </w:r>
            <w:r>
              <w:t>This amount is reduced</w:t>
            </w:r>
            <w:r w:rsidR="01D66812">
              <w:t xml:space="preserve"> by r</w:t>
            </w:r>
            <w:r w:rsidR="425B2FD6">
              <w:t>einsurance premiums paid or payable with respect to the relevant reinsurance premiums.</w:t>
            </w:r>
          </w:p>
          <w:p w14:paraId="7764FBF8" w14:textId="2F96891B" w:rsidR="2DD2A6DF" w:rsidRDefault="2DD2A6DF" w:rsidP="2DD2A6DF">
            <w:pPr>
              <w:pStyle w:val="Tabletext"/>
            </w:pPr>
          </w:p>
          <w:p w14:paraId="104F7F10" w14:textId="37DB6DFB" w:rsidR="40409CFE" w:rsidRDefault="40409CFE" w:rsidP="2DD2A6DF">
            <w:pPr>
              <w:pStyle w:val="Tabletext"/>
            </w:pPr>
            <w:r>
              <w:t>A general insurance company continues to include premiums received or receivable during the year as assessable income.</w:t>
            </w:r>
          </w:p>
          <w:p w14:paraId="0D69EA11" w14:textId="62E59AFB" w:rsidR="006E255D" w:rsidRPr="00CC6DBA" w:rsidRDefault="006E255D" w:rsidP="002425D9">
            <w:pPr>
              <w:pStyle w:val="Tabletext"/>
              <w:rPr>
                <w:i/>
                <w:iCs/>
              </w:rPr>
            </w:pPr>
          </w:p>
        </w:tc>
        <w:tc>
          <w:tcPr>
            <w:tcW w:w="3874" w:type="dxa"/>
          </w:tcPr>
          <w:p w14:paraId="04ADC8A9" w14:textId="74660427" w:rsidR="00873094" w:rsidRDefault="1EE504C1" w:rsidP="002425D9">
            <w:pPr>
              <w:pStyle w:val="Tabletext"/>
            </w:pPr>
            <w:r>
              <w:t xml:space="preserve">Subdivision 321-B – </w:t>
            </w:r>
            <w:r w:rsidR="5D7A353E">
              <w:t xml:space="preserve">compare the value of </w:t>
            </w:r>
            <w:r w:rsidR="5D7A353E" w:rsidRPr="2DD2A6DF">
              <w:rPr>
                <w:i/>
                <w:iCs/>
              </w:rPr>
              <w:t>unearned premium reserve</w:t>
            </w:r>
            <w:r w:rsidR="5D7A353E">
              <w:t xml:space="preserve"> at the end of an income year with the value at the end of the previous income year to determine if</w:t>
            </w:r>
            <w:r w:rsidR="39D59E40">
              <w:t xml:space="preserve"> the change in the</w:t>
            </w:r>
            <w:r w:rsidR="5D7A353E">
              <w:t xml:space="preserve"> </w:t>
            </w:r>
            <w:r w:rsidR="56F701C2">
              <w:t>unearned premium reserve</w:t>
            </w:r>
            <w:r w:rsidR="5D7A353E">
              <w:t xml:space="preserve"> should be treated as assessable income or as a deduction</w:t>
            </w:r>
            <w:r w:rsidR="425B2FD6">
              <w:t>.</w:t>
            </w:r>
          </w:p>
          <w:p w14:paraId="449921C8" w14:textId="77777777" w:rsidR="004B25F2" w:rsidRDefault="004B25F2" w:rsidP="002425D9">
            <w:pPr>
              <w:pStyle w:val="Tabletext"/>
              <w:rPr>
                <w:i/>
                <w:iCs/>
              </w:rPr>
            </w:pPr>
          </w:p>
          <w:p w14:paraId="70D050F0" w14:textId="639B7037" w:rsidR="004B25F2" w:rsidRPr="004B25F2" w:rsidRDefault="09BD7C23" w:rsidP="002425D9">
            <w:pPr>
              <w:pStyle w:val="Tabletext"/>
            </w:pPr>
            <w:r>
              <w:t>The subdivision sets</w:t>
            </w:r>
            <w:r w:rsidR="003FF80D">
              <w:t xml:space="preserve"> out a five-step method statement to calculate unearned premium reserve</w:t>
            </w:r>
            <w:r w:rsidR="76215CB2">
              <w:t xml:space="preserve">. </w:t>
            </w:r>
            <w:r w:rsidR="78E9DF76">
              <w:t>The unearned premium reserve</w:t>
            </w:r>
            <w:r w:rsidR="12CCC9CC">
              <w:t xml:space="preserve"> at the end of the year</w:t>
            </w:r>
            <w:r w:rsidR="78E9DF76">
              <w:t xml:space="preserve"> is the value that </w:t>
            </w:r>
            <w:r w:rsidR="2942A2BE">
              <w:t xml:space="preserve">the general insurance company </w:t>
            </w:r>
            <w:r w:rsidR="22E2F6D8">
              <w:t xml:space="preserve">determines </w:t>
            </w:r>
            <w:r w:rsidR="78E9DF76">
              <w:t xml:space="preserve">based on proper and reasonable estimates, </w:t>
            </w:r>
            <w:r w:rsidR="22E2F6D8">
              <w:t xml:space="preserve">to </w:t>
            </w:r>
            <w:r w:rsidR="78E9DF76">
              <w:t>relate to risks covered by policies in respect of later income years.</w:t>
            </w:r>
          </w:p>
          <w:p w14:paraId="63ED0151" w14:textId="7D9153D0" w:rsidR="004B25F2" w:rsidRPr="004B25F2" w:rsidRDefault="004B25F2" w:rsidP="002425D9">
            <w:pPr>
              <w:pStyle w:val="Tabletext"/>
            </w:pPr>
          </w:p>
          <w:p w14:paraId="33453EF5" w14:textId="4DFAB5B1" w:rsidR="004B25F2" w:rsidRPr="004B25F2" w:rsidRDefault="5D4B2637" w:rsidP="002425D9">
            <w:pPr>
              <w:pStyle w:val="Tabletext"/>
            </w:pPr>
            <w:r>
              <w:t>The assessable income of a general insurance company includes gross premiums received or receivable by the company during the year.</w:t>
            </w:r>
          </w:p>
        </w:tc>
      </w:tr>
    </w:tbl>
    <w:p w14:paraId="0B3DEBD0" w14:textId="77777777" w:rsidR="00873094" w:rsidRPr="00020288" w:rsidRDefault="00873094" w:rsidP="00873094">
      <w:pPr>
        <w:pStyle w:val="Heading2"/>
        <w:numPr>
          <w:ilvl w:val="1"/>
          <w:numId w:val="2"/>
        </w:numPr>
        <w:tabs>
          <w:tab w:val="num" w:pos="567"/>
        </w:tabs>
        <w:ind w:left="567" w:hanging="567"/>
        <w:rPr>
          <w:rFonts w:hint="eastAsia"/>
        </w:rPr>
      </w:pPr>
      <w:r w:rsidRPr="00020288">
        <w:lastRenderedPageBreak/>
        <w:t>Detailed explanation of new law</w:t>
      </w:r>
    </w:p>
    <w:p w14:paraId="76BC286B" w14:textId="14D909F1" w:rsidR="00CA625F" w:rsidRDefault="00F2244E" w:rsidP="00127ADD">
      <w:pPr>
        <w:pStyle w:val="Heading3"/>
        <w:rPr>
          <w:rFonts w:hint="eastAsia"/>
        </w:rPr>
      </w:pPr>
      <w:r>
        <w:t>S</w:t>
      </w:r>
      <w:r w:rsidR="007A5FE9">
        <w:t>ubdivisions 321-A and 321</w:t>
      </w:r>
      <w:r w:rsidR="00254088">
        <w:t>-</w:t>
      </w:r>
      <w:r w:rsidR="007A5FE9">
        <w:t>B – General insurance</w:t>
      </w:r>
    </w:p>
    <w:p w14:paraId="618C3319" w14:textId="0A8E1AC3" w:rsidR="00873094" w:rsidRDefault="002863B3" w:rsidP="00873094">
      <w:pPr>
        <w:pStyle w:val="Normalparatextwithnumbers"/>
        <w:numPr>
          <w:ilvl w:val="1"/>
          <w:numId w:val="3"/>
        </w:numPr>
      </w:pPr>
      <w:r>
        <w:t xml:space="preserve">Schedule </w:t>
      </w:r>
      <w:r w:rsidR="00631D4A">
        <w:t>#</w:t>
      </w:r>
      <w:r>
        <w:t xml:space="preserve"> to the Bill amends </w:t>
      </w:r>
      <w:r w:rsidR="00CF1DCC">
        <w:t>S</w:t>
      </w:r>
      <w:r w:rsidR="007129BD">
        <w:t>ubdivisions</w:t>
      </w:r>
      <w:r w:rsidR="00E1483D">
        <w:t xml:space="preserve"> 321-A a</w:t>
      </w:r>
      <w:r w:rsidR="00022EFB">
        <w:t>n</w:t>
      </w:r>
      <w:r w:rsidR="00E1483D">
        <w:t xml:space="preserve">d 321-B </w:t>
      </w:r>
      <w:r w:rsidR="006710A7">
        <w:t xml:space="preserve">to </w:t>
      </w:r>
      <w:r w:rsidR="00794535">
        <w:t xml:space="preserve">broadly </w:t>
      </w:r>
      <w:r w:rsidR="001E320E">
        <w:t xml:space="preserve">align the income tax treatment for general insurance companies with </w:t>
      </w:r>
      <w:r w:rsidR="00F51263">
        <w:t xml:space="preserve">the </w:t>
      </w:r>
      <w:r w:rsidR="001E320E">
        <w:t>AASB 17</w:t>
      </w:r>
      <w:r w:rsidR="00F36481">
        <w:t xml:space="preserve">. The tax treatment of assessable income and </w:t>
      </w:r>
      <w:r w:rsidR="00506373">
        <w:t>deductions</w:t>
      </w:r>
      <w:r w:rsidR="00156605">
        <w:t xml:space="preserve"> in respect of the underwriting account</w:t>
      </w:r>
      <w:r w:rsidR="00F36481">
        <w:t xml:space="preserve"> will continue to </w:t>
      </w:r>
      <w:r w:rsidR="5FCF0F97">
        <w:t>mirror</w:t>
      </w:r>
      <w:r w:rsidR="00F36481">
        <w:t xml:space="preserve"> the taxpayer’s </w:t>
      </w:r>
      <w:r w:rsidR="7EE0AD21">
        <w:t xml:space="preserve">accounting income and expenses, with some timing differences. </w:t>
      </w:r>
    </w:p>
    <w:p w14:paraId="4935E7F1" w14:textId="5CA545DF" w:rsidR="00D97641" w:rsidRDefault="007D7372" w:rsidP="00873094">
      <w:pPr>
        <w:pStyle w:val="Normalparatextwithnumbers"/>
        <w:numPr>
          <w:ilvl w:val="1"/>
          <w:numId w:val="3"/>
        </w:numPr>
      </w:pPr>
      <w:r>
        <w:t>The main changes</w:t>
      </w:r>
      <w:r w:rsidR="000113FD">
        <w:t xml:space="preserve"> are made </w:t>
      </w:r>
      <w:r w:rsidR="003543F6">
        <w:t>in relation to</w:t>
      </w:r>
      <w:r w:rsidDel="00D227BC">
        <w:t>:</w:t>
      </w:r>
    </w:p>
    <w:p w14:paraId="58F9664E" w14:textId="0D3A8E19" w:rsidR="007D7372" w:rsidRDefault="003342DC" w:rsidP="007D7372">
      <w:pPr>
        <w:pStyle w:val="Dotpoint1"/>
      </w:pPr>
      <w:r>
        <w:t>Subdivision 321-A</w:t>
      </w:r>
      <w:r w:rsidR="003543F6">
        <w:t xml:space="preserve"> – </w:t>
      </w:r>
      <w:r>
        <w:t xml:space="preserve">‘outstanding claims liabilities’ </w:t>
      </w:r>
      <w:r w:rsidR="000113FD">
        <w:t xml:space="preserve">is updated </w:t>
      </w:r>
      <w:r>
        <w:t xml:space="preserve">to ‘liability for incurred </w:t>
      </w:r>
      <w:proofErr w:type="gramStart"/>
      <w:r>
        <w:t>claims’</w:t>
      </w:r>
      <w:r w:rsidR="00391E40">
        <w:t>;</w:t>
      </w:r>
      <w:proofErr w:type="gramEnd"/>
      <w:r w:rsidR="00391E40">
        <w:t xml:space="preserve"> </w:t>
      </w:r>
    </w:p>
    <w:p w14:paraId="1A7A4830" w14:textId="04F11929" w:rsidR="003342DC" w:rsidRDefault="003342DC" w:rsidP="00AF1569">
      <w:pPr>
        <w:pStyle w:val="Dotpoint1"/>
      </w:pPr>
      <w:r>
        <w:t>Subdivision 321-B</w:t>
      </w:r>
      <w:r w:rsidR="003543F6">
        <w:t xml:space="preserve"> – </w:t>
      </w:r>
      <w:r>
        <w:t>‘unearned premium reserve</w:t>
      </w:r>
      <w:r w:rsidR="00391E40">
        <w:t xml:space="preserve">’ </w:t>
      </w:r>
      <w:r w:rsidR="00BC403C">
        <w:t>is updated to</w:t>
      </w:r>
      <w:r w:rsidR="00391E40">
        <w:t xml:space="preserve"> ‘liability for remaining coverage’</w:t>
      </w:r>
      <w:r w:rsidR="00791CAE">
        <w:t>; and</w:t>
      </w:r>
    </w:p>
    <w:p w14:paraId="0D146F23" w14:textId="4738AD12" w:rsidR="00791CAE" w:rsidRDefault="00791CAE" w:rsidP="00AF1569">
      <w:pPr>
        <w:pStyle w:val="Dotpoint1"/>
      </w:pPr>
      <w:r>
        <w:t xml:space="preserve">The </w:t>
      </w:r>
      <w:r w:rsidR="00C01F0C">
        <w:t>respective method statements</w:t>
      </w:r>
      <w:r>
        <w:t xml:space="preserve"> </w:t>
      </w:r>
      <w:r w:rsidR="00B106BC">
        <w:t xml:space="preserve">are </w:t>
      </w:r>
      <w:r w:rsidR="007F4100">
        <w:t xml:space="preserve">updated to broadly align with </w:t>
      </w:r>
      <w:r w:rsidR="00F51263">
        <w:t xml:space="preserve">the </w:t>
      </w:r>
      <w:r w:rsidR="007F4100">
        <w:t>AASB 17.</w:t>
      </w:r>
      <w:r w:rsidR="00750DA0">
        <w:t xml:space="preserve"> </w:t>
      </w:r>
    </w:p>
    <w:p w14:paraId="22AD78F9" w14:textId="08C2E0FF" w:rsidR="00A807F0" w:rsidRDefault="00A807F0" w:rsidP="00A807F0">
      <w:pPr>
        <w:pStyle w:val="Heading4"/>
      </w:pPr>
      <w:r>
        <w:t>AASB 17</w:t>
      </w:r>
    </w:p>
    <w:p w14:paraId="7406A8D1" w14:textId="1E6D6162" w:rsidR="00A807F0" w:rsidRDefault="00A807F0" w:rsidP="00A807F0">
      <w:pPr>
        <w:pStyle w:val="Normalparatextwithnumbers"/>
      </w:pPr>
      <w:r>
        <w:t xml:space="preserve">The amendments introduce several definitions, including the reference to the AASB 17 as of 1 January 2023 and relevant terms used in the AASB 17. </w:t>
      </w:r>
    </w:p>
    <w:p w14:paraId="3E875B41" w14:textId="77777777" w:rsidR="00A807F0" w:rsidRDefault="00A807F0" w:rsidP="00A807F0">
      <w:pPr>
        <w:pStyle w:val="Normalparatextwithnumbers"/>
        <w:numPr>
          <w:ilvl w:val="0"/>
          <w:numId w:val="0"/>
        </w:numPr>
        <w:ind w:left="709"/>
      </w:pPr>
      <w:r w:rsidRPr="002E482C">
        <w:rPr>
          <w:rStyle w:val="References"/>
        </w:rPr>
        <w:t xml:space="preserve">[Schedule </w:t>
      </w:r>
      <w:r>
        <w:rPr>
          <w:rStyle w:val="References"/>
        </w:rPr>
        <w:t>#</w:t>
      </w:r>
      <w:r w:rsidRPr="002E482C">
        <w:rPr>
          <w:rStyle w:val="References"/>
        </w:rPr>
        <w:t>, item</w:t>
      </w:r>
      <w:r>
        <w:rPr>
          <w:rStyle w:val="References"/>
        </w:rPr>
        <w:t xml:space="preserve"> 13</w:t>
      </w:r>
      <w:r w:rsidRPr="002E482C">
        <w:rPr>
          <w:rStyle w:val="References"/>
        </w:rPr>
        <w:t xml:space="preserve">, </w:t>
      </w:r>
      <w:r>
        <w:rPr>
          <w:rStyle w:val="References"/>
        </w:rPr>
        <w:t>subsection 995-1(1)</w:t>
      </w:r>
      <w:r w:rsidRPr="002E482C">
        <w:rPr>
          <w:rStyle w:val="References"/>
        </w:rPr>
        <w:t>]</w:t>
      </w:r>
    </w:p>
    <w:p w14:paraId="69C493DE" w14:textId="04EFAD3E" w:rsidR="00A807F0" w:rsidRDefault="00A807F0" w:rsidP="00A807F0">
      <w:pPr>
        <w:pStyle w:val="Normalparatextwithnumbers"/>
      </w:pPr>
      <w:r>
        <w:t xml:space="preserve">AASB 17 is used for the purposes of calculating the adjusted liability for incurred claims and the adjusted liability for remaining coverage. </w:t>
      </w:r>
      <w:r w:rsidR="004B5199">
        <w:t>The relevant</w:t>
      </w:r>
      <w:r w:rsidR="00184A52">
        <w:t xml:space="preserve"> version of the</w:t>
      </w:r>
      <w:r>
        <w:t xml:space="preserve"> </w:t>
      </w:r>
      <w:r w:rsidR="004B5199">
        <w:t>AASB 17</w:t>
      </w:r>
      <w:r w:rsidR="00184A52">
        <w:t xml:space="preserve"> is the one </w:t>
      </w:r>
      <w:r>
        <w:t xml:space="preserve">that came into effect on </w:t>
      </w:r>
      <w:proofErr w:type="gramStart"/>
      <w:r>
        <w:t>1 January 2023, and</w:t>
      </w:r>
      <w:proofErr w:type="gramEnd"/>
      <w:r>
        <w:t xml:space="preserve"> can be accessed on the Federal Register of Legislation: </w:t>
      </w:r>
      <w:hyperlink r:id="rId30">
        <w:r w:rsidRPr="2DD2A6DF">
          <w:rPr>
            <w:rStyle w:val="Hyperlink"/>
          </w:rPr>
          <w:t>https://www.legislation.gov.au/Details/F2023C00382</w:t>
        </w:r>
      </w:hyperlink>
      <w:r>
        <w:t>.</w:t>
      </w:r>
    </w:p>
    <w:p w14:paraId="62DDEF32" w14:textId="3F95345D" w:rsidR="00A807F0" w:rsidRPr="00D11888" w:rsidRDefault="3E204E4A" w:rsidP="00A807F0">
      <w:pPr>
        <w:pStyle w:val="Normalparatextwithnumbers"/>
      </w:pPr>
      <w:r>
        <w:t xml:space="preserve">New </w:t>
      </w:r>
      <w:r w:rsidR="00216EFF">
        <w:t>D</w:t>
      </w:r>
      <w:r>
        <w:t>ivision 321 requires the use of</w:t>
      </w:r>
      <w:r w:rsidR="00A751A4">
        <w:t xml:space="preserve"> the version of</w:t>
      </w:r>
      <w:r>
        <w:t xml:space="preserve"> AASB 17 that was </w:t>
      </w:r>
      <w:r w:rsidR="00BC6B3C">
        <w:t>effective</w:t>
      </w:r>
      <w:r>
        <w:t xml:space="preserve"> on </w:t>
      </w:r>
      <w:r w:rsidR="00BC6B3C">
        <w:t>1 January 2023</w:t>
      </w:r>
      <w:r w:rsidR="00331A3E">
        <w:t>. This incorporation by reference</w:t>
      </w:r>
      <w:r w:rsidR="00A807F0">
        <w:t xml:space="preserve"> </w:t>
      </w:r>
      <w:r w:rsidR="00331A3E">
        <w:t xml:space="preserve">in the legislation </w:t>
      </w:r>
      <w:r w:rsidR="00A807F0">
        <w:t>ensure</w:t>
      </w:r>
      <w:r w:rsidR="00331A3E">
        <w:t>s</w:t>
      </w:r>
      <w:r w:rsidR="00A807F0">
        <w:t xml:space="preserve"> that any future changes to the standard do not change the tax outcomes as considered by Parliament at the time these amendments are made.</w:t>
      </w:r>
    </w:p>
    <w:p w14:paraId="3569A1E3" w14:textId="0F592E9E" w:rsidR="00A807F0" w:rsidRDefault="006874B9" w:rsidP="00A807F0">
      <w:pPr>
        <w:pStyle w:val="Normalparatextwithnumbers"/>
      </w:pPr>
      <w:r>
        <w:t>For tax purposes, t</w:t>
      </w:r>
      <w:r w:rsidR="00A807F0">
        <w:t xml:space="preserve">he calculation of liability for incurred claims and of liability for remaining coverage </w:t>
      </w:r>
      <w:r>
        <w:t>requires</w:t>
      </w:r>
      <w:r w:rsidR="001B30FF">
        <w:t xml:space="preserve"> </w:t>
      </w:r>
      <w:r w:rsidR="000216D8">
        <w:t>the use of</w:t>
      </w:r>
      <w:r w:rsidR="00A807F0">
        <w:t xml:space="preserve"> the methodology set out in the AASB 17 (unless otherwise stated or excluded under in the legislation). </w:t>
      </w:r>
    </w:p>
    <w:p w14:paraId="30744D12" w14:textId="265FE305" w:rsidR="00A807F0" w:rsidRPr="008552F3" w:rsidRDefault="00A807F0" w:rsidP="00A807F0">
      <w:pPr>
        <w:pStyle w:val="Normalparatextwithnumbers"/>
      </w:pPr>
      <w:r>
        <w:lastRenderedPageBreak/>
        <w:t xml:space="preserve">General insurance companies </w:t>
      </w:r>
      <w:r w:rsidR="32C52496">
        <w:t xml:space="preserve">must </w:t>
      </w:r>
      <w:r>
        <w:t xml:space="preserve">use the measurement approach they have </w:t>
      </w:r>
      <w:r w:rsidR="6B9B0879">
        <w:t xml:space="preserve">adopted in their audited financial </w:t>
      </w:r>
      <w:r w:rsidR="0064116A">
        <w:t>statements</w:t>
      </w:r>
      <w:r w:rsidR="6B9B0879">
        <w:t xml:space="preserve"> prepared according to</w:t>
      </w:r>
      <w:r>
        <w:t xml:space="preserve"> AASB 17</w:t>
      </w:r>
      <w:r w:rsidR="4639FD97">
        <w:t>.</w:t>
      </w:r>
      <w:r>
        <w:t xml:space="preserve"> </w:t>
      </w:r>
      <w:r w:rsidR="7D1C5959">
        <w:t>T</w:t>
      </w:r>
      <w:r>
        <w:t xml:space="preserve">he </w:t>
      </w:r>
      <w:r w:rsidR="71157412">
        <w:t>adjustments</w:t>
      </w:r>
      <w:r>
        <w:t xml:space="preserve"> apply for both measurement approaches. </w:t>
      </w:r>
    </w:p>
    <w:p w14:paraId="59892566" w14:textId="43DAE4D3" w:rsidR="00273CD2" w:rsidRDefault="00897B45" w:rsidP="007E7E39">
      <w:pPr>
        <w:pStyle w:val="Heading4"/>
      </w:pPr>
      <w:r>
        <w:t xml:space="preserve">Liability for Incurred Claims </w:t>
      </w:r>
    </w:p>
    <w:p w14:paraId="61C23B47" w14:textId="378D7B88" w:rsidR="00DF2635" w:rsidRDefault="00DD3FE6" w:rsidP="00794535">
      <w:pPr>
        <w:pStyle w:val="Normalparatextwithnumbers"/>
      </w:pPr>
      <w:r>
        <w:t xml:space="preserve">The </w:t>
      </w:r>
      <w:r w:rsidR="00FD55FF">
        <w:t xml:space="preserve">concept of </w:t>
      </w:r>
      <w:r>
        <w:t>liability for incurred claim</w:t>
      </w:r>
      <w:r w:rsidR="0000303F">
        <w:t>s comprises the fulfilment cash flows related to past services allocated to the</w:t>
      </w:r>
      <w:r w:rsidR="236819AC">
        <w:t xml:space="preserve"> relevant</w:t>
      </w:r>
      <w:r w:rsidR="0000303F">
        <w:t xml:space="preserve"> group</w:t>
      </w:r>
      <w:r w:rsidR="53438878">
        <w:t xml:space="preserve"> of contracts</w:t>
      </w:r>
      <w:r w:rsidR="0000303F">
        <w:t xml:space="preserve"> at that date. </w:t>
      </w:r>
    </w:p>
    <w:p w14:paraId="1EE52C60" w14:textId="5462328D" w:rsidR="0064116A" w:rsidRDefault="00B30DB1" w:rsidP="00794535">
      <w:pPr>
        <w:pStyle w:val="Normalparatextwithnumbers"/>
      </w:pPr>
      <w:r>
        <w:t xml:space="preserve">To align the ITAA 1997 </w:t>
      </w:r>
      <w:r w:rsidR="00A7125D">
        <w:t xml:space="preserve">with </w:t>
      </w:r>
      <w:r>
        <w:t xml:space="preserve">current </w:t>
      </w:r>
      <w:r w:rsidR="43378C2C">
        <w:t>the</w:t>
      </w:r>
      <w:r>
        <w:t xml:space="preserve"> accounting standard</w:t>
      </w:r>
      <w:r w:rsidR="00B645BF">
        <w:t>, the</w:t>
      </w:r>
      <w:r w:rsidR="00A56F35">
        <w:t xml:space="preserve"> concept of</w:t>
      </w:r>
      <w:r w:rsidR="00B645BF">
        <w:t xml:space="preserve"> ‘outstanding claims liability’ is replaced </w:t>
      </w:r>
      <w:r w:rsidR="00A56F35">
        <w:t xml:space="preserve">with </w:t>
      </w:r>
      <w:r w:rsidR="00B645BF">
        <w:t>the ‘liability for incurred claims’</w:t>
      </w:r>
      <w:r w:rsidR="007F4100">
        <w:t xml:space="preserve"> as referred to in the AASB 17</w:t>
      </w:r>
      <w:r w:rsidR="00B645BF">
        <w:t>.</w:t>
      </w:r>
      <w:r w:rsidR="00202E11">
        <w:t xml:space="preserve"> </w:t>
      </w:r>
      <w:r w:rsidR="001F62DF">
        <w:t xml:space="preserve">The </w:t>
      </w:r>
      <w:r w:rsidR="002B21E9">
        <w:t>accounting</w:t>
      </w:r>
      <w:r w:rsidR="001F62DF">
        <w:t xml:space="preserve"> value for liability for incurred claims is </w:t>
      </w:r>
      <w:r w:rsidR="002B0F57">
        <w:t xml:space="preserve">however, </w:t>
      </w:r>
      <w:r w:rsidR="001F62DF">
        <w:t xml:space="preserve">adjusted </w:t>
      </w:r>
      <w:r w:rsidR="009C6531">
        <w:t xml:space="preserve">for tax purposes. </w:t>
      </w:r>
    </w:p>
    <w:p w14:paraId="6A471E1A" w14:textId="20F98161" w:rsidR="00202E11" w:rsidRDefault="00202E11" w:rsidP="00794535">
      <w:pPr>
        <w:pStyle w:val="Normalparatextwithnumbers"/>
      </w:pPr>
      <w:r>
        <w:t>The provisions compare the value of a general insurance company’s adjusted liability for incurre</w:t>
      </w:r>
      <w:r w:rsidR="00D67075">
        <w:t>d</w:t>
      </w:r>
      <w:r>
        <w:t xml:space="preserve"> claims </w:t>
      </w:r>
      <w:r w:rsidR="00506092">
        <w:t>at the end of an income year with the value of those</w:t>
      </w:r>
      <w:r w:rsidR="003A4863">
        <w:t xml:space="preserve"> adjusted</w:t>
      </w:r>
      <w:r w:rsidR="00506092">
        <w:t xml:space="preserve"> liabilities at the end of the previous income year</w:t>
      </w:r>
      <w:r w:rsidR="00557529">
        <w:t>.</w:t>
      </w:r>
      <w:r w:rsidR="00305F4F">
        <w:t xml:space="preserve"> </w:t>
      </w:r>
    </w:p>
    <w:p w14:paraId="243D6F98" w14:textId="5F709523" w:rsidR="00557529" w:rsidRDefault="009F3AFC" w:rsidP="00557529">
      <w:pPr>
        <w:pStyle w:val="Dotpoint1"/>
      </w:pPr>
      <w:r>
        <w:t xml:space="preserve">If the value of the </w:t>
      </w:r>
      <w:r w:rsidR="00305F4F">
        <w:t xml:space="preserve">adjusted </w:t>
      </w:r>
      <w:r>
        <w:t xml:space="preserve">liability for incurred claims at the end of an income year is less than the value at the end of the previous income year, the difference is included </w:t>
      </w:r>
      <w:r w:rsidR="00EB32C0">
        <w:t xml:space="preserve">as </w:t>
      </w:r>
      <w:r>
        <w:t>assessable income</w:t>
      </w:r>
      <w:r w:rsidR="00027C87">
        <w:t>.</w:t>
      </w:r>
    </w:p>
    <w:p w14:paraId="6E584A20" w14:textId="4922C808" w:rsidR="001059BA" w:rsidRDefault="00027C87" w:rsidP="001059BA">
      <w:pPr>
        <w:pStyle w:val="Dotpoint1"/>
      </w:pPr>
      <w:r>
        <w:t xml:space="preserve">If the value of the </w:t>
      </w:r>
      <w:r w:rsidR="00305F4F">
        <w:t xml:space="preserve">adjusted </w:t>
      </w:r>
      <w:r>
        <w:t xml:space="preserve">liability for incurred claims at the end of an income year exceeds the value at the end of the previous income year, the excess is </w:t>
      </w:r>
      <w:r w:rsidR="00EB32C0">
        <w:t xml:space="preserve">recognised </w:t>
      </w:r>
      <w:r>
        <w:t xml:space="preserve">as </w:t>
      </w:r>
      <w:r w:rsidR="00EB32C0">
        <w:t>deductible</w:t>
      </w:r>
      <w:r w:rsidR="001059BA">
        <w:t>.</w:t>
      </w:r>
    </w:p>
    <w:p w14:paraId="595B4A6A" w14:textId="192798F8" w:rsidR="00027C87" w:rsidRDefault="001059BA" w:rsidP="0037262C">
      <w:pPr>
        <w:pStyle w:val="Referenceafterdotpoint"/>
      </w:pPr>
      <w:r>
        <w:t xml:space="preserve">[Schedule </w:t>
      </w:r>
      <w:r w:rsidR="00A7125D">
        <w:t>#</w:t>
      </w:r>
      <w:r>
        <w:t xml:space="preserve">, items </w:t>
      </w:r>
      <w:r w:rsidR="00E333AA">
        <w:t>1, 2, 3 and 4</w:t>
      </w:r>
      <w:r>
        <w:t xml:space="preserve">, </w:t>
      </w:r>
      <w:r w:rsidR="00E333AA">
        <w:t>section</w:t>
      </w:r>
      <w:r w:rsidR="002757BA">
        <w:t>s</w:t>
      </w:r>
      <w:r w:rsidR="00E333AA">
        <w:t xml:space="preserve"> 321</w:t>
      </w:r>
      <w:r w:rsidR="002757BA">
        <w:t>-10 and 321-15</w:t>
      </w:r>
      <w:r>
        <w:t xml:space="preserve">] </w:t>
      </w:r>
    </w:p>
    <w:p w14:paraId="3AF90A48" w14:textId="1DEB47E5" w:rsidR="00202E11" w:rsidRDefault="00202E11" w:rsidP="2DD2A6DF">
      <w:pPr>
        <w:pStyle w:val="Normalparatextwithnumbers"/>
      </w:pPr>
      <w:r>
        <w:t xml:space="preserve">The method for valuation of a general insurance company’s </w:t>
      </w:r>
      <w:r w:rsidR="00D67075">
        <w:t xml:space="preserve">adjusted liability </w:t>
      </w:r>
      <w:r w:rsidR="00D67075" w:rsidRPr="2DD2A6DF">
        <w:t>for incurred claims is principally incorporated by reference to the AASB</w:t>
      </w:r>
      <w:r w:rsidR="001A05F2" w:rsidRPr="2DD2A6DF">
        <w:t xml:space="preserve"> </w:t>
      </w:r>
      <w:r w:rsidR="00D67075" w:rsidRPr="2DD2A6DF">
        <w:t xml:space="preserve">17. </w:t>
      </w:r>
    </w:p>
    <w:p w14:paraId="210251A4" w14:textId="71D4ADB2" w:rsidR="009E780A" w:rsidRPr="002A0F7A" w:rsidRDefault="00BD0C83" w:rsidP="2DD2A6DF">
      <w:pPr>
        <w:pStyle w:val="Normalparatextwithnumbers"/>
        <w:rPr>
          <w:b/>
          <w:bCs/>
          <w:i/>
          <w:iCs/>
          <w:noProof/>
        </w:rPr>
      </w:pPr>
      <w:r>
        <w:t xml:space="preserve">The first step in the method statement is to measure the liability </w:t>
      </w:r>
      <w:r w:rsidR="003C3445">
        <w:t xml:space="preserve">for incurred claims at the end of the income year using the AASB 17. </w:t>
      </w:r>
      <w:r w:rsidR="00502555">
        <w:t xml:space="preserve"> </w:t>
      </w:r>
      <w:r w:rsidR="00F17422">
        <w:t xml:space="preserve">The company </w:t>
      </w:r>
      <w:r w:rsidR="5AA63ACE">
        <w:t xml:space="preserve">must </w:t>
      </w:r>
      <w:r w:rsidR="001474C8">
        <w:t xml:space="preserve">measure their liability for incurred claims using the approach </w:t>
      </w:r>
      <w:r w:rsidR="485D4F75">
        <w:t xml:space="preserve">adopted </w:t>
      </w:r>
      <w:r w:rsidR="001474C8">
        <w:t>for accounting purposes.</w:t>
      </w:r>
      <w:r>
        <w:br/>
      </w:r>
      <w:r w:rsidR="009D73D6" w:rsidRPr="2DD2A6DF">
        <w:rPr>
          <w:b/>
          <w:bCs/>
          <w:i/>
          <w:iCs/>
          <w:noProof/>
        </w:rPr>
        <w:t xml:space="preserve">[Schedule </w:t>
      </w:r>
      <w:r w:rsidR="001E7EF0" w:rsidRPr="2DD2A6DF">
        <w:rPr>
          <w:b/>
          <w:bCs/>
          <w:i/>
          <w:iCs/>
          <w:noProof/>
        </w:rPr>
        <w:t>#</w:t>
      </w:r>
      <w:r w:rsidR="009D73D6" w:rsidRPr="2DD2A6DF">
        <w:rPr>
          <w:b/>
          <w:bCs/>
          <w:i/>
          <w:iCs/>
          <w:noProof/>
        </w:rPr>
        <w:t>, item</w:t>
      </w:r>
      <w:r w:rsidR="009119B4" w:rsidRPr="2DD2A6DF">
        <w:rPr>
          <w:b/>
          <w:bCs/>
          <w:i/>
          <w:iCs/>
          <w:noProof/>
        </w:rPr>
        <w:t xml:space="preserve"> 5</w:t>
      </w:r>
      <w:r w:rsidR="009D73D6" w:rsidRPr="2DD2A6DF">
        <w:rPr>
          <w:b/>
          <w:bCs/>
          <w:i/>
          <w:iCs/>
          <w:noProof/>
        </w:rPr>
        <w:t>,</w:t>
      </w:r>
      <w:r w:rsidR="009119B4" w:rsidRPr="2DD2A6DF">
        <w:rPr>
          <w:b/>
          <w:bCs/>
          <w:i/>
          <w:iCs/>
          <w:noProof/>
        </w:rPr>
        <w:t xml:space="preserve"> step 1 in </w:t>
      </w:r>
      <w:r w:rsidR="000F4311" w:rsidRPr="2DD2A6DF">
        <w:rPr>
          <w:b/>
          <w:bCs/>
          <w:i/>
          <w:iCs/>
          <w:noProof/>
        </w:rPr>
        <w:t>the method statement in section 321-20</w:t>
      </w:r>
      <w:r w:rsidR="009D73D6" w:rsidRPr="2DD2A6DF">
        <w:rPr>
          <w:b/>
          <w:bCs/>
          <w:i/>
          <w:iCs/>
          <w:noProof/>
        </w:rPr>
        <w:t xml:space="preserve">] </w:t>
      </w:r>
    </w:p>
    <w:p w14:paraId="58354D51" w14:textId="693EE81B" w:rsidR="003077ED" w:rsidRDefault="003077ED" w:rsidP="00B21338">
      <w:pPr>
        <w:pStyle w:val="Normalparatextwithnumbers"/>
      </w:pPr>
      <w:r>
        <w:t>However</w:t>
      </w:r>
      <w:r w:rsidR="00C45A83">
        <w:t xml:space="preserve">, </w:t>
      </w:r>
      <w:r w:rsidR="0089394D">
        <w:t>the measurement of liability for incurred claim</w:t>
      </w:r>
      <w:r w:rsidR="00E21ED4">
        <w:t>s is adjust</w:t>
      </w:r>
      <w:r w:rsidR="006023C6">
        <w:t xml:space="preserve">ed </w:t>
      </w:r>
      <w:r w:rsidR="00BB1394">
        <w:t xml:space="preserve">for tax purposes, to </w:t>
      </w:r>
      <w:r w:rsidR="00426886">
        <w:t>exclude certain</w:t>
      </w:r>
      <w:r w:rsidR="00BB1394">
        <w:t xml:space="preserve"> accounting </w:t>
      </w:r>
      <w:r w:rsidR="007D0778">
        <w:t xml:space="preserve">values </w:t>
      </w:r>
      <w:r w:rsidR="1EA7BE27">
        <w:t>from</w:t>
      </w:r>
      <w:r w:rsidR="009D73D6">
        <w:t xml:space="preserve"> the calculation of liability for incurred claims</w:t>
      </w:r>
      <w:r w:rsidR="00281B34">
        <w:t>,</w:t>
      </w:r>
      <w:r w:rsidR="009D73D6">
        <w:t xml:space="preserve"> including</w:t>
      </w:r>
      <w:r w:rsidR="00B21338">
        <w:t xml:space="preserve"> c</w:t>
      </w:r>
      <w:r w:rsidR="009D73D6">
        <w:t>laims</w:t>
      </w:r>
      <w:r w:rsidR="00BB1394">
        <w:t xml:space="preserve"> </w:t>
      </w:r>
      <w:r w:rsidR="00B200CC">
        <w:t xml:space="preserve">handling costs that </w:t>
      </w:r>
      <w:r w:rsidR="00C234DC">
        <w:t>are not attached to, nor directly attributable to, a particular claim</w:t>
      </w:r>
      <w:r w:rsidR="00281B34">
        <w:t>.</w:t>
      </w:r>
    </w:p>
    <w:p w14:paraId="0174531F" w14:textId="0C345575" w:rsidR="00C82070" w:rsidRDefault="00BA6269" w:rsidP="00FF65A7">
      <w:pPr>
        <w:pStyle w:val="Normalparatextwithnumbers"/>
      </w:pPr>
      <w:r>
        <w:t xml:space="preserve">The </w:t>
      </w:r>
      <w:r w:rsidR="00384F9A">
        <w:t>tax adjustment</w:t>
      </w:r>
      <w:r>
        <w:t xml:space="preserve"> </w:t>
      </w:r>
      <w:r w:rsidR="00281B34">
        <w:t>replicates</w:t>
      </w:r>
      <w:r>
        <w:t xml:space="preserve"> the previous tax </w:t>
      </w:r>
      <w:r w:rsidR="00420DB2">
        <w:t>treatment</w:t>
      </w:r>
      <w:r w:rsidR="00F61A84">
        <w:t xml:space="preserve">, by </w:t>
      </w:r>
      <w:r w:rsidR="00E12934">
        <w:t>including</w:t>
      </w:r>
      <w:r w:rsidR="00F61A84">
        <w:t xml:space="preserve"> only settlement costs </w:t>
      </w:r>
      <w:r w:rsidR="00294BA4">
        <w:t xml:space="preserve">directly associated </w:t>
      </w:r>
      <w:r w:rsidR="007D428F">
        <w:t>with the relevant claim.</w:t>
      </w:r>
      <w:r w:rsidR="00F47480">
        <w:t xml:space="preserve"> Indirect settlement costs</w:t>
      </w:r>
      <w:r w:rsidR="002F2D27">
        <w:t>, also known as</w:t>
      </w:r>
      <w:r w:rsidR="002D7646">
        <w:t xml:space="preserve"> indirect claims handling costs,</w:t>
      </w:r>
      <w:r w:rsidR="00EE7289">
        <w:t xml:space="preserve"> </w:t>
      </w:r>
      <w:r w:rsidR="000642FD">
        <w:t>include the general expenses of running and administering a general</w:t>
      </w:r>
      <w:r w:rsidR="0F3B0A31">
        <w:t xml:space="preserve"> insurer’s</w:t>
      </w:r>
      <w:r w:rsidR="000642FD">
        <w:t xml:space="preserve"> claims department. These types of costs do not attach to, nor are they attributable to, a particular claim, so should not be included in the </w:t>
      </w:r>
      <w:r w:rsidR="00D204FD">
        <w:t xml:space="preserve">calculation of the liabilities for </w:t>
      </w:r>
      <w:r w:rsidR="00931B29">
        <w:t xml:space="preserve">a </w:t>
      </w:r>
      <w:r w:rsidR="00931B29">
        <w:lastRenderedPageBreak/>
        <w:t>particular claim.</w:t>
      </w:r>
      <w:r w:rsidR="008E3CA8">
        <w:t xml:space="preserve"> </w:t>
      </w:r>
      <w:r w:rsidR="00F71189">
        <w:t xml:space="preserve">Examples of indirect </w:t>
      </w:r>
      <w:r w:rsidR="10CA9F6F">
        <w:t>settlement</w:t>
      </w:r>
      <w:r w:rsidR="00F71189">
        <w:t xml:space="preserve"> costs could include </w:t>
      </w:r>
      <w:r w:rsidR="00633AE9">
        <w:t>items in paragraphs B65(f) and (l) of the</w:t>
      </w:r>
      <w:r w:rsidR="00750DA0">
        <w:t xml:space="preserve"> </w:t>
      </w:r>
      <w:r w:rsidR="00633AE9">
        <w:t xml:space="preserve">AASB 17. </w:t>
      </w:r>
      <w:r w:rsidR="00565B10">
        <w:t xml:space="preserve">For the purposes of </w:t>
      </w:r>
      <w:r w:rsidR="00F55C5F">
        <w:t xml:space="preserve">the tax law </w:t>
      </w:r>
      <w:r w:rsidR="00097E95">
        <w:t>amendments</w:t>
      </w:r>
      <w:r w:rsidR="00F55C5F">
        <w:t xml:space="preserve">, </w:t>
      </w:r>
      <w:r w:rsidR="0C7C5F3F">
        <w:t xml:space="preserve">the term ‘direct </w:t>
      </w:r>
      <w:r w:rsidR="00565B10">
        <w:t>settlement costs</w:t>
      </w:r>
      <w:r w:rsidR="0F0BB7C0">
        <w:t>’</w:t>
      </w:r>
      <w:r w:rsidR="00565B10">
        <w:t xml:space="preserve"> ha</w:t>
      </w:r>
      <w:r w:rsidR="1994F5AE">
        <w:t>s</w:t>
      </w:r>
      <w:r w:rsidR="00565B10">
        <w:t xml:space="preserve"> been </w:t>
      </w:r>
      <w:r w:rsidR="00F55C5F">
        <w:t>replaced by</w:t>
      </w:r>
      <w:r w:rsidR="3D111FD5">
        <w:t xml:space="preserve"> the term</w:t>
      </w:r>
      <w:r w:rsidR="00F55C5F">
        <w:t xml:space="preserve"> </w:t>
      </w:r>
      <w:r w:rsidR="020B34F2">
        <w:t>‘</w:t>
      </w:r>
      <w:r w:rsidR="00F55C5F">
        <w:t>claims handling costs</w:t>
      </w:r>
      <w:r w:rsidR="2798BDE1">
        <w:t xml:space="preserve"> that are neither attached to, nor directly attributable to, a particular’</w:t>
      </w:r>
      <w:r w:rsidR="00281B34">
        <w:t xml:space="preserve">, to align with the </w:t>
      </w:r>
      <w:r w:rsidR="00750DA0">
        <w:t xml:space="preserve">terminology used in the </w:t>
      </w:r>
      <w:r w:rsidR="00281B34">
        <w:t>AASB 17</w:t>
      </w:r>
      <w:r w:rsidR="00F55C5F">
        <w:t>.</w:t>
      </w:r>
      <w:r w:rsidR="3ED849CA">
        <w:t xml:space="preserve"> That is, the previous law included direct settlement costs whereas the new law achieves a similar result by disregarding ‘indirect’ claims handling costs.</w:t>
      </w:r>
    </w:p>
    <w:p w14:paraId="50C9E242" w14:textId="444B0FE7" w:rsidR="007323BB" w:rsidRDefault="007323BB" w:rsidP="00FF65A7">
      <w:pPr>
        <w:pStyle w:val="Normalparatextwithnumbers"/>
      </w:pPr>
      <w:r>
        <w:t>The second step in the method statement is to reduce the step 1 amount by the amount that the company expects to recover under a contract of reinsurance</w:t>
      </w:r>
      <w:r w:rsidR="00C24861">
        <w:t xml:space="preserve"> held by the general insurance company</w:t>
      </w:r>
      <w:r w:rsidR="006713D1">
        <w:t xml:space="preserve">, as measured using the AASB 17. </w:t>
      </w:r>
      <w:r w:rsidR="006477C0">
        <w:br/>
      </w:r>
      <w:r w:rsidR="006477C0" w:rsidRPr="00A472D2">
        <w:rPr>
          <w:rStyle w:val="References"/>
        </w:rPr>
        <w:t xml:space="preserve">[Schedule </w:t>
      </w:r>
      <w:r w:rsidR="001E7EF0">
        <w:rPr>
          <w:rStyle w:val="References"/>
        </w:rPr>
        <w:t>#</w:t>
      </w:r>
      <w:r w:rsidR="006477C0" w:rsidRPr="00A472D2">
        <w:rPr>
          <w:rStyle w:val="References"/>
        </w:rPr>
        <w:t xml:space="preserve">, </w:t>
      </w:r>
      <w:r w:rsidR="006477C0">
        <w:rPr>
          <w:rStyle w:val="References"/>
        </w:rPr>
        <w:t>item</w:t>
      </w:r>
      <w:r w:rsidR="003025E9">
        <w:rPr>
          <w:rStyle w:val="References"/>
        </w:rPr>
        <w:t xml:space="preserve"> 5, step 2 in </w:t>
      </w:r>
      <w:r w:rsidR="00954052">
        <w:rPr>
          <w:rStyle w:val="References"/>
        </w:rPr>
        <w:t>the method statement in section 321-20</w:t>
      </w:r>
      <w:r w:rsidR="006477C0" w:rsidRPr="00A472D2">
        <w:rPr>
          <w:rStyle w:val="References"/>
        </w:rPr>
        <w:t xml:space="preserve">] </w:t>
      </w:r>
    </w:p>
    <w:p w14:paraId="289A30B7" w14:textId="54B27001" w:rsidR="006477C0" w:rsidRPr="00D52D32" w:rsidRDefault="006477C0" w:rsidP="2DD2A6DF">
      <w:pPr>
        <w:pStyle w:val="Normalparatextwithnumbers"/>
        <w:rPr>
          <w:rStyle w:val="References"/>
          <w:b w:val="0"/>
          <w:bCs w:val="0"/>
          <w:i w:val="0"/>
          <w:iCs w:val="0"/>
        </w:rPr>
      </w:pPr>
      <w:r>
        <w:t>However, the step 1 amount is not reduced by the amount that the company expect</w:t>
      </w:r>
      <w:r w:rsidR="3E7BE1FE">
        <w:t>s</w:t>
      </w:r>
      <w:r>
        <w:t xml:space="preserve"> to recover under a contract of reinsurance to which subsection 148(1) of the ITAA 19</w:t>
      </w:r>
      <w:r w:rsidR="00E970BA">
        <w:t xml:space="preserve">36 applies. </w:t>
      </w:r>
      <w:r>
        <w:br/>
      </w:r>
      <w:r w:rsidR="00E970BA" w:rsidRPr="2DD2A6DF">
        <w:rPr>
          <w:rStyle w:val="References"/>
        </w:rPr>
        <w:t xml:space="preserve">[Schedule </w:t>
      </w:r>
      <w:r w:rsidR="00D82CDD" w:rsidRPr="2DD2A6DF">
        <w:rPr>
          <w:rStyle w:val="References"/>
        </w:rPr>
        <w:t>#</w:t>
      </w:r>
      <w:r w:rsidR="00E970BA" w:rsidRPr="2DD2A6DF">
        <w:rPr>
          <w:rStyle w:val="References"/>
        </w:rPr>
        <w:t>, item</w:t>
      </w:r>
      <w:r w:rsidR="00954052" w:rsidRPr="2DD2A6DF">
        <w:rPr>
          <w:rStyle w:val="References"/>
        </w:rPr>
        <w:t xml:space="preserve"> 5, step 2 in the method statement in section 321-20</w:t>
      </w:r>
      <w:r w:rsidR="00E970BA" w:rsidRPr="2DD2A6DF">
        <w:rPr>
          <w:rStyle w:val="References"/>
        </w:rPr>
        <w:t xml:space="preserve">] </w:t>
      </w:r>
    </w:p>
    <w:p w14:paraId="07A7BDFD" w14:textId="3B92EAC1" w:rsidR="008E6FD2" w:rsidRDefault="008C1CD5" w:rsidP="00FF65A7">
      <w:pPr>
        <w:pStyle w:val="Normalparatextwithnumbers"/>
      </w:pPr>
      <w:r>
        <w:t>Subsection</w:t>
      </w:r>
      <w:r w:rsidR="008E6FD2">
        <w:t xml:space="preserve"> 148(1) applies, so far as is relevant, to a reinsurance policy taken out by a general insurance company carrying on business in Australia with a non-resident company. If the subsection applies, broadly:</w:t>
      </w:r>
    </w:p>
    <w:p w14:paraId="17337C6A" w14:textId="1B1AFFEE" w:rsidR="008E6FD2" w:rsidRDefault="008E6FD2" w:rsidP="008E6FD2">
      <w:pPr>
        <w:pStyle w:val="Dotpoint1"/>
      </w:pPr>
      <w:r>
        <w:t xml:space="preserve">the Australian general insurance company cannot </w:t>
      </w:r>
      <w:r w:rsidR="0013285C">
        <w:t>deduct</w:t>
      </w:r>
      <w:r>
        <w:t xml:space="preserve"> premiums paid in respect of the policy and i</w:t>
      </w:r>
      <w:r w:rsidR="00FB386C">
        <w:t>s</w:t>
      </w:r>
      <w:r>
        <w:t xml:space="preserve"> not assessable on any reinsurance recoveries; and</w:t>
      </w:r>
    </w:p>
    <w:p w14:paraId="14A2D303" w14:textId="276BDFD4" w:rsidR="008E6FD2" w:rsidRDefault="008E6FD2" w:rsidP="008E6FD2">
      <w:pPr>
        <w:pStyle w:val="Dotpoint1"/>
      </w:pPr>
      <w:r>
        <w:t xml:space="preserve">the non-resident reinsurance company is not </w:t>
      </w:r>
      <w:r w:rsidR="0013285C">
        <w:t>assessed in Australia on the premiums received or receivable</w:t>
      </w:r>
    </w:p>
    <w:p w14:paraId="33A8ABAA" w14:textId="176263A4" w:rsidR="0013285C" w:rsidRDefault="0013285C" w:rsidP="0013285C">
      <w:pPr>
        <w:pStyle w:val="Normalparatextwithnumbers"/>
      </w:pPr>
      <w:r>
        <w:t xml:space="preserve">Under step 2 in the method statement, the value </w:t>
      </w:r>
      <w:r w:rsidR="00F55D8F">
        <w:t xml:space="preserve">of the reinsured company’s </w:t>
      </w:r>
      <w:r w:rsidR="004C2319">
        <w:t>liability for incurred claims</w:t>
      </w:r>
      <w:r w:rsidR="00F55D8F">
        <w:t xml:space="preserve"> is not reduced by the amount the company expected to recover under </w:t>
      </w:r>
      <w:r w:rsidR="6BF31697">
        <w:t>a</w:t>
      </w:r>
      <w:r w:rsidR="00F55D8F">
        <w:t xml:space="preserve"> reinsurance contract</w:t>
      </w:r>
      <w:r w:rsidR="0D08A3E3">
        <w:t xml:space="preserve"> to which subsection 148(1) applies</w:t>
      </w:r>
      <w:r w:rsidR="1241C418">
        <w:t>.</w:t>
      </w:r>
      <w:r w:rsidR="00F55D8F">
        <w:t xml:space="preserve"> If step</w:t>
      </w:r>
      <w:r w:rsidR="004C2319">
        <w:t xml:space="preserve"> </w:t>
      </w:r>
      <w:r w:rsidR="00F55D8F">
        <w:t>2 was reduced by this amount, the reinsured company’s taxable income would effectively be increased by the amount of the expected reinsurance recoveries. This would be inconsistent with the objective of subsection 148(1).</w:t>
      </w:r>
    </w:p>
    <w:p w14:paraId="6A02765E" w14:textId="114BADED" w:rsidR="008C1CD5" w:rsidRDefault="00967674" w:rsidP="00967674">
      <w:pPr>
        <w:pStyle w:val="Heading5"/>
      </w:pPr>
      <w:r>
        <w:t>Payment of claims</w:t>
      </w:r>
    </w:p>
    <w:p w14:paraId="23466D31" w14:textId="78DBE055" w:rsidR="00967674" w:rsidRDefault="00576EB2" w:rsidP="00967674">
      <w:pPr>
        <w:pStyle w:val="Normalparatextwithnumbers"/>
      </w:pPr>
      <w:r>
        <w:t xml:space="preserve">The amendments do not alter </w:t>
      </w:r>
      <w:r w:rsidR="00136B98">
        <w:t>the taxation treatment of general insurance companies in respect of the payment of claims.</w:t>
      </w:r>
    </w:p>
    <w:p w14:paraId="2F12D364" w14:textId="33997720" w:rsidR="00136B98" w:rsidRPr="0058252D" w:rsidRDefault="000C759D" w:rsidP="00967674">
      <w:pPr>
        <w:pStyle w:val="Normalparatextwithnumbers"/>
        <w:rPr>
          <w:rStyle w:val="References"/>
          <w:b w:val="0"/>
          <w:bCs w:val="0"/>
          <w:i w:val="0"/>
          <w:iCs w:val="0"/>
        </w:rPr>
      </w:pPr>
      <w:r>
        <w:t>A general insurance company can deduct the amounts paid during an income year in respect of claims under general insurance policies</w:t>
      </w:r>
      <w:r w:rsidR="0058252D">
        <w:rPr>
          <w:rStyle w:val="References"/>
          <w:b w:val="0"/>
          <w:bCs w:val="0"/>
          <w:i w:val="0"/>
          <w:iCs w:val="0"/>
        </w:rPr>
        <w:t>.</w:t>
      </w:r>
    </w:p>
    <w:p w14:paraId="5E068C58" w14:textId="3DD663CE" w:rsidR="000C759D" w:rsidRDefault="000C759D" w:rsidP="00967674">
      <w:pPr>
        <w:pStyle w:val="Normalparatextwithnumbers"/>
      </w:pPr>
      <w:r>
        <w:lastRenderedPageBreak/>
        <w:t xml:space="preserve">In this context, a claim is taken to be paid by a general insurance company in an income year even though the funds have not actually been </w:t>
      </w:r>
      <w:r w:rsidR="00A609CA">
        <w:t>disbursed</w:t>
      </w:r>
      <w:r>
        <w:t xml:space="preserve"> </w:t>
      </w:r>
      <w:r w:rsidR="00653FAC">
        <w:t>at the end of the income year provided that:</w:t>
      </w:r>
    </w:p>
    <w:p w14:paraId="21416AB0" w14:textId="7BDA352E" w:rsidR="00653FAC" w:rsidRDefault="00653FAC" w:rsidP="00653FAC">
      <w:pPr>
        <w:pStyle w:val="Dotpoint1"/>
      </w:pPr>
      <w:r>
        <w:t xml:space="preserve">the amount of the claim is settled in that income </w:t>
      </w:r>
      <w:proofErr w:type="gramStart"/>
      <w:r>
        <w:t>year;</w:t>
      </w:r>
      <w:proofErr w:type="gramEnd"/>
    </w:p>
    <w:p w14:paraId="3CECB107" w14:textId="1D728984" w:rsidR="00653FAC" w:rsidRDefault="00653FAC" w:rsidP="00653FAC">
      <w:pPr>
        <w:pStyle w:val="Dotpoint1"/>
      </w:pPr>
      <w:r>
        <w:t>the relevant liability is no longer reflected in the company’s liability for incurred claims at the end of that income year; and</w:t>
      </w:r>
    </w:p>
    <w:p w14:paraId="57E5434B" w14:textId="4E5EF9DF" w:rsidR="00653FAC" w:rsidRPr="00967674" w:rsidRDefault="00653FAC" w:rsidP="0058252D">
      <w:pPr>
        <w:pStyle w:val="Dotpoint1"/>
      </w:pPr>
      <w:r>
        <w:t xml:space="preserve">the claim is payable by the company at the end of that income year. </w:t>
      </w:r>
    </w:p>
    <w:p w14:paraId="4A1687DA" w14:textId="0DFBE6B1" w:rsidR="00897B45" w:rsidRDefault="00897B45" w:rsidP="003C67B1">
      <w:pPr>
        <w:pStyle w:val="Heading4"/>
      </w:pPr>
      <w:r>
        <w:t xml:space="preserve">Liability for Remaining Coverage </w:t>
      </w:r>
    </w:p>
    <w:p w14:paraId="73EB6286" w14:textId="7C9E74B2" w:rsidR="00A65CEB" w:rsidRDefault="00A65CEB" w:rsidP="00A65CEB">
      <w:pPr>
        <w:pStyle w:val="Heading5"/>
      </w:pPr>
      <w:r>
        <w:t>Gross Premiums</w:t>
      </w:r>
    </w:p>
    <w:p w14:paraId="2D653DC8" w14:textId="7038474D" w:rsidR="004727A2" w:rsidRPr="00A65CEB" w:rsidRDefault="008F3CAF" w:rsidP="009F1145">
      <w:pPr>
        <w:pStyle w:val="Normalparatextwithnumbers"/>
      </w:pPr>
      <w:r>
        <w:t xml:space="preserve">Gross premium income received or receivable in respect of general insurance policies in an income year is </w:t>
      </w:r>
      <w:r w:rsidR="00576EB2">
        <w:t xml:space="preserve">unchanged </w:t>
      </w:r>
      <w:r>
        <w:t>from the previous law</w:t>
      </w:r>
      <w:r w:rsidR="007B1417">
        <w:t>. Gross premiums are</w:t>
      </w:r>
      <w:r w:rsidR="006B3162">
        <w:t xml:space="preserve"> </w:t>
      </w:r>
      <w:r w:rsidR="00122DF0">
        <w:t xml:space="preserve">included in </w:t>
      </w:r>
      <w:r w:rsidR="006B3162">
        <w:t>a general insurance company’s assessable income.</w:t>
      </w:r>
    </w:p>
    <w:p w14:paraId="116848AC" w14:textId="6420A189" w:rsidR="00A65CEB" w:rsidRPr="00A65CEB" w:rsidRDefault="00A65CEB" w:rsidP="009F1145">
      <w:pPr>
        <w:pStyle w:val="Heading5"/>
      </w:pPr>
      <w:r>
        <w:t>Liability for Remaining Coverage</w:t>
      </w:r>
    </w:p>
    <w:p w14:paraId="10240DF7" w14:textId="2D54248C" w:rsidR="004D7272" w:rsidRDefault="00576EB2" w:rsidP="003479BD">
      <w:pPr>
        <w:pStyle w:val="Normalparatextwithnumbers"/>
      </w:pPr>
      <w:r>
        <w:t>Under the amendments, t</w:t>
      </w:r>
      <w:r w:rsidR="00EE0673">
        <w:t>he liabilit</w:t>
      </w:r>
      <w:r w:rsidR="0061507C">
        <w:t xml:space="preserve">y for remaining coverage comprises the fulfilment cash flows related to future </w:t>
      </w:r>
      <w:r w:rsidR="003479BD">
        <w:t>services</w:t>
      </w:r>
      <w:r w:rsidR="0061507C">
        <w:t xml:space="preserve"> allocated to the </w:t>
      </w:r>
      <w:r w:rsidR="14E70E13">
        <w:t xml:space="preserve">relevant </w:t>
      </w:r>
      <w:r w:rsidR="7FF248D6">
        <w:t>group</w:t>
      </w:r>
      <w:r w:rsidR="3016C45A">
        <w:t xml:space="preserve"> of contracts</w:t>
      </w:r>
      <w:r w:rsidR="0061507C">
        <w:t xml:space="preserve"> at that date.</w:t>
      </w:r>
    </w:p>
    <w:p w14:paraId="3B035247" w14:textId="771D62A9" w:rsidR="00F45EA4" w:rsidRDefault="003479BD">
      <w:pPr>
        <w:pStyle w:val="Normalparatextwithnumbers"/>
      </w:pPr>
      <w:r>
        <w:t xml:space="preserve">To align the ITAA 1997 to </w:t>
      </w:r>
      <w:r w:rsidR="7775952E">
        <w:t>the</w:t>
      </w:r>
      <w:r>
        <w:t xml:space="preserve"> current accounting standard, the</w:t>
      </w:r>
      <w:r w:rsidR="00A56F35">
        <w:t xml:space="preserve"> concept of</w:t>
      </w:r>
      <w:r>
        <w:t xml:space="preserve"> ‘unearned premium reserve’ is replaced </w:t>
      </w:r>
      <w:r w:rsidR="00576EB2">
        <w:t xml:space="preserve">with </w:t>
      </w:r>
      <w:r>
        <w:t xml:space="preserve">the ‘liability for remaining </w:t>
      </w:r>
      <w:r w:rsidR="000B651C">
        <w:t>coverage</w:t>
      </w:r>
      <w:r>
        <w:t>’</w:t>
      </w:r>
      <w:r w:rsidR="00576EB2" w:rsidRPr="00576EB2">
        <w:t xml:space="preserve"> </w:t>
      </w:r>
      <w:r w:rsidR="00576EB2">
        <w:t>as referred to in the AASB 17</w:t>
      </w:r>
      <w:r>
        <w:t xml:space="preserve">. </w:t>
      </w:r>
      <w:r w:rsidR="009C6531">
        <w:t xml:space="preserve">The </w:t>
      </w:r>
      <w:r w:rsidR="002B21E9">
        <w:t>accounting</w:t>
      </w:r>
      <w:r w:rsidR="009C6531">
        <w:t xml:space="preserve"> value </w:t>
      </w:r>
      <w:r w:rsidR="70D661CB">
        <w:t>of the company’s</w:t>
      </w:r>
      <w:r w:rsidR="009C6531">
        <w:t xml:space="preserve"> liability for remaining coverage is</w:t>
      </w:r>
      <w:r w:rsidR="00576EB2">
        <w:t xml:space="preserve"> however,</w:t>
      </w:r>
      <w:r w:rsidR="009C6531">
        <w:t xml:space="preserve"> adjusted for tax purposes. </w:t>
      </w:r>
      <w:r w:rsidR="00F45EA4">
        <w:t>The</w:t>
      </w:r>
      <w:r w:rsidR="00BF37D0">
        <w:t xml:space="preserve"> general insurance company’s</w:t>
      </w:r>
      <w:r w:rsidR="00F45EA4">
        <w:t xml:space="preserve"> liability for remaining coverage </w:t>
      </w:r>
      <w:r w:rsidR="001C05B1">
        <w:t>for</w:t>
      </w:r>
      <w:r w:rsidR="00BF37D0">
        <w:t xml:space="preserve"> insurance policies relate to risks covered by those policies in respect of later income years</w:t>
      </w:r>
      <w:r w:rsidR="000B6EDC">
        <w:t>. The</w:t>
      </w:r>
      <w:r w:rsidR="32173A8C">
        <w:t xml:space="preserve"> value of the</w:t>
      </w:r>
      <w:r w:rsidR="000B6EDC">
        <w:t xml:space="preserve"> liability</w:t>
      </w:r>
      <w:r w:rsidR="00BF37D0">
        <w:t xml:space="preserve"> must be worked out at the end of each income year.</w:t>
      </w:r>
    </w:p>
    <w:p w14:paraId="0DECED2D" w14:textId="2059D329" w:rsidR="007F53DC" w:rsidRDefault="007F53DC">
      <w:pPr>
        <w:pStyle w:val="Normalparatextwithnumbers"/>
      </w:pPr>
      <w:r>
        <w:t xml:space="preserve">The provisions compare the value of a general insurance company’s adjusted liability for </w:t>
      </w:r>
      <w:r w:rsidR="00DD2936">
        <w:t>remaining coverage</w:t>
      </w:r>
      <w:r>
        <w:t xml:space="preserve"> at the end of an income year with the value of the liabilit</w:t>
      </w:r>
      <w:r w:rsidR="77ED1945">
        <w:t>y</w:t>
      </w:r>
      <w:r>
        <w:t xml:space="preserve"> at the end of the previous income year.</w:t>
      </w:r>
    </w:p>
    <w:p w14:paraId="55538F2B" w14:textId="0EBB2A57" w:rsidR="007F53DC" w:rsidRDefault="007F53DC">
      <w:pPr>
        <w:pStyle w:val="Dotpoint1"/>
      </w:pPr>
      <w:r>
        <w:t xml:space="preserve">If the value of the </w:t>
      </w:r>
      <w:r w:rsidR="009C6531">
        <w:t>adjusted</w:t>
      </w:r>
      <w:r>
        <w:t xml:space="preserve"> liability for </w:t>
      </w:r>
      <w:r w:rsidR="00DD2936">
        <w:t xml:space="preserve">remaining coverage </w:t>
      </w:r>
      <w:r>
        <w:t xml:space="preserve">at the end of an income year is less than the value at the end of the previous income year, the difference is included </w:t>
      </w:r>
      <w:r w:rsidR="00576EB2">
        <w:t xml:space="preserve">as </w:t>
      </w:r>
      <w:r>
        <w:t>assessable income.</w:t>
      </w:r>
    </w:p>
    <w:p w14:paraId="01A84AD4" w14:textId="1213B3F8" w:rsidR="007F53DC" w:rsidRDefault="007F53DC">
      <w:pPr>
        <w:pStyle w:val="Dotpoint1"/>
      </w:pPr>
      <w:r>
        <w:t xml:space="preserve">If the value of the </w:t>
      </w:r>
      <w:r w:rsidR="009C6531">
        <w:t>adjusted</w:t>
      </w:r>
      <w:r>
        <w:t xml:space="preserve"> liability for </w:t>
      </w:r>
      <w:r w:rsidR="00DD2936">
        <w:t xml:space="preserve">remaining coverage </w:t>
      </w:r>
      <w:r>
        <w:t xml:space="preserve">at the end of an income year exceeds the value at the end of the previous income year, the excess is </w:t>
      </w:r>
      <w:r w:rsidR="00576EB2">
        <w:t xml:space="preserve">recognised </w:t>
      </w:r>
      <w:r>
        <w:t xml:space="preserve">as </w:t>
      </w:r>
      <w:r w:rsidR="00576EB2">
        <w:t>deductible</w:t>
      </w:r>
      <w:r>
        <w:t>.</w:t>
      </w:r>
    </w:p>
    <w:p w14:paraId="304B5134" w14:textId="5F189CE0" w:rsidR="007F53DC" w:rsidRDefault="007F53DC">
      <w:pPr>
        <w:pStyle w:val="Referenceafterdotpoint"/>
      </w:pPr>
      <w:r>
        <w:t xml:space="preserve">[Schedule </w:t>
      </w:r>
      <w:r w:rsidR="00576EB2">
        <w:t>#</w:t>
      </w:r>
      <w:r>
        <w:t>, item</w:t>
      </w:r>
      <w:r w:rsidR="009A729D">
        <w:t xml:space="preserve">s 6, 7, 8, </w:t>
      </w:r>
      <w:r w:rsidR="00AB52CD">
        <w:t>9, 10, 11</w:t>
      </w:r>
      <w:r>
        <w:t xml:space="preserve">, </w:t>
      </w:r>
      <w:r w:rsidR="00AB52CD">
        <w:t>sections 321-50 and 321-55</w:t>
      </w:r>
      <w:r>
        <w:t xml:space="preserve">] </w:t>
      </w:r>
    </w:p>
    <w:p w14:paraId="72B460DC" w14:textId="5CC05B2D" w:rsidR="007F53DC" w:rsidRDefault="007F53DC">
      <w:pPr>
        <w:pStyle w:val="Normalparatextwithnumbers"/>
      </w:pPr>
      <w:r>
        <w:lastRenderedPageBreak/>
        <w:t xml:space="preserve">The first step in the method statement is to measure the liability for </w:t>
      </w:r>
      <w:r w:rsidR="00DD2936">
        <w:t xml:space="preserve">remaining coverage </w:t>
      </w:r>
      <w:r>
        <w:t>at the end of the income year using the AASB</w:t>
      </w:r>
      <w:r w:rsidR="003779C7">
        <w:t> </w:t>
      </w:r>
      <w:r>
        <w:t xml:space="preserve">17. </w:t>
      </w:r>
      <w:r w:rsidR="00773382">
        <w:t xml:space="preserve">The company </w:t>
      </w:r>
      <w:r w:rsidR="3B43718D">
        <w:t>must</w:t>
      </w:r>
      <w:r w:rsidR="00773382">
        <w:t xml:space="preserve"> measure their liability for remaining coverage using the approach </w:t>
      </w:r>
      <w:r w:rsidR="556A7F83">
        <w:t>adopted</w:t>
      </w:r>
      <w:r w:rsidR="00773382">
        <w:t xml:space="preserve"> for accounting purposes.</w:t>
      </w:r>
      <w:r>
        <w:br/>
      </w:r>
      <w:r w:rsidRPr="007618C6">
        <w:rPr>
          <w:rStyle w:val="References"/>
        </w:rPr>
        <w:t xml:space="preserve">[Schedule </w:t>
      </w:r>
      <w:r w:rsidR="00576EB2">
        <w:rPr>
          <w:rStyle w:val="References"/>
        </w:rPr>
        <w:t>#</w:t>
      </w:r>
      <w:r w:rsidRPr="007618C6">
        <w:rPr>
          <w:rStyle w:val="References"/>
        </w:rPr>
        <w:t>, item</w:t>
      </w:r>
      <w:r w:rsidR="00AB52CD">
        <w:rPr>
          <w:rStyle w:val="References"/>
        </w:rPr>
        <w:t xml:space="preserve"> 12, </w:t>
      </w:r>
      <w:r w:rsidR="00080156">
        <w:rPr>
          <w:rStyle w:val="References"/>
        </w:rPr>
        <w:t>step 1 in the method statement in section 321-60</w:t>
      </w:r>
      <w:r w:rsidRPr="007618C6">
        <w:rPr>
          <w:rStyle w:val="References"/>
        </w:rPr>
        <w:t xml:space="preserve">] </w:t>
      </w:r>
    </w:p>
    <w:p w14:paraId="27537DF7" w14:textId="76DADBEF" w:rsidR="007F53DC" w:rsidRDefault="007F53DC">
      <w:pPr>
        <w:pStyle w:val="Normalparatextwithnumbers"/>
      </w:pPr>
      <w:r>
        <w:t xml:space="preserve">However, the measurement of liability for </w:t>
      </w:r>
      <w:r w:rsidR="00DD2936">
        <w:t xml:space="preserve">remaining coverage </w:t>
      </w:r>
      <w:r>
        <w:t xml:space="preserve">is adjusted for tax purposes, to </w:t>
      </w:r>
      <w:r w:rsidR="00426886">
        <w:t>exclude</w:t>
      </w:r>
      <w:r>
        <w:t xml:space="preserve"> certain accounting </w:t>
      </w:r>
      <w:r w:rsidR="00E14528">
        <w:t xml:space="preserve">values </w:t>
      </w:r>
      <w:r>
        <w:t xml:space="preserve">in the calculation of liability for </w:t>
      </w:r>
      <w:r w:rsidR="00DD2936">
        <w:t xml:space="preserve">remaining coverage </w:t>
      </w:r>
      <w:r>
        <w:t>including:</w:t>
      </w:r>
    </w:p>
    <w:p w14:paraId="4669526F" w14:textId="53494C49" w:rsidR="00AA26A1" w:rsidRDefault="00FF45E9">
      <w:pPr>
        <w:pStyle w:val="Dotpoint1"/>
      </w:pPr>
      <w:r>
        <w:t>Fulfilment</w:t>
      </w:r>
      <w:r w:rsidR="00D865F9">
        <w:t xml:space="preserve"> cash flows that are neither premiums nor insurance acquisition cash flows, </w:t>
      </w:r>
      <w:r w:rsidR="00FF29E4">
        <w:t>within the meaning of AASB</w:t>
      </w:r>
      <w:r w:rsidR="00991A32">
        <w:t xml:space="preserve"> </w:t>
      </w:r>
      <w:r w:rsidR="00FF29E4">
        <w:t>17</w:t>
      </w:r>
      <w:r w:rsidR="001922AB">
        <w:t>; and</w:t>
      </w:r>
    </w:p>
    <w:p w14:paraId="71A57E20" w14:textId="159AB3DE" w:rsidR="007F53DC" w:rsidRDefault="007F53DC">
      <w:pPr>
        <w:pStyle w:val="Dotpoint1"/>
      </w:pPr>
      <w:r>
        <w:t>The treatment of onerous contracts within the AASB 17.</w:t>
      </w:r>
    </w:p>
    <w:p w14:paraId="23CEB1D8" w14:textId="35B8DA93" w:rsidR="00677438" w:rsidRDefault="00D6646E" w:rsidP="003779C7">
      <w:pPr>
        <w:pStyle w:val="Normalparatextwithnumbers"/>
      </w:pPr>
      <w:r>
        <w:t xml:space="preserve">The fulfilment cash flows </w:t>
      </w:r>
      <w:r w:rsidR="001E0949">
        <w:t>are</w:t>
      </w:r>
      <w:r>
        <w:t xml:space="preserve"> limited to </w:t>
      </w:r>
      <w:r w:rsidR="003006CC">
        <w:t>premiums and insurance acquisition cash flows</w:t>
      </w:r>
      <w:r w:rsidR="0027755C">
        <w:t>, as this restricts the liability for remaining coverage to the premium elements of the general insurance contract</w:t>
      </w:r>
      <w:r w:rsidR="00427C1D">
        <w:t>, net of acquisition costs</w:t>
      </w:r>
      <w:r w:rsidR="0027755C">
        <w:t>.</w:t>
      </w:r>
      <w:r w:rsidR="003006CC">
        <w:t xml:space="preserve"> </w:t>
      </w:r>
      <w:r w:rsidR="008F331D">
        <w:t xml:space="preserve">The </w:t>
      </w:r>
      <w:r w:rsidR="00871D83">
        <w:t xml:space="preserve">measurement of the liability for remaining coverage in the accounting standard includes </w:t>
      </w:r>
      <w:r w:rsidR="002C4C7D">
        <w:t xml:space="preserve">cash flows </w:t>
      </w:r>
      <w:r w:rsidR="00FA7104">
        <w:t>additional to premium cash flows. These</w:t>
      </w:r>
      <w:r w:rsidR="00F32294">
        <w:t xml:space="preserve"> </w:t>
      </w:r>
      <w:r w:rsidR="00871D83">
        <w:t xml:space="preserve">cash flows </w:t>
      </w:r>
      <w:r w:rsidR="00F32294">
        <w:t xml:space="preserve">are not </w:t>
      </w:r>
      <w:r w:rsidR="00330A80">
        <w:t>applicable</w:t>
      </w:r>
      <w:r w:rsidR="00F32294">
        <w:t xml:space="preserve"> for taxation purposes</w:t>
      </w:r>
      <w:r w:rsidR="003A7476">
        <w:t xml:space="preserve"> where assessable income is</w:t>
      </w:r>
      <w:r w:rsidR="00F32294">
        <w:t xml:space="preserve"> </w:t>
      </w:r>
      <w:r w:rsidR="00CB6FF5">
        <w:t xml:space="preserve">calculated </w:t>
      </w:r>
      <w:r w:rsidR="00CD4CE2">
        <w:t xml:space="preserve">in the current year </w:t>
      </w:r>
      <w:r w:rsidR="001B6CB9">
        <w:t>by gross premiums received or receivable</w:t>
      </w:r>
      <w:r w:rsidR="00CE3B0A">
        <w:t xml:space="preserve"> (see section </w:t>
      </w:r>
      <w:r w:rsidR="00EE3168">
        <w:t>321-45)</w:t>
      </w:r>
      <w:r w:rsidR="001B6CB9">
        <w:t xml:space="preserve">. </w:t>
      </w:r>
    </w:p>
    <w:p w14:paraId="48FEC332" w14:textId="337EB2AA" w:rsidR="00AF00D8" w:rsidRDefault="00AF00D8" w:rsidP="00AF00D8">
      <w:pPr>
        <w:pStyle w:val="Normalparatextwithnumbers"/>
      </w:pPr>
      <w:r>
        <w:t>The treatment of onerous contract</w:t>
      </w:r>
      <w:r w:rsidR="00C5552F">
        <w:t>s</w:t>
      </w:r>
      <w:r w:rsidR="00D04F80">
        <w:t xml:space="preserve"> in AASB 17</w:t>
      </w:r>
      <w:r>
        <w:t xml:space="preserve"> immediately expenses </w:t>
      </w:r>
      <w:r w:rsidR="00155A6B">
        <w:t>any</w:t>
      </w:r>
      <w:r>
        <w:t xml:space="preserve"> losses for accounting purposes</w:t>
      </w:r>
      <w:r w:rsidR="00155A6B">
        <w:t xml:space="preserve"> on recognition. This</w:t>
      </w:r>
      <w:r>
        <w:t xml:space="preserve"> </w:t>
      </w:r>
      <w:r w:rsidR="001922AB">
        <w:t>is not applied</w:t>
      </w:r>
      <w:r>
        <w:t xml:space="preserve"> for tax purposes. Instead, the </w:t>
      </w:r>
      <w:r w:rsidR="00060683">
        <w:t>loss or outgoing</w:t>
      </w:r>
      <w:r>
        <w:t xml:space="preserve"> </w:t>
      </w:r>
      <w:r w:rsidR="00060683">
        <w:t>is</w:t>
      </w:r>
      <w:r>
        <w:t xml:space="preserve"> deductible </w:t>
      </w:r>
      <w:r w:rsidR="003779C7">
        <w:t xml:space="preserve">only </w:t>
      </w:r>
      <w:r>
        <w:t>when</w:t>
      </w:r>
      <w:r w:rsidR="00060683">
        <w:t xml:space="preserve"> it is</w:t>
      </w:r>
      <w:r>
        <w:t xml:space="preserve"> incurred</w:t>
      </w:r>
      <w:r w:rsidR="00060683">
        <w:t>, as per general income tax principles</w:t>
      </w:r>
      <w:r>
        <w:t xml:space="preserve">. </w:t>
      </w:r>
      <w:r w:rsidR="00CC1FC1">
        <w:t>That is, the AASB 17’s treatment of onerous contracts is disregarded for tax purposes.</w:t>
      </w:r>
      <w:r w:rsidR="5DC049D3">
        <w:t xml:space="preserve"> To determine the value of the adjusted </w:t>
      </w:r>
      <w:r w:rsidR="00DC22D0">
        <w:t>liability for remaining coverage</w:t>
      </w:r>
      <w:r w:rsidR="5DC049D3">
        <w:t xml:space="preserve"> for tax purposes, such contracts are treated the same as non-onerous contracts, resulting in the release of the loss component to the profit or loss over the contract service period.</w:t>
      </w:r>
      <w:r>
        <w:br/>
      </w:r>
      <w:r w:rsidRPr="721113EB">
        <w:rPr>
          <w:rStyle w:val="References"/>
        </w:rPr>
        <w:t xml:space="preserve">[Schedule </w:t>
      </w:r>
      <w:r w:rsidR="00CC1FC1" w:rsidRPr="721113EB">
        <w:rPr>
          <w:rStyle w:val="References"/>
        </w:rPr>
        <w:t>#</w:t>
      </w:r>
      <w:r w:rsidRPr="721113EB">
        <w:rPr>
          <w:rStyle w:val="References"/>
        </w:rPr>
        <w:t>, item</w:t>
      </w:r>
      <w:r w:rsidR="00080156" w:rsidRPr="721113EB">
        <w:rPr>
          <w:rStyle w:val="References"/>
        </w:rPr>
        <w:t xml:space="preserve"> 12</w:t>
      </w:r>
      <w:r w:rsidRPr="721113EB">
        <w:rPr>
          <w:rStyle w:val="References"/>
        </w:rPr>
        <w:t xml:space="preserve">, </w:t>
      </w:r>
      <w:r w:rsidR="00080156" w:rsidRPr="721113EB">
        <w:rPr>
          <w:rStyle w:val="References"/>
        </w:rPr>
        <w:t>step 1 in the method statement in section 321-60</w:t>
      </w:r>
      <w:r w:rsidRPr="721113EB">
        <w:rPr>
          <w:rStyle w:val="References"/>
        </w:rPr>
        <w:t xml:space="preserve">] </w:t>
      </w:r>
    </w:p>
    <w:p w14:paraId="4DF787A9" w14:textId="65140FAD" w:rsidR="00A819FF" w:rsidRDefault="007F53DC">
      <w:pPr>
        <w:pStyle w:val="Normalparatextwithnumbers"/>
      </w:pPr>
      <w:r>
        <w:t xml:space="preserve">The second step in the method statement is to reduce the step 1 amount by </w:t>
      </w:r>
      <w:r w:rsidR="00A819FF">
        <w:t>any asset for insurance acquisition cash flow.</w:t>
      </w:r>
      <w:r w:rsidR="005E643B">
        <w:t xml:space="preserve"> </w:t>
      </w:r>
      <w:r w:rsidR="00093596">
        <w:t>The assets ar</w:t>
      </w:r>
      <w:r w:rsidR="00351590">
        <w:t xml:space="preserve">ise where acquisition cash flows have occurred but cannot be identified against a contract group. </w:t>
      </w:r>
      <w:r w:rsidR="00280501">
        <w:br/>
      </w:r>
      <w:r w:rsidR="00280501" w:rsidRPr="003779C7">
        <w:rPr>
          <w:rStyle w:val="References"/>
        </w:rPr>
        <w:t xml:space="preserve">[Schedule </w:t>
      </w:r>
      <w:r w:rsidR="00CC1FC1">
        <w:rPr>
          <w:rStyle w:val="References"/>
        </w:rPr>
        <w:t>#</w:t>
      </w:r>
      <w:r w:rsidR="00280501" w:rsidRPr="003779C7">
        <w:rPr>
          <w:rStyle w:val="References"/>
        </w:rPr>
        <w:t>, item</w:t>
      </w:r>
      <w:r w:rsidR="00280501">
        <w:rPr>
          <w:rStyle w:val="References"/>
        </w:rPr>
        <w:t xml:space="preserve"> 12</w:t>
      </w:r>
      <w:r w:rsidR="00280501" w:rsidRPr="003779C7">
        <w:rPr>
          <w:rStyle w:val="References"/>
        </w:rPr>
        <w:t xml:space="preserve">, </w:t>
      </w:r>
      <w:r w:rsidR="00280501">
        <w:rPr>
          <w:rStyle w:val="References"/>
        </w:rPr>
        <w:t>step 2 in the method statement in section 321-60</w:t>
      </w:r>
      <w:r w:rsidR="00280501" w:rsidRPr="003779C7">
        <w:rPr>
          <w:rStyle w:val="References"/>
        </w:rPr>
        <w:t xml:space="preserve">] </w:t>
      </w:r>
    </w:p>
    <w:p w14:paraId="310CC5D2" w14:textId="171F0084" w:rsidR="00FF6FA3" w:rsidRDefault="007F53DC">
      <w:pPr>
        <w:pStyle w:val="Normalparatextwithnumbers"/>
      </w:pPr>
      <w:r>
        <w:t xml:space="preserve">The </w:t>
      </w:r>
      <w:r w:rsidR="00A819FF">
        <w:t xml:space="preserve">third </w:t>
      </w:r>
      <w:r>
        <w:t xml:space="preserve">step in the method statement is to reduce the </w:t>
      </w:r>
      <w:r w:rsidR="00C66728">
        <w:t>result from step 2</w:t>
      </w:r>
      <w:r>
        <w:t xml:space="preserve"> by the </w:t>
      </w:r>
      <w:r w:rsidR="00E30236">
        <w:t>premiums</w:t>
      </w:r>
      <w:r w:rsidR="00B56417">
        <w:t xml:space="preserve"> paid or payable by the company, in that or an earlier income year, </w:t>
      </w:r>
      <w:r>
        <w:t>under a contract of reinsurance</w:t>
      </w:r>
      <w:r w:rsidR="006A7FDC">
        <w:t xml:space="preserve"> held by the general insurance company</w:t>
      </w:r>
      <w:r>
        <w:t>, as measured using the AASB 17</w:t>
      </w:r>
      <w:r w:rsidR="00FF6FA3">
        <w:t xml:space="preserve">, </w:t>
      </w:r>
      <w:r w:rsidR="00A807F0">
        <w:t>other than</w:t>
      </w:r>
      <w:r w:rsidR="00FF6FA3">
        <w:t>:</w:t>
      </w:r>
    </w:p>
    <w:p w14:paraId="0F5D348B" w14:textId="37C64ACF" w:rsidR="00127A2C" w:rsidRDefault="00127A2C" w:rsidP="00FF6FA3">
      <w:pPr>
        <w:pStyle w:val="Dotpoint1"/>
      </w:pPr>
      <w:r>
        <w:t>r</w:t>
      </w:r>
      <w:r w:rsidR="00FF6FA3">
        <w:t xml:space="preserve">einsurance premiums that the </w:t>
      </w:r>
      <w:r w:rsidR="00F8563C">
        <w:t xml:space="preserve">company cannot deduct because of subsection 148(1) </w:t>
      </w:r>
      <w:r>
        <w:t>of the ITAA 1936; and</w:t>
      </w:r>
    </w:p>
    <w:p w14:paraId="5E82FF16" w14:textId="28D6F355" w:rsidR="00CD3896" w:rsidRDefault="00127A2C" w:rsidP="00FF6FA3">
      <w:pPr>
        <w:pStyle w:val="Dotpoint1"/>
      </w:pPr>
      <w:r>
        <w:t>reinsurance premiums that were paid or payable in res</w:t>
      </w:r>
      <w:r w:rsidR="00CD3896">
        <w:t xml:space="preserve">pect of a particular class of insurance business, where, under the contract of </w:t>
      </w:r>
      <w:r w:rsidR="00CD3896">
        <w:lastRenderedPageBreak/>
        <w:t xml:space="preserve">reinsurance, the reinsurer agreed to pay, in respect of the loss incurred by the company that is covered by the relevant policy, some or </w:t>
      </w:r>
      <w:proofErr w:type="gramStart"/>
      <w:r w:rsidR="00CD3896">
        <w:t>all of</w:t>
      </w:r>
      <w:proofErr w:type="gramEnd"/>
      <w:r w:rsidR="00CD3896">
        <w:t xml:space="preserve"> the excess over an agreed amount.</w:t>
      </w:r>
    </w:p>
    <w:p w14:paraId="7A01EA20" w14:textId="615CA85B" w:rsidR="0094486B" w:rsidRDefault="00CD3896" w:rsidP="00AD618E">
      <w:pPr>
        <w:pStyle w:val="Referenceafterdotpoint"/>
      </w:pPr>
      <w:r>
        <w:t xml:space="preserve">[Schedule </w:t>
      </w:r>
      <w:r w:rsidR="00CC1FC1">
        <w:t>#</w:t>
      </w:r>
      <w:r>
        <w:t>, item</w:t>
      </w:r>
      <w:r w:rsidR="00080156">
        <w:t xml:space="preserve"> 12, step </w:t>
      </w:r>
      <w:r w:rsidR="00280501">
        <w:t>3</w:t>
      </w:r>
      <w:r w:rsidR="00080156">
        <w:t xml:space="preserve"> in the method statement in section 321-60</w:t>
      </w:r>
      <w:r>
        <w:t xml:space="preserve">] </w:t>
      </w:r>
    </w:p>
    <w:p w14:paraId="4AA9B7CF" w14:textId="55039ABC" w:rsidR="0C095615" w:rsidRDefault="66CD4E7F" w:rsidP="0C095615">
      <w:pPr>
        <w:pStyle w:val="Normalparatextwithnumbers"/>
      </w:pPr>
      <w:r>
        <w:t>The treatment of reinsurance premiums in step 3</w:t>
      </w:r>
      <w:r w:rsidR="5C69FFF6">
        <w:t xml:space="preserve"> is consistent with the treatment of reinsurance premiums for remaining coverage </w:t>
      </w:r>
      <w:r w:rsidR="00A333EF">
        <w:t>prior to the amendments</w:t>
      </w:r>
      <w:r w:rsidR="5C69FFF6">
        <w:t xml:space="preserve">. </w:t>
      </w:r>
    </w:p>
    <w:p w14:paraId="73420760" w14:textId="3ADBFDB2" w:rsidR="00AF49A5" w:rsidRPr="00AF49A5" w:rsidRDefault="00AF49A5" w:rsidP="003779C7">
      <w:pPr>
        <w:pStyle w:val="Normalparatextwithnumbers"/>
      </w:pPr>
      <w:r>
        <w:t xml:space="preserve">The fourth step is </w:t>
      </w:r>
      <w:r w:rsidR="00B67384">
        <w:t xml:space="preserve">to increase the </w:t>
      </w:r>
      <w:r w:rsidR="00F4622D">
        <w:t>result from</w:t>
      </w:r>
      <w:r w:rsidR="00B67384">
        <w:t xml:space="preserve"> step 3 </w:t>
      </w:r>
      <w:r w:rsidR="005F4C80">
        <w:t xml:space="preserve">by the amount of any reinsurance commissions received or receivable </w:t>
      </w:r>
      <w:r w:rsidR="00954C1A">
        <w:t xml:space="preserve">by the company that relate to </w:t>
      </w:r>
      <w:r w:rsidR="00280501">
        <w:t>the relevant reinsurance premiums in step 3.</w:t>
      </w:r>
      <w:r w:rsidR="00280501">
        <w:br/>
      </w:r>
      <w:r w:rsidR="00280501" w:rsidRPr="003779C7">
        <w:rPr>
          <w:rStyle w:val="References"/>
        </w:rPr>
        <w:t xml:space="preserve">[Schedule </w:t>
      </w:r>
      <w:r w:rsidR="001C1B56">
        <w:rPr>
          <w:rStyle w:val="References"/>
        </w:rPr>
        <w:t>#</w:t>
      </w:r>
      <w:r w:rsidR="00280501" w:rsidRPr="003779C7">
        <w:rPr>
          <w:rStyle w:val="References"/>
        </w:rPr>
        <w:t>, item</w:t>
      </w:r>
      <w:r w:rsidR="00280501">
        <w:rPr>
          <w:rStyle w:val="References"/>
        </w:rPr>
        <w:t xml:space="preserve"> 12</w:t>
      </w:r>
      <w:r w:rsidR="00280501" w:rsidRPr="003779C7">
        <w:rPr>
          <w:rStyle w:val="References"/>
        </w:rPr>
        <w:t xml:space="preserve">, </w:t>
      </w:r>
      <w:r w:rsidR="00280501">
        <w:rPr>
          <w:rStyle w:val="References"/>
        </w:rPr>
        <w:t>step 4 in the method statement in section 321-60</w:t>
      </w:r>
      <w:r w:rsidR="00280501" w:rsidRPr="003779C7">
        <w:rPr>
          <w:rStyle w:val="References"/>
        </w:rPr>
        <w:t xml:space="preserve">] </w:t>
      </w:r>
    </w:p>
    <w:p w14:paraId="1D1A0204" w14:textId="77777777" w:rsidR="00873094" w:rsidRPr="00020288" w:rsidRDefault="00873094" w:rsidP="005D0844">
      <w:pPr>
        <w:pStyle w:val="Heading2"/>
        <w:rPr>
          <w:rFonts w:hint="eastAsia"/>
        </w:rPr>
      </w:pPr>
      <w:bookmarkStart w:id="42" w:name="_Toc78193246"/>
      <w:bookmarkStart w:id="43" w:name="_Toc78193403"/>
      <w:bookmarkStart w:id="44" w:name="_Toc78548476"/>
      <w:bookmarkStart w:id="45" w:name="_Toc78549747"/>
      <w:bookmarkStart w:id="46" w:name="_Toc78549791"/>
      <w:r w:rsidRPr="005D0844">
        <w:t>Consequential</w:t>
      </w:r>
      <w:r w:rsidRPr="00020288">
        <w:t xml:space="preserve"> amendments</w:t>
      </w:r>
    </w:p>
    <w:p w14:paraId="71314F0C" w14:textId="3A585070" w:rsidR="001A7E79" w:rsidRPr="00D64379" w:rsidRDefault="00BF1C78" w:rsidP="00873094">
      <w:pPr>
        <w:pStyle w:val="Normalparatextwithnumbers"/>
        <w:numPr>
          <w:ilvl w:val="1"/>
          <w:numId w:val="3"/>
        </w:numPr>
        <w:rPr>
          <w:rStyle w:val="References"/>
          <w:b w:val="0"/>
          <w:i w:val="0"/>
        </w:rPr>
      </w:pPr>
      <w:r>
        <w:t xml:space="preserve">The amendments update references in the </w:t>
      </w:r>
      <w:r w:rsidR="00CC1FC1">
        <w:t xml:space="preserve">ITAA 1997 consistent with the concepts </w:t>
      </w:r>
      <w:r w:rsidR="00787578">
        <w:t>adapted from the</w:t>
      </w:r>
      <w:r>
        <w:t xml:space="preserve"> </w:t>
      </w:r>
      <w:r w:rsidR="001A7E79">
        <w:t>AASB 17</w:t>
      </w:r>
      <w:r w:rsidR="001754C1">
        <w:t xml:space="preserve"> and</w:t>
      </w:r>
      <w:r w:rsidR="00651B78">
        <w:t xml:space="preserve"> with</w:t>
      </w:r>
      <w:r w:rsidR="001754C1">
        <w:t xml:space="preserve"> the above amendments</w:t>
      </w:r>
      <w:r>
        <w:t>.</w:t>
      </w:r>
      <w:r w:rsidR="001A7E79">
        <w:br/>
      </w:r>
      <w:r w:rsidR="001A7E79" w:rsidRPr="002E482C">
        <w:rPr>
          <w:rStyle w:val="References"/>
        </w:rPr>
        <w:t xml:space="preserve">[Schedule </w:t>
      </w:r>
      <w:r w:rsidR="00787578">
        <w:rPr>
          <w:rStyle w:val="References"/>
        </w:rPr>
        <w:t>#</w:t>
      </w:r>
      <w:r w:rsidR="001A7E79" w:rsidRPr="002E482C">
        <w:rPr>
          <w:rStyle w:val="References"/>
        </w:rPr>
        <w:t>, item</w:t>
      </w:r>
      <w:r w:rsidR="001A556F">
        <w:rPr>
          <w:rStyle w:val="References"/>
        </w:rPr>
        <w:t>s</w:t>
      </w:r>
      <w:r w:rsidR="009C5035">
        <w:rPr>
          <w:rStyle w:val="References"/>
        </w:rPr>
        <w:t xml:space="preserve"> 14</w:t>
      </w:r>
      <w:r w:rsidR="001754C1">
        <w:rPr>
          <w:rStyle w:val="References"/>
        </w:rPr>
        <w:t>, 15, 16, 17, 18</w:t>
      </w:r>
      <w:r w:rsidR="008A7032">
        <w:rPr>
          <w:rStyle w:val="References"/>
        </w:rPr>
        <w:t xml:space="preserve"> and</w:t>
      </w:r>
      <w:r w:rsidR="001754C1">
        <w:rPr>
          <w:rStyle w:val="References"/>
        </w:rPr>
        <w:t xml:space="preserve"> 19</w:t>
      </w:r>
      <w:r w:rsidR="001A7E79" w:rsidRPr="002E482C">
        <w:rPr>
          <w:rStyle w:val="References"/>
        </w:rPr>
        <w:t xml:space="preserve">, </w:t>
      </w:r>
      <w:r w:rsidR="009C5035">
        <w:rPr>
          <w:rStyle w:val="References"/>
        </w:rPr>
        <w:t>sections 10-5 and 12-5</w:t>
      </w:r>
      <w:r w:rsidR="00827461">
        <w:rPr>
          <w:rStyle w:val="References"/>
        </w:rPr>
        <w:t>, paragraph</w:t>
      </w:r>
      <w:r w:rsidR="000C7E42">
        <w:rPr>
          <w:rStyle w:val="References"/>
        </w:rPr>
        <w:t>s</w:t>
      </w:r>
      <w:r w:rsidR="00827461">
        <w:rPr>
          <w:rStyle w:val="References"/>
        </w:rPr>
        <w:t xml:space="preserve"> </w:t>
      </w:r>
      <w:r w:rsidR="0001117A">
        <w:rPr>
          <w:rStyle w:val="References"/>
        </w:rPr>
        <w:t>705-70(1</w:t>
      </w:r>
      <w:proofErr w:type="gramStart"/>
      <w:r w:rsidR="0001117A">
        <w:rPr>
          <w:rStyle w:val="References"/>
        </w:rPr>
        <w:t>AC)(</w:t>
      </w:r>
      <w:proofErr w:type="gramEnd"/>
      <w:r w:rsidR="0001117A">
        <w:rPr>
          <w:rStyle w:val="References"/>
        </w:rPr>
        <w:t xml:space="preserve">c), </w:t>
      </w:r>
      <w:r w:rsidR="005D0C96">
        <w:rPr>
          <w:rStyle w:val="References"/>
        </w:rPr>
        <w:t xml:space="preserve">713-70(a), </w:t>
      </w:r>
      <w:r w:rsidR="00BB5E5F">
        <w:rPr>
          <w:rStyle w:val="References"/>
        </w:rPr>
        <w:t xml:space="preserve">section </w:t>
      </w:r>
      <w:r w:rsidR="007015E1">
        <w:rPr>
          <w:rStyle w:val="References"/>
        </w:rPr>
        <w:t>713-710</w:t>
      </w:r>
      <w:r w:rsidR="00924910">
        <w:rPr>
          <w:rStyle w:val="References"/>
        </w:rPr>
        <w:t xml:space="preserve"> and</w:t>
      </w:r>
      <w:r w:rsidR="00F769E8">
        <w:rPr>
          <w:rStyle w:val="References"/>
        </w:rPr>
        <w:t xml:space="preserve"> note to section </w:t>
      </w:r>
      <w:r w:rsidR="00F769E8" w:rsidRPr="4B2413D2">
        <w:rPr>
          <w:rStyle w:val="References"/>
        </w:rPr>
        <w:t>713</w:t>
      </w:r>
      <w:r w:rsidR="00DD5F8A">
        <w:rPr>
          <w:rStyle w:val="References"/>
        </w:rPr>
        <w:noBreakHyphen/>
      </w:r>
      <w:r w:rsidR="00F769E8" w:rsidRPr="4B2413D2">
        <w:rPr>
          <w:rStyle w:val="References"/>
        </w:rPr>
        <w:t>710</w:t>
      </w:r>
      <w:r w:rsidR="001A7E79" w:rsidRPr="002E482C">
        <w:rPr>
          <w:rStyle w:val="References"/>
        </w:rPr>
        <w:t xml:space="preserve">] </w:t>
      </w:r>
    </w:p>
    <w:p w14:paraId="2EBFAA95" w14:textId="582CDD84" w:rsidR="00EF37AE" w:rsidRDefault="008042F1" w:rsidP="00873094">
      <w:pPr>
        <w:pStyle w:val="Normalparatextwithnumbers"/>
        <w:numPr>
          <w:ilvl w:val="1"/>
          <w:numId w:val="3"/>
        </w:numPr>
      </w:pPr>
      <w:r>
        <w:t>C</w:t>
      </w:r>
      <w:r w:rsidR="00B42AF3">
        <w:t xml:space="preserve">onsequential amendments are made in relation to </w:t>
      </w:r>
      <w:r w:rsidR="00DE0CE5">
        <w:t xml:space="preserve">the rules applying to income tax </w:t>
      </w:r>
      <w:r w:rsidR="00B42AF3">
        <w:t xml:space="preserve">consolidation. </w:t>
      </w:r>
      <w:r w:rsidR="009168F4">
        <w:t xml:space="preserve">The basis for working out the value of the liability for incurred claims and the liability for </w:t>
      </w:r>
      <w:r w:rsidR="00F30992">
        <w:t>remaining covera</w:t>
      </w:r>
      <w:r w:rsidR="00191A77">
        <w:t xml:space="preserve">ge under the income tax law is </w:t>
      </w:r>
      <w:r w:rsidR="00037A39">
        <w:t>adjusted compared</w:t>
      </w:r>
      <w:r w:rsidR="00191A77">
        <w:t xml:space="preserve"> to the </w:t>
      </w:r>
      <w:r w:rsidR="00037A39">
        <w:t>calculation of liabilities</w:t>
      </w:r>
      <w:r w:rsidR="00191A77">
        <w:t xml:space="preserve"> under the </w:t>
      </w:r>
      <w:r w:rsidR="00B466D8">
        <w:t>AASB 17</w:t>
      </w:r>
      <w:r w:rsidR="00191A77">
        <w:t xml:space="preserve">. </w:t>
      </w:r>
      <w:r w:rsidR="000639D1">
        <w:t xml:space="preserve">These differences cause distortions to arise under the tax cost setting rules. </w:t>
      </w:r>
    </w:p>
    <w:p w14:paraId="118F9B73" w14:textId="5D314320" w:rsidR="0009678F" w:rsidRPr="00020288" w:rsidRDefault="004B7891" w:rsidP="00873094">
      <w:pPr>
        <w:pStyle w:val="Normalparatextwithnumbers"/>
        <w:numPr>
          <w:ilvl w:val="1"/>
          <w:numId w:val="3"/>
        </w:numPr>
      </w:pPr>
      <w:r>
        <w:t>Differences that are reflected in the accounting standard but not in</w:t>
      </w:r>
      <w:r w:rsidR="00DD740C">
        <w:t xml:space="preserve"> the </w:t>
      </w:r>
      <w:r w:rsidR="00990973">
        <w:t xml:space="preserve">income tax treatment </w:t>
      </w:r>
      <w:r>
        <w:t>of general insurance companies</w:t>
      </w:r>
      <w:r w:rsidR="00990973">
        <w:t xml:space="preserve"> include</w:t>
      </w:r>
      <w:r w:rsidR="00337B9E">
        <w:t>:</w:t>
      </w:r>
    </w:p>
    <w:p w14:paraId="0C135C73" w14:textId="4A0EC204" w:rsidR="00337B9E" w:rsidRDefault="005E530B" w:rsidP="00337B9E">
      <w:pPr>
        <w:pStyle w:val="Dotpoint1"/>
      </w:pPr>
      <w:r>
        <w:t>Assets for insurance acquisition cash flows</w:t>
      </w:r>
      <w:r w:rsidR="00EB05FE">
        <w:t xml:space="preserve"> </w:t>
      </w:r>
      <w:r w:rsidR="002348FB">
        <w:t xml:space="preserve">to the extent they are used to measure the company’s liability for remaining </w:t>
      </w:r>
      <w:proofErr w:type="gramStart"/>
      <w:r w:rsidR="002348FB">
        <w:t>coverage;</w:t>
      </w:r>
      <w:proofErr w:type="gramEnd"/>
      <w:r w:rsidR="00C866C2">
        <w:t xml:space="preserve"> </w:t>
      </w:r>
    </w:p>
    <w:p w14:paraId="691B1742" w14:textId="645FE8FF" w:rsidR="002348FB" w:rsidRDefault="002348FB" w:rsidP="00337B9E">
      <w:pPr>
        <w:pStyle w:val="Dotpoint1"/>
      </w:pPr>
      <w:r>
        <w:t xml:space="preserve">Deferred reinsurance expenses to the extent that they are used to measure the company’s liability for remaining </w:t>
      </w:r>
      <w:proofErr w:type="gramStart"/>
      <w:r>
        <w:t>coverage;</w:t>
      </w:r>
      <w:proofErr w:type="gramEnd"/>
      <w:r w:rsidR="00C866C2">
        <w:t xml:space="preserve"> </w:t>
      </w:r>
    </w:p>
    <w:p w14:paraId="6CA399A1" w14:textId="7BE71083" w:rsidR="002348FB" w:rsidRDefault="002348FB" w:rsidP="002951FC">
      <w:pPr>
        <w:pStyle w:val="Dotpoint1"/>
      </w:pPr>
      <w:r>
        <w:t>Recoveries receivable or potential recoveries to the extent they relate to insuranc</w:t>
      </w:r>
      <w:r w:rsidR="009B1EA4">
        <w:t>e</w:t>
      </w:r>
      <w:r>
        <w:t xml:space="preserve"> contracts or reinsurance </w:t>
      </w:r>
      <w:proofErr w:type="gramStart"/>
      <w:r>
        <w:t>contracts;</w:t>
      </w:r>
      <w:proofErr w:type="gramEnd"/>
      <w:r>
        <w:t xml:space="preserve"> </w:t>
      </w:r>
    </w:p>
    <w:p w14:paraId="19BC0268" w14:textId="33559BC1" w:rsidR="00C866C2" w:rsidRDefault="00C866C2" w:rsidP="002951FC">
      <w:pPr>
        <w:pStyle w:val="Dotpoint1"/>
      </w:pPr>
      <w:r>
        <w:t xml:space="preserve">Claims handling costs that are neither attached to, nor directly attributable to, a particular </w:t>
      </w:r>
      <w:r w:rsidR="003C0C83">
        <w:t>claim, to the extent these costs are used to measure the company’s liability for incurred claims; and</w:t>
      </w:r>
    </w:p>
    <w:p w14:paraId="410E7632" w14:textId="77777777" w:rsidR="00FD3D9B" w:rsidRDefault="003C0C83" w:rsidP="002951FC">
      <w:pPr>
        <w:pStyle w:val="Dotpoint1"/>
      </w:pPr>
      <w:r>
        <w:t xml:space="preserve">The </w:t>
      </w:r>
      <w:r w:rsidR="005579EF">
        <w:t>loss components on onerous contracts</w:t>
      </w:r>
      <w:r w:rsidR="00EF6BDC">
        <w:t xml:space="preserve"> to the extent that they are used under the standard to measure the company’s liability for remaining coverage.</w:t>
      </w:r>
    </w:p>
    <w:p w14:paraId="028ADD7B" w14:textId="1FA7C45F" w:rsidR="00651B78" w:rsidRDefault="00585AC4" w:rsidP="00A751A4">
      <w:pPr>
        <w:pStyle w:val="Normalparatextwithnumbers"/>
        <w:numPr>
          <w:ilvl w:val="0"/>
          <w:numId w:val="0"/>
        </w:numPr>
        <w:ind w:left="709"/>
      </w:pPr>
      <w:r w:rsidRPr="002E482C">
        <w:rPr>
          <w:rStyle w:val="References"/>
        </w:rPr>
        <w:lastRenderedPageBreak/>
        <w:t xml:space="preserve">[Schedule </w:t>
      </w:r>
      <w:r>
        <w:rPr>
          <w:rStyle w:val="References"/>
        </w:rPr>
        <w:t>#</w:t>
      </w:r>
      <w:r w:rsidRPr="002E482C">
        <w:rPr>
          <w:rStyle w:val="References"/>
        </w:rPr>
        <w:t>, item</w:t>
      </w:r>
      <w:r w:rsidRPr="00A751A4">
        <w:rPr>
          <w:rStyle w:val="References"/>
        </w:rPr>
        <w:t xml:space="preserve"> 20,</w:t>
      </w:r>
      <w:r>
        <w:rPr>
          <w:rStyle w:val="References"/>
        </w:rPr>
        <w:t xml:space="preserve"> subsection 713-725(4)</w:t>
      </w:r>
      <w:r w:rsidR="00924910">
        <w:rPr>
          <w:rStyle w:val="References"/>
        </w:rPr>
        <w:t>]</w:t>
      </w:r>
      <w:r>
        <w:t xml:space="preserve"> </w:t>
      </w:r>
    </w:p>
    <w:p w14:paraId="2676E525" w14:textId="0F8E0C8F" w:rsidR="00626B70" w:rsidRDefault="00990973" w:rsidP="00A807F0">
      <w:pPr>
        <w:pStyle w:val="Normalparatextwithnumbers"/>
        <w:numPr>
          <w:ilvl w:val="1"/>
          <w:numId w:val="3"/>
        </w:numPr>
      </w:pPr>
      <w:r>
        <w:t xml:space="preserve">The tax cost setting rules are modified to reflect these differences where </w:t>
      </w:r>
      <w:r w:rsidR="008744DF">
        <w:t xml:space="preserve">a </w:t>
      </w:r>
      <w:r>
        <w:t xml:space="preserve">general insurance company joins or leaves a consolidated group and brings or takes with it these </w:t>
      </w:r>
      <w:r w:rsidR="00911413">
        <w:t>things</w:t>
      </w:r>
      <w:r w:rsidR="00312453">
        <w:t xml:space="preserve"> that exist in the </w:t>
      </w:r>
      <w:r w:rsidR="008744DF">
        <w:t>referenced</w:t>
      </w:r>
      <w:r w:rsidR="00312453">
        <w:t xml:space="preserve"> accounting</w:t>
      </w:r>
      <w:r w:rsidR="00512DDA">
        <w:t xml:space="preserve"> standard</w:t>
      </w:r>
      <w:r>
        <w:t xml:space="preserve">. </w:t>
      </w:r>
    </w:p>
    <w:p w14:paraId="7EDA0FD2" w14:textId="669BFED5" w:rsidR="00915471" w:rsidRDefault="00915471" w:rsidP="00A807F0">
      <w:pPr>
        <w:pStyle w:val="Normalparatextwithnumbers"/>
        <w:numPr>
          <w:ilvl w:val="1"/>
          <w:numId w:val="3"/>
        </w:numPr>
      </w:pPr>
      <w:r>
        <w:t xml:space="preserve">The amendments </w:t>
      </w:r>
      <w:r w:rsidR="002A0902">
        <w:t>also repeal the definition of ‘outstanding claims</w:t>
      </w:r>
      <w:r w:rsidR="00935D6F">
        <w:t>’</w:t>
      </w:r>
      <w:r w:rsidR="000D4C29">
        <w:t xml:space="preserve"> </w:t>
      </w:r>
      <w:r w:rsidR="008A7032">
        <w:t>as the term is no longer used in the ITAA 1997.</w:t>
      </w:r>
    </w:p>
    <w:p w14:paraId="270AE357" w14:textId="01255FFF" w:rsidR="008A7032" w:rsidRPr="00020288" w:rsidRDefault="004B0285" w:rsidP="00A751A4">
      <w:pPr>
        <w:pStyle w:val="Normalparatextwithnumbers"/>
        <w:numPr>
          <w:ilvl w:val="0"/>
          <w:numId w:val="0"/>
        </w:numPr>
        <w:ind w:left="709"/>
      </w:pPr>
      <w:r w:rsidRPr="002E482C">
        <w:rPr>
          <w:rStyle w:val="References"/>
        </w:rPr>
        <w:t xml:space="preserve">[Schedule </w:t>
      </w:r>
      <w:r>
        <w:rPr>
          <w:rStyle w:val="References"/>
        </w:rPr>
        <w:t>#</w:t>
      </w:r>
      <w:r w:rsidRPr="002E482C">
        <w:rPr>
          <w:rStyle w:val="References"/>
        </w:rPr>
        <w:t>, item</w:t>
      </w:r>
      <w:r w:rsidRPr="00832EB9">
        <w:rPr>
          <w:rStyle w:val="References"/>
        </w:rPr>
        <w:t xml:space="preserve"> 2</w:t>
      </w:r>
      <w:r>
        <w:rPr>
          <w:rStyle w:val="References"/>
        </w:rPr>
        <w:t>1]</w:t>
      </w:r>
      <w:r>
        <w:t xml:space="preserve"> </w:t>
      </w:r>
    </w:p>
    <w:p w14:paraId="302DAE9C" w14:textId="77777777" w:rsidR="00873094" w:rsidRPr="00020288" w:rsidRDefault="00873094" w:rsidP="00AF50CE">
      <w:pPr>
        <w:pStyle w:val="Heading2"/>
        <w:rPr>
          <w:rFonts w:hint="eastAsia"/>
        </w:rPr>
      </w:pPr>
      <w:r w:rsidRPr="00020288">
        <w:t xml:space="preserve">Commencement, </w:t>
      </w:r>
      <w:r w:rsidRPr="00AF50CE">
        <w:t>application</w:t>
      </w:r>
      <w:r w:rsidRPr="00020288">
        <w:t>, and transitional provisions</w:t>
      </w:r>
    </w:p>
    <w:p w14:paraId="0250893F" w14:textId="5C90DED5" w:rsidR="00306550" w:rsidRPr="00306550" w:rsidRDefault="009B1134" w:rsidP="00306550">
      <w:pPr>
        <w:pStyle w:val="Normalparatextwithnumbers"/>
        <w:numPr>
          <w:ilvl w:val="1"/>
          <w:numId w:val="3"/>
        </w:numPr>
        <w:rPr>
          <w:rStyle w:val="References"/>
          <w:b w:val="0"/>
          <w:i w:val="0"/>
        </w:rPr>
      </w:pPr>
      <w:r>
        <w:t xml:space="preserve">The </w:t>
      </w:r>
      <w:r w:rsidR="00787578">
        <w:t xml:space="preserve">amendments apply </w:t>
      </w:r>
      <w:r w:rsidR="00572FFA">
        <w:t xml:space="preserve">to </w:t>
      </w:r>
      <w:r w:rsidR="007D0222">
        <w:t>income years starting on or after 1 January</w:t>
      </w:r>
      <w:r w:rsidR="00AC493A">
        <w:t> </w:t>
      </w:r>
      <w:r w:rsidR="007D0222">
        <w:t>2023.</w:t>
      </w:r>
      <w:r w:rsidR="00787578">
        <w:t xml:space="preserve"> This is consistent with the general application of the</w:t>
      </w:r>
      <w:r w:rsidR="00A807F0">
        <w:t xml:space="preserve"> referenced</w:t>
      </w:r>
      <w:r w:rsidR="00787578">
        <w:t xml:space="preserve"> AASB 17.</w:t>
      </w:r>
      <w:r w:rsidR="007D0222">
        <w:br/>
      </w:r>
      <w:r w:rsidR="007D0222" w:rsidRPr="005C6A73">
        <w:rPr>
          <w:rStyle w:val="References"/>
        </w:rPr>
        <w:t xml:space="preserve">[Schedule </w:t>
      </w:r>
      <w:r w:rsidR="00787578">
        <w:rPr>
          <w:rStyle w:val="References"/>
        </w:rPr>
        <w:t>#</w:t>
      </w:r>
      <w:r w:rsidR="007D0222" w:rsidRPr="005C6A73">
        <w:rPr>
          <w:rStyle w:val="References"/>
        </w:rPr>
        <w:t>, item</w:t>
      </w:r>
      <w:r w:rsidR="00AE5042">
        <w:rPr>
          <w:rStyle w:val="References"/>
        </w:rPr>
        <w:t xml:space="preserve"> </w:t>
      </w:r>
      <w:r w:rsidR="00CE01E2">
        <w:rPr>
          <w:rStyle w:val="References"/>
        </w:rPr>
        <w:t>22</w:t>
      </w:r>
      <w:r w:rsidR="007D0222" w:rsidRPr="00144CFC">
        <w:rPr>
          <w:rStyle w:val="References"/>
        </w:rPr>
        <w:t>]</w:t>
      </w:r>
    </w:p>
    <w:p w14:paraId="736D18E9" w14:textId="13C8095F" w:rsidR="00306550" w:rsidRDefault="00306550" w:rsidP="00BC7802">
      <w:pPr>
        <w:pStyle w:val="Heading4"/>
      </w:pPr>
      <w:r>
        <w:t>Transitional arrangements for the general insurance industry</w:t>
      </w:r>
    </w:p>
    <w:p w14:paraId="730FB4D4" w14:textId="7BC81AAD" w:rsidR="00927F7E" w:rsidRDefault="003B4340" w:rsidP="003B4340">
      <w:pPr>
        <w:pStyle w:val="Normalparatextwithnumbers"/>
        <w:numPr>
          <w:ilvl w:val="1"/>
          <w:numId w:val="3"/>
        </w:numPr>
      </w:pPr>
      <w:r>
        <w:t>Under the amendments, t</w:t>
      </w:r>
      <w:r w:rsidRPr="003B4340">
        <w:t>ransitional arrangements ensure that no permanent tax differences arise for general insurance companies on adoption of AASB</w:t>
      </w:r>
      <w:r w:rsidR="00991A32">
        <w:t xml:space="preserve"> </w:t>
      </w:r>
      <w:r w:rsidRPr="003B4340">
        <w:t>17</w:t>
      </w:r>
      <w:r w:rsidR="00A302C8">
        <w:t xml:space="preserve">. </w:t>
      </w:r>
    </w:p>
    <w:p w14:paraId="0989961E" w14:textId="2A21D1DD" w:rsidR="003B4340" w:rsidRDefault="00A302C8" w:rsidP="003B4340">
      <w:pPr>
        <w:pStyle w:val="Normalparatextwithnumbers"/>
        <w:numPr>
          <w:ilvl w:val="1"/>
          <w:numId w:val="3"/>
        </w:numPr>
      </w:pPr>
      <w:r>
        <w:t xml:space="preserve">In effect, </w:t>
      </w:r>
      <w:r w:rsidR="00927F7E">
        <w:t xml:space="preserve">for </w:t>
      </w:r>
      <w:r>
        <w:t xml:space="preserve">the first income year to which the amendments apply, the transitional arrangements </w:t>
      </w:r>
      <w:r w:rsidR="00C60AF6">
        <w:t xml:space="preserve">require </w:t>
      </w:r>
      <w:r w:rsidR="00927F7E">
        <w:t xml:space="preserve">a </w:t>
      </w:r>
      <w:r>
        <w:t xml:space="preserve">comparison between the values </w:t>
      </w:r>
      <w:r w:rsidR="00C60AF6">
        <w:t xml:space="preserve">worked out </w:t>
      </w:r>
      <w:r>
        <w:t>under the amendments</w:t>
      </w:r>
      <w:r w:rsidR="00927F7E">
        <w:t>,</w:t>
      </w:r>
      <w:r>
        <w:t xml:space="preserve"> with the value</w:t>
      </w:r>
      <w:r w:rsidR="00927F7E">
        <w:t>s</w:t>
      </w:r>
      <w:r>
        <w:t xml:space="preserve"> worked out </w:t>
      </w:r>
      <w:r w:rsidR="00C60AF6">
        <w:t xml:space="preserve">under the provisions </w:t>
      </w:r>
      <w:r>
        <w:t>immediately prior to the amendments</w:t>
      </w:r>
      <w:r w:rsidR="003B4340">
        <w:t>:</w:t>
      </w:r>
    </w:p>
    <w:p w14:paraId="141A2396" w14:textId="02280D69" w:rsidR="003B4340" w:rsidRDefault="003B4340" w:rsidP="003B4340">
      <w:pPr>
        <w:pStyle w:val="Dotpoint1"/>
      </w:pPr>
      <w:r>
        <w:t>with respect to the application of Subdivision</w:t>
      </w:r>
      <w:r w:rsidR="00A5727A">
        <w:t> </w:t>
      </w:r>
      <w:r>
        <w:t>321-A</w:t>
      </w:r>
      <w:r w:rsidDel="005100E7">
        <w:t xml:space="preserve"> for </w:t>
      </w:r>
      <w:r>
        <w:t>the first income year starting on or after 1</w:t>
      </w:r>
      <w:r w:rsidR="00A5727A">
        <w:t> </w:t>
      </w:r>
      <w:r>
        <w:t>January 2023, general insurance companies will apply</w:t>
      </w:r>
      <w:r w:rsidDel="005100E7">
        <w:t xml:space="preserve"> </w:t>
      </w:r>
      <w:r>
        <w:t xml:space="preserve">the method statement and treatment of liability for </w:t>
      </w:r>
      <w:r w:rsidR="000B3E4C">
        <w:t>outstanding claims</w:t>
      </w:r>
      <w:r>
        <w:t xml:space="preserve"> in force immediately before the commencement of this Schedule</w:t>
      </w:r>
      <w:r w:rsidR="00A04839">
        <w:t>; and</w:t>
      </w:r>
    </w:p>
    <w:p w14:paraId="6160655F" w14:textId="45300D21" w:rsidR="003B4340" w:rsidRDefault="003B4340" w:rsidP="003B4340">
      <w:pPr>
        <w:pStyle w:val="Dotpoint1"/>
      </w:pPr>
      <w:r>
        <w:t>with respect to the application of Subdivision</w:t>
      </w:r>
      <w:r w:rsidR="00A5727A">
        <w:t> </w:t>
      </w:r>
      <w:r>
        <w:t>321-B</w:t>
      </w:r>
      <w:r w:rsidDel="00F23F8A">
        <w:t xml:space="preserve"> </w:t>
      </w:r>
      <w:r>
        <w:t>for the first income year starting on or after 1</w:t>
      </w:r>
      <w:r w:rsidR="00A5727A">
        <w:t> </w:t>
      </w:r>
      <w:r>
        <w:t>January 2023, general insurance companies will apply</w:t>
      </w:r>
      <w:r w:rsidDel="00F23F8A">
        <w:t xml:space="preserve"> </w:t>
      </w:r>
      <w:r>
        <w:t>the method statement and treatment of unearned premium reserve in force immediately before the commencement of this Schedule.</w:t>
      </w:r>
    </w:p>
    <w:p w14:paraId="2C971478" w14:textId="3800B9F7" w:rsidR="00873094" w:rsidRDefault="003B4340" w:rsidP="00A751A4">
      <w:pPr>
        <w:pStyle w:val="Normalparatextwithnumbers"/>
        <w:numPr>
          <w:ilvl w:val="0"/>
          <w:numId w:val="0"/>
        </w:numPr>
        <w:ind w:left="709"/>
      </w:pPr>
      <w:r w:rsidRPr="003B4340">
        <w:rPr>
          <w:rStyle w:val="References"/>
        </w:rPr>
        <w:t xml:space="preserve">[Schedule #, item </w:t>
      </w:r>
      <w:r w:rsidR="00CE01E2">
        <w:rPr>
          <w:rStyle w:val="References"/>
        </w:rPr>
        <w:t>23</w:t>
      </w:r>
      <w:r w:rsidRPr="003B4340">
        <w:rPr>
          <w:rStyle w:val="References"/>
        </w:rPr>
        <w:t>]</w:t>
      </w:r>
      <w:bookmarkEnd w:id="5"/>
      <w:bookmarkEnd w:id="42"/>
      <w:bookmarkEnd w:id="43"/>
      <w:bookmarkEnd w:id="44"/>
      <w:bookmarkEnd w:id="45"/>
      <w:bookmarkEnd w:id="46"/>
    </w:p>
    <w:sectPr w:rsidR="00873094" w:rsidSect="00000BFC">
      <w:headerReference w:type="even" r:id="rId31"/>
      <w:headerReference w:type="default" r:id="rId32"/>
      <w:headerReference w:type="first" r:id="rId33"/>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78F3" w14:textId="77777777" w:rsidR="004A51D0" w:rsidRDefault="004A51D0">
      <w:pPr>
        <w:spacing w:before="0" w:after="0"/>
      </w:pPr>
      <w:r>
        <w:separator/>
      </w:r>
    </w:p>
  </w:endnote>
  <w:endnote w:type="continuationSeparator" w:id="0">
    <w:p w14:paraId="747042B8" w14:textId="77777777" w:rsidR="004A51D0" w:rsidRDefault="004A51D0">
      <w:pPr>
        <w:spacing w:before="0" w:after="0"/>
      </w:pPr>
      <w:r>
        <w:continuationSeparator/>
      </w:r>
    </w:p>
  </w:endnote>
  <w:endnote w:type="continuationNotice" w:id="1">
    <w:p w14:paraId="07A18C86" w14:textId="77777777" w:rsidR="004A51D0" w:rsidRDefault="004A51D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70"/>
      <w:gridCol w:w="2570"/>
      <w:gridCol w:w="2570"/>
    </w:tblGrid>
    <w:tr w:rsidR="5B607688" w14:paraId="0264E790" w14:textId="77777777" w:rsidTr="00A751A4">
      <w:trPr>
        <w:trHeight w:val="300"/>
      </w:trPr>
      <w:tc>
        <w:tcPr>
          <w:tcW w:w="2570" w:type="dxa"/>
        </w:tcPr>
        <w:p w14:paraId="3E34B96B" w14:textId="218A313C" w:rsidR="5B607688" w:rsidRDefault="5B607688" w:rsidP="00A751A4">
          <w:pPr>
            <w:pStyle w:val="Header"/>
            <w:ind w:left="-115"/>
          </w:pPr>
        </w:p>
      </w:tc>
      <w:tc>
        <w:tcPr>
          <w:tcW w:w="2570" w:type="dxa"/>
        </w:tcPr>
        <w:p w14:paraId="7E934584" w14:textId="74731E2F" w:rsidR="5B607688" w:rsidRDefault="5B607688" w:rsidP="00A751A4">
          <w:pPr>
            <w:pStyle w:val="Header"/>
            <w:jc w:val="center"/>
          </w:pPr>
        </w:p>
      </w:tc>
      <w:tc>
        <w:tcPr>
          <w:tcW w:w="2570" w:type="dxa"/>
        </w:tcPr>
        <w:p w14:paraId="41E0544E" w14:textId="1B20D594" w:rsidR="5B607688" w:rsidRDefault="5B607688" w:rsidP="00A751A4">
          <w:pPr>
            <w:pStyle w:val="Header"/>
            <w:ind w:right="-115"/>
            <w:jc w:val="right"/>
          </w:pPr>
        </w:p>
      </w:tc>
    </w:tr>
  </w:tbl>
  <w:p w14:paraId="4861B677" w14:textId="39BC6734" w:rsidR="000A4680" w:rsidRDefault="000A4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70"/>
      <w:gridCol w:w="2570"/>
      <w:gridCol w:w="2570"/>
    </w:tblGrid>
    <w:tr w:rsidR="5B607688" w14:paraId="17F44333" w14:textId="77777777" w:rsidTr="00A751A4">
      <w:trPr>
        <w:trHeight w:val="300"/>
      </w:trPr>
      <w:tc>
        <w:tcPr>
          <w:tcW w:w="2570" w:type="dxa"/>
        </w:tcPr>
        <w:p w14:paraId="489A6A67" w14:textId="23BDD9FA" w:rsidR="5B607688" w:rsidRDefault="5B607688" w:rsidP="00A751A4">
          <w:pPr>
            <w:pStyle w:val="Header"/>
            <w:ind w:left="-115"/>
          </w:pPr>
        </w:p>
      </w:tc>
      <w:tc>
        <w:tcPr>
          <w:tcW w:w="2570" w:type="dxa"/>
        </w:tcPr>
        <w:p w14:paraId="22BF4B69" w14:textId="1D8F9715" w:rsidR="5B607688" w:rsidRDefault="5B607688" w:rsidP="00A751A4">
          <w:pPr>
            <w:pStyle w:val="Header"/>
            <w:jc w:val="center"/>
          </w:pPr>
        </w:p>
      </w:tc>
      <w:tc>
        <w:tcPr>
          <w:tcW w:w="2570" w:type="dxa"/>
        </w:tcPr>
        <w:p w14:paraId="63948534" w14:textId="144B3421" w:rsidR="5B607688" w:rsidRDefault="5B607688" w:rsidP="00A751A4">
          <w:pPr>
            <w:pStyle w:val="Header"/>
            <w:ind w:right="-115"/>
            <w:jc w:val="right"/>
          </w:pPr>
        </w:p>
      </w:tc>
    </w:tr>
  </w:tbl>
  <w:p w14:paraId="03B6C1D3" w14:textId="0B3890ED" w:rsidR="000A4680" w:rsidRDefault="000A4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AD1B" w14:textId="77777777" w:rsidR="007A2DBD" w:rsidRDefault="007A2DBD" w:rsidP="002425D9">
    <w:pPr>
      <w:pStyle w:val="Footer"/>
      <w:ind w:right="360" w:firstLine="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70"/>
      <w:gridCol w:w="2570"/>
      <w:gridCol w:w="2570"/>
    </w:tblGrid>
    <w:tr w:rsidR="5B607688" w14:paraId="24CBE9C5" w14:textId="77777777" w:rsidTr="00A751A4">
      <w:trPr>
        <w:trHeight w:val="300"/>
      </w:trPr>
      <w:tc>
        <w:tcPr>
          <w:tcW w:w="2570" w:type="dxa"/>
        </w:tcPr>
        <w:p w14:paraId="53FBDF74" w14:textId="0C9761F8" w:rsidR="5B607688" w:rsidRDefault="5B607688" w:rsidP="00A751A4">
          <w:pPr>
            <w:pStyle w:val="Header"/>
            <w:ind w:left="-115"/>
          </w:pPr>
        </w:p>
      </w:tc>
      <w:tc>
        <w:tcPr>
          <w:tcW w:w="2570" w:type="dxa"/>
        </w:tcPr>
        <w:p w14:paraId="0153DC22" w14:textId="0748A837" w:rsidR="5B607688" w:rsidRDefault="5B607688" w:rsidP="00A751A4">
          <w:pPr>
            <w:pStyle w:val="Header"/>
            <w:jc w:val="center"/>
          </w:pPr>
        </w:p>
      </w:tc>
      <w:tc>
        <w:tcPr>
          <w:tcW w:w="2570" w:type="dxa"/>
        </w:tcPr>
        <w:p w14:paraId="5AE5917B" w14:textId="0F1C1B6C" w:rsidR="5B607688" w:rsidRDefault="5B607688" w:rsidP="00A751A4">
          <w:pPr>
            <w:pStyle w:val="Header"/>
            <w:ind w:right="-115"/>
            <w:jc w:val="right"/>
          </w:pPr>
        </w:p>
      </w:tc>
    </w:tr>
  </w:tbl>
  <w:p w14:paraId="1EBDB561" w14:textId="75CCA895" w:rsidR="000A4680" w:rsidRDefault="000A46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70"/>
      <w:gridCol w:w="2570"/>
      <w:gridCol w:w="2570"/>
    </w:tblGrid>
    <w:tr w:rsidR="5B607688" w14:paraId="013EF44E" w14:textId="77777777" w:rsidTr="00A751A4">
      <w:trPr>
        <w:trHeight w:val="300"/>
      </w:trPr>
      <w:tc>
        <w:tcPr>
          <w:tcW w:w="2570" w:type="dxa"/>
        </w:tcPr>
        <w:p w14:paraId="1D0EBD9D" w14:textId="4C406CA1" w:rsidR="5B607688" w:rsidRDefault="5B607688" w:rsidP="00A751A4">
          <w:pPr>
            <w:pStyle w:val="Header"/>
            <w:ind w:left="-115"/>
          </w:pPr>
        </w:p>
      </w:tc>
      <w:tc>
        <w:tcPr>
          <w:tcW w:w="2570" w:type="dxa"/>
        </w:tcPr>
        <w:p w14:paraId="1CB7C877" w14:textId="7FAEEF11" w:rsidR="5B607688" w:rsidRDefault="5B607688" w:rsidP="00A751A4">
          <w:pPr>
            <w:pStyle w:val="Header"/>
            <w:jc w:val="center"/>
          </w:pPr>
        </w:p>
      </w:tc>
      <w:tc>
        <w:tcPr>
          <w:tcW w:w="2570" w:type="dxa"/>
        </w:tcPr>
        <w:p w14:paraId="30DB93E9" w14:textId="50E8364A" w:rsidR="5B607688" w:rsidRDefault="5B607688" w:rsidP="00A751A4">
          <w:pPr>
            <w:pStyle w:val="Header"/>
            <w:ind w:right="-115"/>
            <w:jc w:val="right"/>
          </w:pPr>
        </w:p>
      </w:tc>
    </w:tr>
  </w:tbl>
  <w:p w14:paraId="6BD6C0D5" w14:textId="3F511D0A" w:rsidR="000A4680" w:rsidRDefault="000A468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08D7" w14:textId="77777777" w:rsidR="007A2DBD" w:rsidRPr="004D61CF" w:rsidRDefault="007A2DBD" w:rsidP="002425D9">
    <w:pPr>
      <w:pStyle w:val="right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70"/>
      <w:gridCol w:w="2570"/>
      <w:gridCol w:w="2570"/>
    </w:tblGrid>
    <w:tr w:rsidR="5B607688" w14:paraId="157219CA" w14:textId="77777777" w:rsidTr="00A751A4">
      <w:trPr>
        <w:trHeight w:val="300"/>
      </w:trPr>
      <w:tc>
        <w:tcPr>
          <w:tcW w:w="2570" w:type="dxa"/>
        </w:tcPr>
        <w:p w14:paraId="67FDD378" w14:textId="63B74922" w:rsidR="5B607688" w:rsidRDefault="5B607688" w:rsidP="00A751A4">
          <w:pPr>
            <w:pStyle w:val="Header"/>
            <w:ind w:left="-115"/>
          </w:pPr>
        </w:p>
      </w:tc>
      <w:tc>
        <w:tcPr>
          <w:tcW w:w="2570" w:type="dxa"/>
        </w:tcPr>
        <w:p w14:paraId="076E8FC6" w14:textId="7FD673FD" w:rsidR="5B607688" w:rsidRDefault="5B607688" w:rsidP="00A751A4">
          <w:pPr>
            <w:pStyle w:val="Header"/>
            <w:jc w:val="center"/>
          </w:pPr>
        </w:p>
      </w:tc>
      <w:tc>
        <w:tcPr>
          <w:tcW w:w="2570" w:type="dxa"/>
        </w:tcPr>
        <w:p w14:paraId="29501E3E" w14:textId="52A0CF65" w:rsidR="5B607688" w:rsidRDefault="5B607688" w:rsidP="00A751A4">
          <w:pPr>
            <w:pStyle w:val="Header"/>
            <w:ind w:right="-115"/>
            <w:jc w:val="right"/>
          </w:pPr>
        </w:p>
      </w:tc>
    </w:tr>
  </w:tbl>
  <w:p w14:paraId="386BEC36" w14:textId="09A97F81" w:rsidR="000A4680" w:rsidRDefault="000A468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70"/>
      <w:gridCol w:w="2570"/>
      <w:gridCol w:w="2570"/>
    </w:tblGrid>
    <w:tr w:rsidR="5B607688" w14:paraId="4DEE9592" w14:textId="77777777" w:rsidTr="00A751A4">
      <w:trPr>
        <w:trHeight w:val="300"/>
      </w:trPr>
      <w:tc>
        <w:tcPr>
          <w:tcW w:w="2570" w:type="dxa"/>
        </w:tcPr>
        <w:p w14:paraId="0C6E7D9A" w14:textId="776F956D" w:rsidR="5B607688" w:rsidRDefault="5B607688" w:rsidP="00A751A4">
          <w:pPr>
            <w:pStyle w:val="Header"/>
            <w:ind w:left="-115"/>
          </w:pPr>
        </w:p>
      </w:tc>
      <w:tc>
        <w:tcPr>
          <w:tcW w:w="2570" w:type="dxa"/>
        </w:tcPr>
        <w:p w14:paraId="4A221D80" w14:textId="31652E0C" w:rsidR="5B607688" w:rsidRDefault="5B607688" w:rsidP="00A751A4">
          <w:pPr>
            <w:pStyle w:val="Header"/>
            <w:jc w:val="center"/>
          </w:pPr>
        </w:p>
      </w:tc>
      <w:tc>
        <w:tcPr>
          <w:tcW w:w="2570" w:type="dxa"/>
        </w:tcPr>
        <w:p w14:paraId="54ED13E7" w14:textId="59A66936" w:rsidR="5B607688" w:rsidRDefault="5B607688" w:rsidP="00A751A4">
          <w:pPr>
            <w:pStyle w:val="Header"/>
            <w:ind w:right="-115"/>
            <w:jc w:val="right"/>
          </w:pPr>
        </w:p>
      </w:tc>
    </w:tr>
  </w:tbl>
  <w:p w14:paraId="1E77BBAB" w14:textId="4D579D83" w:rsidR="000A4680" w:rsidRDefault="000A468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9948" w14:textId="77777777" w:rsidR="007A2DBD" w:rsidRPr="00091474" w:rsidRDefault="007A2DBD"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3F415" w14:textId="77777777" w:rsidR="004A51D0" w:rsidRDefault="004A51D0">
      <w:pPr>
        <w:spacing w:before="0" w:after="0"/>
      </w:pPr>
      <w:r>
        <w:separator/>
      </w:r>
    </w:p>
  </w:footnote>
  <w:footnote w:type="continuationSeparator" w:id="0">
    <w:p w14:paraId="027967C3" w14:textId="77777777" w:rsidR="004A51D0" w:rsidRDefault="004A51D0">
      <w:pPr>
        <w:spacing w:before="0" w:after="0"/>
      </w:pPr>
      <w:r>
        <w:continuationSeparator/>
      </w:r>
    </w:p>
  </w:footnote>
  <w:footnote w:type="continuationNotice" w:id="1">
    <w:p w14:paraId="1D14B779" w14:textId="77777777" w:rsidR="004A51D0" w:rsidRDefault="004A51D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70"/>
      <w:gridCol w:w="2570"/>
      <w:gridCol w:w="2570"/>
    </w:tblGrid>
    <w:tr w:rsidR="5B607688" w14:paraId="3C655D4F" w14:textId="77777777" w:rsidTr="00A751A4">
      <w:trPr>
        <w:trHeight w:val="300"/>
      </w:trPr>
      <w:tc>
        <w:tcPr>
          <w:tcW w:w="2570" w:type="dxa"/>
        </w:tcPr>
        <w:p w14:paraId="4ADBD43C" w14:textId="0DAEB6F7" w:rsidR="5B607688" w:rsidRDefault="5B607688" w:rsidP="00A751A4">
          <w:pPr>
            <w:pStyle w:val="Header"/>
            <w:ind w:left="-115"/>
          </w:pPr>
        </w:p>
      </w:tc>
      <w:tc>
        <w:tcPr>
          <w:tcW w:w="2570" w:type="dxa"/>
        </w:tcPr>
        <w:p w14:paraId="60D04C12" w14:textId="644132C1" w:rsidR="5B607688" w:rsidRDefault="5B607688" w:rsidP="00A751A4">
          <w:pPr>
            <w:pStyle w:val="Header"/>
            <w:jc w:val="center"/>
          </w:pPr>
        </w:p>
      </w:tc>
      <w:tc>
        <w:tcPr>
          <w:tcW w:w="2570" w:type="dxa"/>
        </w:tcPr>
        <w:p w14:paraId="3A61857B" w14:textId="22D742C0" w:rsidR="5B607688" w:rsidRDefault="5B607688" w:rsidP="00A751A4">
          <w:pPr>
            <w:pStyle w:val="Header"/>
            <w:ind w:right="-115"/>
            <w:jc w:val="right"/>
          </w:pPr>
        </w:p>
      </w:tc>
    </w:tr>
  </w:tbl>
  <w:p w14:paraId="757B6C6D" w14:textId="06571A26" w:rsidR="000A4680" w:rsidRDefault="000A468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29CF" w14:textId="259D9899" w:rsidR="007A2DBD" w:rsidRPr="0024099F" w:rsidRDefault="00E67413" w:rsidP="0024099F">
    <w:pPr>
      <w:pStyle w:val="leftheader"/>
    </w:pPr>
    <w:r>
      <w:fldChar w:fldCharType="begin"/>
    </w:r>
    <w:r>
      <w:instrText xml:space="preserve"> STYLEREF "Chapter heading" \* MERGEFORMAT </w:instrText>
    </w:r>
    <w:r>
      <w:fldChar w:fldCharType="separate"/>
    </w:r>
    <w:r>
      <w:rPr>
        <w:noProof/>
      </w:rPr>
      <w:t>Income tax amendments for updates to accounting standards for general insurance contracts</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6A4B" w14:textId="0EA39A8B" w:rsidR="007A2DBD" w:rsidRPr="00A74B1A" w:rsidRDefault="00E67413" w:rsidP="00A74B1A">
    <w:pPr>
      <w:pStyle w:val="rightheader"/>
    </w:pPr>
    <w:r>
      <w:fldChar w:fldCharType="begin"/>
    </w:r>
    <w:r>
      <w:instrText>STYLEREF "Bill Name" \* MERGEFORMAT</w:instrText>
    </w:r>
    <w:r>
      <w:fldChar w:fldCharType="separate"/>
    </w:r>
    <w:r>
      <w:rPr>
        <w:noProof/>
      </w:rPr>
      <w:t>Treasury Laws Amendment (Measures for Future Bills) Bill 2023: income tax amendments for updates to accounting standards for general insurance contracts</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45CE" w14:textId="77777777" w:rsidR="007A2DBD" w:rsidRDefault="007A2DBD" w:rsidP="00622763">
    <w:pPr>
      <w:pStyle w:val="right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70"/>
      <w:gridCol w:w="2570"/>
      <w:gridCol w:w="2570"/>
    </w:tblGrid>
    <w:tr w:rsidR="5B607688" w14:paraId="1EF4868F" w14:textId="77777777" w:rsidTr="00A751A4">
      <w:trPr>
        <w:trHeight w:val="300"/>
      </w:trPr>
      <w:tc>
        <w:tcPr>
          <w:tcW w:w="2570" w:type="dxa"/>
        </w:tcPr>
        <w:p w14:paraId="530E415B" w14:textId="355973F1" w:rsidR="5B607688" w:rsidRDefault="5B607688" w:rsidP="00A751A4">
          <w:pPr>
            <w:pStyle w:val="Header"/>
            <w:ind w:left="-115"/>
          </w:pPr>
        </w:p>
      </w:tc>
      <w:tc>
        <w:tcPr>
          <w:tcW w:w="2570" w:type="dxa"/>
        </w:tcPr>
        <w:p w14:paraId="41169A8A" w14:textId="31429082" w:rsidR="5B607688" w:rsidRDefault="5B607688" w:rsidP="00A751A4">
          <w:pPr>
            <w:pStyle w:val="Header"/>
            <w:jc w:val="center"/>
          </w:pPr>
        </w:p>
      </w:tc>
      <w:tc>
        <w:tcPr>
          <w:tcW w:w="2570" w:type="dxa"/>
        </w:tcPr>
        <w:p w14:paraId="7890DA9A" w14:textId="5DC6E341" w:rsidR="5B607688" w:rsidRDefault="5B607688" w:rsidP="00A751A4">
          <w:pPr>
            <w:pStyle w:val="Header"/>
            <w:ind w:right="-115"/>
            <w:jc w:val="right"/>
          </w:pPr>
        </w:p>
      </w:tc>
    </w:tr>
  </w:tbl>
  <w:p w14:paraId="165661BD" w14:textId="62DF5EC2" w:rsidR="000A4680" w:rsidRDefault="000A46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59A9" w14:textId="5BDEA086" w:rsidR="007A2DBD" w:rsidRDefault="00E67413">
    <w:pPr>
      <w:pStyle w:val="Header"/>
    </w:pPr>
    <w:r>
      <w:rPr>
        <w:noProof/>
      </w:rPr>
      <w:pict w14:anchorId="15ADA1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708D6" w14:textId="77777777" w:rsidR="007A2DBD" w:rsidRPr="009106AC" w:rsidRDefault="007A2DBD" w:rsidP="002425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C8A9" w14:textId="01B18DC0"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E00D89">
      <w:rPr>
        <w:b/>
        <w:bCs/>
        <w:noProof/>
        <w:lang w:val="en-US"/>
      </w:rPr>
      <w:t>Error! Use the Home tab to apply ChapterNameOnly to the text that you want to appear here.</w:t>
    </w:r>
    <w:r>
      <w:rPr>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CC13" w14:textId="77777777" w:rsidR="007A2DBD" w:rsidRDefault="007A2DB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F88A" w14:textId="2EC913E8" w:rsidR="007A2DBD" w:rsidRPr="00816825" w:rsidRDefault="00E67413" w:rsidP="002425D9">
    <w:pPr>
      <w:pStyle w:val="leftheader"/>
    </w:pPr>
    <w:r>
      <w:fldChar w:fldCharType="begin"/>
    </w:r>
    <w:r>
      <w:instrText>STYLEREF  "Heading 1"  \* MERGEFORMAT</w:instrText>
    </w:r>
    <w:r>
      <w:fldChar w:fldCharType="separate"/>
    </w:r>
    <w:r>
      <w:rPr>
        <w:noProof/>
      </w:rPr>
      <w:t>Glossary</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6BCB" w14:textId="77777777" w:rsidR="007A2DBD" w:rsidRPr="00091474" w:rsidRDefault="007A2DBD" w:rsidP="002425D9">
    <w:pPr>
      <w:pStyle w:val="right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36FD" w14:textId="77777777" w:rsidR="007A2DBD" w:rsidRDefault="007A2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29170CA0"/>
    <w:multiLevelType w:val="multilevel"/>
    <w:tmpl w:val="95960C64"/>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6"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8"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3"/>
  </w:num>
  <w:num w:numId="7">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4"/>
  </w:num>
  <w:num w:numId="9">
    <w:abstractNumId w:val="12"/>
  </w:num>
  <w:num w:numId="10">
    <w:abstractNumId w:val="6"/>
  </w:num>
  <w:num w:numId="11">
    <w:abstractNumId w:val="5"/>
  </w:num>
  <w:num w:numId="12">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10"/>
  </w:num>
  <w:num w:numId="14">
    <w:abstractNumId w:val="8"/>
  </w:num>
  <w:num w:numId="15">
    <w:abstractNumId w:val="9"/>
  </w:num>
  <w:num w:numId="16">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4"/>
  </w:num>
  <w:num w:numId="18">
    <w:abstractNumId w:val="2"/>
  </w:num>
  <w:num w:numId="19">
    <w:abstractNumId w:val="7"/>
  </w:num>
  <w:num w:numId="20">
    <w:abstractNumId w:val="11"/>
  </w:num>
  <w:num w:numId="21">
    <w:abstractNumId w:val="10"/>
  </w:num>
  <w:num w:numId="22">
    <w:abstractNumId w:val="1"/>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24"/>
    <w:rsid w:val="00000BFC"/>
    <w:rsid w:val="00000DB1"/>
    <w:rsid w:val="00000EC3"/>
    <w:rsid w:val="000029CF"/>
    <w:rsid w:val="0000303F"/>
    <w:rsid w:val="000036EC"/>
    <w:rsid w:val="0000454E"/>
    <w:rsid w:val="0000509F"/>
    <w:rsid w:val="00006B15"/>
    <w:rsid w:val="000073FD"/>
    <w:rsid w:val="00007576"/>
    <w:rsid w:val="00007F76"/>
    <w:rsid w:val="00011065"/>
    <w:rsid w:val="0001117A"/>
    <w:rsid w:val="000113FD"/>
    <w:rsid w:val="0001154E"/>
    <w:rsid w:val="00011E0B"/>
    <w:rsid w:val="00012B87"/>
    <w:rsid w:val="000141F2"/>
    <w:rsid w:val="00016F65"/>
    <w:rsid w:val="000170F4"/>
    <w:rsid w:val="00017131"/>
    <w:rsid w:val="00017983"/>
    <w:rsid w:val="00017B8A"/>
    <w:rsid w:val="00020AFB"/>
    <w:rsid w:val="000216D8"/>
    <w:rsid w:val="00021DAA"/>
    <w:rsid w:val="00022EFB"/>
    <w:rsid w:val="0002376A"/>
    <w:rsid w:val="00023AC7"/>
    <w:rsid w:val="00027BAF"/>
    <w:rsid w:val="00027C87"/>
    <w:rsid w:val="000308D9"/>
    <w:rsid w:val="000320D1"/>
    <w:rsid w:val="00032569"/>
    <w:rsid w:val="0003260D"/>
    <w:rsid w:val="000327AD"/>
    <w:rsid w:val="00032CD2"/>
    <w:rsid w:val="00033DB5"/>
    <w:rsid w:val="00034089"/>
    <w:rsid w:val="00035B2C"/>
    <w:rsid w:val="00035B6D"/>
    <w:rsid w:val="00035CCE"/>
    <w:rsid w:val="00036A04"/>
    <w:rsid w:val="000371D4"/>
    <w:rsid w:val="00037A39"/>
    <w:rsid w:val="00040058"/>
    <w:rsid w:val="000410FD"/>
    <w:rsid w:val="00041348"/>
    <w:rsid w:val="00041919"/>
    <w:rsid w:val="00041B76"/>
    <w:rsid w:val="0004358A"/>
    <w:rsid w:val="00043C4A"/>
    <w:rsid w:val="0004460D"/>
    <w:rsid w:val="00045C37"/>
    <w:rsid w:val="00047FF2"/>
    <w:rsid w:val="000502DC"/>
    <w:rsid w:val="00051EE8"/>
    <w:rsid w:val="0005215A"/>
    <w:rsid w:val="000530B5"/>
    <w:rsid w:val="000532E5"/>
    <w:rsid w:val="00053849"/>
    <w:rsid w:val="00054629"/>
    <w:rsid w:val="000558F0"/>
    <w:rsid w:val="00056116"/>
    <w:rsid w:val="000567AD"/>
    <w:rsid w:val="00056C17"/>
    <w:rsid w:val="00060683"/>
    <w:rsid w:val="000615CB"/>
    <w:rsid w:val="00061FBB"/>
    <w:rsid w:val="000639D1"/>
    <w:rsid w:val="000642FD"/>
    <w:rsid w:val="00066C39"/>
    <w:rsid w:val="00070522"/>
    <w:rsid w:val="00072F06"/>
    <w:rsid w:val="00074766"/>
    <w:rsid w:val="00074F3B"/>
    <w:rsid w:val="00075DBA"/>
    <w:rsid w:val="000761AB"/>
    <w:rsid w:val="000763CE"/>
    <w:rsid w:val="000770D1"/>
    <w:rsid w:val="000779FA"/>
    <w:rsid w:val="00077AF2"/>
    <w:rsid w:val="00077B15"/>
    <w:rsid w:val="00080156"/>
    <w:rsid w:val="000805A3"/>
    <w:rsid w:val="00081032"/>
    <w:rsid w:val="000814D2"/>
    <w:rsid w:val="00083D4C"/>
    <w:rsid w:val="000841DF"/>
    <w:rsid w:val="00085780"/>
    <w:rsid w:val="00087242"/>
    <w:rsid w:val="000873FD"/>
    <w:rsid w:val="00087A58"/>
    <w:rsid w:val="00087F47"/>
    <w:rsid w:val="00087F86"/>
    <w:rsid w:val="00087FE9"/>
    <w:rsid w:val="000903E7"/>
    <w:rsid w:val="00090A2C"/>
    <w:rsid w:val="00092AC1"/>
    <w:rsid w:val="00092AD2"/>
    <w:rsid w:val="0009355F"/>
    <w:rsid w:val="00093596"/>
    <w:rsid w:val="00093DDC"/>
    <w:rsid w:val="00093F17"/>
    <w:rsid w:val="000944D1"/>
    <w:rsid w:val="0009493D"/>
    <w:rsid w:val="0009506C"/>
    <w:rsid w:val="000950EF"/>
    <w:rsid w:val="00096349"/>
    <w:rsid w:val="00096424"/>
    <w:rsid w:val="0009678F"/>
    <w:rsid w:val="00097E95"/>
    <w:rsid w:val="000A0353"/>
    <w:rsid w:val="000A3230"/>
    <w:rsid w:val="000A4680"/>
    <w:rsid w:val="000A5661"/>
    <w:rsid w:val="000A620A"/>
    <w:rsid w:val="000A69F0"/>
    <w:rsid w:val="000A7774"/>
    <w:rsid w:val="000A7B18"/>
    <w:rsid w:val="000B0ADB"/>
    <w:rsid w:val="000B1331"/>
    <w:rsid w:val="000B18B7"/>
    <w:rsid w:val="000B221F"/>
    <w:rsid w:val="000B307E"/>
    <w:rsid w:val="000B34FB"/>
    <w:rsid w:val="000B3B0E"/>
    <w:rsid w:val="000B3E4C"/>
    <w:rsid w:val="000B4163"/>
    <w:rsid w:val="000B434E"/>
    <w:rsid w:val="000B651C"/>
    <w:rsid w:val="000B6B3E"/>
    <w:rsid w:val="000B6D91"/>
    <w:rsid w:val="000B6EDC"/>
    <w:rsid w:val="000B7AD2"/>
    <w:rsid w:val="000B7D6E"/>
    <w:rsid w:val="000B7F6A"/>
    <w:rsid w:val="000C0018"/>
    <w:rsid w:val="000C04A9"/>
    <w:rsid w:val="000C0E99"/>
    <w:rsid w:val="000C217C"/>
    <w:rsid w:val="000C324F"/>
    <w:rsid w:val="000C330F"/>
    <w:rsid w:val="000C3D64"/>
    <w:rsid w:val="000C4D58"/>
    <w:rsid w:val="000C57D2"/>
    <w:rsid w:val="000C6722"/>
    <w:rsid w:val="000C759D"/>
    <w:rsid w:val="000C7725"/>
    <w:rsid w:val="000C7E42"/>
    <w:rsid w:val="000D3C48"/>
    <w:rsid w:val="000D45ED"/>
    <w:rsid w:val="000D4BED"/>
    <w:rsid w:val="000D4C29"/>
    <w:rsid w:val="000D4CC3"/>
    <w:rsid w:val="000D4E3A"/>
    <w:rsid w:val="000D5341"/>
    <w:rsid w:val="000D59F7"/>
    <w:rsid w:val="000D757C"/>
    <w:rsid w:val="000D796A"/>
    <w:rsid w:val="000E0133"/>
    <w:rsid w:val="000E04E9"/>
    <w:rsid w:val="000E0C55"/>
    <w:rsid w:val="000E2DF8"/>
    <w:rsid w:val="000E369B"/>
    <w:rsid w:val="000E46D6"/>
    <w:rsid w:val="000E4D39"/>
    <w:rsid w:val="000E521B"/>
    <w:rsid w:val="000E589E"/>
    <w:rsid w:val="000E6C54"/>
    <w:rsid w:val="000E6C9C"/>
    <w:rsid w:val="000E6CA6"/>
    <w:rsid w:val="000E7038"/>
    <w:rsid w:val="000F289D"/>
    <w:rsid w:val="000F4311"/>
    <w:rsid w:val="000F467C"/>
    <w:rsid w:val="000F51C1"/>
    <w:rsid w:val="000F52C8"/>
    <w:rsid w:val="000F67DB"/>
    <w:rsid w:val="000F680A"/>
    <w:rsid w:val="000F7222"/>
    <w:rsid w:val="000F7E38"/>
    <w:rsid w:val="000F7EDD"/>
    <w:rsid w:val="001001AA"/>
    <w:rsid w:val="001002A9"/>
    <w:rsid w:val="001005CD"/>
    <w:rsid w:val="001016A6"/>
    <w:rsid w:val="00101E69"/>
    <w:rsid w:val="00103393"/>
    <w:rsid w:val="00103A43"/>
    <w:rsid w:val="001046A1"/>
    <w:rsid w:val="00105720"/>
    <w:rsid w:val="001059BA"/>
    <w:rsid w:val="00105AD6"/>
    <w:rsid w:val="00105E85"/>
    <w:rsid w:val="001064C7"/>
    <w:rsid w:val="00106FDC"/>
    <w:rsid w:val="00110744"/>
    <w:rsid w:val="00110AB4"/>
    <w:rsid w:val="001128E7"/>
    <w:rsid w:val="00112EC4"/>
    <w:rsid w:val="001134FA"/>
    <w:rsid w:val="00113CE0"/>
    <w:rsid w:val="00113FC5"/>
    <w:rsid w:val="00115509"/>
    <w:rsid w:val="00115B2C"/>
    <w:rsid w:val="0011698F"/>
    <w:rsid w:val="00116BF8"/>
    <w:rsid w:val="00116C8C"/>
    <w:rsid w:val="001216B7"/>
    <w:rsid w:val="001227A2"/>
    <w:rsid w:val="00122DF0"/>
    <w:rsid w:val="00123085"/>
    <w:rsid w:val="001232A3"/>
    <w:rsid w:val="00125341"/>
    <w:rsid w:val="00126C42"/>
    <w:rsid w:val="00127A2C"/>
    <w:rsid w:val="00127ADD"/>
    <w:rsid w:val="001324FC"/>
    <w:rsid w:val="001325EB"/>
    <w:rsid w:val="0013285C"/>
    <w:rsid w:val="00133D26"/>
    <w:rsid w:val="00134502"/>
    <w:rsid w:val="001360C1"/>
    <w:rsid w:val="0013626B"/>
    <w:rsid w:val="00136B98"/>
    <w:rsid w:val="00136DC2"/>
    <w:rsid w:val="001371B4"/>
    <w:rsid w:val="00140803"/>
    <w:rsid w:val="00140F5E"/>
    <w:rsid w:val="001410F7"/>
    <w:rsid w:val="00141701"/>
    <w:rsid w:val="001417D6"/>
    <w:rsid w:val="0014198F"/>
    <w:rsid w:val="00141A95"/>
    <w:rsid w:val="00141CD0"/>
    <w:rsid w:val="001422C3"/>
    <w:rsid w:val="00142F5B"/>
    <w:rsid w:val="001442F6"/>
    <w:rsid w:val="001448F7"/>
    <w:rsid w:val="00144CFC"/>
    <w:rsid w:val="00145417"/>
    <w:rsid w:val="00145954"/>
    <w:rsid w:val="00145B0F"/>
    <w:rsid w:val="001467CA"/>
    <w:rsid w:val="001474C8"/>
    <w:rsid w:val="001477B7"/>
    <w:rsid w:val="00147871"/>
    <w:rsid w:val="00150762"/>
    <w:rsid w:val="001508CB"/>
    <w:rsid w:val="00150970"/>
    <w:rsid w:val="0015233C"/>
    <w:rsid w:val="00152A72"/>
    <w:rsid w:val="00154652"/>
    <w:rsid w:val="00154888"/>
    <w:rsid w:val="0015505C"/>
    <w:rsid w:val="00155A6B"/>
    <w:rsid w:val="0015657E"/>
    <w:rsid w:val="00156605"/>
    <w:rsid w:val="0015726E"/>
    <w:rsid w:val="00157F08"/>
    <w:rsid w:val="00157F1B"/>
    <w:rsid w:val="00157FCF"/>
    <w:rsid w:val="0016044D"/>
    <w:rsid w:val="00161659"/>
    <w:rsid w:val="00162D03"/>
    <w:rsid w:val="001631A4"/>
    <w:rsid w:val="00163457"/>
    <w:rsid w:val="001635DB"/>
    <w:rsid w:val="00163FCC"/>
    <w:rsid w:val="0016483B"/>
    <w:rsid w:val="00164DC7"/>
    <w:rsid w:val="0016619E"/>
    <w:rsid w:val="00166AE5"/>
    <w:rsid w:val="001673FF"/>
    <w:rsid w:val="00170C78"/>
    <w:rsid w:val="001717A9"/>
    <w:rsid w:val="00171834"/>
    <w:rsid w:val="00171D12"/>
    <w:rsid w:val="00171F21"/>
    <w:rsid w:val="00173787"/>
    <w:rsid w:val="00173F98"/>
    <w:rsid w:val="001741A2"/>
    <w:rsid w:val="00174762"/>
    <w:rsid w:val="001754C1"/>
    <w:rsid w:val="00175AFE"/>
    <w:rsid w:val="00175CE2"/>
    <w:rsid w:val="001766CB"/>
    <w:rsid w:val="00176882"/>
    <w:rsid w:val="00177BC7"/>
    <w:rsid w:val="0018001F"/>
    <w:rsid w:val="0018133A"/>
    <w:rsid w:val="001813FD"/>
    <w:rsid w:val="0018307D"/>
    <w:rsid w:val="00184A52"/>
    <w:rsid w:val="0018512D"/>
    <w:rsid w:val="00185417"/>
    <w:rsid w:val="00185B8A"/>
    <w:rsid w:val="0018731B"/>
    <w:rsid w:val="00187E2E"/>
    <w:rsid w:val="00190E55"/>
    <w:rsid w:val="00191378"/>
    <w:rsid w:val="00191539"/>
    <w:rsid w:val="00191A77"/>
    <w:rsid w:val="00191E57"/>
    <w:rsid w:val="00191ED1"/>
    <w:rsid w:val="001922AB"/>
    <w:rsid w:val="00192651"/>
    <w:rsid w:val="001926AE"/>
    <w:rsid w:val="00192A52"/>
    <w:rsid w:val="001944F7"/>
    <w:rsid w:val="00194D16"/>
    <w:rsid w:val="00194D88"/>
    <w:rsid w:val="00195D1C"/>
    <w:rsid w:val="001969FC"/>
    <w:rsid w:val="001979DA"/>
    <w:rsid w:val="00197CD8"/>
    <w:rsid w:val="001A05F2"/>
    <w:rsid w:val="001A0CA2"/>
    <w:rsid w:val="001A0DC3"/>
    <w:rsid w:val="001A20B6"/>
    <w:rsid w:val="001A2801"/>
    <w:rsid w:val="001A3483"/>
    <w:rsid w:val="001A34A6"/>
    <w:rsid w:val="001A3E0B"/>
    <w:rsid w:val="001A4FB4"/>
    <w:rsid w:val="001A556F"/>
    <w:rsid w:val="001A5575"/>
    <w:rsid w:val="001A7E79"/>
    <w:rsid w:val="001B067F"/>
    <w:rsid w:val="001B07FA"/>
    <w:rsid w:val="001B083A"/>
    <w:rsid w:val="001B1306"/>
    <w:rsid w:val="001B1C48"/>
    <w:rsid w:val="001B2383"/>
    <w:rsid w:val="001B25B9"/>
    <w:rsid w:val="001B30FF"/>
    <w:rsid w:val="001B397A"/>
    <w:rsid w:val="001B6CB9"/>
    <w:rsid w:val="001B7739"/>
    <w:rsid w:val="001C05B1"/>
    <w:rsid w:val="001C1B56"/>
    <w:rsid w:val="001C220C"/>
    <w:rsid w:val="001C2FB3"/>
    <w:rsid w:val="001C3C0B"/>
    <w:rsid w:val="001C5CBF"/>
    <w:rsid w:val="001C7CEA"/>
    <w:rsid w:val="001C7F35"/>
    <w:rsid w:val="001C7FA2"/>
    <w:rsid w:val="001D1980"/>
    <w:rsid w:val="001D1EAA"/>
    <w:rsid w:val="001D2699"/>
    <w:rsid w:val="001D2F02"/>
    <w:rsid w:val="001D42FB"/>
    <w:rsid w:val="001D455D"/>
    <w:rsid w:val="001D472A"/>
    <w:rsid w:val="001D5B61"/>
    <w:rsid w:val="001D5DFF"/>
    <w:rsid w:val="001D7403"/>
    <w:rsid w:val="001D7B25"/>
    <w:rsid w:val="001E01BF"/>
    <w:rsid w:val="001E0949"/>
    <w:rsid w:val="001E0D58"/>
    <w:rsid w:val="001E1580"/>
    <w:rsid w:val="001E162B"/>
    <w:rsid w:val="001E2E93"/>
    <w:rsid w:val="001E320E"/>
    <w:rsid w:val="001E667D"/>
    <w:rsid w:val="001E7EF0"/>
    <w:rsid w:val="001F355D"/>
    <w:rsid w:val="001F47B2"/>
    <w:rsid w:val="001F49ED"/>
    <w:rsid w:val="001F60F4"/>
    <w:rsid w:val="001F62DF"/>
    <w:rsid w:val="001F6E42"/>
    <w:rsid w:val="001F7338"/>
    <w:rsid w:val="001F74CF"/>
    <w:rsid w:val="001F7801"/>
    <w:rsid w:val="0020145A"/>
    <w:rsid w:val="00201916"/>
    <w:rsid w:val="00201BA1"/>
    <w:rsid w:val="0020261F"/>
    <w:rsid w:val="00202A5A"/>
    <w:rsid w:val="00202E11"/>
    <w:rsid w:val="00203BD1"/>
    <w:rsid w:val="00204C53"/>
    <w:rsid w:val="00205329"/>
    <w:rsid w:val="00205AD3"/>
    <w:rsid w:val="00205E16"/>
    <w:rsid w:val="0020616C"/>
    <w:rsid w:val="00207F12"/>
    <w:rsid w:val="002106E3"/>
    <w:rsid w:val="00211950"/>
    <w:rsid w:val="00211E79"/>
    <w:rsid w:val="00212198"/>
    <w:rsid w:val="0021318F"/>
    <w:rsid w:val="002131FD"/>
    <w:rsid w:val="00214B21"/>
    <w:rsid w:val="00214D21"/>
    <w:rsid w:val="0021585D"/>
    <w:rsid w:val="00216EFF"/>
    <w:rsid w:val="00220503"/>
    <w:rsid w:val="00220663"/>
    <w:rsid w:val="0022086A"/>
    <w:rsid w:val="0022125A"/>
    <w:rsid w:val="0022149E"/>
    <w:rsid w:val="00222184"/>
    <w:rsid w:val="002222F7"/>
    <w:rsid w:val="00222CA4"/>
    <w:rsid w:val="00223C3A"/>
    <w:rsid w:val="00225E22"/>
    <w:rsid w:val="00227467"/>
    <w:rsid w:val="00230C17"/>
    <w:rsid w:val="00232676"/>
    <w:rsid w:val="0023276F"/>
    <w:rsid w:val="00233DE6"/>
    <w:rsid w:val="0023409D"/>
    <w:rsid w:val="002348FB"/>
    <w:rsid w:val="002350A1"/>
    <w:rsid w:val="002357C2"/>
    <w:rsid w:val="002367D1"/>
    <w:rsid w:val="002368F9"/>
    <w:rsid w:val="00236B2C"/>
    <w:rsid w:val="00240917"/>
    <w:rsid w:val="0024099F"/>
    <w:rsid w:val="00242045"/>
    <w:rsid w:val="0024223D"/>
    <w:rsid w:val="00242433"/>
    <w:rsid w:val="002424B4"/>
    <w:rsid w:val="00242539"/>
    <w:rsid w:val="002425D9"/>
    <w:rsid w:val="00242B2A"/>
    <w:rsid w:val="002433F3"/>
    <w:rsid w:val="0024484D"/>
    <w:rsid w:val="00244D88"/>
    <w:rsid w:val="00244FEF"/>
    <w:rsid w:val="00245DA1"/>
    <w:rsid w:val="002466E1"/>
    <w:rsid w:val="00246E41"/>
    <w:rsid w:val="00247036"/>
    <w:rsid w:val="002470A0"/>
    <w:rsid w:val="00247184"/>
    <w:rsid w:val="00247796"/>
    <w:rsid w:val="0024784F"/>
    <w:rsid w:val="002502F8"/>
    <w:rsid w:val="00250844"/>
    <w:rsid w:val="002509ED"/>
    <w:rsid w:val="0025351F"/>
    <w:rsid w:val="00253D11"/>
    <w:rsid w:val="00253E45"/>
    <w:rsid w:val="00254088"/>
    <w:rsid w:val="002549B7"/>
    <w:rsid w:val="0025502B"/>
    <w:rsid w:val="002602F3"/>
    <w:rsid w:val="002608F9"/>
    <w:rsid w:val="00260B8B"/>
    <w:rsid w:val="00266737"/>
    <w:rsid w:val="002674D9"/>
    <w:rsid w:val="002704BC"/>
    <w:rsid w:val="0027133D"/>
    <w:rsid w:val="00273368"/>
    <w:rsid w:val="00273CD2"/>
    <w:rsid w:val="00274642"/>
    <w:rsid w:val="00274D5C"/>
    <w:rsid w:val="002757BA"/>
    <w:rsid w:val="00276753"/>
    <w:rsid w:val="00276855"/>
    <w:rsid w:val="002772CC"/>
    <w:rsid w:val="0027755C"/>
    <w:rsid w:val="002801ED"/>
    <w:rsid w:val="00280501"/>
    <w:rsid w:val="00280FA9"/>
    <w:rsid w:val="00280FD0"/>
    <w:rsid w:val="002811A5"/>
    <w:rsid w:val="00281B34"/>
    <w:rsid w:val="00281D0D"/>
    <w:rsid w:val="00282036"/>
    <w:rsid w:val="00282371"/>
    <w:rsid w:val="00286041"/>
    <w:rsid w:val="002863B3"/>
    <w:rsid w:val="0028728A"/>
    <w:rsid w:val="002872AB"/>
    <w:rsid w:val="00287769"/>
    <w:rsid w:val="00287880"/>
    <w:rsid w:val="00287CEA"/>
    <w:rsid w:val="00287DFF"/>
    <w:rsid w:val="002906E6"/>
    <w:rsid w:val="00291D2E"/>
    <w:rsid w:val="00291F58"/>
    <w:rsid w:val="00291F7B"/>
    <w:rsid w:val="002935AC"/>
    <w:rsid w:val="002937F2"/>
    <w:rsid w:val="0029435F"/>
    <w:rsid w:val="00294BA4"/>
    <w:rsid w:val="002951FC"/>
    <w:rsid w:val="00297081"/>
    <w:rsid w:val="00297F7A"/>
    <w:rsid w:val="00297FEB"/>
    <w:rsid w:val="002A0902"/>
    <w:rsid w:val="002A0F7A"/>
    <w:rsid w:val="002A2137"/>
    <w:rsid w:val="002A405C"/>
    <w:rsid w:val="002A40AC"/>
    <w:rsid w:val="002A4751"/>
    <w:rsid w:val="002A52E5"/>
    <w:rsid w:val="002A59DA"/>
    <w:rsid w:val="002A7D07"/>
    <w:rsid w:val="002A7DD0"/>
    <w:rsid w:val="002B0029"/>
    <w:rsid w:val="002B0B67"/>
    <w:rsid w:val="002B0F57"/>
    <w:rsid w:val="002B13DC"/>
    <w:rsid w:val="002B1D62"/>
    <w:rsid w:val="002B1D9E"/>
    <w:rsid w:val="002B21E9"/>
    <w:rsid w:val="002B2356"/>
    <w:rsid w:val="002B274A"/>
    <w:rsid w:val="002B311D"/>
    <w:rsid w:val="002B4407"/>
    <w:rsid w:val="002B52B0"/>
    <w:rsid w:val="002B551A"/>
    <w:rsid w:val="002B5650"/>
    <w:rsid w:val="002B5838"/>
    <w:rsid w:val="002B623C"/>
    <w:rsid w:val="002B6A80"/>
    <w:rsid w:val="002B6F60"/>
    <w:rsid w:val="002B75FE"/>
    <w:rsid w:val="002C084D"/>
    <w:rsid w:val="002C1B75"/>
    <w:rsid w:val="002C1FFD"/>
    <w:rsid w:val="002C366E"/>
    <w:rsid w:val="002C43B8"/>
    <w:rsid w:val="002C496F"/>
    <w:rsid w:val="002C4C7D"/>
    <w:rsid w:val="002C524C"/>
    <w:rsid w:val="002C5847"/>
    <w:rsid w:val="002C78D6"/>
    <w:rsid w:val="002D0671"/>
    <w:rsid w:val="002D080A"/>
    <w:rsid w:val="002D1C97"/>
    <w:rsid w:val="002D2195"/>
    <w:rsid w:val="002D31E6"/>
    <w:rsid w:val="002D3B2F"/>
    <w:rsid w:val="002D5A79"/>
    <w:rsid w:val="002D5B27"/>
    <w:rsid w:val="002D5FF6"/>
    <w:rsid w:val="002D6A94"/>
    <w:rsid w:val="002D7646"/>
    <w:rsid w:val="002E1550"/>
    <w:rsid w:val="002E2051"/>
    <w:rsid w:val="002E2BC9"/>
    <w:rsid w:val="002E2F2F"/>
    <w:rsid w:val="002E3290"/>
    <w:rsid w:val="002E3553"/>
    <w:rsid w:val="002E482C"/>
    <w:rsid w:val="002E5925"/>
    <w:rsid w:val="002E6DD1"/>
    <w:rsid w:val="002F0A5E"/>
    <w:rsid w:val="002F0CC6"/>
    <w:rsid w:val="002F0F50"/>
    <w:rsid w:val="002F106A"/>
    <w:rsid w:val="002F144B"/>
    <w:rsid w:val="002F18F0"/>
    <w:rsid w:val="002F1CB0"/>
    <w:rsid w:val="002F2C58"/>
    <w:rsid w:val="002F2D27"/>
    <w:rsid w:val="002F450F"/>
    <w:rsid w:val="002F4558"/>
    <w:rsid w:val="002F4B60"/>
    <w:rsid w:val="002F5013"/>
    <w:rsid w:val="002F5302"/>
    <w:rsid w:val="002F5CD2"/>
    <w:rsid w:val="002F6654"/>
    <w:rsid w:val="002F6787"/>
    <w:rsid w:val="002F766E"/>
    <w:rsid w:val="002F7C2A"/>
    <w:rsid w:val="003006CC"/>
    <w:rsid w:val="00300A2D"/>
    <w:rsid w:val="00301ABE"/>
    <w:rsid w:val="003025E9"/>
    <w:rsid w:val="003028A6"/>
    <w:rsid w:val="00303618"/>
    <w:rsid w:val="00304910"/>
    <w:rsid w:val="00304A79"/>
    <w:rsid w:val="003055B8"/>
    <w:rsid w:val="00305F4F"/>
    <w:rsid w:val="00306550"/>
    <w:rsid w:val="003066FF"/>
    <w:rsid w:val="003076C3"/>
    <w:rsid w:val="003077ED"/>
    <w:rsid w:val="0031023B"/>
    <w:rsid w:val="00311B89"/>
    <w:rsid w:val="00311C36"/>
    <w:rsid w:val="00312340"/>
    <w:rsid w:val="00312453"/>
    <w:rsid w:val="003153D6"/>
    <w:rsid w:val="00315D81"/>
    <w:rsid w:val="00316682"/>
    <w:rsid w:val="00317E89"/>
    <w:rsid w:val="0032063B"/>
    <w:rsid w:val="00320FF8"/>
    <w:rsid w:val="00322026"/>
    <w:rsid w:val="00323A5E"/>
    <w:rsid w:val="00323FDF"/>
    <w:rsid w:val="003243A5"/>
    <w:rsid w:val="003251A0"/>
    <w:rsid w:val="00325418"/>
    <w:rsid w:val="00325A8A"/>
    <w:rsid w:val="0032620C"/>
    <w:rsid w:val="003262C3"/>
    <w:rsid w:val="003263A8"/>
    <w:rsid w:val="00326D90"/>
    <w:rsid w:val="00326FB9"/>
    <w:rsid w:val="0033016E"/>
    <w:rsid w:val="00330A80"/>
    <w:rsid w:val="00331A3E"/>
    <w:rsid w:val="00332C6B"/>
    <w:rsid w:val="003342DC"/>
    <w:rsid w:val="0033559B"/>
    <w:rsid w:val="00335BEC"/>
    <w:rsid w:val="003360F6"/>
    <w:rsid w:val="00336417"/>
    <w:rsid w:val="003372EC"/>
    <w:rsid w:val="00337B9E"/>
    <w:rsid w:val="003402A2"/>
    <w:rsid w:val="003402FF"/>
    <w:rsid w:val="00340FB9"/>
    <w:rsid w:val="003431B2"/>
    <w:rsid w:val="00343C6A"/>
    <w:rsid w:val="0034478C"/>
    <w:rsid w:val="00344965"/>
    <w:rsid w:val="00344F17"/>
    <w:rsid w:val="00345492"/>
    <w:rsid w:val="00345BB6"/>
    <w:rsid w:val="00346389"/>
    <w:rsid w:val="003479BD"/>
    <w:rsid w:val="00347EE0"/>
    <w:rsid w:val="0035077C"/>
    <w:rsid w:val="0035101F"/>
    <w:rsid w:val="003510A8"/>
    <w:rsid w:val="00351274"/>
    <w:rsid w:val="00351590"/>
    <w:rsid w:val="00351BC2"/>
    <w:rsid w:val="00351D4D"/>
    <w:rsid w:val="003543F6"/>
    <w:rsid w:val="00354585"/>
    <w:rsid w:val="003556BF"/>
    <w:rsid w:val="003566E1"/>
    <w:rsid w:val="003567F4"/>
    <w:rsid w:val="00356C54"/>
    <w:rsid w:val="003576CF"/>
    <w:rsid w:val="0036118E"/>
    <w:rsid w:val="00361D5D"/>
    <w:rsid w:val="00361F68"/>
    <w:rsid w:val="00362974"/>
    <w:rsid w:val="00364191"/>
    <w:rsid w:val="00364AFC"/>
    <w:rsid w:val="0036790F"/>
    <w:rsid w:val="0036B2B2"/>
    <w:rsid w:val="00371317"/>
    <w:rsid w:val="0037170E"/>
    <w:rsid w:val="00371BF5"/>
    <w:rsid w:val="0037262C"/>
    <w:rsid w:val="003746FD"/>
    <w:rsid w:val="003756F3"/>
    <w:rsid w:val="003762C8"/>
    <w:rsid w:val="00376454"/>
    <w:rsid w:val="00376EFC"/>
    <w:rsid w:val="0037767A"/>
    <w:rsid w:val="003779C7"/>
    <w:rsid w:val="00377A14"/>
    <w:rsid w:val="00381503"/>
    <w:rsid w:val="00381B2A"/>
    <w:rsid w:val="00381B79"/>
    <w:rsid w:val="00381BD4"/>
    <w:rsid w:val="00382AD4"/>
    <w:rsid w:val="00382DB4"/>
    <w:rsid w:val="003835D4"/>
    <w:rsid w:val="003848C9"/>
    <w:rsid w:val="00384F9A"/>
    <w:rsid w:val="00385CFA"/>
    <w:rsid w:val="00387402"/>
    <w:rsid w:val="00387A77"/>
    <w:rsid w:val="00390CDA"/>
    <w:rsid w:val="00390F5A"/>
    <w:rsid w:val="00391E40"/>
    <w:rsid w:val="00392DED"/>
    <w:rsid w:val="0039391C"/>
    <w:rsid w:val="0039419D"/>
    <w:rsid w:val="00395775"/>
    <w:rsid w:val="0039656B"/>
    <w:rsid w:val="00396E32"/>
    <w:rsid w:val="0039715F"/>
    <w:rsid w:val="003971ED"/>
    <w:rsid w:val="003A0372"/>
    <w:rsid w:val="003A04A7"/>
    <w:rsid w:val="003A0D6A"/>
    <w:rsid w:val="003A1861"/>
    <w:rsid w:val="003A2952"/>
    <w:rsid w:val="003A2AA5"/>
    <w:rsid w:val="003A3DF4"/>
    <w:rsid w:val="003A484D"/>
    <w:rsid w:val="003A4863"/>
    <w:rsid w:val="003A4C3B"/>
    <w:rsid w:val="003A53D0"/>
    <w:rsid w:val="003A5639"/>
    <w:rsid w:val="003A72B1"/>
    <w:rsid w:val="003A7476"/>
    <w:rsid w:val="003B0488"/>
    <w:rsid w:val="003B171A"/>
    <w:rsid w:val="003B406B"/>
    <w:rsid w:val="003B4340"/>
    <w:rsid w:val="003B45D1"/>
    <w:rsid w:val="003B4AA6"/>
    <w:rsid w:val="003B4E27"/>
    <w:rsid w:val="003B4EAC"/>
    <w:rsid w:val="003B533B"/>
    <w:rsid w:val="003B5FAD"/>
    <w:rsid w:val="003B6387"/>
    <w:rsid w:val="003B6957"/>
    <w:rsid w:val="003B6BB6"/>
    <w:rsid w:val="003B7322"/>
    <w:rsid w:val="003B75E1"/>
    <w:rsid w:val="003C0C83"/>
    <w:rsid w:val="003C163B"/>
    <w:rsid w:val="003C3044"/>
    <w:rsid w:val="003C317B"/>
    <w:rsid w:val="003C3445"/>
    <w:rsid w:val="003C386D"/>
    <w:rsid w:val="003C3F61"/>
    <w:rsid w:val="003C5BD9"/>
    <w:rsid w:val="003C611D"/>
    <w:rsid w:val="003C67B1"/>
    <w:rsid w:val="003C6C8F"/>
    <w:rsid w:val="003C7B16"/>
    <w:rsid w:val="003D0AD8"/>
    <w:rsid w:val="003D0D76"/>
    <w:rsid w:val="003D2E35"/>
    <w:rsid w:val="003D3278"/>
    <w:rsid w:val="003D40F5"/>
    <w:rsid w:val="003D4274"/>
    <w:rsid w:val="003D4E01"/>
    <w:rsid w:val="003D548D"/>
    <w:rsid w:val="003D70CC"/>
    <w:rsid w:val="003D7889"/>
    <w:rsid w:val="003E1DE1"/>
    <w:rsid w:val="003E293E"/>
    <w:rsid w:val="003E38F2"/>
    <w:rsid w:val="003E4ECA"/>
    <w:rsid w:val="003E67F5"/>
    <w:rsid w:val="003E6896"/>
    <w:rsid w:val="003E79A5"/>
    <w:rsid w:val="003F0C6F"/>
    <w:rsid w:val="003F1853"/>
    <w:rsid w:val="003F1AD7"/>
    <w:rsid w:val="003F25B2"/>
    <w:rsid w:val="003F3A0D"/>
    <w:rsid w:val="003F3A70"/>
    <w:rsid w:val="003F3FD2"/>
    <w:rsid w:val="003F4FB0"/>
    <w:rsid w:val="003F63BB"/>
    <w:rsid w:val="003FF80D"/>
    <w:rsid w:val="004010FD"/>
    <w:rsid w:val="00401AC7"/>
    <w:rsid w:val="00401F9E"/>
    <w:rsid w:val="004023B4"/>
    <w:rsid w:val="0040342C"/>
    <w:rsid w:val="0040382D"/>
    <w:rsid w:val="00404293"/>
    <w:rsid w:val="0041217E"/>
    <w:rsid w:val="004125BE"/>
    <w:rsid w:val="00413750"/>
    <w:rsid w:val="00414017"/>
    <w:rsid w:val="00414137"/>
    <w:rsid w:val="00414A91"/>
    <w:rsid w:val="00414FC0"/>
    <w:rsid w:val="00415A9A"/>
    <w:rsid w:val="00416234"/>
    <w:rsid w:val="00416A0D"/>
    <w:rsid w:val="00416A9D"/>
    <w:rsid w:val="00417D45"/>
    <w:rsid w:val="004202AD"/>
    <w:rsid w:val="00420DB2"/>
    <w:rsid w:val="004241F1"/>
    <w:rsid w:val="0042473B"/>
    <w:rsid w:val="00424A83"/>
    <w:rsid w:val="0042581B"/>
    <w:rsid w:val="00425BF6"/>
    <w:rsid w:val="00426886"/>
    <w:rsid w:val="00427498"/>
    <w:rsid w:val="00427C1D"/>
    <w:rsid w:val="00427D1F"/>
    <w:rsid w:val="00427EDF"/>
    <w:rsid w:val="00430A32"/>
    <w:rsid w:val="00432023"/>
    <w:rsid w:val="004321AE"/>
    <w:rsid w:val="00432547"/>
    <w:rsid w:val="0043358B"/>
    <w:rsid w:val="0043385B"/>
    <w:rsid w:val="00433D85"/>
    <w:rsid w:val="00434269"/>
    <w:rsid w:val="00434468"/>
    <w:rsid w:val="00435808"/>
    <w:rsid w:val="00435C15"/>
    <w:rsid w:val="004362A3"/>
    <w:rsid w:val="00436DF8"/>
    <w:rsid w:val="00440355"/>
    <w:rsid w:val="00440F76"/>
    <w:rsid w:val="0044189C"/>
    <w:rsid w:val="00441FEA"/>
    <w:rsid w:val="00442B12"/>
    <w:rsid w:val="004441C4"/>
    <w:rsid w:val="0044459A"/>
    <w:rsid w:val="00444B0D"/>
    <w:rsid w:val="00447ED6"/>
    <w:rsid w:val="00447EEE"/>
    <w:rsid w:val="0045048C"/>
    <w:rsid w:val="0045093E"/>
    <w:rsid w:val="00453484"/>
    <w:rsid w:val="004536C8"/>
    <w:rsid w:val="004553A4"/>
    <w:rsid w:val="004553B4"/>
    <w:rsid w:val="00455B82"/>
    <w:rsid w:val="00455F88"/>
    <w:rsid w:val="00456306"/>
    <w:rsid w:val="00457145"/>
    <w:rsid w:val="00457742"/>
    <w:rsid w:val="00457F3B"/>
    <w:rsid w:val="004603EF"/>
    <w:rsid w:val="0046097C"/>
    <w:rsid w:val="00460D3F"/>
    <w:rsid w:val="00460E97"/>
    <w:rsid w:val="00464FB6"/>
    <w:rsid w:val="004651BC"/>
    <w:rsid w:val="004667EE"/>
    <w:rsid w:val="00466C93"/>
    <w:rsid w:val="004727A2"/>
    <w:rsid w:val="004727D6"/>
    <w:rsid w:val="00472BE8"/>
    <w:rsid w:val="00473234"/>
    <w:rsid w:val="00474173"/>
    <w:rsid w:val="0047593B"/>
    <w:rsid w:val="0047629F"/>
    <w:rsid w:val="004767D3"/>
    <w:rsid w:val="00476DFB"/>
    <w:rsid w:val="004772A3"/>
    <w:rsid w:val="00477C04"/>
    <w:rsid w:val="00477ED0"/>
    <w:rsid w:val="00480233"/>
    <w:rsid w:val="00480391"/>
    <w:rsid w:val="0048234E"/>
    <w:rsid w:val="00483B04"/>
    <w:rsid w:val="00484239"/>
    <w:rsid w:val="00485221"/>
    <w:rsid w:val="0048587C"/>
    <w:rsid w:val="00485FD0"/>
    <w:rsid w:val="004866DD"/>
    <w:rsid w:val="00487F64"/>
    <w:rsid w:val="004905A1"/>
    <w:rsid w:val="00492729"/>
    <w:rsid w:val="00492CA1"/>
    <w:rsid w:val="0049398A"/>
    <w:rsid w:val="00494FD2"/>
    <w:rsid w:val="00495AA9"/>
    <w:rsid w:val="00495C8B"/>
    <w:rsid w:val="00496519"/>
    <w:rsid w:val="00496642"/>
    <w:rsid w:val="00496C21"/>
    <w:rsid w:val="004971E2"/>
    <w:rsid w:val="00497AAF"/>
    <w:rsid w:val="00497E40"/>
    <w:rsid w:val="004A01CE"/>
    <w:rsid w:val="004A18CD"/>
    <w:rsid w:val="004A222B"/>
    <w:rsid w:val="004A2301"/>
    <w:rsid w:val="004A2DAF"/>
    <w:rsid w:val="004A3757"/>
    <w:rsid w:val="004A51D0"/>
    <w:rsid w:val="004A5B2F"/>
    <w:rsid w:val="004A605F"/>
    <w:rsid w:val="004B0285"/>
    <w:rsid w:val="004B06E8"/>
    <w:rsid w:val="004B1C70"/>
    <w:rsid w:val="004B1F33"/>
    <w:rsid w:val="004B25F2"/>
    <w:rsid w:val="004B2C45"/>
    <w:rsid w:val="004B2D7F"/>
    <w:rsid w:val="004B2D91"/>
    <w:rsid w:val="004B3248"/>
    <w:rsid w:val="004B3581"/>
    <w:rsid w:val="004B426F"/>
    <w:rsid w:val="004B4398"/>
    <w:rsid w:val="004B4515"/>
    <w:rsid w:val="004B4D79"/>
    <w:rsid w:val="004B5199"/>
    <w:rsid w:val="004B51DB"/>
    <w:rsid w:val="004B5E99"/>
    <w:rsid w:val="004B7891"/>
    <w:rsid w:val="004B79DD"/>
    <w:rsid w:val="004C0844"/>
    <w:rsid w:val="004C132C"/>
    <w:rsid w:val="004C1F7C"/>
    <w:rsid w:val="004C2319"/>
    <w:rsid w:val="004C58CF"/>
    <w:rsid w:val="004C5E84"/>
    <w:rsid w:val="004C750F"/>
    <w:rsid w:val="004C7B8C"/>
    <w:rsid w:val="004D0E34"/>
    <w:rsid w:val="004D229B"/>
    <w:rsid w:val="004D2937"/>
    <w:rsid w:val="004D40DE"/>
    <w:rsid w:val="004D693A"/>
    <w:rsid w:val="004D6E64"/>
    <w:rsid w:val="004D7272"/>
    <w:rsid w:val="004D76BB"/>
    <w:rsid w:val="004D7C67"/>
    <w:rsid w:val="004E0C4D"/>
    <w:rsid w:val="004E1024"/>
    <w:rsid w:val="004E1900"/>
    <w:rsid w:val="004E2EFE"/>
    <w:rsid w:val="004E30FA"/>
    <w:rsid w:val="004E3E8E"/>
    <w:rsid w:val="004E47ED"/>
    <w:rsid w:val="004E5839"/>
    <w:rsid w:val="004E6413"/>
    <w:rsid w:val="004E7EA1"/>
    <w:rsid w:val="004F09D9"/>
    <w:rsid w:val="004F1185"/>
    <w:rsid w:val="004F1F8D"/>
    <w:rsid w:val="004F21D8"/>
    <w:rsid w:val="004F23C3"/>
    <w:rsid w:val="004F2C79"/>
    <w:rsid w:val="004F32B7"/>
    <w:rsid w:val="004F6011"/>
    <w:rsid w:val="004F6442"/>
    <w:rsid w:val="004F6960"/>
    <w:rsid w:val="004F7824"/>
    <w:rsid w:val="004F79A3"/>
    <w:rsid w:val="004F7C15"/>
    <w:rsid w:val="00500C4F"/>
    <w:rsid w:val="00501F18"/>
    <w:rsid w:val="00502412"/>
    <w:rsid w:val="00502555"/>
    <w:rsid w:val="005048B3"/>
    <w:rsid w:val="00505347"/>
    <w:rsid w:val="00505438"/>
    <w:rsid w:val="00506092"/>
    <w:rsid w:val="00506373"/>
    <w:rsid w:val="005066F5"/>
    <w:rsid w:val="00506FA5"/>
    <w:rsid w:val="00507B95"/>
    <w:rsid w:val="005100E7"/>
    <w:rsid w:val="00510D73"/>
    <w:rsid w:val="00511702"/>
    <w:rsid w:val="00511A37"/>
    <w:rsid w:val="00511AC1"/>
    <w:rsid w:val="00512DDA"/>
    <w:rsid w:val="005145ED"/>
    <w:rsid w:val="005151B3"/>
    <w:rsid w:val="00515294"/>
    <w:rsid w:val="005165BA"/>
    <w:rsid w:val="005169E8"/>
    <w:rsid w:val="00517C69"/>
    <w:rsid w:val="00517D6E"/>
    <w:rsid w:val="005201C4"/>
    <w:rsid w:val="00520842"/>
    <w:rsid w:val="005226F0"/>
    <w:rsid w:val="00523AC7"/>
    <w:rsid w:val="00525C7F"/>
    <w:rsid w:val="00527B48"/>
    <w:rsid w:val="00527E21"/>
    <w:rsid w:val="00530847"/>
    <w:rsid w:val="00531C67"/>
    <w:rsid w:val="00532A17"/>
    <w:rsid w:val="005330EE"/>
    <w:rsid w:val="00533E7E"/>
    <w:rsid w:val="00534879"/>
    <w:rsid w:val="005356CB"/>
    <w:rsid w:val="00535CD4"/>
    <w:rsid w:val="005408C2"/>
    <w:rsid w:val="00540B24"/>
    <w:rsid w:val="005434EF"/>
    <w:rsid w:val="0054424C"/>
    <w:rsid w:val="005448C1"/>
    <w:rsid w:val="00544A33"/>
    <w:rsid w:val="00545EFA"/>
    <w:rsid w:val="00547AAC"/>
    <w:rsid w:val="00550D48"/>
    <w:rsid w:val="005515C0"/>
    <w:rsid w:val="005517AB"/>
    <w:rsid w:val="00553EAF"/>
    <w:rsid w:val="0055489A"/>
    <w:rsid w:val="00554D17"/>
    <w:rsid w:val="0055532C"/>
    <w:rsid w:val="005558B8"/>
    <w:rsid w:val="0055675F"/>
    <w:rsid w:val="00557529"/>
    <w:rsid w:val="005579EF"/>
    <w:rsid w:val="005605B6"/>
    <w:rsid w:val="00560A28"/>
    <w:rsid w:val="005613FE"/>
    <w:rsid w:val="00561E36"/>
    <w:rsid w:val="00563164"/>
    <w:rsid w:val="00565646"/>
    <w:rsid w:val="00565B10"/>
    <w:rsid w:val="0056675C"/>
    <w:rsid w:val="0056770B"/>
    <w:rsid w:val="00570CAC"/>
    <w:rsid w:val="00571124"/>
    <w:rsid w:val="0057163B"/>
    <w:rsid w:val="005717CA"/>
    <w:rsid w:val="0057189E"/>
    <w:rsid w:val="0057198F"/>
    <w:rsid w:val="00572FFA"/>
    <w:rsid w:val="005738EB"/>
    <w:rsid w:val="00574AC3"/>
    <w:rsid w:val="0057526B"/>
    <w:rsid w:val="0057571F"/>
    <w:rsid w:val="0057619B"/>
    <w:rsid w:val="00576EB2"/>
    <w:rsid w:val="00577785"/>
    <w:rsid w:val="005802F3"/>
    <w:rsid w:val="00580A66"/>
    <w:rsid w:val="00581170"/>
    <w:rsid w:val="005811EE"/>
    <w:rsid w:val="005816A1"/>
    <w:rsid w:val="00581B33"/>
    <w:rsid w:val="00581F35"/>
    <w:rsid w:val="0058252D"/>
    <w:rsid w:val="00582DB5"/>
    <w:rsid w:val="00583C6D"/>
    <w:rsid w:val="00584AC6"/>
    <w:rsid w:val="00584D07"/>
    <w:rsid w:val="0058502D"/>
    <w:rsid w:val="00585154"/>
    <w:rsid w:val="00585AC4"/>
    <w:rsid w:val="0058613A"/>
    <w:rsid w:val="00586ABE"/>
    <w:rsid w:val="00587841"/>
    <w:rsid w:val="005904FC"/>
    <w:rsid w:val="00590DAB"/>
    <w:rsid w:val="005911A3"/>
    <w:rsid w:val="0059190F"/>
    <w:rsid w:val="00591913"/>
    <w:rsid w:val="00591A17"/>
    <w:rsid w:val="0059200B"/>
    <w:rsid w:val="00593CFE"/>
    <w:rsid w:val="00594FF5"/>
    <w:rsid w:val="00595B32"/>
    <w:rsid w:val="00596DB6"/>
    <w:rsid w:val="005971D9"/>
    <w:rsid w:val="005974D8"/>
    <w:rsid w:val="005979E7"/>
    <w:rsid w:val="005A0098"/>
    <w:rsid w:val="005A093C"/>
    <w:rsid w:val="005A28E9"/>
    <w:rsid w:val="005A2F83"/>
    <w:rsid w:val="005A3AA3"/>
    <w:rsid w:val="005A72D3"/>
    <w:rsid w:val="005A730E"/>
    <w:rsid w:val="005A7D9E"/>
    <w:rsid w:val="005B07C1"/>
    <w:rsid w:val="005B0DD1"/>
    <w:rsid w:val="005B4421"/>
    <w:rsid w:val="005B45C1"/>
    <w:rsid w:val="005B57FE"/>
    <w:rsid w:val="005C0883"/>
    <w:rsid w:val="005C1803"/>
    <w:rsid w:val="005C2BD1"/>
    <w:rsid w:val="005C3415"/>
    <w:rsid w:val="005C35C3"/>
    <w:rsid w:val="005C37C7"/>
    <w:rsid w:val="005C595F"/>
    <w:rsid w:val="005C5F41"/>
    <w:rsid w:val="005C6A73"/>
    <w:rsid w:val="005C7BF8"/>
    <w:rsid w:val="005D0781"/>
    <w:rsid w:val="005D0844"/>
    <w:rsid w:val="005D0C96"/>
    <w:rsid w:val="005D169F"/>
    <w:rsid w:val="005D1751"/>
    <w:rsid w:val="005D1C62"/>
    <w:rsid w:val="005D2FF5"/>
    <w:rsid w:val="005D37DB"/>
    <w:rsid w:val="005D3E79"/>
    <w:rsid w:val="005D43E1"/>
    <w:rsid w:val="005D52BF"/>
    <w:rsid w:val="005D5F12"/>
    <w:rsid w:val="005D6A2E"/>
    <w:rsid w:val="005D6E19"/>
    <w:rsid w:val="005D6FBD"/>
    <w:rsid w:val="005E0B69"/>
    <w:rsid w:val="005E1542"/>
    <w:rsid w:val="005E3596"/>
    <w:rsid w:val="005E4D38"/>
    <w:rsid w:val="005E530B"/>
    <w:rsid w:val="005E58A2"/>
    <w:rsid w:val="005E643B"/>
    <w:rsid w:val="005E7440"/>
    <w:rsid w:val="005E7886"/>
    <w:rsid w:val="005E793A"/>
    <w:rsid w:val="005E7FB9"/>
    <w:rsid w:val="005E7FE8"/>
    <w:rsid w:val="005F1433"/>
    <w:rsid w:val="005F1E30"/>
    <w:rsid w:val="005F2127"/>
    <w:rsid w:val="005F2488"/>
    <w:rsid w:val="005F3141"/>
    <w:rsid w:val="005F3592"/>
    <w:rsid w:val="005F35A2"/>
    <w:rsid w:val="005F3B47"/>
    <w:rsid w:val="005F4089"/>
    <w:rsid w:val="005F40AB"/>
    <w:rsid w:val="005F45FD"/>
    <w:rsid w:val="005F4C80"/>
    <w:rsid w:val="005F6A8C"/>
    <w:rsid w:val="005F7262"/>
    <w:rsid w:val="005F78B3"/>
    <w:rsid w:val="0060052D"/>
    <w:rsid w:val="00600AE1"/>
    <w:rsid w:val="006010B7"/>
    <w:rsid w:val="0060164A"/>
    <w:rsid w:val="00601886"/>
    <w:rsid w:val="006018C5"/>
    <w:rsid w:val="006023C6"/>
    <w:rsid w:val="0060260F"/>
    <w:rsid w:val="006042C2"/>
    <w:rsid w:val="00606F00"/>
    <w:rsid w:val="00611731"/>
    <w:rsid w:val="00611F65"/>
    <w:rsid w:val="006131E9"/>
    <w:rsid w:val="0061327F"/>
    <w:rsid w:val="0061383B"/>
    <w:rsid w:val="0061507C"/>
    <w:rsid w:val="00617A2C"/>
    <w:rsid w:val="0062015C"/>
    <w:rsid w:val="006207B8"/>
    <w:rsid w:val="00622763"/>
    <w:rsid w:val="00622BC5"/>
    <w:rsid w:val="006235C8"/>
    <w:rsid w:val="00624905"/>
    <w:rsid w:val="00626B70"/>
    <w:rsid w:val="00627313"/>
    <w:rsid w:val="006301DD"/>
    <w:rsid w:val="00630725"/>
    <w:rsid w:val="00630C5A"/>
    <w:rsid w:val="00631264"/>
    <w:rsid w:val="0063197F"/>
    <w:rsid w:val="00631CBF"/>
    <w:rsid w:val="00631D4A"/>
    <w:rsid w:val="00633690"/>
    <w:rsid w:val="00633A4F"/>
    <w:rsid w:val="00633AE9"/>
    <w:rsid w:val="006344A4"/>
    <w:rsid w:val="00635A2D"/>
    <w:rsid w:val="0063669D"/>
    <w:rsid w:val="00640794"/>
    <w:rsid w:val="0064102E"/>
    <w:rsid w:val="0064116A"/>
    <w:rsid w:val="00641217"/>
    <w:rsid w:val="00641F1C"/>
    <w:rsid w:val="00642420"/>
    <w:rsid w:val="00642B05"/>
    <w:rsid w:val="00642DD3"/>
    <w:rsid w:val="00644F7F"/>
    <w:rsid w:val="00645A12"/>
    <w:rsid w:val="00645A5C"/>
    <w:rsid w:val="006460A0"/>
    <w:rsid w:val="006477C0"/>
    <w:rsid w:val="006479AC"/>
    <w:rsid w:val="00647E10"/>
    <w:rsid w:val="00650263"/>
    <w:rsid w:val="00651B78"/>
    <w:rsid w:val="00652922"/>
    <w:rsid w:val="00653FAC"/>
    <w:rsid w:val="00654D6E"/>
    <w:rsid w:val="00655645"/>
    <w:rsid w:val="00655DB7"/>
    <w:rsid w:val="00656109"/>
    <w:rsid w:val="0065641D"/>
    <w:rsid w:val="0065649B"/>
    <w:rsid w:val="00657C1A"/>
    <w:rsid w:val="0066073E"/>
    <w:rsid w:val="00660AC9"/>
    <w:rsid w:val="00661839"/>
    <w:rsid w:val="006648F8"/>
    <w:rsid w:val="006652DB"/>
    <w:rsid w:val="00665A99"/>
    <w:rsid w:val="0066643C"/>
    <w:rsid w:val="006670AE"/>
    <w:rsid w:val="00667422"/>
    <w:rsid w:val="00667560"/>
    <w:rsid w:val="006677B7"/>
    <w:rsid w:val="006703D7"/>
    <w:rsid w:val="006710A7"/>
    <w:rsid w:val="0067117E"/>
    <w:rsid w:val="006713D1"/>
    <w:rsid w:val="00671BFD"/>
    <w:rsid w:val="00671EA9"/>
    <w:rsid w:val="00672050"/>
    <w:rsid w:val="0067357C"/>
    <w:rsid w:val="00675539"/>
    <w:rsid w:val="00675ADF"/>
    <w:rsid w:val="0067701F"/>
    <w:rsid w:val="00677438"/>
    <w:rsid w:val="00677506"/>
    <w:rsid w:val="00680D2C"/>
    <w:rsid w:val="0068170E"/>
    <w:rsid w:val="006820F3"/>
    <w:rsid w:val="00682B36"/>
    <w:rsid w:val="006833CB"/>
    <w:rsid w:val="006835A9"/>
    <w:rsid w:val="00683847"/>
    <w:rsid w:val="00683AA5"/>
    <w:rsid w:val="00683F86"/>
    <w:rsid w:val="006846E9"/>
    <w:rsid w:val="00685936"/>
    <w:rsid w:val="00686ABD"/>
    <w:rsid w:val="006874B9"/>
    <w:rsid w:val="0068793E"/>
    <w:rsid w:val="00690A59"/>
    <w:rsid w:val="00690E00"/>
    <w:rsid w:val="00692424"/>
    <w:rsid w:val="006934F5"/>
    <w:rsid w:val="00693769"/>
    <w:rsid w:val="00694DA5"/>
    <w:rsid w:val="00694F23"/>
    <w:rsid w:val="0069613B"/>
    <w:rsid w:val="00696472"/>
    <w:rsid w:val="00696CF8"/>
    <w:rsid w:val="00697712"/>
    <w:rsid w:val="00697862"/>
    <w:rsid w:val="00697863"/>
    <w:rsid w:val="006A0506"/>
    <w:rsid w:val="006A0D04"/>
    <w:rsid w:val="006A1C16"/>
    <w:rsid w:val="006A1D90"/>
    <w:rsid w:val="006A2BC6"/>
    <w:rsid w:val="006A37E6"/>
    <w:rsid w:val="006A4052"/>
    <w:rsid w:val="006A40EC"/>
    <w:rsid w:val="006A47CC"/>
    <w:rsid w:val="006A534C"/>
    <w:rsid w:val="006A5B92"/>
    <w:rsid w:val="006A6375"/>
    <w:rsid w:val="006A697B"/>
    <w:rsid w:val="006A6C42"/>
    <w:rsid w:val="006A7FDC"/>
    <w:rsid w:val="006B0CBD"/>
    <w:rsid w:val="006B0E79"/>
    <w:rsid w:val="006B11D2"/>
    <w:rsid w:val="006B1658"/>
    <w:rsid w:val="006B1B6F"/>
    <w:rsid w:val="006B27DF"/>
    <w:rsid w:val="006B3162"/>
    <w:rsid w:val="006B3568"/>
    <w:rsid w:val="006B382D"/>
    <w:rsid w:val="006B5478"/>
    <w:rsid w:val="006B584F"/>
    <w:rsid w:val="006B5859"/>
    <w:rsid w:val="006B6108"/>
    <w:rsid w:val="006B6429"/>
    <w:rsid w:val="006B66F8"/>
    <w:rsid w:val="006B6D56"/>
    <w:rsid w:val="006C00E0"/>
    <w:rsid w:val="006C1060"/>
    <w:rsid w:val="006C192F"/>
    <w:rsid w:val="006C1C90"/>
    <w:rsid w:val="006C33B0"/>
    <w:rsid w:val="006C40A4"/>
    <w:rsid w:val="006C40F0"/>
    <w:rsid w:val="006C526F"/>
    <w:rsid w:val="006C59E4"/>
    <w:rsid w:val="006C61CE"/>
    <w:rsid w:val="006C63C3"/>
    <w:rsid w:val="006C67F6"/>
    <w:rsid w:val="006D064D"/>
    <w:rsid w:val="006D0B16"/>
    <w:rsid w:val="006D0D11"/>
    <w:rsid w:val="006D30C7"/>
    <w:rsid w:val="006D331E"/>
    <w:rsid w:val="006D36C9"/>
    <w:rsid w:val="006D4F50"/>
    <w:rsid w:val="006D590F"/>
    <w:rsid w:val="006D5B5B"/>
    <w:rsid w:val="006D6889"/>
    <w:rsid w:val="006D6E5E"/>
    <w:rsid w:val="006D6F6C"/>
    <w:rsid w:val="006E0237"/>
    <w:rsid w:val="006E1EB7"/>
    <w:rsid w:val="006E255D"/>
    <w:rsid w:val="006E30F0"/>
    <w:rsid w:val="006E5488"/>
    <w:rsid w:val="006E55A9"/>
    <w:rsid w:val="006E5AC9"/>
    <w:rsid w:val="006E615F"/>
    <w:rsid w:val="006E6180"/>
    <w:rsid w:val="006E676B"/>
    <w:rsid w:val="006E699E"/>
    <w:rsid w:val="006E77BB"/>
    <w:rsid w:val="006E7ABC"/>
    <w:rsid w:val="006F000E"/>
    <w:rsid w:val="006F0588"/>
    <w:rsid w:val="006F0719"/>
    <w:rsid w:val="006F124F"/>
    <w:rsid w:val="006F35CE"/>
    <w:rsid w:val="006F3881"/>
    <w:rsid w:val="006F3A06"/>
    <w:rsid w:val="006F4B7F"/>
    <w:rsid w:val="006F4D37"/>
    <w:rsid w:val="006F6F4A"/>
    <w:rsid w:val="006F7747"/>
    <w:rsid w:val="00700AF3"/>
    <w:rsid w:val="007015E1"/>
    <w:rsid w:val="00702D4E"/>
    <w:rsid w:val="00705EA4"/>
    <w:rsid w:val="007078EB"/>
    <w:rsid w:val="00710DD9"/>
    <w:rsid w:val="00711495"/>
    <w:rsid w:val="007117EB"/>
    <w:rsid w:val="007129BD"/>
    <w:rsid w:val="00713D9E"/>
    <w:rsid w:val="007145E8"/>
    <w:rsid w:val="0071468D"/>
    <w:rsid w:val="007150DC"/>
    <w:rsid w:val="00717318"/>
    <w:rsid w:val="0071782B"/>
    <w:rsid w:val="0072007B"/>
    <w:rsid w:val="007218E0"/>
    <w:rsid w:val="0072246E"/>
    <w:rsid w:val="00722937"/>
    <w:rsid w:val="00722E6A"/>
    <w:rsid w:val="00723427"/>
    <w:rsid w:val="007247A1"/>
    <w:rsid w:val="007275FB"/>
    <w:rsid w:val="0073155B"/>
    <w:rsid w:val="007316F6"/>
    <w:rsid w:val="00731BE4"/>
    <w:rsid w:val="00731CE7"/>
    <w:rsid w:val="007323BB"/>
    <w:rsid w:val="007329D0"/>
    <w:rsid w:val="0073326A"/>
    <w:rsid w:val="00734015"/>
    <w:rsid w:val="00734238"/>
    <w:rsid w:val="00734600"/>
    <w:rsid w:val="007353FA"/>
    <w:rsid w:val="00735E77"/>
    <w:rsid w:val="00735F77"/>
    <w:rsid w:val="0073732B"/>
    <w:rsid w:val="0074008A"/>
    <w:rsid w:val="00742477"/>
    <w:rsid w:val="007426A8"/>
    <w:rsid w:val="0074297F"/>
    <w:rsid w:val="007455C0"/>
    <w:rsid w:val="00747799"/>
    <w:rsid w:val="007479A1"/>
    <w:rsid w:val="00747F92"/>
    <w:rsid w:val="0075006F"/>
    <w:rsid w:val="0075014C"/>
    <w:rsid w:val="00750DA0"/>
    <w:rsid w:val="007510F9"/>
    <w:rsid w:val="00752137"/>
    <w:rsid w:val="00752190"/>
    <w:rsid w:val="00752387"/>
    <w:rsid w:val="00752F27"/>
    <w:rsid w:val="00755649"/>
    <w:rsid w:val="00756457"/>
    <w:rsid w:val="0075682C"/>
    <w:rsid w:val="00757959"/>
    <w:rsid w:val="00757B4D"/>
    <w:rsid w:val="00757B7C"/>
    <w:rsid w:val="0076135A"/>
    <w:rsid w:val="007624B8"/>
    <w:rsid w:val="00763484"/>
    <w:rsid w:val="0076603A"/>
    <w:rsid w:val="00766AE2"/>
    <w:rsid w:val="00766B37"/>
    <w:rsid w:val="00766BFD"/>
    <w:rsid w:val="00767BBB"/>
    <w:rsid w:val="00770615"/>
    <w:rsid w:val="007707D0"/>
    <w:rsid w:val="00770B9F"/>
    <w:rsid w:val="00771BDB"/>
    <w:rsid w:val="00771FD8"/>
    <w:rsid w:val="0077208D"/>
    <w:rsid w:val="0077270A"/>
    <w:rsid w:val="00773382"/>
    <w:rsid w:val="00773C0C"/>
    <w:rsid w:val="00773E9C"/>
    <w:rsid w:val="00774A71"/>
    <w:rsid w:val="00775FDF"/>
    <w:rsid w:val="00776518"/>
    <w:rsid w:val="00776A14"/>
    <w:rsid w:val="00777A92"/>
    <w:rsid w:val="00777E01"/>
    <w:rsid w:val="00782242"/>
    <w:rsid w:val="00784809"/>
    <w:rsid w:val="007849FE"/>
    <w:rsid w:val="007850A3"/>
    <w:rsid w:val="0078573F"/>
    <w:rsid w:val="007858A7"/>
    <w:rsid w:val="00786D9B"/>
    <w:rsid w:val="00787578"/>
    <w:rsid w:val="00791109"/>
    <w:rsid w:val="00791CAE"/>
    <w:rsid w:val="00792BB6"/>
    <w:rsid w:val="00792BE7"/>
    <w:rsid w:val="00792E28"/>
    <w:rsid w:val="00794493"/>
    <w:rsid w:val="00794535"/>
    <w:rsid w:val="00795A11"/>
    <w:rsid w:val="007A0DC1"/>
    <w:rsid w:val="007A0F5B"/>
    <w:rsid w:val="007A2DBD"/>
    <w:rsid w:val="007A41FF"/>
    <w:rsid w:val="007A4D3C"/>
    <w:rsid w:val="007A5B2D"/>
    <w:rsid w:val="007A5D02"/>
    <w:rsid w:val="007A5ECD"/>
    <w:rsid w:val="007A5FE9"/>
    <w:rsid w:val="007A675B"/>
    <w:rsid w:val="007A6993"/>
    <w:rsid w:val="007A70EA"/>
    <w:rsid w:val="007B0674"/>
    <w:rsid w:val="007B0FFC"/>
    <w:rsid w:val="007B1417"/>
    <w:rsid w:val="007B1509"/>
    <w:rsid w:val="007B5094"/>
    <w:rsid w:val="007B60D7"/>
    <w:rsid w:val="007B6304"/>
    <w:rsid w:val="007C089D"/>
    <w:rsid w:val="007C1C93"/>
    <w:rsid w:val="007C1F94"/>
    <w:rsid w:val="007C20F8"/>
    <w:rsid w:val="007C4A5C"/>
    <w:rsid w:val="007C4FE7"/>
    <w:rsid w:val="007C5BBB"/>
    <w:rsid w:val="007C6371"/>
    <w:rsid w:val="007C6CDB"/>
    <w:rsid w:val="007D0222"/>
    <w:rsid w:val="007D0724"/>
    <w:rsid w:val="007D0737"/>
    <w:rsid w:val="007D0778"/>
    <w:rsid w:val="007D1552"/>
    <w:rsid w:val="007D1A1A"/>
    <w:rsid w:val="007D29EA"/>
    <w:rsid w:val="007D320B"/>
    <w:rsid w:val="007D3CA0"/>
    <w:rsid w:val="007D3D68"/>
    <w:rsid w:val="007D428F"/>
    <w:rsid w:val="007D452E"/>
    <w:rsid w:val="007D4601"/>
    <w:rsid w:val="007D46CF"/>
    <w:rsid w:val="007D545F"/>
    <w:rsid w:val="007D662D"/>
    <w:rsid w:val="007D7372"/>
    <w:rsid w:val="007E0929"/>
    <w:rsid w:val="007E1B7F"/>
    <w:rsid w:val="007E1ED8"/>
    <w:rsid w:val="007E2274"/>
    <w:rsid w:val="007E233C"/>
    <w:rsid w:val="007E2732"/>
    <w:rsid w:val="007E2E55"/>
    <w:rsid w:val="007E47AD"/>
    <w:rsid w:val="007E5923"/>
    <w:rsid w:val="007E62B0"/>
    <w:rsid w:val="007E7E39"/>
    <w:rsid w:val="007F07A9"/>
    <w:rsid w:val="007F0AA5"/>
    <w:rsid w:val="007F23EE"/>
    <w:rsid w:val="007F3B53"/>
    <w:rsid w:val="007F4100"/>
    <w:rsid w:val="007F4118"/>
    <w:rsid w:val="007F4801"/>
    <w:rsid w:val="007F53DC"/>
    <w:rsid w:val="007F55E7"/>
    <w:rsid w:val="007F6426"/>
    <w:rsid w:val="007F7057"/>
    <w:rsid w:val="007F7663"/>
    <w:rsid w:val="007F77B1"/>
    <w:rsid w:val="00800C7D"/>
    <w:rsid w:val="00802331"/>
    <w:rsid w:val="00802423"/>
    <w:rsid w:val="008027F6"/>
    <w:rsid w:val="008042F1"/>
    <w:rsid w:val="00804823"/>
    <w:rsid w:val="00804C03"/>
    <w:rsid w:val="00804E79"/>
    <w:rsid w:val="00805131"/>
    <w:rsid w:val="00805222"/>
    <w:rsid w:val="00805C40"/>
    <w:rsid w:val="00806010"/>
    <w:rsid w:val="00806DC6"/>
    <w:rsid w:val="00807462"/>
    <w:rsid w:val="00807B38"/>
    <w:rsid w:val="008106E4"/>
    <w:rsid w:val="008111C7"/>
    <w:rsid w:val="00811CD4"/>
    <w:rsid w:val="00811DFB"/>
    <w:rsid w:val="00812133"/>
    <w:rsid w:val="008132B7"/>
    <w:rsid w:val="008134B9"/>
    <w:rsid w:val="008138EA"/>
    <w:rsid w:val="0081398B"/>
    <w:rsid w:val="00814848"/>
    <w:rsid w:val="00817AE9"/>
    <w:rsid w:val="00817C7E"/>
    <w:rsid w:val="00817D99"/>
    <w:rsid w:val="00817DBC"/>
    <w:rsid w:val="00821A10"/>
    <w:rsid w:val="0082284C"/>
    <w:rsid w:val="00823218"/>
    <w:rsid w:val="0082372C"/>
    <w:rsid w:val="00823A4A"/>
    <w:rsid w:val="00824A33"/>
    <w:rsid w:val="008252B2"/>
    <w:rsid w:val="0082623D"/>
    <w:rsid w:val="00826C4B"/>
    <w:rsid w:val="00827461"/>
    <w:rsid w:val="00827675"/>
    <w:rsid w:val="00827695"/>
    <w:rsid w:val="008307E8"/>
    <w:rsid w:val="00830BB4"/>
    <w:rsid w:val="00830CF3"/>
    <w:rsid w:val="00830DDE"/>
    <w:rsid w:val="00831DEE"/>
    <w:rsid w:val="00832C49"/>
    <w:rsid w:val="00833A24"/>
    <w:rsid w:val="00833EDE"/>
    <w:rsid w:val="00834350"/>
    <w:rsid w:val="00837EAA"/>
    <w:rsid w:val="0084006D"/>
    <w:rsid w:val="00840882"/>
    <w:rsid w:val="00842607"/>
    <w:rsid w:val="008436A3"/>
    <w:rsid w:val="00844D31"/>
    <w:rsid w:val="00846FBC"/>
    <w:rsid w:val="0084792F"/>
    <w:rsid w:val="00850DFD"/>
    <w:rsid w:val="008531F0"/>
    <w:rsid w:val="0085336D"/>
    <w:rsid w:val="008534E0"/>
    <w:rsid w:val="008537B6"/>
    <w:rsid w:val="0085441B"/>
    <w:rsid w:val="008552F3"/>
    <w:rsid w:val="00855ACF"/>
    <w:rsid w:val="00860327"/>
    <w:rsid w:val="00861724"/>
    <w:rsid w:val="00861B5A"/>
    <w:rsid w:val="0086471D"/>
    <w:rsid w:val="008660C2"/>
    <w:rsid w:val="008662FF"/>
    <w:rsid w:val="00866C7D"/>
    <w:rsid w:val="00867CCF"/>
    <w:rsid w:val="00870071"/>
    <w:rsid w:val="00870A39"/>
    <w:rsid w:val="008718B0"/>
    <w:rsid w:val="00871D83"/>
    <w:rsid w:val="00873016"/>
    <w:rsid w:val="00873034"/>
    <w:rsid w:val="00873094"/>
    <w:rsid w:val="00873A70"/>
    <w:rsid w:val="00873AFE"/>
    <w:rsid w:val="00873CFD"/>
    <w:rsid w:val="008744DF"/>
    <w:rsid w:val="008751F4"/>
    <w:rsid w:val="00875D9C"/>
    <w:rsid w:val="0087687D"/>
    <w:rsid w:val="00876F48"/>
    <w:rsid w:val="008776FD"/>
    <w:rsid w:val="00877D95"/>
    <w:rsid w:val="00880104"/>
    <w:rsid w:val="00880B2F"/>
    <w:rsid w:val="00881024"/>
    <w:rsid w:val="00883A1C"/>
    <w:rsid w:val="00883A6C"/>
    <w:rsid w:val="008854EA"/>
    <w:rsid w:val="00885B54"/>
    <w:rsid w:val="008861A9"/>
    <w:rsid w:val="00886962"/>
    <w:rsid w:val="00890944"/>
    <w:rsid w:val="008918C7"/>
    <w:rsid w:val="0089394D"/>
    <w:rsid w:val="00893B18"/>
    <w:rsid w:val="0089443A"/>
    <w:rsid w:val="008957AB"/>
    <w:rsid w:val="00896144"/>
    <w:rsid w:val="00896E0B"/>
    <w:rsid w:val="008979B8"/>
    <w:rsid w:val="00897B45"/>
    <w:rsid w:val="008A26E5"/>
    <w:rsid w:val="008A40A0"/>
    <w:rsid w:val="008A472E"/>
    <w:rsid w:val="008A4E40"/>
    <w:rsid w:val="008A5A27"/>
    <w:rsid w:val="008A5EB1"/>
    <w:rsid w:val="008A7032"/>
    <w:rsid w:val="008A71EE"/>
    <w:rsid w:val="008B293F"/>
    <w:rsid w:val="008B2BB8"/>
    <w:rsid w:val="008B2D49"/>
    <w:rsid w:val="008B3EEF"/>
    <w:rsid w:val="008B5114"/>
    <w:rsid w:val="008B667E"/>
    <w:rsid w:val="008B6928"/>
    <w:rsid w:val="008B78A7"/>
    <w:rsid w:val="008B7B59"/>
    <w:rsid w:val="008C0918"/>
    <w:rsid w:val="008C0BF7"/>
    <w:rsid w:val="008C0DB1"/>
    <w:rsid w:val="008C1CD5"/>
    <w:rsid w:val="008C32FE"/>
    <w:rsid w:val="008C3590"/>
    <w:rsid w:val="008C3ED5"/>
    <w:rsid w:val="008C4BD1"/>
    <w:rsid w:val="008C511D"/>
    <w:rsid w:val="008C51A8"/>
    <w:rsid w:val="008C5717"/>
    <w:rsid w:val="008C5EB9"/>
    <w:rsid w:val="008D0797"/>
    <w:rsid w:val="008D0B4D"/>
    <w:rsid w:val="008D1CDB"/>
    <w:rsid w:val="008D235A"/>
    <w:rsid w:val="008D2CE0"/>
    <w:rsid w:val="008D4446"/>
    <w:rsid w:val="008D4574"/>
    <w:rsid w:val="008D695D"/>
    <w:rsid w:val="008D702D"/>
    <w:rsid w:val="008E0105"/>
    <w:rsid w:val="008E36B9"/>
    <w:rsid w:val="008E3CA8"/>
    <w:rsid w:val="008E3D0F"/>
    <w:rsid w:val="008E3D8D"/>
    <w:rsid w:val="008E3DC9"/>
    <w:rsid w:val="008E411F"/>
    <w:rsid w:val="008E47E3"/>
    <w:rsid w:val="008E55E9"/>
    <w:rsid w:val="008E6A94"/>
    <w:rsid w:val="008E6FD2"/>
    <w:rsid w:val="008F0F5C"/>
    <w:rsid w:val="008F198E"/>
    <w:rsid w:val="008F19BD"/>
    <w:rsid w:val="008F331D"/>
    <w:rsid w:val="008F3CAF"/>
    <w:rsid w:val="008F3CD6"/>
    <w:rsid w:val="008F4667"/>
    <w:rsid w:val="008F60A5"/>
    <w:rsid w:val="008F7743"/>
    <w:rsid w:val="008F7DE6"/>
    <w:rsid w:val="00900400"/>
    <w:rsid w:val="009009BC"/>
    <w:rsid w:val="00901F86"/>
    <w:rsid w:val="00902F58"/>
    <w:rsid w:val="0090338A"/>
    <w:rsid w:val="0090355E"/>
    <w:rsid w:val="009045CF"/>
    <w:rsid w:val="009060B7"/>
    <w:rsid w:val="00906D80"/>
    <w:rsid w:val="00907EB9"/>
    <w:rsid w:val="0091097F"/>
    <w:rsid w:val="00911413"/>
    <w:rsid w:val="009119B4"/>
    <w:rsid w:val="00911C03"/>
    <w:rsid w:val="0091266A"/>
    <w:rsid w:val="009134C6"/>
    <w:rsid w:val="00913F6F"/>
    <w:rsid w:val="00914588"/>
    <w:rsid w:val="00914845"/>
    <w:rsid w:val="00914A76"/>
    <w:rsid w:val="00915471"/>
    <w:rsid w:val="00915931"/>
    <w:rsid w:val="00916552"/>
    <w:rsid w:val="009168F4"/>
    <w:rsid w:val="00920589"/>
    <w:rsid w:val="0092197B"/>
    <w:rsid w:val="009236E0"/>
    <w:rsid w:val="00924504"/>
    <w:rsid w:val="00924910"/>
    <w:rsid w:val="00924B24"/>
    <w:rsid w:val="009266AF"/>
    <w:rsid w:val="0092709F"/>
    <w:rsid w:val="009275EE"/>
    <w:rsid w:val="00927F7E"/>
    <w:rsid w:val="00930FEA"/>
    <w:rsid w:val="00931189"/>
    <w:rsid w:val="00931B29"/>
    <w:rsid w:val="00935D6F"/>
    <w:rsid w:val="0093678F"/>
    <w:rsid w:val="00937926"/>
    <w:rsid w:val="00940D67"/>
    <w:rsid w:val="009415BD"/>
    <w:rsid w:val="009421C7"/>
    <w:rsid w:val="00943515"/>
    <w:rsid w:val="009439FC"/>
    <w:rsid w:val="00943D47"/>
    <w:rsid w:val="00943E5A"/>
    <w:rsid w:val="0094486B"/>
    <w:rsid w:val="00944AAD"/>
    <w:rsid w:val="00945DEC"/>
    <w:rsid w:val="00946301"/>
    <w:rsid w:val="009479E9"/>
    <w:rsid w:val="00947A20"/>
    <w:rsid w:val="00950D14"/>
    <w:rsid w:val="009527D3"/>
    <w:rsid w:val="00954052"/>
    <w:rsid w:val="00954C1A"/>
    <w:rsid w:val="00954EC4"/>
    <w:rsid w:val="00955522"/>
    <w:rsid w:val="009555B2"/>
    <w:rsid w:val="00955789"/>
    <w:rsid w:val="00955CEC"/>
    <w:rsid w:val="00955E34"/>
    <w:rsid w:val="0096147B"/>
    <w:rsid w:val="00962619"/>
    <w:rsid w:val="00963D5B"/>
    <w:rsid w:val="00965F7C"/>
    <w:rsid w:val="00966650"/>
    <w:rsid w:val="009673E0"/>
    <w:rsid w:val="00967674"/>
    <w:rsid w:val="00970014"/>
    <w:rsid w:val="009732E4"/>
    <w:rsid w:val="009739D3"/>
    <w:rsid w:val="00973D1E"/>
    <w:rsid w:val="009747C3"/>
    <w:rsid w:val="00974DBD"/>
    <w:rsid w:val="00977266"/>
    <w:rsid w:val="00977EA0"/>
    <w:rsid w:val="00981A40"/>
    <w:rsid w:val="00982286"/>
    <w:rsid w:val="009840D3"/>
    <w:rsid w:val="009842AE"/>
    <w:rsid w:val="009852AF"/>
    <w:rsid w:val="00985452"/>
    <w:rsid w:val="00986DF9"/>
    <w:rsid w:val="00987454"/>
    <w:rsid w:val="0098779D"/>
    <w:rsid w:val="00990973"/>
    <w:rsid w:val="00991A32"/>
    <w:rsid w:val="0099287D"/>
    <w:rsid w:val="00993423"/>
    <w:rsid w:val="0099381D"/>
    <w:rsid w:val="0099441D"/>
    <w:rsid w:val="0099515C"/>
    <w:rsid w:val="00995600"/>
    <w:rsid w:val="0099560F"/>
    <w:rsid w:val="00996BDB"/>
    <w:rsid w:val="00996FAF"/>
    <w:rsid w:val="009A0EF7"/>
    <w:rsid w:val="009A12E3"/>
    <w:rsid w:val="009A1994"/>
    <w:rsid w:val="009A342A"/>
    <w:rsid w:val="009A4C70"/>
    <w:rsid w:val="009A68A9"/>
    <w:rsid w:val="009A6D70"/>
    <w:rsid w:val="009A729D"/>
    <w:rsid w:val="009A7757"/>
    <w:rsid w:val="009B033E"/>
    <w:rsid w:val="009B0949"/>
    <w:rsid w:val="009B0A1F"/>
    <w:rsid w:val="009B1134"/>
    <w:rsid w:val="009B1C5B"/>
    <w:rsid w:val="009B1EA4"/>
    <w:rsid w:val="009B21D5"/>
    <w:rsid w:val="009B24A0"/>
    <w:rsid w:val="009B49A6"/>
    <w:rsid w:val="009B5C66"/>
    <w:rsid w:val="009B7828"/>
    <w:rsid w:val="009C19C6"/>
    <w:rsid w:val="009C1CE2"/>
    <w:rsid w:val="009C2A19"/>
    <w:rsid w:val="009C2F6E"/>
    <w:rsid w:val="009C42CF"/>
    <w:rsid w:val="009C45D2"/>
    <w:rsid w:val="009C5035"/>
    <w:rsid w:val="009C6531"/>
    <w:rsid w:val="009C77E6"/>
    <w:rsid w:val="009D0203"/>
    <w:rsid w:val="009D095E"/>
    <w:rsid w:val="009D2730"/>
    <w:rsid w:val="009D37BC"/>
    <w:rsid w:val="009D541F"/>
    <w:rsid w:val="009D6958"/>
    <w:rsid w:val="009D73D6"/>
    <w:rsid w:val="009E2C09"/>
    <w:rsid w:val="009E3FA1"/>
    <w:rsid w:val="009E4B21"/>
    <w:rsid w:val="009E5FCB"/>
    <w:rsid w:val="009E7437"/>
    <w:rsid w:val="009E780A"/>
    <w:rsid w:val="009E7B42"/>
    <w:rsid w:val="009F01E6"/>
    <w:rsid w:val="009F04B7"/>
    <w:rsid w:val="009F1145"/>
    <w:rsid w:val="009F1706"/>
    <w:rsid w:val="009F1B47"/>
    <w:rsid w:val="009F1CC5"/>
    <w:rsid w:val="009F214E"/>
    <w:rsid w:val="009F279D"/>
    <w:rsid w:val="009F2C0E"/>
    <w:rsid w:val="009F3AFC"/>
    <w:rsid w:val="009F3FA5"/>
    <w:rsid w:val="009F5F03"/>
    <w:rsid w:val="009F7419"/>
    <w:rsid w:val="009F7BF9"/>
    <w:rsid w:val="00A023A5"/>
    <w:rsid w:val="00A02599"/>
    <w:rsid w:val="00A025E9"/>
    <w:rsid w:val="00A02907"/>
    <w:rsid w:val="00A029EA"/>
    <w:rsid w:val="00A03DAB"/>
    <w:rsid w:val="00A0456C"/>
    <w:rsid w:val="00A04839"/>
    <w:rsid w:val="00A04BF2"/>
    <w:rsid w:val="00A04DFC"/>
    <w:rsid w:val="00A07407"/>
    <w:rsid w:val="00A07558"/>
    <w:rsid w:val="00A0765E"/>
    <w:rsid w:val="00A07C8D"/>
    <w:rsid w:val="00A07F55"/>
    <w:rsid w:val="00A1120D"/>
    <w:rsid w:val="00A125C0"/>
    <w:rsid w:val="00A12660"/>
    <w:rsid w:val="00A13BEA"/>
    <w:rsid w:val="00A14A22"/>
    <w:rsid w:val="00A14B48"/>
    <w:rsid w:val="00A14F62"/>
    <w:rsid w:val="00A1578C"/>
    <w:rsid w:val="00A15929"/>
    <w:rsid w:val="00A1730A"/>
    <w:rsid w:val="00A173AA"/>
    <w:rsid w:val="00A17B17"/>
    <w:rsid w:val="00A226A9"/>
    <w:rsid w:val="00A22CE4"/>
    <w:rsid w:val="00A22F70"/>
    <w:rsid w:val="00A2462D"/>
    <w:rsid w:val="00A25EAF"/>
    <w:rsid w:val="00A26C75"/>
    <w:rsid w:val="00A27433"/>
    <w:rsid w:val="00A27681"/>
    <w:rsid w:val="00A3020F"/>
    <w:rsid w:val="00A302C8"/>
    <w:rsid w:val="00A3201D"/>
    <w:rsid w:val="00A321D2"/>
    <w:rsid w:val="00A333EF"/>
    <w:rsid w:val="00A34082"/>
    <w:rsid w:val="00A34273"/>
    <w:rsid w:val="00A34CDB"/>
    <w:rsid w:val="00A369A7"/>
    <w:rsid w:val="00A37614"/>
    <w:rsid w:val="00A37D94"/>
    <w:rsid w:val="00A408B4"/>
    <w:rsid w:val="00A42B74"/>
    <w:rsid w:val="00A42CEE"/>
    <w:rsid w:val="00A42E27"/>
    <w:rsid w:val="00A43269"/>
    <w:rsid w:val="00A4364C"/>
    <w:rsid w:val="00A43F53"/>
    <w:rsid w:val="00A444AF"/>
    <w:rsid w:val="00A450A6"/>
    <w:rsid w:val="00A4534B"/>
    <w:rsid w:val="00A454EB"/>
    <w:rsid w:val="00A456A1"/>
    <w:rsid w:val="00A45F50"/>
    <w:rsid w:val="00A4687F"/>
    <w:rsid w:val="00A47199"/>
    <w:rsid w:val="00A472D2"/>
    <w:rsid w:val="00A47BD3"/>
    <w:rsid w:val="00A50270"/>
    <w:rsid w:val="00A503AD"/>
    <w:rsid w:val="00A51313"/>
    <w:rsid w:val="00A51FF1"/>
    <w:rsid w:val="00A533E1"/>
    <w:rsid w:val="00A537E7"/>
    <w:rsid w:val="00A55229"/>
    <w:rsid w:val="00A56F35"/>
    <w:rsid w:val="00A5727A"/>
    <w:rsid w:val="00A609CA"/>
    <w:rsid w:val="00A60CAD"/>
    <w:rsid w:val="00A63A51"/>
    <w:rsid w:val="00A642ED"/>
    <w:rsid w:val="00A64F90"/>
    <w:rsid w:val="00A65812"/>
    <w:rsid w:val="00A65CEB"/>
    <w:rsid w:val="00A672CE"/>
    <w:rsid w:val="00A70F09"/>
    <w:rsid w:val="00A7111A"/>
    <w:rsid w:val="00A7125D"/>
    <w:rsid w:val="00A71885"/>
    <w:rsid w:val="00A7267F"/>
    <w:rsid w:val="00A72FAE"/>
    <w:rsid w:val="00A74387"/>
    <w:rsid w:val="00A74781"/>
    <w:rsid w:val="00A74B1A"/>
    <w:rsid w:val="00A74DA0"/>
    <w:rsid w:val="00A751A4"/>
    <w:rsid w:val="00A807F0"/>
    <w:rsid w:val="00A81574"/>
    <w:rsid w:val="00A819FF"/>
    <w:rsid w:val="00A8349C"/>
    <w:rsid w:val="00A84209"/>
    <w:rsid w:val="00A844FA"/>
    <w:rsid w:val="00A855B9"/>
    <w:rsid w:val="00A85735"/>
    <w:rsid w:val="00A85CDE"/>
    <w:rsid w:val="00A87A2A"/>
    <w:rsid w:val="00A9588A"/>
    <w:rsid w:val="00A96675"/>
    <w:rsid w:val="00A9690E"/>
    <w:rsid w:val="00A96C13"/>
    <w:rsid w:val="00A970C7"/>
    <w:rsid w:val="00AA0D63"/>
    <w:rsid w:val="00AA19ED"/>
    <w:rsid w:val="00AA22C2"/>
    <w:rsid w:val="00AA2654"/>
    <w:rsid w:val="00AA26A1"/>
    <w:rsid w:val="00AA29B8"/>
    <w:rsid w:val="00AA3E0E"/>
    <w:rsid w:val="00AA4761"/>
    <w:rsid w:val="00AA6680"/>
    <w:rsid w:val="00AB1D29"/>
    <w:rsid w:val="00AB1DD3"/>
    <w:rsid w:val="00AB2B93"/>
    <w:rsid w:val="00AB2D9D"/>
    <w:rsid w:val="00AB3583"/>
    <w:rsid w:val="00AB428D"/>
    <w:rsid w:val="00AB52CD"/>
    <w:rsid w:val="00AB6E46"/>
    <w:rsid w:val="00AC073C"/>
    <w:rsid w:val="00AC1511"/>
    <w:rsid w:val="00AC22F0"/>
    <w:rsid w:val="00AC2DED"/>
    <w:rsid w:val="00AC3AD8"/>
    <w:rsid w:val="00AC404F"/>
    <w:rsid w:val="00AC493A"/>
    <w:rsid w:val="00AC53CF"/>
    <w:rsid w:val="00AC6ADE"/>
    <w:rsid w:val="00AD0B8B"/>
    <w:rsid w:val="00AD0DA7"/>
    <w:rsid w:val="00AD2436"/>
    <w:rsid w:val="00AD2C35"/>
    <w:rsid w:val="00AD30CD"/>
    <w:rsid w:val="00AD32EC"/>
    <w:rsid w:val="00AD4E8D"/>
    <w:rsid w:val="00AD5FBC"/>
    <w:rsid w:val="00AD618E"/>
    <w:rsid w:val="00AE0B09"/>
    <w:rsid w:val="00AE105E"/>
    <w:rsid w:val="00AE1376"/>
    <w:rsid w:val="00AE2659"/>
    <w:rsid w:val="00AE33DA"/>
    <w:rsid w:val="00AE3769"/>
    <w:rsid w:val="00AE48B4"/>
    <w:rsid w:val="00AE4DA3"/>
    <w:rsid w:val="00AE5042"/>
    <w:rsid w:val="00AE534F"/>
    <w:rsid w:val="00AE66AC"/>
    <w:rsid w:val="00AE71B7"/>
    <w:rsid w:val="00AE7890"/>
    <w:rsid w:val="00AE7EF7"/>
    <w:rsid w:val="00AF00D8"/>
    <w:rsid w:val="00AF0C67"/>
    <w:rsid w:val="00AF1569"/>
    <w:rsid w:val="00AF22D9"/>
    <w:rsid w:val="00AF23C0"/>
    <w:rsid w:val="00AF2A0D"/>
    <w:rsid w:val="00AF2B09"/>
    <w:rsid w:val="00AF349A"/>
    <w:rsid w:val="00AF3A6E"/>
    <w:rsid w:val="00AF3CA8"/>
    <w:rsid w:val="00AF451C"/>
    <w:rsid w:val="00AF484B"/>
    <w:rsid w:val="00AF49A5"/>
    <w:rsid w:val="00AF4EDC"/>
    <w:rsid w:val="00AF50CE"/>
    <w:rsid w:val="00AF5102"/>
    <w:rsid w:val="00AF5A42"/>
    <w:rsid w:val="00AF6028"/>
    <w:rsid w:val="00AF6A9B"/>
    <w:rsid w:val="00AF7CC4"/>
    <w:rsid w:val="00B00CD2"/>
    <w:rsid w:val="00B013AE"/>
    <w:rsid w:val="00B01A11"/>
    <w:rsid w:val="00B02583"/>
    <w:rsid w:val="00B0289C"/>
    <w:rsid w:val="00B030CE"/>
    <w:rsid w:val="00B036A7"/>
    <w:rsid w:val="00B04F0F"/>
    <w:rsid w:val="00B055FF"/>
    <w:rsid w:val="00B0567C"/>
    <w:rsid w:val="00B06C7A"/>
    <w:rsid w:val="00B07271"/>
    <w:rsid w:val="00B074B2"/>
    <w:rsid w:val="00B106BC"/>
    <w:rsid w:val="00B12454"/>
    <w:rsid w:val="00B14304"/>
    <w:rsid w:val="00B146ED"/>
    <w:rsid w:val="00B162DE"/>
    <w:rsid w:val="00B167D8"/>
    <w:rsid w:val="00B17031"/>
    <w:rsid w:val="00B17CD2"/>
    <w:rsid w:val="00B17E30"/>
    <w:rsid w:val="00B200CC"/>
    <w:rsid w:val="00B203C7"/>
    <w:rsid w:val="00B21338"/>
    <w:rsid w:val="00B22508"/>
    <w:rsid w:val="00B226F8"/>
    <w:rsid w:val="00B240F5"/>
    <w:rsid w:val="00B25243"/>
    <w:rsid w:val="00B253FC"/>
    <w:rsid w:val="00B255C5"/>
    <w:rsid w:val="00B265EE"/>
    <w:rsid w:val="00B27112"/>
    <w:rsid w:val="00B28BF9"/>
    <w:rsid w:val="00B304FF"/>
    <w:rsid w:val="00B30AD9"/>
    <w:rsid w:val="00B30DB1"/>
    <w:rsid w:val="00B31631"/>
    <w:rsid w:val="00B33E14"/>
    <w:rsid w:val="00B3442E"/>
    <w:rsid w:val="00B34DEE"/>
    <w:rsid w:val="00B3554C"/>
    <w:rsid w:val="00B36649"/>
    <w:rsid w:val="00B372EC"/>
    <w:rsid w:val="00B41322"/>
    <w:rsid w:val="00B41A76"/>
    <w:rsid w:val="00B41E6A"/>
    <w:rsid w:val="00B42AF3"/>
    <w:rsid w:val="00B42F11"/>
    <w:rsid w:val="00B43E49"/>
    <w:rsid w:val="00B44830"/>
    <w:rsid w:val="00B44C78"/>
    <w:rsid w:val="00B466D8"/>
    <w:rsid w:val="00B50124"/>
    <w:rsid w:val="00B50DCA"/>
    <w:rsid w:val="00B52B62"/>
    <w:rsid w:val="00B543EF"/>
    <w:rsid w:val="00B544CE"/>
    <w:rsid w:val="00B55B5F"/>
    <w:rsid w:val="00B56417"/>
    <w:rsid w:val="00B567D5"/>
    <w:rsid w:val="00B56A1E"/>
    <w:rsid w:val="00B571EC"/>
    <w:rsid w:val="00B57AB4"/>
    <w:rsid w:val="00B60AFE"/>
    <w:rsid w:val="00B6111B"/>
    <w:rsid w:val="00B61B5A"/>
    <w:rsid w:val="00B61EF2"/>
    <w:rsid w:val="00B62C06"/>
    <w:rsid w:val="00B63027"/>
    <w:rsid w:val="00B645BF"/>
    <w:rsid w:val="00B64C36"/>
    <w:rsid w:val="00B65C27"/>
    <w:rsid w:val="00B65CF9"/>
    <w:rsid w:val="00B67384"/>
    <w:rsid w:val="00B67422"/>
    <w:rsid w:val="00B677E8"/>
    <w:rsid w:val="00B70AEB"/>
    <w:rsid w:val="00B70C9D"/>
    <w:rsid w:val="00B70D94"/>
    <w:rsid w:val="00B714A7"/>
    <w:rsid w:val="00B7283B"/>
    <w:rsid w:val="00B72A1A"/>
    <w:rsid w:val="00B7393A"/>
    <w:rsid w:val="00B74EE3"/>
    <w:rsid w:val="00B75707"/>
    <w:rsid w:val="00B768B6"/>
    <w:rsid w:val="00B77437"/>
    <w:rsid w:val="00B77D03"/>
    <w:rsid w:val="00B80B07"/>
    <w:rsid w:val="00B814EE"/>
    <w:rsid w:val="00B8187E"/>
    <w:rsid w:val="00B82E3E"/>
    <w:rsid w:val="00B87604"/>
    <w:rsid w:val="00B90057"/>
    <w:rsid w:val="00B91477"/>
    <w:rsid w:val="00B92689"/>
    <w:rsid w:val="00B92735"/>
    <w:rsid w:val="00B92974"/>
    <w:rsid w:val="00B9378A"/>
    <w:rsid w:val="00B93E70"/>
    <w:rsid w:val="00B93FA2"/>
    <w:rsid w:val="00B95080"/>
    <w:rsid w:val="00B963E9"/>
    <w:rsid w:val="00B96479"/>
    <w:rsid w:val="00B96C5F"/>
    <w:rsid w:val="00B97871"/>
    <w:rsid w:val="00B97A58"/>
    <w:rsid w:val="00BA1200"/>
    <w:rsid w:val="00BA53B3"/>
    <w:rsid w:val="00BA54C2"/>
    <w:rsid w:val="00BA568F"/>
    <w:rsid w:val="00BA5845"/>
    <w:rsid w:val="00BA6269"/>
    <w:rsid w:val="00BA65DD"/>
    <w:rsid w:val="00BA661F"/>
    <w:rsid w:val="00BA6838"/>
    <w:rsid w:val="00BB1394"/>
    <w:rsid w:val="00BB1432"/>
    <w:rsid w:val="00BB1A0F"/>
    <w:rsid w:val="00BB1FCD"/>
    <w:rsid w:val="00BB25B4"/>
    <w:rsid w:val="00BB2769"/>
    <w:rsid w:val="00BB5C1F"/>
    <w:rsid w:val="00BB5E5F"/>
    <w:rsid w:val="00BB6BA9"/>
    <w:rsid w:val="00BB750B"/>
    <w:rsid w:val="00BC1126"/>
    <w:rsid w:val="00BC1147"/>
    <w:rsid w:val="00BC2BFE"/>
    <w:rsid w:val="00BC2E4A"/>
    <w:rsid w:val="00BC3F1E"/>
    <w:rsid w:val="00BC403C"/>
    <w:rsid w:val="00BC4247"/>
    <w:rsid w:val="00BC5BA8"/>
    <w:rsid w:val="00BC6B3C"/>
    <w:rsid w:val="00BC6F09"/>
    <w:rsid w:val="00BC77DC"/>
    <w:rsid w:val="00BC7802"/>
    <w:rsid w:val="00BD069E"/>
    <w:rsid w:val="00BD0751"/>
    <w:rsid w:val="00BD0866"/>
    <w:rsid w:val="00BD0C83"/>
    <w:rsid w:val="00BD16C2"/>
    <w:rsid w:val="00BD38FF"/>
    <w:rsid w:val="00BD40ED"/>
    <w:rsid w:val="00BD7451"/>
    <w:rsid w:val="00BE0AF4"/>
    <w:rsid w:val="00BE2F61"/>
    <w:rsid w:val="00BE37D9"/>
    <w:rsid w:val="00BE579D"/>
    <w:rsid w:val="00BE5912"/>
    <w:rsid w:val="00BE5B0E"/>
    <w:rsid w:val="00BE5BC9"/>
    <w:rsid w:val="00BE5CD6"/>
    <w:rsid w:val="00BE644E"/>
    <w:rsid w:val="00BE6508"/>
    <w:rsid w:val="00BE7696"/>
    <w:rsid w:val="00BF0DC9"/>
    <w:rsid w:val="00BF1306"/>
    <w:rsid w:val="00BF1C78"/>
    <w:rsid w:val="00BF242E"/>
    <w:rsid w:val="00BF37D0"/>
    <w:rsid w:val="00BF4224"/>
    <w:rsid w:val="00BF4D9B"/>
    <w:rsid w:val="00BF7860"/>
    <w:rsid w:val="00C00224"/>
    <w:rsid w:val="00C003C1"/>
    <w:rsid w:val="00C009FD"/>
    <w:rsid w:val="00C00B8A"/>
    <w:rsid w:val="00C01F0C"/>
    <w:rsid w:val="00C02C78"/>
    <w:rsid w:val="00C038B2"/>
    <w:rsid w:val="00C03FE2"/>
    <w:rsid w:val="00C04638"/>
    <w:rsid w:val="00C05948"/>
    <w:rsid w:val="00C063F3"/>
    <w:rsid w:val="00C06B37"/>
    <w:rsid w:val="00C127F0"/>
    <w:rsid w:val="00C12AED"/>
    <w:rsid w:val="00C12B8C"/>
    <w:rsid w:val="00C12BD6"/>
    <w:rsid w:val="00C13504"/>
    <w:rsid w:val="00C15136"/>
    <w:rsid w:val="00C15DC4"/>
    <w:rsid w:val="00C1660E"/>
    <w:rsid w:val="00C16A1F"/>
    <w:rsid w:val="00C170B4"/>
    <w:rsid w:val="00C17432"/>
    <w:rsid w:val="00C17548"/>
    <w:rsid w:val="00C178EF"/>
    <w:rsid w:val="00C20158"/>
    <w:rsid w:val="00C202F0"/>
    <w:rsid w:val="00C2087B"/>
    <w:rsid w:val="00C21273"/>
    <w:rsid w:val="00C2146F"/>
    <w:rsid w:val="00C21705"/>
    <w:rsid w:val="00C218C6"/>
    <w:rsid w:val="00C234DC"/>
    <w:rsid w:val="00C23925"/>
    <w:rsid w:val="00C23A7B"/>
    <w:rsid w:val="00C24861"/>
    <w:rsid w:val="00C24B82"/>
    <w:rsid w:val="00C261D4"/>
    <w:rsid w:val="00C2649F"/>
    <w:rsid w:val="00C26CA3"/>
    <w:rsid w:val="00C27894"/>
    <w:rsid w:val="00C27FBA"/>
    <w:rsid w:val="00C337B4"/>
    <w:rsid w:val="00C36EB6"/>
    <w:rsid w:val="00C3718E"/>
    <w:rsid w:val="00C372BE"/>
    <w:rsid w:val="00C3752B"/>
    <w:rsid w:val="00C3778D"/>
    <w:rsid w:val="00C41B14"/>
    <w:rsid w:val="00C42849"/>
    <w:rsid w:val="00C428DB"/>
    <w:rsid w:val="00C43098"/>
    <w:rsid w:val="00C44D20"/>
    <w:rsid w:val="00C45083"/>
    <w:rsid w:val="00C4594B"/>
    <w:rsid w:val="00C45A83"/>
    <w:rsid w:val="00C45E4D"/>
    <w:rsid w:val="00C47F91"/>
    <w:rsid w:val="00C503C9"/>
    <w:rsid w:val="00C50583"/>
    <w:rsid w:val="00C52219"/>
    <w:rsid w:val="00C5282E"/>
    <w:rsid w:val="00C5387C"/>
    <w:rsid w:val="00C53991"/>
    <w:rsid w:val="00C55510"/>
    <w:rsid w:val="00C5552F"/>
    <w:rsid w:val="00C56A2C"/>
    <w:rsid w:val="00C57052"/>
    <w:rsid w:val="00C60713"/>
    <w:rsid w:val="00C60AF6"/>
    <w:rsid w:val="00C610F5"/>
    <w:rsid w:val="00C61955"/>
    <w:rsid w:val="00C61C7E"/>
    <w:rsid w:val="00C62F78"/>
    <w:rsid w:val="00C6487A"/>
    <w:rsid w:val="00C64909"/>
    <w:rsid w:val="00C64B02"/>
    <w:rsid w:val="00C66728"/>
    <w:rsid w:val="00C66746"/>
    <w:rsid w:val="00C66B58"/>
    <w:rsid w:val="00C7086D"/>
    <w:rsid w:val="00C7220A"/>
    <w:rsid w:val="00C72925"/>
    <w:rsid w:val="00C73B55"/>
    <w:rsid w:val="00C74F12"/>
    <w:rsid w:val="00C75DFC"/>
    <w:rsid w:val="00C75FB9"/>
    <w:rsid w:val="00C76812"/>
    <w:rsid w:val="00C77C24"/>
    <w:rsid w:val="00C811C4"/>
    <w:rsid w:val="00C81B16"/>
    <w:rsid w:val="00C82070"/>
    <w:rsid w:val="00C8387C"/>
    <w:rsid w:val="00C84F49"/>
    <w:rsid w:val="00C859A5"/>
    <w:rsid w:val="00C866C2"/>
    <w:rsid w:val="00C875BC"/>
    <w:rsid w:val="00C87B14"/>
    <w:rsid w:val="00C87CCF"/>
    <w:rsid w:val="00C91C0B"/>
    <w:rsid w:val="00C92143"/>
    <w:rsid w:val="00C9260B"/>
    <w:rsid w:val="00C92C74"/>
    <w:rsid w:val="00C9376D"/>
    <w:rsid w:val="00C93E28"/>
    <w:rsid w:val="00C93F00"/>
    <w:rsid w:val="00C94473"/>
    <w:rsid w:val="00C94490"/>
    <w:rsid w:val="00C957E8"/>
    <w:rsid w:val="00C95C40"/>
    <w:rsid w:val="00C961AD"/>
    <w:rsid w:val="00C96A01"/>
    <w:rsid w:val="00CA5696"/>
    <w:rsid w:val="00CA625F"/>
    <w:rsid w:val="00CA6CEB"/>
    <w:rsid w:val="00CB0154"/>
    <w:rsid w:val="00CB0457"/>
    <w:rsid w:val="00CB0917"/>
    <w:rsid w:val="00CB1B19"/>
    <w:rsid w:val="00CB2934"/>
    <w:rsid w:val="00CB2F21"/>
    <w:rsid w:val="00CB3CB6"/>
    <w:rsid w:val="00CB4F57"/>
    <w:rsid w:val="00CB5297"/>
    <w:rsid w:val="00CB63DB"/>
    <w:rsid w:val="00CB6744"/>
    <w:rsid w:val="00CB68A8"/>
    <w:rsid w:val="00CB6952"/>
    <w:rsid w:val="00CB6FF5"/>
    <w:rsid w:val="00CB7DEA"/>
    <w:rsid w:val="00CC0025"/>
    <w:rsid w:val="00CC095C"/>
    <w:rsid w:val="00CC0969"/>
    <w:rsid w:val="00CC1FC1"/>
    <w:rsid w:val="00CC2854"/>
    <w:rsid w:val="00CC2C0D"/>
    <w:rsid w:val="00CC2F03"/>
    <w:rsid w:val="00CC65C1"/>
    <w:rsid w:val="00CC6DBA"/>
    <w:rsid w:val="00CC72A7"/>
    <w:rsid w:val="00CC732E"/>
    <w:rsid w:val="00CD0C06"/>
    <w:rsid w:val="00CD1314"/>
    <w:rsid w:val="00CD2A59"/>
    <w:rsid w:val="00CD302C"/>
    <w:rsid w:val="00CD3358"/>
    <w:rsid w:val="00CD3589"/>
    <w:rsid w:val="00CD3896"/>
    <w:rsid w:val="00CD47E4"/>
    <w:rsid w:val="00CD4CE2"/>
    <w:rsid w:val="00CD50F8"/>
    <w:rsid w:val="00CD57E1"/>
    <w:rsid w:val="00CD5A2F"/>
    <w:rsid w:val="00CD6FD5"/>
    <w:rsid w:val="00CD7370"/>
    <w:rsid w:val="00CD7987"/>
    <w:rsid w:val="00CE01C3"/>
    <w:rsid w:val="00CE01E2"/>
    <w:rsid w:val="00CE1CB0"/>
    <w:rsid w:val="00CE2639"/>
    <w:rsid w:val="00CE2B78"/>
    <w:rsid w:val="00CE3B0A"/>
    <w:rsid w:val="00CE55F0"/>
    <w:rsid w:val="00CE5B6B"/>
    <w:rsid w:val="00CE6B84"/>
    <w:rsid w:val="00CE6DE2"/>
    <w:rsid w:val="00CE6DED"/>
    <w:rsid w:val="00CE73E5"/>
    <w:rsid w:val="00CF0266"/>
    <w:rsid w:val="00CF04CD"/>
    <w:rsid w:val="00CF0F16"/>
    <w:rsid w:val="00CF11E6"/>
    <w:rsid w:val="00CF130F"/>
    <w:rsid w:val="00CF16E1"/>
    <w:rsid w:val="00CF1DCC"/>
    <w:rsid w:val="00CF20A5"/>
    <w:rsid w:val="00CF32F1"/>
    <w:rsid w:val="00CF40B2"/>
    <w:rsid w:val="00CF6524"/>
    <w:rsid w:val="00CF6BDA"/>
    <w:rsid w:val="00CF7471"/>
    <w:rsid w:val="00D00863"/>
    <w:rsid w:val="00D02133"/>
    <w:rsid w:val="00D02399"/>
    <w:rsid w:val="00D02601"/>
    <w:rsid w:val="00D02B36"/>
    <w:rsid w:val="00D04320"/>
    <w:rsid w:val="00D04933"/>
    <w:rsid w:val="00D04F80"/>
    <w:rsid w:val="00D05383"/>
    <w:rsid w:val="00D06CB0"/>
    <w:rsid w:val="00D06D68"/>
    <w:rsid w:val="00D06DB7"/>
    <w:rsid w:val="00D07488"/>
    <w:rsid w:val="00D07D6B"/>
    <w:rsid w:val="00D10233"/>
    <w:rsid w:val="00D10340"/>
    <w:rsid w:val="00D11888"/>
    <w:rsid w:val="00D1245C"/>
    <w:rsid w:val="00D13972"/>
    <w:rsid w:val="00D15020"/>
    <w:rsid w:val="00D156BD"/>
    <w:rsid w:val="00D204FD"/>
    <w:rsid w:val="00D20875"/>
    <w:rsid w:val="00D21B7A"/>
    <w:rsid w:val="00D2225B"/>
    <w:rsid w:val="00D223E0"/>
    <w:rsid w:val="00D2256A"/>
    <w:rsid w:val="00D227BC"/>
    <w:rsid w:val="00D2370C"/>
    <w:rsid w:val="00D23769"/>
    <w:rsid w:val="00D24787"/>
    <w:rsid w:val="00D24A9E"/>
    <w:rsid w:val="00D263C9"/>
    <w:rsid w:val="00D26786"/>
    <w:rsid w:val="00D27BF7"/>
    <w:rsid w:val="00D30A1D"/>
    <w:rsid w:val="00D30D33"/>
    <w:rsid w:val="00D317E3"/>
    <w:rsid w:val="00D32482"/>
    <w:rsid w:val="00D32B09"/>
    <w:rsid w:val="00D331D8"/>
    <w:rsid w:val="00D33AF3"/>
    <w:rsid w:val="00D34E72"/>
    <w:rsid w:val="00D34ECB"/>
    <w:rsid w:val="00D3638A"/>
    <w:rsid w:val="00D366DF"/>
    <w:rsid w:val="00D4083B"/>
    <w:rsid w:val="00D421B6"/>
    <w:rsid w:val="00D4286C"/>
    <w:rsid w:val="00D43B35"/>
    <w:rsid w:val="00D456E6"/>
    <w:rsid w:val="00D45923"/>
    <w:rsid w:val="00D46923"/>
    <w:rsid w:val="00D46FA9"/>
    <w:rsid w:val="00D4710E"/>
    <w:rsid w:val="00D50677"/>
    <w:rsid w:val="00D50A2C"/>
    <w:rsid w:val="00D51539"/>
    <w:rsid w:val="00D5294F"/>
    <w:rsid w:val="00D52D32"/>
    <w:rsid w:val="00D533E8"/>
    <w:rsid w:val="00D53616"/>
    <w:rsid w:val="00D53C6F"/>
    <w:rsid w:val="00D53CC0"/>
    <w:rsid w:val="00D57021"/>
    <w:rsid w:val="00D57B58"/>
    <w:rsid w:val="00D601B4"/>
    <w:rsid w:val="00D6039D"/>
    <w:rsid w:val="00D60C04"/>
    <w:rsid w:val="00D6239A"/>
    <w:rsid w:val="00D62B64"/>
    <w:rsid w:val="00D62D5A"/>
    <w:rsid w:val="00D64379"/>
    <w:rsid w:val="00D65E85"/>
    <w:rsid w:val="00D6646E"/>
    <w:rsid w:val="00D66495"/>
    <w:rsid w:val="00D67075"/>
    <w:rsid w:val="00D674C4"/>
    <w:rsid w:val="00D7014B"/>
    <w:rsid w:val="00D706A8"/>
    <w:rsid w:val="00D7166A"/>
    <w:rsid w:val="00D718DA"/>
    <w:rsid w:val="00D71A86"/>
    <w:rsid w:val="00D73727"/>
    <w:rsid w:val="00D750C3"/>
    <w:rsid w:val="00D76D31"/>
    <w:rsid w:val="00D773F5"/>
    <w:rsid w:val="00D77897"/>
    <w:rsid w:val="00D80558"/>
    <w:rsid w:val="00D80F6A"/>
    <w:rsid w:val="00D820AA"/>
    <w:rsid w:val="00D82784"/>
    <w:rsid w:val="00D82CDD"/>
    <w:rsid w:val="00D85918"/>
    <w:rsid w:val="00D85956"/>
    <w:rsid w:val="00D85D04"/>
    <w:rsid w:val="00D85F30"/>
    <w:rsid w:val="00D8637D"/>
    <w:rsid w:val="00D8651D"/>
    <w:rsid w:val="00D865F9"/>
    <w:rsid w:val="00D91589"/>
    <w:rsid w:val="00D92D54"/>
    <w:rsid w:val="00D92D5C"/>
    <w:rsid w:val="00D936B1"/>
    <w:rsid w:val="00D944AC"/>
    <w:rsid w:val="00D94C80"/>
    <w:rsid w:val="00D95DCE"/>
    <w:rsid w:val="00D97641"/>
    <w:rsid w:val="00DA13AE"/>
    <w:rsid w:val="00DA274D"/>
    <w:rsid w:val="00DA3496"/>
    <w:rsid w:val="00DA3842"/>
    <w:rsid w:val="00DA3B93"/>
    <w:rsid w:val="00DA45BF"/>
    <w:rsid w:val="00DA4DB1"/>
    <w:rsid w:val="00DA5E76"/>
    <w:rsid w:val="00DA6774"/>
    <w:rsid w:val="00DB04A8"/>
    <w:rsid w:val="00DB0A95"/>
    <w:rsid w:val="00DB2D2A"/>
    <w:rsid w:val="00DB3BFE"/>
    <w:rsid w:val="00DB53DB"/>
    <w:rsid w:val="00DB58D6"/>
    <w:rsid w:val="00DB5925"/>
    <w:rsid w:val="00DB62AC"/>
    <w:rsid w:val="00DB7656"/>
    <w:rsid w:val="00DB79DE"/>
    <w:rsid w:val="00DB7AC6"/>
    <w:rsid w:val="00DC11C4"/>
    <w:rsid w:val="00DC1DCD"/>
    <w:rsid w:val="00DC22D0"/>
    <w:rsid w:val="00DC24E4"/>
    <w:rsid w:val="00DC3022"/>
    <w:rsid w:val="00DC5EBD"/>
    <w:rsid w:val="00DC67B5"/>
    <w:rsid w:val="00DC6BCF"/>
    <w:rsid w:val="00DD089D"/>
    <w:rsid w:val="00DD1BF6"/>
    <w:rsid w:val="00DD2171"/>
    <w:rsid w:val="00DD2936"/>
    <w:rsid w:val="00DD2FD8"/>
    <w:rsid w:val="00DD2FF5"/>
    <w:rsid w:val="00DD3705"/>
    <w:rsid w:val="00DD38EB"/>
    <w:rsid w:val="00DD3FE6"/>
    <w:rsid w:val="00DD408A"/>
    <w:rsid w:val="00DD50B9"/>
    <w:rsid w:val="00DD5F8A"/>
    <w:rsid w:val="00DD6655"/>
    <w:rsid w:val="00DD6A63"/>
    <w:rsid w:val="00DD6CB7"/>
    <w:rsid w:val="00DD7272"/>
    <w:rsid w:val="00DD740C"/>
    <w:rsid w:val="00DD771A"/>
    <w:rsid w:val="00DD797E"/>
    <w:rsid w:val="00DD7D89"/>
    <w:rsid w:val="00DE02E7"/>
    <w:rsid w:val="00DE0CE5"/>
    <w:rsid w:val="00DE14EE"/>
    <w:rsid w:val="00DE1A2B"/>
    <w:rsid w:val="00DE5D42"/>
    <w:rsid w:val="00DE6B3E"/>
    <w:rsid w:val="00DE6EBD"/>
    <w:rsid w:val="00DE7BD0"/>
    <w:rsid w:val="00DE7CCB"/>
    <w:rsid w:val="00DE7FED"/>
    <w:rsid w:val="00DF004F"/>
    <w:rsid w:val="00DF2635"/>
    <w:rsid w:val="00DF26D5"/>
    <w:rsid w:val="00DF35C7"/>
    <w:rsid w:val="00DF4807"/>
    <w:rsid w:val="00DF4ACF"/>
    <w:rsid w:val="00DF530F"/>
    <w:rsid w:val="00DF5416"/>
    <w:rsid w:val="00DF5D0C"/>
    <w:rsid w:val="00DF6374"/>
    <w:rsid w:val="00DF647C"/>
    <w:rsid w:val="00E008D1"/>
    <w:rsid w:val="00E00D89"/>
    <w:rsid w:val="00E011CA"/>
    <w:rsid w:val="00E01536"/>
    <w:rsid w:val="00E01B98"/>
    <w:rsid w:val="00E020D6"/>
    <w:rsid w:val="00E03805"/>
    <w:rsid w:val="00E038F4"/>
    <w:rsid w:val="00E03CE2"/>
    <w:rsid w:val="00E05C0E"/>
    <w:rsid w:val="00E05CCE"/>
    <w:rsid w:val="00E05E72"/>
    <w:rsid w:val="00E06204"/>
    <w:rsid w:val="00E0742B"/>
    <w:rsid w:val="00E108E0"/>
    <w:rsid w:val="00E1142A"/>
    <w:rsid w:val="00E11B0B"/>
    <w:rsid w:val="00E11D59"/>
    <w:rsid w:val="00E122EA"/>
    <w:rsid w:val="00E12934"/>
    <w:rsid w:val="00E12C38"/>
    <w:rsid w:val="00E12EC6"/>
    <w:rsid w:val="00E12ED3"/>
    <w:rsid w:val="00E13085"/>
    <w:rsid w:val="00E13DCB"/>
    <w:rsid w:val="00E13F81"/>
    <w:rsid w:val="00E14528"/>
    <w:rsid w:val="00E1483D"/>
    <w:rsid w:val="00E14C6D"/>
    <w:rsid w:val="00E15B07"/>
    <w:rsid w:val="00E164ED"/>
    <w:rsid w:val="00E1671D"/>
    <w:rsid w:val="00E17266"/>
    <w:rsid w:val="00E17D90"/>
    <w:rsid w:val="00E21ED4"/>
    <w:rsid w:val="00E2261B"/>
    <w:rsid w:val="00E22F20"/>
    <w:rsid w:val="00E23111"/>
    <w:rsid w:val="00E2336E"/>
    <w:rsid w:val="00E23F20"/>
    <w:rsid w:val="00E24AA1"/>
    <w:rsid w:val="00E25A38"/>
    <w:rsid w:val="00E2617C"/>
    <w:rsid w:val="00E2697A"/>
    <w:rsid w:val="00E26B56"/>
    <w:rsid w:val="00E27D54"/>
    <w:rsid w:val="00E30236"/>
    <w:rsid w:val="00E30917"/>
    <w:rsid w:val="00E326A8"/>
    <w:rsid w:val="00E333AA"/>
    <w:rsid w:val="00E359CA"/>
    <w:rsid w:val="00E36144"/>
    <w:rsid w:val="00E36CEF"/>
    <w:rsid w:val="00E37367"/>
    <w:rsid w:val="00E4160D"/>
    <w:rsid w:val="00E44611"/>
    <w:rsid w:val="00E45648"/>
    <w:rsid w:val="00E46AEA"/>
    <w:rsid w:val="00E5031C"/>
    <w:rsid w:val="00E50554"/>
    <w:rsid w:val="00E506FF"/>
    <w:rsid w:val="00E515EC"/>
    <w:rsid w:val="00E53B4E"/>
    <w:rsid w:val="00E55302"/>
    <w:rsid w:val="00E55813"/>
    <w:rsid w:val="00E55D8D"/>
    <w:rsid w:val="00E566F3"/>
    <w:rsid w:val="00E570B7"/>
    <w:rsid w:val="00E57971"/>
    <w:rsid w:val="00E60C99"/>
    <w:rsid w:val="00E62375"/>
    <w:rsid w:val="00E62F69"/>
    <w:rsid w:val="00E641D4"/>
    <w:rsid w:val="00E670F2"/>
    <w:rsid w:val="00E67413"/>
    <w:rsid w:val="00E677EC"/>
    <w:rsid w:val="00E7023C"/>
    <w:rsid w:val="00E70602"/>
    <w:rsid w:val="00E70904"/>
    <w:rsid w:val="00E70F9B"/>
    <w:rsid w:val="00E720C8"/>
    <w:rsid w:val="00E72862"/>
    <w:rsid w:val="00E7314D"/>
    <w:rsid w:val="00E73A13"/>
    <w:rsid w:val="00E75007"/>
    <w:rsid w:val="00E7751B"/>
    <w:rsid w:val="00E80329"/>
    <w:rsid w:val="00E80B88"/>
    <w:rsid w:val="00E82165"/>
    <w:rsid w:val="00E848F3"/>
    <w:rsid w:val="00E86369"/>
    <w:rsid w:val="00E876B3"/>
    <w:rsid w:val="00E914A4"/>
    <w:rsid w:val="00E918C1"/>
    <w:rsid w:val="00E91AD7"/>
    <w:rsid w:val="00E91FC8"/>
    <w:rsid w:val="00E92B73"/>
    <w:rsid w:val="00E92E7C"/>
    <w:rsid w:val="00E93DEB"/>
    <w:rsid w:val="00E949C6"/>
    <w:rsid w:val="00E95EB2"/>
    <w:rsid w:val="00E96308"/>
    <w:rsid w:val="00E96663"/>
    <w:rsid w:val="00E96F7D"/>
    <w:rsid w:val="00E970BA"/>
    <w:rsid w:val="00EA046B"/>
    <w:rsid w:val="00EA1A6D"/>
    <w:rsid w:val="00EA4BD1"/>
    <w:rsid w:val="00EA6735"/>
    <w:rsid w:val="00EA7384"/>
    <w:rsid w:val="00EB05FE"/>
    <w:rsid w:val="00EB10D5"/>
    <w:rsid w:val="00EB24A9"/>
    <w:rsid w:val="00EB257F"/>
    <w:rsid w:val="00EB284B"/>
    <w:rsid w:val="00EB2893"/>
    <w:rsid w:val="00EB32C0"/>
    <w:rsid w:val="00EB381E"/>
    <w:rsid w:val="00EB3A12"/>
    <w:rsid w:val="00EB3C32"/>
    <w:rsid w:val="00EB413E"/>
    <w:rsid w:val="00EB618D"/>
    <w:rsid w:val="00EB778A"/>
    <w:rsid w:val="00EC076F"/>
    <w:rsid w:val="00EC118D"/>
    <w:rsid w:val="00EC11BD"/>
    <w:rsid w:val="00EC13B5"/>
    <w:rsid w:val="00EC1C68"/>
    <w:rsid w:val="00EC242A"/>
    <w:rsid w:val="00EC263C"/>
    <w:rsid w:val="00EC2646"/>
    <w:rsid w:val="00EC27D5"/>
    <w:rsid w:val="00EC2907"/>
    <w:rsid w:val="00EC2DE3"/>
    <w:rsid w:val="00EC3216"/>
    <w:rsid w:val="00EC34A6"/>
    <w:rsid w:val="00EC450F"/>
    <w:rsid w:val="00EC58E8"/>
    <w:rsid w:val="00EC70B6"/>
    <w:rsid w:val="00ED03EF"/>
    <w:rsid w:val="00ED2C4B"/>
    <w:rsid w:val="00ED2FE6"/>
    <w:rsid w:val="00ED3380"/>
    <w:rsid w:val="00ED3D2A"/>
    <w:rsid w:val="00ED4A87"/>
    <w:rsid w:val="00ED4E37"/>
    <w:rsid w:val="00ED5BB0"/>
    <w:rsid w:val="00ED5D7A"/>
    <w:rsid w:val="00ED5E39"/>
    <w:rsid w:val="00ED6F8B"/>
    <w:rsid w:val="00ED77BC"/>
    <w:rsid w:val="00EE0673"/>
    <w:rsid w:val="00EE0C59"/>
    <w:rsid w:val="00EE2CAB"/>
    <w:rsid w:val="00EE3168"/>
    <w:rsid w:val="00EE3B79"/>
    <w:rsid w:val="00EE6C4F"/>
    <w:rsid w:val="00EE7289"/>
    <w:rsid w:val="00EF05C0"/>
    <w:rsid w:val="00EF084D"/>
    <w:rsid w:val="00EF0E5B"/>
    <w:rsid w:val="00EF0EDE"/>
    <w:rsid w:val="00EF21BA"/>
    <w:rsid w:val="00EF2683"/>
    <w:rsid w:val="00EF30C3"/>
    <w:rsid w:val="00EF358D"/>
    <w:rsid w:val="00EF37AE"/>
    <w:rsid w:val="00EF3972"/>
    <w:rsid w:val="00EF40EB"/>
    <w:rsid w:val="00EF5D5B"/>
    <w:rsid w:val="00EF6BBC"/>
    <w:rsid w:val="00EF6BDC"/>
    <w:rsid w:val="00EF6DB8"/>
    <w:rsid w:val="00F02159"/>
    <w:rsid w:val="00F0314E"/>
    <w:rsid w:val="00F033C1"/>
    <w:rsid w:val="00F03C57"/>
    <w:rsid w:val="00F04C67"/>
    <w:rsid w:val="00F05122"/>
    <w:rsid w:val="00F05840"/>
    <w:rsid w:val="00F07ED4"/>
    <w:rsid w:val="00F1009E"/>
    <w:rsid w:val="00F10A07"/>
    <w:rsid w:val="00F10FC6"/>
    <w:rsid w:val="00F1197F"/>
    <w:rsid w:val="00F119DD"/>
    <w:rsid w:val="00F127E2"/>
    <w:rsid w:val="00F14302"/>
    <w:rsid w:val="00F14664"/>
    <w:rsid w:val="00F14AE1"/>
    <w:rsid w:val="00F15C33"/>
    <w:rsid w:val="00F168F2"/>
    <w:rsid w:val="00F16C15"/>
    <w:rsid w:val="00F17422"/>
    <w:rsid w:val="00F17927"/>
    <w:rsid w:val="00F209F8"/>
    <w:rsid w:val="00F20F82"/>
    <w:rsid w:val="00F2244E"/>
    <w:rsid w:val="00F22F58"/>
    <w:rsid w:val="00F231C2"/>
    <w:rsid w:val="00F23AEA"/>
    <w:rsid w:val="00F23F8A"/>
    <w:rsid w:val="00F242A1"/>
    <w:rsid w:val="00F254C2"/>
    <w:rsid w:val="00F2630D"/>
    <w:rsid w:val="00F26814"/>
    <w:rsid w:val="00F30992"/>
    <w:rsid w:val="00F31D8F"/>
    <w:rsid w:val="00F32294"/>
    <w:rsid w:val="00F3248F"/>
    <w:rsid w:val="00F32ECE"/>
    <w:rsid w:val="00F334C0"/>
    <w:rsid w:val="00F336CF"/>
    <w:rsid w:val="00F343FD"/>
    <w:rsid w:val="00F34BF5"/>
    <w:rsid w:val="00F34F2E"/>
    <w:rsid w:val="00F3531E"/>
    <w:rsid w:val="00F3545A"/>
    <w:rsid w:val="00F36133"/>
    <w:rsid w:val="00F36481"/>
    <w:rsid w:val="00F364B2"/>
    <w:rsid w:val="00F36C36"/>
    <w:rsid w:val="00F36E81"/>
    <w:rsid w:val="00F37058"/>
    <w:rsid w:val="00F37697"/>
    <w:rsid w:val="00F37816"/>
    <w:rsid w:val="00F37914"/>
    <w:rsid w:val="00F405A1"/>
    <w:rsid w:val="00F41820"/>
    <w:rsid w:val="00F426D8"/>
    <w:rsid w:val="00F43C41"/>
    <w:rsid w:val="00F43EC7"/>
    <w:rsid w:val="00F4493A"/>
    <w:rsid w:val="00F45EA4"/>
    <w:rsid w:val="00F4622D"/>
    <w:rsid w:val="00F47480"/>
    <w:rsid w:val="00F47670"/>
    <w:rsid w:val="00F50B8C"/>
    <w:rsid w:val="00F51263"/>
    <w:rsid w:val="00F51891"/>
    <w:rsid w:val="00F54496"/>
    <w:rsid w:val="00F5461B"/>
    <w:rsid w:val="00F554CF"/>
    <w:rsid w:val="00F5594E"/>
    <w:rsid w:val="00F55C5F"/>
    <w:rsid w:val="00F55D8F"/>
    <w:rsid w:val="00F56077"/>
    <w:rsid w:val="00F560A1"/>
    <w:rsid w:val="00F560A8"/>
    <w:rsid w:val="00F61A84"/>
    <w:rsid w:val="00F62519"/>
    <w:rsid w:val="00F62789"/>
    <w:rsid w:val="00F63E3C"/>
    <w:rsid w:val="00F64C9C"/>
    <w:rsid w:val="00F66F21"/>
    <w:rsid w:val="00F70007"/>
    <w:rsid w:val="00F703DB"/>
    <w:rsid w:val="00F70E5F"/>
    <w:rsid w:val="00F71189"/>
    <w:rsid w:val="00F71310"/>
    <w:rsid w:val="00F72AEE"/>
    <w:rsid w:val="00F72B7C"/>
    <w:rsid w:val="00F72C30"/>
    <w:rsid w:val="00F7333A"/>
    <w:rsid w:val="00F74174"/>
    <w:rsid w:val="00F74419"/>
    <w:rsid w:val="00F74B4D"/>
    <w:rsid w:val="00F75565"/>
    <w:rsid w:val="00F75E3C"/>
    <w:rsid w:val="00F76029"/>
    <w:rsid w:val="00F76570"/>
    <w:rsid w:val="00F769E8"/>
    <w:rsid w:val="00F76A0C"/>
    <w:rsid w:val="00F81F1C"/>
    <w:rsid w:val="00F83F72"/>
    <w:rsid w:val="00F8563C"/>
    <w:rsid w:val="00F86B5D"/>
    <w:rsid w:val="00F9162C"/>
    <w:rsid w:val="00F92600"/>
    <w:rsid w:val="00F93F69"/>
    <w:rsid w:val="00F940C2"/>
    <w:rsid w:val="00F955F5"/>
    <w:rsid w:val="00F96221"/>
    <w:rsid w:val="00F97B37"/>
    <w:rsid w:val="00FA0537"/>
    <w:rsid w:val="00FA19A1"/>
    <w:rsid w:val="00FA23CA"/>
    <w:rsid w:val="00FA32F0"/>
    <w:rsid w:val="00FA4371"/>
    <w:rsid w:val="00FA4539"/>
    <w:rsid w:val="00FA498D"/>
    <w:rsid w:val="00FA4D08"/>
    <w:rsid w:val="00FA4D71"/>
    <w:rsid w:val="00FA61B7"/>
    <w:rsid w:val="00FA6BF9"/>
    <w:rsid w:val="00FA7104"/>
    <w:rsid w:val="00FA7DF4"/>
    <w:rsid w:val="00FA7F77"/>
    <w:rsid w:val="00FB13C9"/>
    <w:rsid w:val="00FB2234"/>
    <w:rsid w:val="00FB328E"/>
    <w:rsid w:val="00FB386C"/>
    <w:rsid w:val="00FB38DC"/>
    <w:rsid w:val="00FB3D7D"/>
    <w:rsid w:val="00FB3E29"/>
    <w:rsid w:val="00FB4F22"/>
    <w:rsid w:val="00FB632F"/>
    <w:rsid w:val="00FB67F8"/>
    <w:rsid w:val="00FB69D7"/>
    <w:rsid w:val="00FC0750"/>
    <w:rsid w:val="00FC0CA5"/>
    <w:rsid w:val="00FC1FD4"/>
    <w:rsid w:val="00FC2D52"/>
    <w:rsid w:val="00FC6121"/>
    <w:rsid w:val="00FC616C"/>
    <w:rsid w:val="00FC7BDD"/>
    <w:rsid w:val="00FD1534"/>
    <w:rsid w:val="00FD1901"/>
    <w:rsid w:val="00FD21D7"/>
    <w:rsid w:val="00FD3D9B"/>
    <w:rsid w:val="00FD4B81"/>
    <w:rsid w:val="00FD4D71"/>
    <w:rsid w:val="00FD55D8"/>
    <w:rsid w:val="00FD55FF"/>
    <w:rsid w:val="00FD6056"/>
    <w:rsid w:val="00FD661B"/>
    <w:rsid w:val="00FD6FE3"/>
    <w:rsid w:val="00FD7C89"/>
    <w:rsid w:val="00FD7CA4"/>
    <w:rsid w:val="00FE021B"/>
    <w:rsid w:val="00FE02C2"/>
    <w:rsid w:val="00FE185D"/>
    <w:rsid w:val="00FE209E"/>
    <w:rsid w:val="00FE2287"/>
    <w:rsid w:val="00FE2322"/>
    <w:rsid w:val="00FE48B4"/>
    <w:rsid w:val="00FE5B66"/>
    <w:rsid w:val="00FE67A9"/>
    <w:rsid w:val="00FE6905"/>
    <w:rsid w:val="00FE6B81"/>
    <w:rsid w:val="00FF29E4"/>
    <w:rsid w:val="00FF447A"/>
    <w:rsid w:val="00FF45E9"/>
    <w:rsid w:val="00FF46AB"/>
    <w:rsid w:val="00FF4799"/>
    <w:rsid w:val="00FF5786"/>
    <w:rsid w:val="00FF65A7"/>
    <w:rsid w:val="00FF6A1A"/>
    <w:rsid w:val="00FF6FA3"/>
    <w:rsid w:val="00FF7FC2"/>
    <w:rsid w:val="01690366"/>
    <w:rsid w:val="01912F8B"/>
    <w:rsid w:val="01BD28E8"/>
    <w:rsid w:val="01D66812"/>
    <w:rsid w:val="020B34F2"/>
    <w:rsid w:val="027F6C52"/>
    <w:rsid w:val="031EB5E5"/>
    <w:rsid w:val="0436901F"/>
    <w:rsid w:val="04A963FC"/>
    <w:rsid w:val="0520BCEE"/>
    <w:rsid w:val="05EC8F94"/>
    <w:rsid w:val="07641AAF"/>
    <w:rsid w:val="08C6E9C8"/>
    <w:rsid w:val="09BD7C23"/>
    <w:rsid w:val="0A64DE56"/>
    <w:rsid w:val="0B07875C"/>
    <w:rsid w:val="0B2875CB"/>
    <w:rsid w:val="0C095615"/>
    <w:rsid w:val="0C30EECC"/>
    <w:rsid w:val="0C4EAFBD"/>
    <w:rsid w:val="0C7C5F3F"/>
    <w:rsid w:val="0D08A3E3"/>
    <w:rsid w:val="0E037754"/>
    <w:rsid w:val="0E802D96"/>
    <w:rsid w:val="0EF0306B"/>
    <w:rsid w:val="0F0BB7C0"/>
    <w:rsid w:val="0F37BBDB"/>
    <w:rsid w:val="0F3B0A31"/>
    <w:rsid w:val="0F9C6482"/>
    <w:rsid w:val="0FE631E4"/>
    <w:rsid w:val="10580A34"/>
    <w:rsid w:val="10CA9F6F"/>
    <w:rsid w:val="10CCDA82"/>
    <w:rsid w:val="1241C418"/>
    <w:rsid w:val="12CCC9CC"/>
    <w:rsid w:val="14E70E13"/>
    <w:rsid w:val="14F97FCC"/>
    <w:rsid w:val="15741273"/>
    <w:rsid w:val="160F5744"/>
    <w:rsid w:val="165F9BD7"/>
    <w:rsid w:val="19322B55"/>
    <w:rsid w:val="1994F5AE"/>
    <w:rsid w:val="1AA56E54"/>
    <w:rsid w:val="1DC6A437"/>
    <w:rsid w:val="1EA7BE27"/>
    <w:rsid w:val="1EA87EE5"/>
    <w:rsid w:val="1EBAD3FD"/>
    <w:rsid w:val="1EE504C1"/>
    <w:rsid w:val="1F7BFAF8"/>
    <w:rsid w:val="20078F50"/>
    <w:rsid w:val="202BF3BB"/>
    <w:rsid w:val="21DFF944"/>
    <w:rsid w:val="22E2F6D8"/>
    <w:rsid w:val="236819AC"/>
    <w:rsid w:val="237F5FBE"/>
    <w:rsid w:val="2798BDE1"/>
    <w:rsid w:val="279D861E"/>
    <w:rsid w:val="27BB022B"/>
    <w:rsid w:val="28DFE0D5"/>
    <w:rsid w:val="28E8EB74"/>
    <w:rsid w:val="290007A0"/>
    <w:rsid w:val="2942A2BE"/>
    <w:rsid w:val="29FACEC6"/>
    <w:rsid w:val="2A6CA16E"/>
    <w:rsid w:val="2A9E67D9"/>
    <w:rsid w:val="2D36428C"/>
    <w:rsid w:val="2DD2A6DF"/>
    <w:rsid w:val="2E2849C3"/>
    <w:rsid w:val="2EB45ACD"/>
    <w:rsid w:val="3016C45A"/>
    <w:rsid w:val="32173A8C"/>
    <w:rsid w:val="32A9CCCA"/>
    <w:rsid w:val="32C52496"/>
    <w:rsid w:val="342064EF"/>
    <w:rsid w:val="36A31708"/>
    <w:rsid w:val="37383652"/>
    <w:rsid w:val="39423F0D"/>
    <w:rsid w:val="39D59E40"/>
    <w:rsid w:val="3A8FD8BB"/>
    <w:rsid w:val="3B43718D"/>
    <w:rsid w:val="3D111FD5"/>
    <w:rsid w:val="3D465F97"/>
    <w:rsid w:val="3E204E4A"/>
    <w:rsid w:val="3E7BE1FE"/>
    <w:rsid w:val="3ED849CA"/>
    <w:rsid w:val="40409CFE"/>
    <w:rsid w:val="425B2FD6"/>
    <w:rsid w:val="428FDE58"/>
    <w:rsid w:val="430EEC02"/>
    <w:rsid w:val="43378C2C"/>
    <w:rsid w:val="4372BC1E"/>
    <w:rsid w:val="4396D662"/>
    <w:rsid w:val="44A778F9"/>
    <w:rsid w:val="45DE7D1B"/>
    <w:rsid w:val="4639FD97"/>
    <w:rsid w:val="484AC68D"/>
    <w:rsid w:val="485D4F75"/>
    <w:rsid w:val="4B2413D2"/>
    <w:rsid w:val="4BF1D017"/>
    <w:rsid w:val="4D134B8F"/>
    <w:rsid w:val="4E974F35"/>
    <w:rsid w:val="4F332994"/>
    <w:rsid w:val="4F8CB0A3"/>
    <w:rsid w:val="5005FEF3"/>
    <w:rsid w:val="504BAD32"/>
    <w:rsid w:val="5192B82C"/>
    <w:rsid w:val="52A53227"/>
    <w:rsid w:val="53438878"/>
    <w:rsid w:val="5464FFA5"/>
    <w:rsid w:val="555D104A"/>
    <w:rsid w:val="556A7F83"/>
    <w:rsid w:val="56064D4A"/>
    <w:rsid w:val="56F701C2"/>
    <w:rsid w:val="578EB0D1"/>
    <w:rsid w:val="5AA63ACE"/>
    <w:rsid w:val="5B607688"/>
    <w:rsid w:val="5C69FFF6"/>
    <w:rsid w:val="5D4B2637"/>
    <w:rsid w:val="5D7A353E"/>
    <w:rsid w:val="5D98FCDD"/>
    <w:rsid w:val="5DC049D3"/>
    <w:rsid w:val="5F674526"/>
    <w:rsid w:val="5FCF0F97"/>
    <w:rsid w:val="605668EC"/>
    <w:rsid w:val="605A0745"/>
    <w:rsid w:val="61A6B89B"/>
    <w:rsid w:val="61AE0C5D"/>
    <w:rsid w:val="63913A83"/>
    <w:rsid w:val="64AC4753"/>
    <w:rsid w:val="65E9D907"/>
    <w:rsid w:val="66BB1F32"/>
    <w:rsid w:val="66CD4E7F"/>
    <w:rsid w:val="68F2BF27"/>
    <w:rsid w:val="6946C627"/>
    <w:rsid w:val="6B9B0879"/>
    <w:rsid w:val="6BF31697"/>
    <w:rsid w:val="6C7E35A3"/>
    <w:rsid w:val="6D168B91"/>
    <w:rsid w:val="6E24791F"/>
    <w:rsid w:val="6F850902"/>
    <w:rsid w:val="704E2C53"/>
    <w:rsid w:val="70D661CB"/>
    <w:rsid w:val="71157412"/>
    <w:rsid w:val="721113EB"/>
    <w:rsid w:val="7281C1C0"/>
    <w:rsid w:val="72ED3A35"/>
    <w:rsid w:val="74EC53E6"/>
    <w:rsid w:val="76215CB2"/>
    <w:rsid w:val="768E5348"/>
    <w:rsid w:val="77278472"/>
    <w:rsid w:val="7750D15E"/>
    <w:rsid w:val="7775952E"/>
    <w:rsid w:val="77ED1945"/>
    <w:rsid w:val="788410AB"/>
    <w:rsid w:val="78E9DF76"/>
    <w:rsid w:val="7A10D144"/>
    <w:rsid w:val="7A1FE10C"/>
    <w:rsid w:val="7AE8EC0D"/>
    <w:rsid w:val="7AF67F93"/>
    <w:rsid w:val="7B7A60C0"/>
    <w:rsid w:val="7C924FF4"/>
    <w:rsid w:val="7D1C5959"/>
    <w:rsid w:val="7D73B273"/>
    <w:rsid w:val="7DF8B39E"/>
    <w:rsid w:val="7E4983C5"/>
    <w:rsid w:val="7EE0AD21"/>
    <w:rsid w:val="7F7B6918"/>
    <w:rsid w:val="7FF248D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BC488"/>
  <w15:chartTrackingRefBased/>
  <w15:docId w15:val="{ED61720F-D488-4052-B063-696245B4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tabs>
        <w:tab w:val="num" w:pos="532"/>
      </w:tabs>
      <w:spacing w:before="0" w:after="240" w:line="260" w:lineRule="exact"/>
      <w:ind w:left="532" w:hanging="284"/>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qFormat/>
    <w:rsid w:val="005D0844"/>
    <w:pPr>
      <w:numPr>
        <w:ilvl w:val="1"/>
        <w:numId w:val="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FollowedHyperlink">
    <w:name w:val="FollowedHyperlink"/>
    <w:basedOn w:val="DefaultParagraphFont"/>
    <w:uiPriority w:val="99"/>
    <w:semiHidden/>
    <w:unhideWhenUsed/>
    <w:rsid w:val="00273CD2"/>
    <w:rPr>
      <w:color w:val="954F72" w:themeColor="followedHyperlink"/>
      <w:u w:val="single"/>
    </w:rPr>
  </w:style>
  <w:style w:type="character" w:styleId="CommentReference">
    <w:name w:val="annotation reference"/>
    <w:basedOn w:val="DefaultParagraphFont"/>
    <w:uiPriority w:val="99"/>
    <w:semiHidden/>
    <w:unhideWhenUsed/>
    <w:rsid w:val="004D7272"/>
    <w:rPr>
      <w:sz w:val="16"/>
      <w:szCs w:val="16"/>
    </w:rPr>
  </w:style>
  <w:style w:type="paragraph" w:styleId="CommentText">
    <w:name w:val="annotation text"/>
    <w:basedOn w:val="Normal"/>
    <w:link w:val="CommentTextChar"/>
    <w:uiPriority w:val="99"/>
    <w:semiHidden/>
    <w:unhideWhenUsed/>
    <w:rsid w:val="004D7272"/>
    <w:rPr>
      <w:sz w:val="20"/>
      <w:szCs w:val="20"/>
    </w:rPr>
  </w:style>
  <w:style w:type="character" w:customStyle="1" w:styleId="CommentTextChar">
    <w:name w:val="Comment Text Char"/>
    <w:basedOn w:val="DefaultParagraphFont"/>
    <w:link w:val="CommentText"/>
    <w:uiPriority w:val="99"/>
    <w:semiHidden/>
    <w:rsid w:val="004D727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D7272"/>
    <w:rPr>
      <w:b/>
      <w:bCs/>
    </w:rPr>
  </w:style>
  <w:style w:type="character" w:customStyle="1" w:styleId="CommentSubjectChar">
    <w:name w:val="Comment Subject Char"/>
    <w:basedOn w:val="CommentTextChar"/>
    <w:link w:val="CommentSubject"/>
    <w:uiPriority w:val="99"/>
    <w:semiHidden/>
    <w:rsid w:val="004D7272"/>
    <w:rPr>
      <w:rFonts w:ascii="Times New Roman" w:hAnsi="Times New Roman"/>
      <w:b/>
      <w:bCs/>
      <w:sz w:val="20"/>
      <w:szCs w:val="20"/>
    </w:rPr>
  </w:style>
  <w:style w:type="paragraph" w:customStyle="1" w:styleId="ShortT">
    <w:name w:val="ShortT"/>
    <w:basedOn w:val="Normal"/>
    <w:next w:val="Normal"/>
    <w:qFormat/>
    <w:rsid w:val="007D1A1A"/>
    <w:pPr>
      <w:spacing w:before="0" w:after="0"/>
    </w:pPr>
    <w:rPr>
      <w:rFonts w:eastAsia="Times New Roman" w:cs="Times New Roman"/>
      <w:b/>
      <w:sz w:val="40"/>
      <w:szCs w:val="20"/>
      <w:lang w:eastAsia="en-AU"/>
    </w:rPr>
  </w:style>
  <w:style w:type="character" w:styleId="Mention">
    <w:name w:val="Mention"/>
    <w:basedOn w:val="DefaultParagraphFont"/>
    <w:uiPriority w:val="99"/>
    <w:unhideWhenUsed/>
    <w:rsid w:val="005165BA"/>
    <w:rPr>
      <w:color w:val="2B579A"/>
      <w:shd w:val="clear" w:color="auto" w:fill="E1DFDD"/>
    </w:rPr>
  </w:style>
  <w:style w:type="character" w:customStyle="1" w:styleId="ui-provider">
    <w:name w:val="ui-provider"/>
    <w:basedOn w:val="DefaultParagraphFont"/>
    <w:rsid w:val="00C12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432121456">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yperlink" Target="https://www.legislation.gov.au/Details/F2023C00382" TargetMode="Externa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5D7SUYYWNZQE-304961098-912</_dlc_DocId>
    <TaxCatchAll xmlns="ff38c824-6e29-4496-8487-69f397e7ed29">
      <Value>153</Value>
      <Value>75</Value>
      <Value>1</Value>
      <Value>28</Value>
    </TaxCatchAll>
    <_dlc_DocIdUrl xmlns="fe39d773-a83d-4623-ae74-f25711a76616">
      <Url>https://austreasury.sharepoint.com/sites/leg-meas-function/_layouts/15/DocIdRedir.aspx?ID=5D7SUYYWNZQE-304961098-912</Url>
      <Description>5D7SUYYWNZQE-304961098-912</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Budget/MYEFO Decision</Measureorigin>
    <PT_x002f_Measure_x0020_No. xmlns="ff38c824-6e29-4496-8487-69f397e7ed29">TSY/47/0244</PT_x002f_Measure_x0020_No.>
    <Keydoc xmlns="a289cb20-8bb9-401f-8d7b-706fb1a2988d" xsi:nil="true"/>
    <Act_x0028_s_x0029_beingamended xmlns="a289cb20-8bb9-401f-8d7b-706fb1a2988d">Income Tax Assessment Act 1997 </Act_x0028_s_x0029_beingamended>
    <Projectname xmlns="a289cb20-8bb9-401f-8d7b-706fb1a2988d"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Corporate Tax</TermName>
          <TermId xmlns="http://schemas.microsoft.com/office/infopath/2007/PartnerControls">7143b39c-3152-4f03-9a8b-9f25b68e1ca6</TermId>
        </TermInfo>
      </Terms>
    </gfba5f33532c49208d2320ce38cc3c2b>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AA73F4CAE9B14BAF4AF27B78F1F7EB" ma:contentTypeVersion="22" ma:contentTypeDescription="Create a new document." ma:contentTypeScope="" ma:versionID="8ce3e67abde1fbfc0ae3f7340e2aafbf">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targetNamespace="http://schemas.microsoft.com/office/2006/metadata/properties" ma:root="true" ma:fieldsID="dc62ea071742f26d2caad23434b44f7f" ns1:_="" ns2:_="" ns3:_="" ns4:_="">
    <xsd:import namespace="http://schemas.microsoft.com/sharepoint/v3"/>
    <xsd:import namespace="ff38c824-6e29-4496-8487-69f397e7ed29"/>
    <xsd:import namespace="fe39d773-a83d-4623-ae74-f25711a76616"/>
    <xsd:import namespace="a289cb20-8bb9-401f-8d7b-706fb1a2988d"/>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B365E2-A817-49FA-9295-CAB62986032D}">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elements/1.1/"/>
    <ds:schemaRef ds:uri="http://purl.org/dc/dcmitype/"/>
    <ds:schemaRef ds:uri="fe39d773-a83d-4623-ae74-f25711a76616"/>
    <ds:schemaRef ds:uri="a289cb20-8bb9-401f-8d7b-706fb1a2988d"/>
    <ds:schemaRef ds:uri="http://purl.org/dc/terms/"/>
    <ds:schemaRef ds:uri="http://schemas.openxmlformats.org/package/2006/metadata/core-properties"/>
    <ds:schemaRef ds:uri="ff38c824-6e29-4496-8487-69f397e7ed29"/>
    <ds:schemaRef ds:uri="http://schemas.microsoft.com/sharepoint/v3"/>
  </ds:schemaRefs>
</ds:datastoreItem>
</file>

<file path=customXml/itemProps2.xml><?xml version="1.0" encoding="utf-8"?>
<ds:datastoreItem xmlns:ds="http://schemas.openxmlformats.org/officeDocument/2006/customXml" ds:itemID="{DE26C0BF-E2E2-42DB-9BDD-B0B69B797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customXml/itemProps4.xml><?xml version="1.0" encoding="utf-8"?>
<ds:datastoreItem xmlns:ds="http://schemas.openxmlformats.org/officeDocument/2006/customXml" ds:itemID="{CC9B2812-BCFE-42F8-A76B-0445C562AC16}">
  <ds:schemaRefs>
    <ds:schemaRef ds:uri="http://schemas.microsoft.com/sharepoint/events"/>
  </ds:schemaRefs>
</ds:datastoreItem>
</file>

<file path=customXml/itemProps5.xml><?xml version="1.0" encoding="utf-8"?>
<ds:datastoreItem xmlns:ds="http://schemas.openxmlformats.org/officeDocument/2006/customXml" ds:itemID="{466923F5-2C3A-4884-9281-238330888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Pri-EM.dotx</Template>
  <TotalTime>5</TotalTime>
  <Pages>15</Pages>
  <Words>3290</Words>
  <Characters>17368</Characters>
  <Application>Microsoft Office Word</Application>
  <DocSecurity>0</DocSecurity>
  <Lines>407</Lines>
  <Paragraphs>129</Paragraphs>
  <ScaleCrop>false</ScaleCrop>
  <HeadingPairs>
    <vt:vector size="2" baseType="variant">
      <vt:variant>
        <vt:lpstr>Title</vt:lpstr>
      </vt:variant>
      <vt:variant>
        <vt:i4>1</vt:i4>
      </vt:variant>
    </vt:vector>
  </HeadingPairs>
  <TitlesOfParts>
    <vt:vector size="1" baseType="lpstr">
      <vt:lpstr>Exposure draft explanatory materials - Treasury Laws Amendment (Measures for Future Bills) Bill 2023: income tax amendments for updates to accounting standards for general insurance contracts</vt:lpstr>
    </vt:vector>
  </TitlesOfParts>
  <Company/>
  <LinksUpToDate>false</LinksUpToDate>
  <CharactersWithSpaces>20597</CharactersWithSpaces>
  <SharedDoc>false</SharedDoc>
  <HLinks>
    <vt:vector size="42" baseType="variant">
      <vt:variant>
        <vt:i4>720987</vt:i4>
      </vt:variant>
      <vt:variant>
        <vt:i4>42</vt:i4>
      </vt:variant>
      <vt:variant>
        <vt:i4>0</vt:i4>
      </vt:variant>
      <vt:variant>
        <vt:i4>5</vt:i4>
      </vt:variant>
      <vt:variant>
        <vt:lpwstr>https://www.ag.gov.au/rights-and-protections/human-rights-and-anti-discrimination/human-rights-scrutiny/public-sector-guidance-sheets</vt:lpwstr>
      </vt:variant>
      <vt:variant>
        <vt:lpwstr/>
      </vt:variant>
      <vt:variant>
        <vt:i4>2359344</vt:i4>
      </vt:variant>
      <vt:variant>
        <vt:i4>39</vt:i4>
      </vt:variant>
      <vt:variant>
        <vt:i4>0</vt:i4>
      </vt:variant>
      <vt:variant>
        <vt:i4>5</vt:i4>
      </vt:variant>
      <vt:variant>
        <vt:lpwstr>https://www.ag.gov.au/rights-and-protections/human-rights-and-anti-discrimination/human-rights-scrutiny/tools-assessing-compatibility-human-rights</vt:lpwstr>
      </vt:variant>
      <vt:variant>
        <vt:lpwstr/>
      </vt:variant>
      <vt:variant>
        <vt:i4>2621502</vt:i4>
      </vt:variant>
      <vt:variant>
        <vt:i4>36</vt:i4>
      </vt:variant>
      <vt:variant>
        <vt:i4>0</vt:i4>
      </vt:variant>
      <vt:variant>
        <vt:i4>5</vt:i4>
      </vt:variant>
      <vt:variant>
        <vt:lpwstr>https://www.aph.gov.au/-/media/Committees/Senate/committee/humanrights_ctte/guidance_notes/guidance_note_2/guidance_note_2.pdf?la=en&amp;hash=7D924E6F330668005C288BCDCDAC6ADE1719502D</vt:lpwstr>
      </vt:variant>
      <vt:variant>
        <vt:lpwstr/>
      </vt:variant>
      <vt:variant>
        <vt:i4>2818108</vt:i4>
      </vt:variant>
      <vt:variant>
        <vt:i4>33</vt:i4>
      </vt:variant>
      <vt:variant>
        <vt:i4>0</vt:i4>
      </vt:variant>
      <vt:variant>
        <vt:i4>5</vt:i4>
      </vt:variant>
      <vt:variant>
        <vt:lpwstr>https://www.aph.gov.au/-/media/Committees/Senate/committee/humanrights_ctte/guidance_notes/guidance_note_1/01_Guidance_Note.pdf?la=en&amp;hash=4CE0BFF2F3CA3C32EAD58AD932DB73E89494455D</vt:lpwstr>
      </vt:variant>
      <vt:variant>
        <vt:lpwstr/>
      </vt:variant>
      <vt:variant>
        <vt:i4>5308456</vt:i4>
      </vt:variant>
      <vt:variant>
        <vt:i4>30</vt:i4>
      </vt:variant>
      <vt:variant>
        <vt:i4>0</vt:i4>
      </vt:variant>
      <vt:variant>
        <vt:i4>5</vt:i4>
      </vt:variant>
      <vt:variant>
        <vt:lpwstr>https://www.aph.gov.au/Parliamentary_Business/Committees/Joint/Human_Rights/Guidance_Notes_and_Resources</vt:lpwstr>
      </vt:variant>
      <vt:variant>
        <vt:lpwstr/>
      </vt:variant>
      <vt:variant>
        <vt:i4>5308456</vt:i4>
      </vt:variant>
      <vt:variant>
        <vt:i4>27</vt:i4>
      </vt:variant>
      <vt:variant>
        <vt:i4>0</vt:i4>
      </vt:variant>
      <vt:variant>
        <vt:i4>5</vt:i4>
      </vt:variant>
      <vt:variant>
        <vt:lpwstr>https://www.aph.gov.au/Parliamentary_Business/Committees/Joint/Human_Rights/Guidance_Notes_and_Resources</vt:lpwstr>
      </vt:variant>
      <vt:variant>
        <vt:lpwstr/>
      </vt:variant>
      <vt:variant>
        <vt:i4>7798829</vt:i4>
      </vt:variant>
      <vt:variant>
        <vt:i4>18</vt:i4>
      </vt:variant>
      <vt:variant>
        <vt:i4>0</vt:i4>
      </vt:variant>
      <vt:variant>
        <vt:i4>5</vt:i4>
      </vt:variant>
      <vt:variant>
        <vt:lpwstr>https://www.legislation.gov.au/Details/F2023C00382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materials - Treasury Laws Amendment (Measures for Future Bills) Bill 2023: income tax amendments for updates to accounting standards for general insurance contracts</dc:title>
  <dc:subject/>
  <dc:creator>Australian Government</dc:creator>
  <cp:keywords/>
  <dc:description/>
  <cp:lastModifiedBy>Hill, Christine</cp:lastModifiedBy>
  <cp:revision>3</cp:revision>
  <cp:lastPrinted>2023-06-29T05:07:00Z</cp:lastPrinted>
  <dcterms:created xsi:type="dcterms:W3CDTF">2023-06-29T06:24:00Z</dcterms:created>
  <dcterms:modified xsi:type="dcterms:W3CDTF">2023-06-29T06:46:00Z</dcterms:modified>
  <cp:category/>
  <cp:contentStatus/>
</cp:coreProperties>
</file>