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7303"/>
      </w:tblGrid>
      <w:tr w:rsidR="00295867" w14:paraId="78DE82E2" w14:textId="77777777" w:rsidTr="00295867">
        <w:tc>
          <w:tcPr>
            <w:tcW w:w="5000" w:type="pct"/>
            <w:shd w:val="clear" w:color="auto" w:fill="auto"/>
          </w:tcPr>
          <w:p w14:paraId="6DCF95B1" w14:textId="77777777" w:rsidR="00295867" w:rsidRDefault="00295867" w:rsidP="0029586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4FAE9D89" w14:textId="77777777" w:rsidR="00295867" w:rsidRPr="00295867" w:rsidRDefault="00295867" w:rsidP="00295867">
            <w:pPr>
              <w:rPr>
                <w:b/>
                <w:sz w:val="20"/>
              </w:rPr>
            </w:pPr>
          </w:p>
        </w:tc>
      </w:tr>
    </w:tbl>
    <w:p w14:paraId="0B500A72" w14:textId="77777777" w:rsidR="00295867" w:rsidRDefault="00295867" w:rsidP="00D47F5D">
      <w:pPr>
        <w:rPr>
          <w:sz w:val="32"/>
          <w:szCs w:val="32"/>
        </w:rPr>
      </w:pPr>
    </w:p>
    <w:p w14:paraId="18AD7216" w14:textId="77777777" w:rsidR="00664C63" w:rsidRPr="00932FA3" w:rsidRDefault="00664C63" w:rsidP="00D47F5D">
      <w:pPr>
        <w:rPr>
          <w:sz w:val="32"/>
          <w:szCs w:val="32"/>
        </w:rPr>
      </w:pPr>
      <w:r w:rsidRPr="00932FA3">
        <w:rPr>
          <w:sz w:val="32"/>
          <w:szCs w:val="32"/>
        </w:rPr>
        <w:t>Inserts for</w:t>
      </w:r>
    </w:p>
    <w:p w14:paraId="50FE7215" w14:textId="77777777" w:rsidR="00664C63" w:rsidRDefault="007712BA" w:rsidP="00D47F5D">
      <w:pPr>
        <w:pStyle w:val="ShortT"/>
      </w:pPr>
      <w:r w:rsidRPr="007712BA">
        <w:t>Treasury Laws Amendment (Integrity and Transparency) Bill 2023</w:t>
      </w:r>
      <w:r w:rsidR="00664C63">
        <w:t xml:space="preserve">: </w:t>
      </w:r>
      <w:r w:rsidR="00323373">
        <w:t xml:space="preserve">ACNC Review Rec 17 </w:t>
      </w:r>
      <w:r w:rsidR="00D47F5D">
        <w:noBreakHyphen/>
      </w:r>
      <w:r w:rsidR="00323373">
        <w:t xml:space="preserve"> Secrecy Provisions</w:t>
      </w:r>
    </w:p>
    <w:p w14:paraId="4C6B8365" w14:textId="77777777" w:rsidR="00664C63" w:rsidRDefault="00664C63" w:rsidP="00D47F5D">
      <w:pPr>
        <w:jc w:val="center"/>
      </w:pPr>
    </w:p>
    <w:p w14:paraId="539C8585" w14:textId="77777777" w:rsidR="00664C63" w:rsidRDefault="00664C63" w:rsidP="00D47F5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664C63" w:rsidRPr="00402376" w14:paraId="41B8711A" w14:textId="77777777" w:rsidTr="002F08B3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6BB1243" w14:textId="77777777" w:rsidR="00664C63" w:rsidRPr="00402376" w:rsidRDefault="00664C63" w:rsidP="00D47F5D">
            <w:pPr>
              <w:pStyle w:val="TableHeading"/>
            </w:pPr>
            <w:r w:rsidRPr="00402376">
              <w:t>Commencement information</w:t>
            </w:r>
          </w:p>
        </w:tc>
      </w:tr>
      <w:tr w:rsidR="00664C63" w:rsidRPr="00402376" w14:paraId="2B7B93A5" w14:textId="77777777" w:rsidTr="002F08B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D7C756" w14:textId="77777777" w:rsidR="00664C63" w:rsidRPr="00402376" w:rsidRDefault="00664C63" w:rsidP="00D47F5D">
            <w:pPr>
              <w:pStyle w:val="TableHeading"/>
            </w:pPr>
            <w:r w:rsidRPr="00402376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0726BB" w14:textId="77777777" w:rsidR="00664C63" w:rsidRPr="00402376" w:rsidRDefault="00664C63" w:rsidP="00D47F5D">
            <w:pPr>
              <w:pStyle w:val="TableHeading"/>
            </w:pPr>
            <w:r w:rsidRPr="00402376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658A68" w14:textId="77777777" w:rsidR="00664C63" w:rsidRPr="00402376" w:rsidRDefault="00664C63" w:rsidP="00D47F5D">
            <w:pPr>
              <w:pStyle w:val="TableHeading"/>
            </w:pPr>
            <w:r w:rsidRPr="00402376">
              <w:t>Column 3</w:t>
            </w:r>
          </w:p>
        </w:tc>
      </w:tr>
      <w:tr w:rsidR="00664C63" w14:paraId="4E64E65F" w14:textId="77777777" w:rsidTr="002F08B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EDBFC94" w14:textId="77777777" w:rsidR="00664C63" w:rsidRPr="00402376" w:rsidRDefault="00664C63" w:rsidP="00D47F5D">
            <w:pPr>
              <w:pStyle w:val="TableHeading"/>
            </w:pPr>
            <w:r w:rsidRPr="00402376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875993A" w14:textId="77777777" w:rsidR="00664C63" w:rsidRPr="00402376" w:rsidRDefault="00664C63" w:rsidP="00D47F5D">
            <w:pPr>
              <w:pStyle w:val="TableHeading"/>
            </w:pPr>
            <w:r w:rsidRPr="00402376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2840947" w14:textId="77777777" w:rsidR="00664C63" w:rsidRPr="00402376" w:rsidRDefault="00664C63" w:rsidP="00D47F5D">
            <w:pPr>
              <w:pStyle w:val="TableHeading"/>
            </w:pPr>
            <w:r w:rsidRPr="00402376">
              <w:t>Date/Details</w:t>
            </w:r>
          </w:p>
        </w:tc>
      </w:tr>
      <w:tr w:rsidR="00664C63" w14:paraId="59D7ADF7" w14:textId="77777777" w:rsidTr="002F08B3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0FE6B4D7" w14:textId="77777777" w:rsidR="00664C63" w:rsidRDefault="00664C63" w:rsidP="00D47F5D">
            <w:pPr>
              <w:pStyle w:val="Tabletext"/>
            </w:pPr>
            <w:r>
              <w:t xml:space="preserve">1.  </w:t>
            </w:r>
            <w:r w:rsidR="00D70AC0">
              <w:t>Schedule [X]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14:paraId="20B445EB" w14:textId="77777777" w:rsidR="00664C63" w:rsidRDefault="00D82446" w:rsidP="00D47F5D">
            <w:pPr>
              <w:pStyle w:val="Tabletext"/>
            </w:pPr>
            <w:r>
              <w:t>The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14:paraId="3EEB097C" w14:textId="77777777" w:rsidR="00664C63" w:rsidRDefault="00664C63" w:rsidP="00D47F5D">
            <w:pPr>
              <w:pStyle w:val="Tabletext"/>
            </w:pPr>
          </w:p>
        </w:tc>
      </w:tr>
      <w:tr w:rsidR="00664C63" w14:paraId="6D0C09DE" w14:textId="77777777" w:rsidTr="002F08B3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239C75B" w14:textId="77777777" w:rsidR="00664C63" w:rsidRDefault="00664C63" w:rsidP="00D47F5D">
            <w:pPr>
              <w:pStyle w:val="Tabletext"/>
            </w:pPr>
            <w:r>
              <w:t xml:space="preserve">2.  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3DA1B3BE" w14:textId="77777777" w:rsidR="00664C63" w:rsidRDefault="00664C63" w:rsidP="00D47F5D">
            <w:pPr>
              <w:pStyle w:val="Tabletext"/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14:paraId="7F795703" w14:textId="77777777" w:rsidR="00664C63" w:rsidRDefault="00664C63" w:rsidP="00D47F5D">
            <w:pPr>
              <w:pStyle w:val="Tabletext"/>
            </w:pPr>
          </w:p>
        </w:tc>
      </w:tr>
      <w:tr w:rsidR="00664C63" w14:paraId="5F01050D" w14:textId="77777777" w:rsidTr="002F08B3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01E38C8D" w14:textId="77777777" w:rsidR="00664C63" w:rsidRDefault="00664C63" w:rsidP="00D47F5D">
            <w:pPr>
              <w:pStyle w:val="Tabletext"/>
            </w:pPr>
            <w:r>
              <w:t xml:space="preserve">3.  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14:paraId="1193BD4A" w14:textId="77777777" w:rsidR="00664C63" w:rsidRDefault="00664C63" w:rsidP="00D47F5D">
            <w:pPr>
              <w:pStyle w:val="Tabletext"/>
            </w:pP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14:paraId="6BD17EF9" w14:textId="77777777" w:rsidR="00664C63" w:rsidRDefault="00664C63" w:rsidP="00D47F5D">
            <w:pPr>
              <w:pStyle w:val="Tabletext"/>
            </w:pPr>
          </w:p>
        </w:tc>
      </w:tr>
    </w:tbl>
    <w:p w14:paraId="452BA175" w14:textId="77777777" w:rsidR="00056C19" w:rsidRDefault="00056C19" w:rsidP="00D47F5D">
      <w:pPr>
        <w:pStyle w:val="ActHead6"/>
        <w:pageBreakBefore/>
      </w:pPr>
      <w:r w:rsidRPr="00295867">
        <w:rPr>
          <w:rStyle w:val="CharAmSchNo"/>
        </w:rPr>
        <w:lastRenderedPageBreak/>
        <w:t>Schedule [</w:t>
      </w:r>
      <w:r w:rsidR="001E6DE6" w:rsidRPr="00295867">
        <w:rPr>
          <w:rStyle w:val="CharAmSchNo"/>
        </w:rPr>
        <w:t>X</w:t>
      </w:r>
      <w:r w:rsidRPr="00295867">
        <w:rPr>
          <w:rStyle w:val="CharAmSchNo"/>
        </w:rPr>
        <w:t>]</w:t>
      </w:r>
      <w:r>
        <w:t>—</w:t>
      </w:r>
      <w:r w:rsidR="001E6DE6" w:rsidRPr="00295867">
        <w:rPr>
          <w:rStyle w:val="CharAmSchText"/>
        </w:rPr>
        <w:t xml:space="preserve">Disclosure of </w:t>
      </w:r>
      <w:r w:rsidR="00106865" w:rsidRPr="00295867">
        <w:rPr>
          <w:rStyle w:val="CharAmSchText"/>
        </w:rPr>
        <w:t>recognised assessment activity</w:t>
      </w:r>
    </w:p>
    <w:p w14:paraId="35DDE843" w14:textId="77777777" w:rsidR="00316C43" w:rsidRPr="00316C43" w:rsidRDefault="004223C3" w:rsidP="00D47F5D">
      <w:pPr>
        <w:pStyle w:val="ActHead7"/>
      </w:pPr>
      <w:r w:rsidRPr="00295867">
        <w:rPr>
          <w:rStyle w:val="CharAmPartNo"/>
        </w:rPr>
        <w:t>Part 1</w:t>
      </w:r>
      <w:r w:rsidR="0098197F">
        <w:t>—</w:t>
      </w:r>
      <w:r w:rsidR="0098197F" w:rsidRPr="00295867">
        <w:rPr>
          <w:rStyle w:val="CharAmPartText"/>
        </w:rPr>
        <w:t>Amendments</w:t>
      </w:r>
    </w:p>
    <w:p w14:paraId="1D241541" w14:textId="77777777" w:rsidR="00056C19" w:rsidRDefault="00056C19" w:rsidP="00D47F5D">
      <w:pPr>
        <w:pStyle w:val="ActHead9"/>
      </w:pPr>
      <w:r w:rsidRPr="00056C19">
        <w:t>Australian Charities and Not</w:t>
      </w:r>
      <w:r w:rsidR="00D47F5D">
        <w:noBreakHyphen/>
      </w:r>
      <w:r w:rsidRPr="00056C19">
        <w:t>for</w:t>
      </w:r>
      <w:r w:rsidR="00D47F5D">
        <w:noBreakHyphen/>
      </w:r>
      <w:r w:rsidRPr="00056C19">
        <w:t>profits Commission Act 2012</w:t>
      </w:r>
    </w:p>
    <w:p w14:paraId="0C5019F6" w14:textId="77777777" w:rsidR="00056C19" w:rsidRDefault="00056C19" w:rsidP="00D47F5D">
      <w:pPr>
        <w:pStyle w:val="ItemHead"/>
      </w:pPr>
      <w:proofErr w:type="gramStart"/>
      <w:r>
        <w:t xml:space="preserve">1  </w:t>
      </w:r>
      <w:r w:rsidR="00AE3F3F">
        <w:t>At</w:t>
      </w:r>
      <w:proofErr w:type="gramEnd"/>
      <w:r w:rsidR="00AE3F3F">
        <w:t xml:space="preserve"> the end of </w:t>
      </w:r>
      <w:r w:rsidR="009003F8">
        <w:t>Subdivision 1</w:t>
      </w:r>
      <w:r w:rsidR="003B65DA">
        <w:t>50</w:t>
      </w:r>
      <w:r w:rsidR="00D47F5D">
        <w:noBreakHyphen/>
      </w:r>
      <w:r w:rsidR="00B7042B">
        <w:t>C</w:t>
      </w:r>
    </w:p>
    <w:p w14:paraId="7800A072" w14:textId="77777777" w:rsidR="003B65DA" w:rsidRDefault="00AE3F3F" w:rsidP="00D47F5D">
      <w:pPr>
        <w:pStyle w:val="Item"/>
      </w:pPr>
      <w:r>
        <w:t>Add</w:t>
      </w:r>
      <w:r w:rsidR="003B65DA">
        <w:t>:</w:t>
      </w:r>
    </w:p>
    <w:p w14:paraId="4B182A74" w14:textId="77777777" w:rsidR="003B65DA" w:rsidRDefault="003B65DA" w:rsidP="00D47F5D">
      <w:pPr>
        <w:pStyle w:val="ActHead5"/>
        <w:rPr>
          <w:shd w:val="clear" w:color="auto" w:fill="FFFFFF"/>
        </w:rPr>
      </w:pPr>
      <w:r w:rsidRPr="00295867">
        <w:rPr>
          <w:rStyle w:val="CharSectno"/>
        </w:rPr>
        <w:t>150</w:t>
      </w:r>
      <w:r w:rsidR="00D47F5D" w:rsidRPr="00295867">
        <w:rPr>
          <w:rStyle w:val="CharSectno"/>
        </w:rPr>
        <w:noBreakHyphen/>
      </w:r>
      <w:proofErr w:type="gramStart"/>
      <w:r w:rsidRPr="00295867">
        <w:rPr>
          <w:rStyle w:val="CharSectno"/>
        </w:rPr>
        <w:t>5</w:t>
      </w:r>
      <w:r w:rsidR="00AE3F3F" w:rsidRPr="00295867">
        <w:rPr>
          <w:rStyle w:val="CharSectno"/>
        </w:rPr>
        <w:t>2</w:t>
      </w:r>
      <w:r>
        <w:t xml:space="preserve">  Exception</w:t>
      </w:r>
      <w:bookmarkStart w:id="0" w:name="_Toc84502225"/>
      <w:proofErr w:type="gramEnd"/>
      <w:r>
        <w:rPr>
          <w:shd w:val="clear" w:color="auto" w:fill="FFFFFF"/>
        </w:rPr>
        <w:t>—</w:t>
      </w:r>
      <w:bookmarkEnd w:id="0"/>
      <w:r>
        <w:rPr>
          <w:shd w:val="clear" w:color="auto" w:fill="FFFFFF"/>
        </w:rPr>
        <w:t>disclosure of information</w:t>
      </w:r>
      <w:r w:rsidRPr="00164097">
        <w:rPr>
          <w:shd w:val="clear" w:color="auto" w:fill="FFFFFF"/>
        </w:rPr>
        <w:t xml:space="preserve"> </w:t>
      </w:r>
      <w:r w:rsidR="00164097" w:rsidRPr="00164097">
        <w:rPr>
          <w:shd w:val="clear" w:color="auto" w:fill="FFFFFF"/>
        </w:rPr>
        <w:t>relating to</w:t>
      </w:r>
      <w:r w:rsidR="00164097">
        <w:rPr>
          <w:shd w:val="clear" w:color="auto" w:fill="FFFFFF"/>
        </w:rPr>
        <w:t xml:space="preserve"> </w:t>
      </w:r>
      <w:r w:rsidR="00D4649C">
        <w:rPr>
          <w:shd w:val="clear" w:color="auto" w:fill="FFFFFF"/>
        </w:rPr>
        <w:t xml:space="preserve">a </w:t>
      </w:r>
      <w:r w:rsidR="00DB202E">
        <w:rPr>
          <w:shd w:val="clear" w:color="auto" w:fill="FFFFFF"/>
        </w:rPr>
        <w:t>recognised assessment activity</w:t>
      </w:r>
    </w:p>
    <w:p w14:paraId="7921737D" w14:textId="77777777" w:rsidR="007A6711" w:rsidRDefault="009702EC" w:rsidP="00D47F5D">
      <w:pPr>
        <w:pStyle w:val="subsection"/>
      </w:pPr>
      <w:r>
        <w:tab/>
        <w:t>(1)</w:t>
      </w:r>
      <w:r>
        <w:tab/>
      </w:r>
      <w:r w:rsidR="007A6711">
        <w:t>An ACNC officer may disclose protected ACNC information if the Commis</w:t>
      </w:r>
      <w:r w:rsidR="007A6711" w:rsidRPr="007A6711">
        <w:t xml:space="preserve">sioner has authorised the disclosure of the information under </w:t>
      </w:r>
      <w:r w:rsidR="00D47F5D">
        <w:t>subsection (</w:t>
      </w:r>
      <w:r w:rsidR="00712D53">
        <w:t>3</w:t>
      </w:r>
      <w:r w:rsidR="007A6711" w:rsidRPr="007A6711">
        <w:t>)</w:t>
      </w:r>
      <w:r w:rsidR="00BA5112">
        <w:t>.</w:t>
      </w:r>
    </w:p>
    <w:p w14:paraId="135869F7" w14:textId="77777777" w:rsidR="008726A1" w:rsidRDefault="00712D53" w:rsidP="00D47F5D">
      <w:pPr>
        <w:pStyle w:val="subsection"/>
      </w:pPr>
      <w:r>
        <w:tab/>
        <w:t>(2)</w:t>
      </w:r>
      <w:r>
        <w:tab/>
      </w:r>
      <w:r w:rsidR="00044996">
        <w:t xml:space="preserve">To make a disclosure under </w:t>
      </w:r>
      <w:r w:rsidR="00D47F5D">
        <w:t>subsection (</w:t>
      </w:r>
      <w:r w:rsidR="00044996">
        <w:t>1), the ACNC officer:</w:t>
      </w:r>
    </w:p>
    <w:p w14:paraId="41E5DD68" w14:textId="77777777" w:rsidR="00B46AF0" w:rsidRDefault="008726A1" w:rsidP="00D47F5D">
      <w:pPr>
        <w:pStyle w:val="paragraph"/>
      </w:pPr>
      <w:r>
        <w:tab/>
        <w:t>(a)</w:t>
      </w:r>
      <w:r>
        <w:tab/>
      </w:r>
      <w:r w:rsidR="00B46AF0">
        <w:t xml:space="preserve">must </w:t>
      </w:r>
      <w:r w:rsidR="00044996">
        <w:t>cause the information to be published on</w:t>
      </w:r>
      <w:r w:rsidR="00B46AF0">
        <w:t xml:space="preserve"> the ACNC’s website; and</w:t>
      </w:r>
    </w:p>
    <w:p w14:paraId="2A6BACDC" w14:textId="77777777" w:rsidR="00B46AF0" w:rsidRPr="00B46AF0" w:rsidRDefault="00B46AF0" w:rsidP="00D47F5D">
      <w:pPr>
        <w:pStyle w:val="paragraph"/>
      </w:pPr>
      <w:r>
        <w:tab/>
        <w:t>(b)</w:t>
      </w:r>
      <w:r>
        <w:tab/>
        <w:t xml:space="preserve">may </w:t>
      </w:r>
      <w:r w:rsidR="008726A1">
        <w:t>also disclose</w:t>
      </w:r>
      <w:r w:rsidR="00044996">
        <w:t xml:space="preserve"> the information</w:t>
      </w:r>
      <w:r w:rsidR="008726A1">
        <w:t xml:space="preserve"> by any other means authorised</w:t>
      </w:r>
      <w:r w:rsidR="009003F8">
        <w:t>, in writing,</w:t>
      </w:r>
      <w:r w:rsidR="008726A1">
        <w:t xml:space="preserve"> by the Commissioner.</w:t>
      </w:r>
    </w:p>
    <w:p w14:paraId="7FD331BC" w14:textId="77777777" w:rsidR="00712D53" w:rsidRPr="00712D53" w:rsidRDefault="00712D53" w:rsidP="00D47F5D">
      <w:pPr>
        <w:pStyle w:val="SubsectionHead"/>
      </w:pPr>
      <w:r>
        <w:t>Authorisation by the Commissioner</w:t>
      </w:r>
    </w:p>
    <w:p w14:paraId="6427F3E1" w14:textId="77777777" w:rsidR="009702EC" w:rsidRDefault="007A6711" w:rsidP="00D47F5D">
      <w:pPr>
        <w:pStyle w:val="subsection"/>
      </w:pPr>
      <w:r>
        <w:tab/>
        <w:t>(</w:t>
      </w:r>
      <w:r w:rsidR="00712D53">
        <w:t>3</w:t>
      </w:r>
      <w:r>
        <w:t>)</w:t>
      </w:r>
      <w:r>
        <w:tab/>
      </w:r>
      <w:r w:rsidR="00762A6F">
        <w:t>T</w:t>
      </w:r>
      <w:r w:rsidR="009702EC">
        <w:t xml:space="preserve">he Commissioner may </w:t>
      </w:r>
      <w:r>
        <w:t xml:space="preserve">authorise, in writing, the </w:t>
      </w:r>
      <w:r w:rsidR="009702EC">
        <w:t>disclos</w:t>
      </w:r>
      <w:r>
        <w:t xml:space="preserve">ure of </w:t>
      </w:r>
      <w:r w:rsidR="009702EC">
        <w:t xml:space="preserve">protected ACNC information </w:t>
      </w:r>
      <w:r w:rsidR="00493E5C">
        <w:t xml:space="preserve">under </w:t>
      </w:r>
      <w:r w:rsidR="00D47F5D">
        <w:t>subsection (</w:t>
      </w:r>
      <w:r w:rsidR="00493E5C">
        <w:t>1)</w:t>
      </w:r>
      <w:r w:rsidR="00DA3CB3">
        <w:t xml:space="preserve"> </w:t>
      </w:r>
      <w:r w:rsidR="009702EC">
        <w:t>if:</w:t>
      </w:r>
    </w:p>
    <w:p w14:paraId="6BC3DEDE" w14:textId="77777777" w:rsidR="00DA3CB3" w:rsidRDefault="00DA3CB3" w:rsidP="00D47F5D">
      <w:pPr>
        <w:pStyle w:val="paragraph"/>
      </w:pPr>
      <w:r>
        <w:tab/>
        <w:t>(a)</w:t>
      </w:r>
      <w:r>
        <w:tab/>
        <w:t>the Commissioner</w:t>
      </w:r>
      <w:r w:rsidRPr="009702EC">
        <w:rPr>
          <w:i/>
        </w:rPr>
        <w:t xml:space="preserve"> </w:t>
      </w:r>
      <w:r w:rsidR="00C20E12" w:rsidRPr="00C20E12">
        <w:t>r</w:t>
      </w:r>
      <w:r w:rsidR="00044996" w:rsidRPr="00C20E12">
        <w:t xml:space="preserve">easonably </w:t>
      </w:r>
      <w:r w:rsidR="002444FD" w:rsidRPr="00C20E12">
        <w:t>suspects</w:t>
      </w:r>
      <w:r w:rsidRPr="00C20E12">
        <w:t xml:space="preserve"> </w:t>
      </w:r>
      <w:r w:rsidR="00C72428">
        <w:t xml:space="preserve">that </w:t>
      </w:r>
      <w:r w:rsidR="00F85C2E">
        <w:t>a</w:t>
      </w:r>
      <w:r>
        <w:t xml:space="preserve"> </w:t>
      </w:r>
      <w:r w:rsidR="0046692C">
        <w:t>registered</w:t>
      </w:r>
      <w:r w:rsidR="005416FC">
        <w:t xml:space="preserve"> </w:t>
      </w:r>
      <w:r>
        <w:t>entity</w:t>
      </w:r>
      <w:r w:rsidR="00A238F1">
        <w:t>:</w:t>
      </w:r>
    </w:p>
    <w:p w14:paraId="5449EC93" w14:textId="77777777" w:rsidR="00DA3CB3" w:rsidRDefault="00DA3CB3" w:rsidP="00D47F5D">
      <w:pPr>
        <w:pStyle w:val="paragraphsub"/>
      </w:pPr>
      <w:r>
        <w:tab/>
        <w:t>(i)</w:t>
      </w:r>
      <w:r>
        <w:tab/>
      </w:r>
      <w:r w:rsidR="00A238F1">
        <w:t xml:space="preserve">has </w:t>
      </w:r>
      <w:r>
        <w:t>contravened</w:t>
      </w:r>
      <w:r w:rsidR="00842D91">
        <w:t xml:space="preserve"> </w:t>
      </w:r>
      <w:r>
        <w:t>a provision of this Act; or</w:t>
      </w:r>
    </w:p>
    <w:p w14:paraId="33059C0B" w14:textId="77777777" w:rsidR="00DA3CB3" w:rsidRDefault="00DA3CB3" w:rsidP="00D47F5D">
      <w:pPr>
        <w:pStyle w:val="paragraphsub"/>
        <w:rPr>
          <w:lang w:eastAsia="en-US"/>
        </w:rPr>
      </w:pPr>
      <w:r>
        <w:tab/>
        <w:t>(ii)</w:t>
      </w:r>
      <w:r>
        <w:tab/>
      </w:r>
      <w:r w:rsidR="00A238F1">
        <w:t xml:space="preserve">has </w:t>
      </w:r>
      <w:r>
        <w:t>not complied with</w:t>
      </w:r>
      <w:r w:rsidR="00842D91">
        <w:t xml:space="preserve"> </w:t>
      </w:r>
      <w:r>
        <w:t xml:space="preserve">a </w:t>
      </w:r>
      <w:r w:rsidRPr="00970191">
        <w:t xml:space="preserve">governance standard or </w:t>
      </w:r>
      <w:r w:rsidRPr="004D6DA0">
        <w:rPr>
          <w:lang w:eastAsia="en-US"/>
        </w:rPr>
        <w:t>external conduct standard; and</w:t>
      </w:r>
    </w:p>
    <w:p w14:paraId="79402743" w14:textId="77777777" w:rsidR="00762A6F" w:rsidRDefault="009702EC" w:rsidP="00D47F5D">
      <w:pPr>
        <w:pStyle w:val="paragraph"/>
      </w:pPr>
      <w:r>
        <w:tab/>
        <w:t>(</w:t>
      </w:r>
      <w:r w:rsidR="00DA3CB3">
        <w:t>b</w:t>
      </w:r>
      <w:r>
        <w:t>)</w:t>
      </w:r>
      <w:r>
        <w:tab/>
        <w:t xml:space="preserve">the disclosure is for the purpose of describing </w:t>
      </w:r>
      <w:r w:rsidRPr="009534DE">
        <w:t>a</w:t>
      </w:r>
      <w:r w:rsidR="0082083D" w:rsidRPr="009534DE">
        <w:t xml:space="preserve"> recognised assessment activity</w:t>
      </w:r>
      <w:r>
        <w:t xml:space="preserve"> </w:t>
      </w:r>
      <w:r w:rsidR="003B18DD">
        <w:t>being carried out</w:t>
      </w:r>
      <w:r>
        <w:t xml:space="preserve">, or proposed to be </w:t>
      </w:r>
      <w:r w:rsidR="003B18DD">
        <w:t>carried out</w:t>
      </w:r>
      <w:r>
        <w:t xml:space="preserve">, by the Commissioner under this Act in relation to such a </w:t>
      </w:r>
      <w:r w:rsidR="005433F7">
        <w:t xml:space="preserve">suspected </w:t>
      </w:r>
      <w:r>
        <w:t>contravention</w:t>
      </w:r>
      <w:r w:rsidR="005433F7">
        <w:t>,</w:t>
      </w:r>
      <w:r>
        <w:t xml:space="preserve"> or </w:t>
      </w:r>
      <w:r w:rsidR="005433F7">
        <w:t xml:space="preserve">such suspected </w:t>
      </w:r>
      <w:r>
        <w:t>non</w:t>
      </w:r>
      <w:r w:rsidR="00D47F5D">
        <w:noBreakHyphen/>
      </w:r>
      <w:r>
        <w:t>compliance</w:t>
      </w:r>
      <w:r w:rsidR="005433F7">
        <w:t>,</w:t>
      </w:r>
      <w:r>
        <w:t xml:space="preserve"> by the entity</w:t>
      </w:r>
      <w:r w:rsidR="00762A6F">
        <w:t>; and</w:t>
      </w:r>
    </w:p>
    <w:p w14:paraId="2D2F2A4E" w14:textId="77777777" w:rsidR="00BB3E29" w:rsidRDefault="00BB3E29" w:rsidP="00D47F5D">
      <w:pPr>
        <w:pStyle w:val="paragraph"/>
      </w:pPr>
      <w:r>
        <w:tab/>
        <w:t>(c)</w:t>
      </w:r>
      <w:r>
        <w:tab/>
        <w:t>the Commissioner is satisfied that the disclosure is necessary to:</w:t>
      </w:r>
    </w:p>
    <w:p w14:paraId="0576BAA5" w14:textId="77777777" w:rsidR="00BB3E29" w:rsidRPr="00D43F99" w:rsidRDefault="00BB3E29" w:rsidP="00D47F5D">
      <w:pPr>
        <w:pStyle w:val="paragraphsub"/>
      </w:pPr>
      <w:r>
        <w:lastRenderedPageBreak/>
        <w:tab/>
        <w:t>(i)</w:t>
      </w:r>
      <w:r>
        <w:tab/>
        <w:t>p</w:t>
      </w:r>
      <w:r w:rsidRPr="00D43F99">
        <w:t>revent or minimise the risk of significant harm to public health, public safety or an individual; or</w:t>
      </w:r>
    </w:p>
    <w:p w14:paraId="36E30A48" w14:textId="77777777" w:rsidR="00BB3E29" w:rsidRDefault="00BB3E29" w:rsidP="00D47F5D">
      <w:pPr>
        <w:pStyle w:val="paragraphsub"/>
      </w:pPr>
      <w:r w:rsidRPr="00D43F99">
        <w:tab/>
        <w:t>(ii)</w:t>
      </w:r>
      <w:r w:rsidRPr="00D43F99">
        <w:tab/>
        <w:t xml:space="preserve">prevent or minimise the risk of significant mismanagement </w:t>
      </w:r>
      <w:r w:rsidRPr="00FD2FC3">
        <w:t xml:space="preserve">or misappropriation of funds or </w:t>
      </w:r>
      <w:r w:rsidRPr="00D43F99">
        <w:t>assets</w:t>
      </w:r>
      <w:r w:rsidRPr="00FD2FC3">
        <w:t xml:space="preserve"> of the entity</w:t>
      </w:r>
      <w:r w:rsidR="002E0512">
        <w:t>, or contributions to the entity</w:t>
      </w:r>
      <w:r w:rsidRPr="00D43F99">
        <w:t>; or</w:t>
      </w:r>
    </w:p>
    <w:p w14:paraId="3F0E4ACB" w14:textId="77777777" w:rsidR="00BB3E29" w:rsidRDefault="00BB3E29" w:rsidP="00D47F5D">
      <w:pPr>
        <w:pStyle w:val="paragraphsub"/>
      </w:pPr>
      <w:r w:rsidRPr="00D43F99">
        <w:tab/>
        <w:t>(iii)</w:t>
      </w:r>
      <w:r w:rsidRPr="00D43F99">
        <w:tab/>
        <w:t xml:space="preserve">prevent or minimise the risk of </w:t>
      </w:r>
      <w:r>
        <w:t xml:space="preserve">significant </w:t>
      </w:r>
      <w:r w:rsidRPr="00D43F99">
        <w:t xml:space="preserve">harm to the </w:t>
      </w:r>
      <w:r>
        <w:t>public trust and confidence in the Australian not</w:t>
      </w:r>
      <w:r w:rsidR="00D47F5D">
        <w:noBreakHyphen/>
      </w:r>
      <w:r>
        <w:t>for</w:t>
      </w:r>
      <w:r w:rsidR="00D47F5D">
        <w:noBreakHyphen/>
      </w:r>
      <w:r>
        <w:t>profit sector, or to a part of the sector; and</w:t>
      </w:r>
    </w:p>
    <w:p w14:paraId="22581109" w14:textId="77777777" w:rsidR="009534DE" w:rsidRDefault="009534DE" w:rsidP="00D47F5D">
      <w:pPr>
        <w:pStyle w:val="paragraph"/>
      </w:pPr>
      <w:r>
        <w:tab/>
      </w:r>
      <w:r w:rsidRPr="003D4E99">
        <w:t>(</w:t>
      </w:r>
      <w:r w:rsidR="00BB3E29">
        <w:t>d</w:t>
      </w:r>
      <w:r w:rsidRPr="003D4E99">
        <w:t>)</w:t>
      </w:r>
      <w:r>
        <w:tab/>
      </w:r>
      <w:r w:rsidRPr="003D4E99">
        <w:t xml:space="preserve">if the information is personal information (within the meaning of the </w:t>
      </w:r>
      <w:r w:rsidRPr="00656C3C">
        <w:rPr>
          <w:i/>
        </w:rPr>
        <w:t>Privacy Act 1988</w:t>
      </w:r>
      <w:r w:rsidRPr="003D4E99">
        <w:t>)—</w:t>
      </w:r>
      <w:r>
        <w:t xml:space="preserve">the Commissioner is satisfied that </w:t>
      </w:r>
      <w:r w:rsidRPr="003D4E99">
        <w:t>the disclosure is necessary to achieve the objects of this Act.</w:t>
      </w:r>
    </w:p>
    <w:p w14:paraId="27923E18" w14:textId="77777777" w:rsidR="00BB3E29" w:rsidRDefault="00BB3E29" w:rsidP="00D47F5D">
      <w:pPr>
        <w:pStyle w:val="subsection"/>
      </w:pPr>
      <w:r>
        <w:tab/>
        <w:t>(4)</w:t>
      </w:r>
      <w:r>
        <w:tab/>
        <w:t xml:space="preserve">However, the Commissioner may </w:t>
      </w:r>
      <w:r w:rsidR="00985E58">
        <w:t>only</w:t>
      </w:r>
      <w:r>
        <w:t xml:space="preserve"> authorise a disclosure under </w:t>
      </w:r>
      <w:r w:rsidR="00D47F5D">
        <w:t>subsection (</w:t>
      </w:r>
      <w:r>
        <w:t xml:space="preserve">3) </w:t>
      </w:r>
      <w:r w:rsidR="00985E58">
        <w:t>if</w:t>
      </w:r>
      <w:r>
        <w:t xml:space="preserve"> the Commissioner is satisfied that any harm that is likely to be caused to the </w:t>
      </w:r>
      <w:r w:rsidR="007200AD">
        <w:t xml:space="preserve">registered </w:t>
      </w:r>
      <w:r>
        <w:t>entity</w:t>
      </w:r>
      <w:r w:rsidR="007200AD">
        <w:t xml:space="preserve"> mentioned in </w:t>
      </w:r>
      <w:r w:rsidR="00D47F5D">
        <w:t>paragraph (</w:t>
      </w:r>
      <w:r w:rsidR="007200AD">
        <w:t>3)(a)</w:t>
      </w:r>
      <w:r>
        <w:t>, or to an individual who is:</w:t>
      </w:r>
    </w:p>
    <w:p w14:paraId="3064DE8F" w14:textId="77777777" w:rsidR="00BB3E29" w:rsidRPr="00BB3E29" w:rsidRDefault="00BB3E29" w:rsidP="00D47F5D">
      <w:pPr>
        <w:pStyle w:val="paragraph"/>
      </w:pPr>
      <w:r>
        <w:tab/>
        <w:t>(a)</w:t>
      </w:r>
      <w:r>
        <w:tab/>
        <w:t>emplo</w:t>
      </w:r>
      <w:r w:rsidRPr="00BB3E29">
        <w:t>yed by the entity under a contract of service; or</w:t>
      </w:r>
    </w:p>
    <w:p w14:paraId="28BAE480" w14:textId="77777777" w:rsidR="00BB3E29" w:rsidRPr="00BB3E29" w:rsidRDefault="00BB3E29" w:rsidP="00D47F5D">
      <w:pPr>
        <w:pStyle w:val="paragraph"/>
      </w:pPr>
      <w:r w:rsidRPr="00BB3E29">
        <w:tab/>
        <w:t>(b)</w:t>
      </w:r>
      <w:r w:rsidRPr="00BB3E29">
        <w:tab/>
        <w:t>engaged by the entity under a contract for services; or</w:t>
      </w:r>
    </w:p>
    <w:p w14:paraId="24DCC018" w14:textId="77777777" w:rsidR="00BB3E29" w:rsidRPr="00BB3E29" w:rsidRDefault="00BB3E29" w:rsidP="00D47F5D">
      <w:pPr>
        <w:pStyle w:val="paragraph"/>
      </w:pPr>
      <w:r w:rsidRPr="00BB3E29">
        <w:tab/>
        <w:t>(c)</w:t>
      </w:r>
      <w:r w:rsidRPr="00BB3E29">
        <w:tab/>
      </w:r>
      <w:r w:rsidR="005433F7">
        <w:t xml:space="preserve">being provided with services, or receiving benefits, under a program provided by </w:t>
      </w:r>
      <w:r w:rsidRPr="00BB3E29">
        <w:t>the entity; or</w:t>
      </w:r>
    </w:p>
    <w:p w14:paraId="43C21809" w14:textId="77777777" w:rsidR="00BB3E29" w:rsidRPr="00BB3E29" w:rsidRDefault="00BB3E29" w:rsidP="00D47F5D">
      <w:pPr>
        <w:pStyle w:val="paragraph"/>
      </w:pPr>
      <w:r w:rsidRPr="00BB3E29">
        <w:tab/>
        <w:t>(d)</w:t>
      </w:r>
      <w:r w:rsidRPr="00BB3E29">
        <w:tab/>
        <w:t>a volunteer of the entity; or</w:t>
      </w:r>
    </w:p>
    <w:p w14:paraId="0820D768" w14:textId="77777777" w:rsidR="00BB3E29" w:rsidRPr="00BB3E29" w:rsidRDefault="00BB3E29" w:rsidP="00D47F5D">
      <w:pPr>
        <w:pStyle w:val="paragraph"/>
      </w:pPr>
      <w:r w:rsidRPr="00BB3E29">
        <w:tab/>
        <w:t>(e)</w:t>
      </w:r>
      <w:r w:rsidRPr="00BB3E29">
        <w:tab/>
        <w:t>a member of the entity; or</w:t>
      </w:r>
    </w:p>
    <w:p w14:paraId="6EF464DB" w14:textId="77777777" w:rsidR="00BB3E29" w:rsidRDefault="00BB3E29" w:rsidP="00D47F5D">
      <w:pPr>
        <w:pStyle w:val="paragraph"/>
      </w:pPr>
      <w:r w:rsidRPr="00BB3E29">
        <w:tab/>
        <w:t>(f)</w:t>
      </w:r>
      <w:r w:rsidRPr="00BB3E29">
        <w:tab/>
        <w:t xml:space="preserve">otherwise </w:t>
      </w:r>
      <w:r>
        <w:t xml:space="preserve">connected to the </w:t>
      </w:r>
      <w:proofErr w:type="gramStart"/>
      <w:r>
        <w:t>entity;</w:t>
      </w:r>
      <w:proofErr w:type="gramEnd"/>
    </w:p>
    <w:p w14:paraId="30CE089D" w14:textId="77777777" w:rsidR="00BB3E29" w:rsidRDefault="00BB3E29" w:rsidP="00D47F5D">
      <w:pPr>
        <w:pStyle w:val="subsection2"/>
      </w:pPr>
      <w:r>
        <w:t>would not be disproportionate, having regard to:</w:t>
      </w:r>
    </w:p>
    <w:p w14:paraId="6B2D4DF8" w14:textId="77777777" w:rsidR="00BB3E29" w:rsidRPr="00BB3E29" w:rsidRDefault="00BB3E29" w:rsidP="00D47F5D">
      <w:pPr>
        <w:pStyle w:val="paragraph"/>
      </w:pPr>
      <w:r>
        <w:tab/>
        <w:t>(g)</w:t>
      </w:r>
      <w:r>
        <w:tab/>
        <w:t>the</w:t>
      </w:r>
      <w:r w:rsidRPr="00BB3E29">
        <w:t xml:space="preserve"> matters </w:t>
      </w:r>
      <w:r>
        <w:t>in</w:t>
      </w:r>
      <w:r w:rsidRPr="00BB3E29">
        <w:t xml:space="preserve"> </w:t>
      </w:r>
      <w:r w:rsidR="00D47F5D">
        <w:t>paragraph (</w:t>
      </w:r>
      <w:r w:rsidRPr="00BB3E29">
        <w:t>3)(</w:t>
      </w:r>
      <w:r>
        <w:t>c)</w:t>
      </w:r>
      <w:r w:rsidRPr="00BB3E29">
        <w:t>; and</w:t>
      </w:r>
    </w:p>
    <w:p w14:paraId="44150241" w14:textId="77777777" w:rsidR="00BB3E29" w:rsidRPr="00BB3E29" w:rsidRDefault="00BB3E29" w:rsidP="00D47F5D">
      <w:pPr>
        <w:pStyle w:val="paragraph"/>
      </w:pPr>
      <w:r w:rsidRPr="00BB3E29">
        <w:tab/>
        <w:t>(h)</w:t>
      </w:r>
      <w:r w:rsidRPr="00BB3E29">
        <w:tab/>
        <w:t>the seriousness of the contravention or non</w:t>
      </w:r>
      <w:r w:rsidR="00D47F5D">
        <w:noBreakHyphen/>
      </w:r>
      <w:r w:rsidRPr="00BB3E29">
        <w:t xml:space="preserve">compliance mentioned in </w:t>
      </w:r>
      <w:r w:rsidR="00D47F5D">
        <w:t>paragraph (</w:t>
      </w:r>
      <w:r>
        <w:t>3)</w:t>
      </w:r>
      <w:r w:rsidRPr="00BB3E29">
        <w:t xml:space="preserve">(a) and the strength of the evidence </w:t>
      </w:r>
      <w:r w:rsidR="00C50FB3">
        <w:t xml:space="preserve">of the </w:t>
      </w:r>
      <w:r w:rsidR="005433F7">
        <w:t xml:space="preserve">suspected </w:t>
      </w:r>
      <w:r w:rsidR="00C50FB3">
        <w:t xml:space="preserve">contravention or </w:t>
      </w:r>
      <w:r w:rsidR="005433F7">
        <w:t xml:space="preserve">suspected </w:t>
      </w:r>
      <w:r w:rsidR="00C50FB3">
        <w:t>non</w:t>
      </w:r>
      <w:r w:rsidR="00D47F5D">
        <w:noBreakHyphen/>
      </w:r>
      <w:r w:rsidR="00C50FB3">
        <w:t xml:space="preserve">compliance </w:t>
      </w:r>
      <w:r w:rsidRPr="00BB3E29">
        <w:t>available to the Commissioner; and</w:t>
      </w:r>
    </w:p>
    <w:p w14:paraId="75044576" w14:textId="77777777" w:rsidR="00BB3E29" w:rsidRDefault="00BB3E29" w:rsidP="00D47F5D">
      <w:pPr>
        <w:pStyle w:val="paragraph"/>
      </w:pPr>
      <w:r w:rsidRPr="00BB3E29">
        <w:tab/>
        <w:t>(i)</w:t>
      </w:r>
      <w:r w:rsidRPr="00BB3E29">
        <w:tab/>
        <w:t xml:space="preserve">whether the </w:t>
      </w:r>
      <w:r w:rsidR="005433F7">
        <w:t xml:space="preserve">suspected </w:t>
      </w:r>
      <w:r w:rsidRPr="00BB3E29">
        <w:t xml:space="preserve">contravention or </w:t>
      </w:r>
      <w:r w:rsidR="005433F7">
        <w:t xml:space="preserve">suspected </w:t>
      </w:r>
      <w:r w:rsidRPr="00BB3E29">
        <w:t>non</w:t>
      </w:r>
      <w:r w:rsidR="00D47F5D">
        <w:noBreakHyphen/>
      </w:r>
      <w:r w:rsidRPr="00BB3E29">
        <w:t xml:space="preserve">compliance mentioned in </w:t>
      </w:r>
      <w:r w:rsidR="00D47F5D">
        <w:t>paragraph (</w:t>
      </w:r>
      <w:r>
        <w:t>3)</w:t>
      </w:r>
      <w:r w:rsidRPr="00BB3E29">
        <w:t xml:space="preserve">(a) is likely to be the result of </w:t>
      </w:r>
      <w:r w:rsidR="00985E58">
        <w:t>an act or omission of</w:t>
      </w:r>
      <w:r w:rsidRPr="00BB3E29">
        <w:t xml:space="preserve"> the </w:t>
      </w:r>
      <w:r w:rsidR="00DF0BFE">
        <w:t>entity</w:t>
      </w:r>
      <w:r w:rsidR="00985E58">
        <w:t>,</w:t>
      </w:r>
      <w:r w:rsidRPr="00BB3E29">
        <w:t xml:space="preserve"> or </w:t>
      </w:r>
      <w:r w:rsidR="00985E58">
        <w:t xml:space="preserve">of </w:t>
      </w:r>
      <w:r w:rsidRPr="00BB3E29">
        <w:t xml:space="preserve">an individual acting without </w:t>
      </w:r>
      <w:r w:rsidRPr="00C84244">
        <w:t xml:space="preserve">the authority of the </w:t>
      </w:r>
      <w:r w:rsidR="00DF0BFE">
        <w:t>entity</w:t>
      </w:r>
      <w:r>
        <w:t>.</w:t>
      </w:r>
    </w:p>
    <w:p w14:paraId="3FE9B581" w14:textId="77777777" w:rsidR="002E0512" w:rsidRPr="002E0512" w:rsidRDefault="002E0512" w:rsidP="00D47F5D">
      <w:pPr>
        <w:pStyle w:val="SubsectionHead"/>
      </w:pPr>
      <w:bookmarkStart w:id="1" w:name="_Hlk144992781"/>
      <w:r>
        <w:t xml:space="preserve">Commissioner </w:t>
      </w:r>
      <w:r w:rsidR="00B06881">
        <w:t xml:space="preserve">may give notice before </w:t>
      </w:r>
      <w:proofErr w:type="gramStart"/>
      <w:r w:rsidR="00B06881">
        <w:t>authorisation</w:t>
      </w:r>
      <w:proofErr w:type="gramEnd"/>
    </w:p>
    <w:p w14:paraId="03E4F69A" w14:textId="77777777" w:rsidR="004B026B" w:rsidRDefault="004B026B" w:rsidP="00D47F5D">
      <w:pPr>
        <w:pStyle w:val="subsection"/>
      </w:pPr>
      <w:r>
        <w:tab/>
        <w:t>(5)</w:t>
      </w:r>
      <w:r>
        <w:tab/>
        <w:t xml:space="preserve">The Commissioner may give an entity notice, in writing, that the Commissioner is considering giving an authorisation under </w:t>
      </w:r>
      <w:r w:rsidR="00D47F5D">
        <w:t>subsection (</w:t>
      </w:r>
      <w:r>
        <w:t>3) in relation to information that concerns the entity.</w:t>
      </w:r>
    </w:p>
    <w:p w14:paraId="01D5122B" w14:textId="77777777" w:rsidR="004B026B" w:rsidRPr="004B026B" w:rsidRDefault="004B026B" w:rsidP="00D47F5D">
      <w:pPr>
        <w:pStyle w:val="notetext"/>
      </w:pPr>
      <w:r>
        <w:t>Note:</w:t>
      </w:r>
      <w:r>
        <w:tab/>
        <w:t xml:space="preserve">An entity </w:t>
      </w:r>
      <w:r w:rsidR="00B06881">
        <w:t xml:space="preserve">given notice </w:t>
      </w:r>
      <w:r>
        <w:t xml:space="preserve">under </w:t>
      </w:r>
      <w:r w:rsidR="00D47F5D">
        <w:t>subsection (</w:t>
      </w:r>
      <w:r>
        <w:t xml:space="preserve">5) may be the </w:t>
      </w:r>
      <w:r w:rsidR="00434E02">
        <w:t xml:space="preserve">registered </w:t>
      </w:r>
      <w:r>
        <w:t>entity</w:t>
      </w:r>
      <w:r w:rsidR="00434E02">
        <w:t xml:space="preserve"> mentioned in </w:t>
      </w:r>
      <w:r w:rsidR="00D47F5D">
        <w:t>paragraph (</w:t>
      </w:r>
      <w:r w:rsidR="00434E02">
        <w:t>3)(a)</w:t>
      </w:r>
      <w:r>
        <w:t xml:space="preserve">, or another entity (such as an </w:t>
      </w:r>
      <w:r>
        <w:lastRenderedPageBreak/>
        <w:t xml:space="preserve">employee or </w:t>
      </w:r>
      <w:r w:rsidR="00434E02">
        <w:t>member</w:t>
      </w:r>
      <w:r>
        <w:t xml:space="preserve"> of the </w:t>
      </w:r>
      <w:r w:rsidR="00434E02">
        <w:t xml:space="preserve">registered </w:t>
      </w:r>
      <w:r>
        <w:t>entity</w:t>
      </w:r>
      <w:r w:rsidR="00434E02">
        <w:t xml:space="preserve"> mentioned in </w:t>
      </w:r>
      <w:r w:rsidR="00D47F5D">
        <w:t>paragraph (</w:t>
      </w:r>
      <w:r w:rsidR="00434E02">
        <w:t>3)(a)</w:t>
      </w:r>
      <w:r>
        <w:t>).</w:t>
      </w:r>
    </w:p>
    <w:p w14:paraId="6626B324" w14:textId="77777777" w:rsidR="009A1773" w:rsidRDefault="009A1773" w:rsidP="00D47F5D">
      <w:pPr>
        <w:pStyle w:val="subsection"/>
      </w:pPr>
      <w:r>
        <w:tab/>
        <w:t>(6)</w:t>
      </w:r>
      <w:r>
        <w:tab/>
        <w:t>If:</w:t>
      </w:r>
    </w:p>
    <w:p w14:paraId="75B35CC5" w14:textId="77777777" w:rsidR="009A1773" w:rsidRDefault="009A1773" w:rsidP="00D47F5D">
      <w:pPr>
        <w:pStyle w:val="paragraph"/>
      </w:pPr>
      <w:r>
        <w:tab/>
        <w:t>(a)</w:t>
      </w:r>
      <w:r>
        <w:tab/>
        <w:t xml:space="preserve">the Commissioner authorises the disclosure of information under </w:t>
      </w:r>
      <w:r w:rsidR="00D47F5D">
        <w:t>subsection (</w:t>
      </w:r>
      <w:r>
        <w:t>3); and</w:t>
      </w:r>
    </w:p>
    <w:p w14:paraId="7CFAE999" w14:textId="77777777" w:rsidR="009A1773" w:rsidRDefault="009A1773" w:rsidP="00D47F5D">
      <w:pPr>
        <w:pStyle w:val="paragraph"/>
      </w:pPr>
      <w:r>
        <w:tab/>
        <w:t>(b)</w:t>
      </w:r>
      <w:r>
        <w:tab/>
        <w:t xml:space="preserve">before authorising the disclosure, the Commissioner gave notice to an entity under </w:t>
      </w:r>
      <w:r w:rsidR="00D47F5D">
        <w:t>subsection (</w:t>
      </w:r>
      <w:r>
        <w:t>5) that the Commissioner was considering giving the authorisation; and</w:t>
      </w:r>
    </w:p>
    <w:p w14:paraId="40E0927C" w14:textId="77777777" w:rsidR="009A1773" w:rsidRDefault="009A1773" w:rsidP="00D47F5D">
      <w:pPr>
        <w:pStyle w:val="paragraph"/>
      </w:pPr>
      <w:r>
        <w:tab/>
        <w:t>(c)</w:t>
      </w:r>
      <w:r>
        <w:tab/>
        <w:t xml:space="preserve">that entity gave the Commissioner a response to the notice, and did not indicate in the response that the response was </w:t>
      </w:r>
      <w:proofErr w:type="gramStart"/>
      <w:r>
        <w:t>confidential;</w:t>
      </w:r>
      <w:proofErr w:type="gramEnd"/>
    </w:p>
    <w:p w14:paraId="02607B4A" w14:textId="77777777" w:rsidR="009A1773" w:rsidRDefault="009A1773" w:rsidP="00D47F5D">
      <w:pPr>
        <w:pStyle w:val="subsection2"/>
      </w:pPr>
      <w:r>
        <w:t xml:space="preserve">the Commissioner may cause a copy </w:t>
      </w:r>
      <w:r w:rsidR="009B2369">
        <w:t xml:space="preserve">of </w:t>
      </w:r>
      <w:r>
        <w:t>the</w:t>
      </w:r>
      <w:r w:rsidR="009B2369">
        <w:t xml:space="preserve"> response</w:t>
      </w:r>
      <w:r>
        <w:t>, or any information included in the response, to be published on the ACNC’s website.</w:t>
      </w:r>
    </w:p>
    <w:p w14:paraId="4A6669FF" w14:textId="77777777" w:rsidR="00AC0523" w:rsidRDefault="00AC0523" w:rsidP="00D47F5D">
      <w:pPr>
        <w:pStyle w:val="subsection"/>
      </w:pPr>
      <w:r>
        <w:tab/>
        <w:t>(</w:t>
      </w:r>
      <w:r w:rsidR="00400489">
        <w:t>7</w:t>
      </w:r>
      <w:r>
        <w:t>)</w:t>
      </w:r>
      <w:r>
        <w:tab/>
        <w:t xml:space="preserve">To avoid doubt, the Commissioner is not required to do anything under </w:t>
      </w:r>
      <w:r w:rsidR="00D47F5D">
        <w:t>subsection (</w:t>
      </w:r>
      <w:r w:rsidR="00400489">
        <w:t>5</w:t>
      </w:r>
      <w:r>
        <w:t xml:space="preserve">) </w:t>
      </w:r>
      <w:r w:rsidR="00E633A8">
        <w:t>or</w:t>
      </w:r>
      <w:r>
        <w:t xml:space="preserve"> (</w:t>
      </w:r>
      <w:r w:rsidR="00400489">
        <w:t>6</w:t>
      </w:r>
      <w:r>
        <w:t xml:space="preserve">) before authorising the disclosure of information under </w:t>
      </w:r>
      <w:r w:rsidR="00D47F5D">
        <w:t>subsection (</w:t>
      </w:r>
      <w:r>
        <w:t>3).</w:t>
      </w:r>
    </w:p>
    <w:bookmarkEnd w:id="1"/>
    <w:p w14:paraId="55FD4A9B" w14:textId="77777777" w:rsidR="009B03AE" w:rsidRPr="002147D2" w:rsidRDefault="004223C3" w:rsidP="00D47F5D">
      <w:pPr>
        <w:pStyle w:val="ActHead7"/>
        <w:pageBreakBefore/>
      </w:pPr>
      <w:r w:rsidRPr="00295867">
        <w:rPr>
          <w:rStyle w:val="CharAmPartNo"/>
        </w:rPr>
        <w:lastRenderedPageBreak/>
        <w:t>Part 2</w:t>
      </w:r>
      <w:r w:rsidR="002147D2">
        <w:t>—</w:t>
      </w:r>
      <w:r w:rsidR="002147D2" w:rsidRPr="00295867">
        <w:rPr>
          <w:rStyle w:val="CharAmPartText"/>
        </w:rPr>
        <w:t>Application</w:t>
      </w:r>
    </w:p>
    <w:p w14:paraId="71240D86" w14:textId="77777777" w:rsidR="004C473C" w:rsidRDefault="002147D2" w:rsidP="00D47F5D">
      <w:pPr>
        <w:pStyle w:val="Transitional"/>
      </w:pPr>
      <w:proofErr w:type="gramStart"/>
      <w:r>
        <w:t xml:space="preserve">2  </w:t>
      </w:r>
      <w:r w:rsidR="004364D2">
        <w:t>Application</w:t>
      </w:r>
      <w:proofErr w:type="gramEnd"/>
      <w:r w:rsidR="004364D2">
        <w:t xml:space="preserve"> of amendments</w:t>
      </w:r>
    </w:p>
    <w:p w14:paraId="0F27B921" w14:textId="77777777" w:rsidR="00FF4273" w:rsidRDefault="00BD47DB" w:rsidP="00D47F5D">
      <w:pPr>
        <w:pStyle w:val="Item"/>
      </w:pPr>
      <w:r>
        <w:t xml:space="preserve">The amendments </w:t>
      </w:r>
      <w:r w:rsidR="00264411">
        <w:t>of</w:t>
      </w:r>
      <w:r>
        <w:t xml:space="preserve"> the </w:t>
      </w:r>
      <w:r w:rsidRPr="00FF4273">
        <w:rPr>
          <w:i/>
        </w:rPr>
        <w:t>Australian Charities and Not</w:t>
      </w:r>
      <w:r w:rsidR="00D47F5D">
        <w:rPr>
          <w:i/>
        </w:rPr>
        <w:noBreakHyphen/>
      </w:r>
      <w:r w:rsidRPr="00FF4273">
        <w:rPr>
          <w:i/>
        </w:rPr>
        <w:t>for</w:t>
      </w:r>
      <w:r w:rsidR="00D47F5D">
        <w:rPr>
          <w:i/>
        </w:rPr>
        <w:noBreakHyphen/>
      </w:r>
      <w:r w:rsidRPr="00FF4273">
        <w:rPr>
          <w:i/>
        </w:rPr>
        <w:t>profits Commission Act 2012</w:t>
      </w:r>
      <w:r w:rsidRPr="00BD47DB">
        <w:t xml:space="preserve"> </w:t>
      </w:r>
      <w:r w:rsidR="00264411">
        <w:t xml:space="preserve">made by this Schedule </w:t>
      </w:r>
      <w:r w:rsidRPr="00BD47DB">
        <w:t>apply</w:t>
      </w:r>
      <w:r>
        <w:t xml:space="preserve"> in relation to</w:t>
      </w:r>
      <w:r w:rsidR="00EC6BFD">
        <w:t xml:space="preserve"> a</w:t>
      </w:r>
      <w:r>
        <w:t xml:space="preserve"> recognised assessment </w:t>
      </w:r>
      <w:r w:rsidR="00EC6BFD">
        <w:t xml:space="preserve">activity </w:t>
      </w:r>
      <w:r>
        <w:t>(within the meaning of th</w:t>
      </w:r>
      <w:r w:rsidR="00264411">
        <w:t>at</w:t>
      </w:r>
      <w:r>
        <w:t xml:space="preserve"> Act) </w:t>
      </w:r>
      <w:r w:rsidR="00EC6BFD">
        <w:t xml:space="preserve">carried out by the Commissioner on or after the commencement of this item </w:t>
      </w:r>
      <w:r w:rsidR="00F005F3">
        <w:t xml:space="preserve">(the </w:t>
      </w:r>
      <w:r w:rsidR="00F005F3" w:rsidRPr="00F005F3">
        <w:rPr>
          <w:b/>
          <w:i/>
        </w:rPr>
        <w:t>commencement time</w:t>
      </w:r>
      <w:r w:rsidR="00F005F3">
        <w:t>)</w:t>
      </w:r>
      <w:r>
        <w:t xml:space="preserve"> involving the assessment</w:t>
      </w:r>
      <w:r w:rsidR="00264411">
        <w:t xml:space="preserve"> </w:t>
      </w:r>
      <w:r>
        <w:t>of</w:t>
      </w:r>
      <w:r w:rsidR="00EC6BFD">
        <w:t>:</w:t>
      </w:r>
    </w:p>
    <w:p w14:paraId="01F5ECC0" w14:textId="77777777" w:rsidR="00FF4273" w:rsidRDefault="00FF4273" w:rsidP="00D47F5D">
      <w:pPr>
        <w:pStyle w:val="paragraph"/>
      </w:pPr>
      <w:r>
        <w:tab/>
        <w:t>(a)</w:t>
      </w:r>
      <w:r>
        <w:tab/>
      </w:r>
      <w:r w:rsidR="00BD47DB">
        <w:t>a</w:t>
      </w:r>
      <w:r w:rsidR="00B06881">
        <w:t xml:space="preserve">n </w:t>
      </w:r>
      <w:r>
        <w:t xml:space="preserve">entity’s entitlement to registration </w:t>
      </w:r>
      <w:r w:rsidR="00A46D33">
        <w:t xml:space="preserve">as a type or subtype of entity </w:t>
      </w:r>
      <w:r w:rsidR="00264411">
        <w:t>at any time before, on or after the commencement time</w:t>
      </w:r>
      <w:r>
        <w:t>;</w:t>
      </w:r>
      <w:r w:rsidR="00EC6BFD">
        <w:t xml:space="preserve"> or</w:t>
      </w:r>
    </w:p>
    <w:p w14:paraId="52883959" w14:textId="77777777" w:rsidR="00FF4273" w:rsidRDefault="00FF4273" w:rsidP="00D47F5D">
      <w:pPr>
        <w:pStyle w:val="paragraph"/>
      </w:pPr>
      <w:r>
        <w:tab/>
        <w:t>(b)</w:t>
      </w:r>
      <w:r>
        <w:tab/>
      </w:r>
      <w:r w:rsidR="00BD47DB">
        <w:t>a</w:t>
      </w:r>
      <w:r w:rsidR="00B06881">
        <w:t xml:space="preserve">n </w:t>
      </w:r>
      <w:r>
        <w:t>entity’s compliance with th</w:t>
      </w:r>
      <w:r w:rsidR="00A46D33">
        <w:t>at</w:t>
      </w:r>
      <w:r>
        <w:t xml:space="preserve"> </w:t>
      </w:r>
      <w:r w:rsidR="00BD47DB" w:rsidRPr="00BD47DB">
        <w:t>Act</w:t>
      </w:r>
      <w:r w:rsidR="00264411">
        <w:t>,</w:t>
      </w:r>
      <w:r w:rsidR="00BD47DB" w:rsidRPr="00BD47DB">
        <w:t xml:space="preserve"> </w:t>
      </w:r>
      <w:r w:rsidR="005B21E0">
        <w:t>or any regulations made under th</w:t>
      </w:r>
      <w:r w:rsidR="00A46D33">
        <w:t>at</w:t>
      </w:r>
      <w:r w:rsidR="005B21E0">
        <w:t xml:space="preserve"> Act</w:t>
      </w:r>
      <w:r w:rsidR="00264411">
        <w:t>, at any time before, on or after the commencement time</w:t>
      </w:r>
      <w:r>
        <w:t>.</w:t>
      </w:r>
    </w:p>
    <w:p w14:paraId="4F0CDCA2" w14:textId="77777777" w:rsidR="0045107D" w:rsidRPr="00FF4273" w:rsidRDefault="0045107D" w:rsidP="00D47F5D">
      <w:pPr>
        <w:pStyle w:val="notedraft"/>
      </w:pPr>
    </w:p>
    <w:sectPr w:rsidR="0045107D" w:rsidRPr="00FF4273" w:rsidSect="00D47F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794" w:right="2410" w:bottom="4395" w:left="2410" w:header="720" w:footer="3165" w:gutter="0"/>
      <w:lnNumType w:countBy="1" w:distance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8E9B0" w14:textId="77777777" w:rsidR="00E261D2" w:rsidRDefault="00E261D2" w:rsidP="00664C63">
      <w:pPr>
        <w:spacing w:line="240" w:lineRule="auto"/>
      </w:pPr>
      <w:r>
        <w:separator/>
      </w:r>
    </w:p>
  </w:endnote>
  <w:endnote w:type="continuationSeparator" w:id="0">
    <w:p w14:paraId="1F9EFC34" w14:textId="77777777" w:rsidR="00E261D2" w:rsidRDefault="00E261D2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1A794" w14:textId="77777777" w:rsidR="00E261D2" w:rsidRPr="00BB4623" w:rsidRDefault="00E261D2" w:rsidP="00D47F5D">
    <w:pPr>
      <w:pBdr>
        <w:top w:val="single" w:sz="6" w:space="1" w:color="auto"/>
      </w:pBdr>
      <w:spacing w:before="120"/>
      <w:jc w:val="right"/>
      <w:rPr>
        <w:sz w:val="18"/>
      </w:rPr>
    </w:pPr>
  </w:p>
  <w:p w14:paraId="4CC69130" w14:textId="77777777" w:rsidR="00E261D2" w:rsidRPr="00BB4623" w:rsidRDefault="00E261D2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Pr="00BB4623">
      <w:rPr>
        <w:i/>
        <w:noProof/>
        <w:sz w:val="18"/>
      </w:rPr>
      <w:t>1</w:t>
    </w:r>
    <w:r w:rsidRPr="00BB4623">
      <w:rPr>
        <w:i/>
        <w:sz w:val="18"/>
      </w:rPr>
      <w:fldChar w:fldCharType="end"/>
    </w:r>
  </w:p>
  <w:p w14:paraId="78BCAFA8" w14:textId="77777777" w:rsidR="00E261D2" w:rsidRPr="00BB4623" w:rsidRDefault="00E261D2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51645" w14:textId="77777777" w:rsidR="00E261D2" w:rsidRDefault="00E261D2" w:rsidP="00D47F5D">
    <w:pPr>
      <w:pBdr>
        <w:top w:val="single" w:sz="6" w:space="1" w:color="auto"/>
      </w:pBdr>
      <w:spacing w:before="120"/>
      <w:rPr>
        <w:sz w:val="18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7087"/>
    </w:tblGrid>
    <w:tr w:rsidR="00E261D2" w:rsidRPr="00B3608C" w14:paraId="68F3DBFD" w14:textId="77777777" w:rsidTr="002E0AB8">
      <w:trPr>
        <w:trHeight w:val="280"/>
      </w:trPr>
      <w:tc>
        <w:tcPr>
          <w:tcW w:w="7087" w:type="dxa"/>
        </w:tcPr>
        <w:p w14:paraId="5D14259D" w14:textId="77777777" w:rsidR="00E261D2" w:rsidRPr="00B3608C" w:rsidRDefault="00E261D2" w:rsidP="002E0AB8">
          <w:pPr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E261D2" w:rsidRPr="00B3608C" w14:paraId="5C788CFD" w14:textId="77777777" w:rsidTr="002E0AB8">
      <w:tc>
        <w:tcPr>
          <w:tcW w:w="7087" w:type="dxa"/>
        </w:tcPr>
        <w:p w14:paraId="6E4B5E96" w14:textId="77777777" w:rsidR="00E261D2" w:rsidRPr="00B3608C" w:rsidRDefault="00E261D2" w:rsidP="002E0AB8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14:paraId="17C5A05A" w14:textId="77777777" w:rsidR="00E261D2" w:rsidRPr="00BB4623" w:rsidRDefault="00E261D2" w:rsidP="00B3608C">
    <w:pPr>
      <w:pStyle w:val="Tabletext"/>
      <w:spacing w:before="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33369099" wp14:editId="4F561B8B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7" name="Text Box 7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914BDD" w14:textId="77777777" w:rsidR="00E261D2" w:rsidRPr="00324EB0" w:rsidRDefault="0008207A" w:rsidP="002E0AB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36909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Footerprimary" style="position:absolute;margin-left:0;margin-top:120.75pt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" stroked="f" strokeweight=".5pt">
              <v:textbox>
                <w:txbxContent>
                  <w:p w14:paraId="38914BDD" w14:textId="77777777" w:rsidR="00E261D2" w:rsidRPr="00324EB0" w:rsidRDefault="0008207A" w:rsidP="002E0AB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8B567" w14:textId="77777777" w:rsidR="00E261D2" w:rsidRPr="00BB4623" w:rsidRDefault="00E261D2" w:rsidP="00D47F5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90067" w14:textId="77777777" w:rsidR="00E261D2" w:rsidRDefault="00E261D2" w:rsidP="00664C63">
      <w:pPr>
        <w:spacing w:line="240" w:lineRule="auto"/>
      </w:pPr>
      <w:r>
        <w:separator/>
      </w:r>
    </w:p>
  </w:footnote>
  <w:footnote w:type="continuationSeparator" w:id="0">
    <w:p w14:paraId="2E315AC7" w14:textId="77777777" w:rsidR="00E261D2" w:rsidRDefault="00E261D2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6EC66" w14:textId="77777777" w:rsidR="00E261D2" w:rsidRPr="00BB4623" w:rsidRDefault="00E261D2" w:rsidP="00664C63">
    <w:pPr>
      <w:rPr>
        <w:sz w:val="24"/>
      </w:rPr>
    </w:pPr>
  </w:p>
  <w:p w14:paraId="1A07DD49" w14:textId="77777777" w:rsidR="00E261D2" w:rsidRPr="00BB4623" w:rsidRDefault="00E261D2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2BB07" w14:textId="77777777" w:rsidR="00E261D2" w:rsidRPr="00BB4623" w:rsidRDefault="00E261D2" w:rsidP="00664C63">
    <w:pPr>
      <w:jc w:val="right"/>
      <w:rPr>
        <w:sz w:val="24"/>
      </w:rPr>
    </w:pPr>
    <w:r w:rsidRPr="00931D06">
      <w:rPr>
        <w:b/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3036596F" wp14:editId="3011BAC3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B74CB" w14:textId="77777777" w:rsidR="00E261D2" w:rsidRPr="00324EB0" w:rsidRDefault="0008207A" w:rsidP="002E0AB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36596F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6" type="#_x0000_t202" alt="Sec-Headerprimary" style="position:absolute;left:0;text-align:left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356B74CB" w14:textId="77777777" w:rsidR="00E261D2" w:rsidRPr="00324EB0" w:rsidRDefault="0008207A" w:rsidP="002E0AB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  <w:p w14:paraId="6A4DC1AC" w14:textId="77777777" w:rsidR="00E261D2" w:rsidRPr="00BB4623" w:rsidRDefault="00E261D2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309C0" w14:textId="77777777" w:rsidR="00E261D2" w:rsidRPr="00BB4623" w:rsidRDefault="00E261D2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66483106">
    <w:abstractNumId w:val="9"/>
  </w:num>
  <w:num w:numId="2" w16cid:durableId="1354960127">
    <w:abstractNumId w:val="7"/>
  </w:num>
  <w:num w:numId="3" w16cid:durableId="1562399698">
    <w:abstractNumId w:val="6"/>
  </w:num>
  <w:num w:numId="4" w16cid:durableId="875888994">
    <w:abstractNumId w:val="5"/>
  </w:num>
  <w:num w:numId="5" w16cid:durableId="841436646">
    <w:abstractNumId w:val="4"/>
  </w:num>
  <w:num w:numId="6" w16cid:durableId="1950890075">
    <w:abstractNumId w:val="8"/>
  </w:num>
  <w:num w:numId="7" w16cid:durableId="466241444">
    <w:abstractNumId w:val="3"/>
  </w:num>
  <w:num w:numId="8" w16cid:durableId="997659824">
    <w:abstractNumId w:val="2"/>
  </w:num>
  <w:num w:numId="9" w16cid:durableId="2079281762">
    <w:abstractNumId w:val="1"/>
  </w:num>
  <w:num w:numId="10" w16cid:durableId="94595596">
    <w:abstractNumId w:val="0"/>
  </w:num>
  <w:num w:numId="11" w16cid:durableId="1457984467">
    <w:abstractNumId w:val="11"/>
  </w:num>
  <w:num w:numId="12" w16cid:durableId="19216009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23373"/>
    <w:rsid w:val="00005EE0"/>
    <w:rsid w:val="00006848"/>
    <w:rsid w:val="0001220C"/>
    <w:rsid w:val="000136AF"/>
    <w:rsid w:val="00014B9A"/>
    <w:rsid w:val="00020A4A"/>
    <w:rsid w:val="00023C3A"/>
    <w:rsid w:val="00024A39"/>
    <w:rsid w:val="0003148F"/>
    <w:rsid w:val="00033462"/>
    <w:rsid w:val="00036B15"/>
    <w:rsid w:val="00040780"/>
    <w:rsid w:val="00044996"/>
    <w:rsid w:val="00055D20"/>
    <w:rsid w:val="00056C19"/>
    <w:rsid w:val="000614BF"/>
    <w:rsid w:val="00064AB6"/>
    <w:rsid w:val="00066E6C"/>
    <w:rsid w:val="000721FD"/>
    <w:rsid w:val="00072D19"/>
    <w:rsid w:val="00073A2A"/>
    <w:rsid w:val="00073C5A"/>
    <w:rsid w:val="0008207A"/>
    <w:rsid w:val="000829E2"/>
    <w:rsid w:val="00087033"/>
    <w:rsid w:val="000B16EA"/>
    <w:rsid w:val="000B79EC"/>
    <w:rsid w:val="000C0E3E"/>
    <w:rsid w:val="000C74F9"/>
    <w:rsid w:val="000C7D0A"/>
    <w:rsid w:val="000D05EF"/>
    <w:rsid w:val="000D3899"/>
    <w:rsid w:val="000E019E"/>
    <w:rsid w:val="000F21C1"/>
    <w:rsid w:val="000F4126"/>
    <w:rsid w:val="001016D1"/>
    <w:rsid w:val="0010240E"/>
    <w:rsid w:val="00104EFB"/>
    <w:rsid w:val="00106865"/>
    <w:rsid w:val="0010745C"/>
    <w:rsid w:val="0011206D"/>
    <w:rsid w:val="00121995"/>
    <w:rsid w:val="00134F6F"/>
    <w:rsid w:val="00143C09"/>
    <w:rsid w:val="00164097"/>
    <w:rsid w:val="00166C2F"/>
    <w:rsid w:val="00170430"/>
    <w:rsid w:val="00170579"/>
    <w:rsid w:val="00176154"/>
    <w:rsid w:val="00176D4D"/>
    <w:rsid w:val="00182C9A"/>
    <w:rsid w:val="0018435F"/>
    <w:rsid w:val="00184B81"/>
    <w:rsid w:val="00186DBA"/>
    <w:rsid w:val="001939E1"/>
    <w:rsid w:val="00195382"/>
    <w:rsid w:val="001B0F61"/>
    <w:rsid w:val="001B337C"/>
    <w:rsid w:val="001B4FC9"/>
    <w:rsid w:val="001C1E2B"/>
    <w:rsid w:val="001C69C4"/>
    <w:rsid w:val="001D7ED4"/>
    <w:rsid w:val="001E26B2"/>
    <w:rsid w:val="001E3590"/>
    <w:rsid w:val="001E6DE6"/>
    <w:rsid w:val="001E7407"/>
    <w:rsid w:val="001E7C12"/>
    <w:rsid w:val="001F353D"/>
    <w:rsid w:val="00201C65"/>
    <w:rsid w:val="00202188"/>
    <w:rsid w:val="00203286"/>
    <w:rsid w:val="0021250A"/>
    <w:rsid w:val="002147D2"/>
    <w:rsid w:val="00214B5B"/>
    <w:rsid w:val="002219FA"/>
    <w:rsid w:val="002277A0"/>
    <w:rsid w:val="002334BA"/>
    <w:rsid w:val="002401D0"/>
    <w:rsid w:val="00240749"/>
    <w:rsid w:val="002444FD"/>
    <w:rsid w:val="002540AE"/>
    <w:rsid w:val="002559B7"/>
    <w:rsid w:val="00264411"/>
    <w:rsid w:val="00264BB5"/>
    <w:rsid w:val="002671F2"/>
    <w:rsid w:val="00271B33"/>
    <w:rsid w:val="0027657E"/>
    <w:rsid w:val="00280038"/>
    <w:rsid w:val="002901C3"/>
    <w:rsid w:val="00290C47"/>
    <w:rsid w:val="00295867"/>
    <w:rsid w:val="00296415"/>
    <w:rsid w:val="00297ECB"/>
    <w:rsid w:val="002A0358"/>
    <w:rsid w:val="002A0C5F"/>
    <w:rsid w:val="002B1D6F"/>
    <w:rsid w:val="002C085A"/>
    <w:rsid w:val="002C64F8"/>
    <w:rsid w:val="002D043A"/>
    <w:rsid w:val="002D790A"/>
    <w:rsid w:val="002E0217"/>
    <w:rsid w:val="002E0512"/>
    <w:rsid w:val="002E0AB8"/>
    <w:rsid w:val="002E5C79"/>
    <w:rsid w:val="002F08B3"/>
    <w:rsid w:val="002F3BB0"/>
    <w:rsid w:val="002F5A21"/>
    <w:rsid w:val="00312AA7"/>
    <w:rsid w:val="00313C6F"/>
    <w:rsid w:val="00316C43"/>
    <w:rsid w:val="00317C18"/>
    <w:rsid w:val="00317CF1"/>
    <w:rsid w:val="003215A4"/>
    <w:rsid w:val="00323373"/>
    <w:rsid w:val="00324138"/>
    <w:rsid w:val="00333EF5"/>
    <w:rsid w:val="0033411C"/>
    <w:rsid w:val="00334771"/>
    <w:rsid w:val="003415D3"/>
    <w:rsid w:val="00342635"/>
    <w:rsid w:val="00350D24"/>
    <w:rsid w:val="0035182E"/>
    <w:rsid w:val="00352B0F"/>
    <w:rsid w:val="00352FC2"/>
    <w:rsid w:val="00353F3B"/>
    <w:rsid w:val="00366B96"/>
    <w:rsid w:val="00373C22"/>
    <w:rsid w:val="00385504"/>
    <w:rsid w:val="003873DE"/>
    <w:rsid w:val="0039395F"/>
    <w:rsid w:val="003B0F1E"/>
    <w:rsid w:val="003B18DD"/>
    <w:rsid w:val="003B65DA"/>
    <w:rsid w:val="003C0400"/>
    <w:rsid w:val="003C23CC"/>
    <w:rsid w:val="003C261B"/>
    <w:rsid w:val="003C3344"/>
    <w:rsid w:val="003C7882"/>
    <w:rsid w:val="003D0317"/>
    <w:rsid w:val="003D0BFE"/>
    <w:rsid w:val="003D0C2A"/>
    <w:rsid w:val="003D1EC3"/>
    <w:rsid w:val="003D2D96"/>
    <w:rsid w:val="003D4E99"/>
    <w:rsid w:val="003D5700"/>
    <w:rsid w:val="003E7F98"/>
    <w:rsid w:val="003F053D"/>
    <w:rsid w:val="003F38C2"/>
    <w:rsid w:val="003F60D2"/>
    <w:rsid w:val="00400489"/>
    <w:rsid w:val="00402376"/>
    <w:rsid w:val="004043EE"/>
    <w:rsid w:val="0040616D"/>
    <w:rsid w:val="004116CD"/>
    <w:rsid w:val="004168B4"/>
    <w:rsid w:val="004201B8"/>
    <w:rsid w:val="004212C7"/>
    <w:rsid w:val="00421973"/>
    <w:rsid w:val="004223C3"/>
    <w:rsid w:val="00424CA9"/>
    <w:rsid w:val="00427D10"/>
    <w:rsid w:val="004304EB"/>
    <w:rsid w:val="00434E02"/>
    <w:rsid w:val="004364D2"/>
    <w:rsid w:val="00441E2B"/>
    <w:rsid w:val="004426F6"/>
    <w:rsid w:val="0044291A"/>
    <w:rsid w:val="0045107D"/>
    <w:rsid w:val="004625A7"/>
    <w:rsid w:val="0046692C"/>
    <w:rsid w:val="00466F01"/>
    <w:rsid w:val="004726CB"/>
    <w:rsid w:val="00476BA1"/>
    <w:rsid w:val="00493E5C"/>
    <w:rsid w:val="00496F97"/>
    <w:rsid w:val="004A03AA"/>
    <w:rsid w:val="004B026B"/>
    <w:rsid w:val="004B27F5"/>
    <w:rsid w:val="004B347B"/>
    <w:rsid w:val="004C0D15"/>
    <w:rsid w:val="004C473C"/>
    <w:rsid w:val="004D0DA5"/>
    <w:rsid w:val="004D6DA0"/>
    <w:rsid w:val="004E3680"/>
    <w:rsid w:val="004E60DC"/>
    <w:rsid w:val="004E62B2"/>
    <w:rsid w:val="004E7400"/>
    <w:rsid w:val="004F4137"/>
    <w:rsid w:val="005003D6"/>
    <w:rsid w:val="005104CE"/>
    <w:rsid w:val="00516B8D"/>
    <w:rsid w:val="00517AC7"/>
    <w:rsid w:val="00523100"/>
    <w:rsid w:val="00525E89"/>
    <w:rsid w:val="00532E08"/>
    <w:rsid w:val="00537FBC"/>
    <w:rsid w:val="0054160E"/>
    <w:rsid w:val="005416FC"/>
    <w:rsid w:val="005433F7"/>
    <w:rsid w:val="00543850"/>
    <w:rsid w:val="00544255"/>
    <w:rsid w:val="0054651C"/>
    <w:rsid w:val="00551CAB"/>
    <w:rsid w:val="0055618B"/>
    <w:rsid w:val="00575DB5"/>
    <w:rsid w:val="00576A3B"/>
    <w:rsid w:val="00584052"/>
    <w:rsid w:val="00584811"/>
    <w:rsid w:val="005911CE"/>
    <w:rsid w:val="00592C95"/>
    <w:rsid w:val="00593AA6"/>
    <w:rsid w:val="00594161"/>
    <w:rsid w:val="00594749"/>
    <w:rsid w:val="0059523C"/>
    <w:rsid w:val="00596234"/>
    <w:rsid w:val="005A4BC8"/>
    <w:rsid w:val="005A69D9"/>
    <w:rsid w:val="005A6AB4"/>
    <w:rsid w:val="005A6F34"/>
    <w:rsid w:val="005B21E0"/>
    <w:rsid w:val="005B2310"/>
    <w:rsid w:val="005B2DD3"/>
    <w:rsid w:val="005B4067"/>
    <w:rsid w:val="005C157B"/>
    <w:rsid w:val="005C3F41"/>
    <w:rsid w:val="005C5800"/>
    <w:rsid w:val="005D4DEA"/>
    <w:rsid w:val="005D67DD"/>
    <w:rsid w:val="005D6FD6"/>
    <w:rsid w:val="005E25F4"/>
    <w:rsid w:val="005E54FE"/>
    <w:rsid w:val="005F1418"/>
    <w:rsid w:val="005F5E9B"/>
    <w:rsid w:val="00600219"/>
    <w:rsid w:val="0061178A"/>
    <w:rsid w:val="00611C2E"/>
    <w:rsid w:val="00614DFD"/>
    <w:rsid w:val="006221CE"/>
    <w:rsid w:val="006300F2"/>
    <w:rsid w:val="006350FC"/>
    <w:rsid w:val="006444FB"/>
    <w:rsid w:val="00644570"/>
    <w:rsid w:val="00644CF8"/>
    <w:rsid w:val="0065106B"/>
    <w:rsid w:val="006527A6"/>
    <w:rsid w:val="00656C3C"/>
    <w:rsid w:val="00664C63"/>
    <w:rsid w:val="00673F8F"/>
    <w:rsid w:val="00677276"/>
    <w:rsid w:val="00677CC2"/>
    <w:rsid w:val="00681A4A"/>
    <w:rsid w:val="0069207B"/>
    <w:rsid w:val="00692DB1"/>
    <w:rsid w:val="006B15C1"/>
    <w:rsid w:val="006B3884"/>
    <w:rsid w:val="006B51F1"/>
    <w:rsid w:val="006C1966"/>
    <w:rsid w:val="006C234B"/>
    <w:rsid w:val="006C7F8C"/>
    <w:rsid w:val="006D3764"/>
    <w:rsid w:val="006D6771"/>
    <w:rsid w:val="006E0CBA"/>
    <w:rsid w:val="006E4AB2"/>
    <w:rsid w:val="006F3AAD"/>
    <w:rsid w:val="00700B2C"/>
    <w:rsid w:val="00712D53"/>
    <w:rsid w:val="00713084"/>
    <w:rsid w:val="007147A3"/>
    <w:rsid w:val="007173B8"/>
    <w:rsid w:val="007200AD"/>
    <w:rsid w:val="0072797A"/>
    <w:rsid w:val="00731E00"/>
    <w:rsid w:val="00732A85"/>
    <w:rsid w:val="00733868"/>
    <w:rsid w:val="00740FC1"/>
    <w:rsid w:val="007440B7"/>
    <w:rsid w:val="0074493E"/>
    <w:rsid w:val="00745DD5"/>
    <w:rsid w:val="00746FF3"/>
    <w:rsid w:val="0075226A"/>
    <w:rsid w:val="00754B95"/>
    <w:rsid w:val="00756AAC"/>
    <w:rsid w:val="00756CE1"/>
    <w:rsid w:val="007617AA"/>
    <w:rsid w:val="007627F4"/>
    <w:rsid w:val="00762A6F"/>
    <w:rsid w:val="007712BA"/>
    <w:rsid w:val="007715C9"/>
    <w:rsid w:val="00774EDD"/>
    <w:rsid w:val="00775703"/>
    <w:rsid w:val="007757EC"/>
    <w:rsid w:val="007845BF"/>
    <w:rsid w:val="00795FCE"/>
    <w:rsid w:val="007A5681"/>
    <w:rsid w:val="007A659A"/>
    <w:rsid w:val="007A6711"/>
    <w:rsid w:val="007A78FB"/>
    <w:rsid w:val="007B0190"/>
    <w:rsid w:val="007B081F"/>
    <w:rsid w:val="007B74C5"/>
    <w:rsid w:val="007C261A"/>
    <w:rsid w:val="007C508C"/>
    <w:rsid w:val="007E4CC8"/>
    <w:rsid w:val="007F0BA1"/>
    <w:rsid w:val="008047AE"/>
    <w:rsid w:val="00810410"/>
    <w:rsid w:val="00813805"/>
    <w:rsid w:val="00814025"/>
    <w:rsid w:val="008170F9"/>
    <w:rsid w:val="008177BD"/>
    <w:rsid w:val="0082083D"/>
    <w:rsid w:val="00830815"/>
    <w:rsid w:val="00830DDF"/>
    <w:rsid w:val="008409E3"/>
    <w:rsid w:val="00842D91"/>
    <w:rsid w:val="00845B5E"/>
    <w:rsid w:val="008551E3"/>
    <w:rsid w:val="00856A31"/>
    <w:rsid w:val="008624B8"/>
    <w:rsid w:val="008726A1"/>
    <w:rsid w:val="00873E81"/>
    <w:rsid w:val="008754D0"/>
    <w:rsid w:val="00880919"/>
    <w:rsid w:val="00883892"/>
    <w:rsid w:val="00883B84"/>
    <w:rsid w:val="008926B1"/>
    <w:rsid w:val="008930B0"/>
    <w:rsid w:val="008A0723"/>
    <w:rsid w:val="008A12E9"/>
    <w:rsid w:val="008A3973"/>
    <w:rsid w:val="008A3C11"/>
    <w:rsid w:val="008A6470"/>
    <w:rsid w:val="008A650C"/>
    <w:rsid w:val="008B00ED"/>
    <w:rsid w:val="008B6CA3"/>
    <w:rsid w:val="008B7034"/>
    <w:rsid w:val="008C7352"/>
    <w:rsid w:val="008D0EE0"/>
    <w:rsid w:val="008D5894"/>
    <w:rsid w:val="008E05CA"/>
    <w:rsid w:val="008E13FC"/>
    <w:rsid w:val="008E2A81"/>
    <w:rsid w:val="008E44E4"/>
    <w:rsid w:val="008E592E"/>
    <w:rsid w:val="009003F8"/>
    <w:rsid w:val="00920A18"/>
    <w:rsid w:val="00931CEC"/>
    <w:rsid w:val="00931D06"/>
    <w:rsid w:val="00932377"/>
    <w:rsid w:val="00932FA3"/>
    <w:rsid w:val="00936334"/>
    <w:rsid w:val="00937243"/>
    <w:rsid w:val="00940D8F"/>
    <w:rsid w:val="00940E93"/>
    <w:rsid w:val="00947D93"/>
    <w:rsid w:val="009534DE"/>
    <w:rsid w:val="0095602D"/>
    <w:rsid w:val="00960DF7"/>
    <w:rsid w:val="009620C2"/>
    <w:rsid w:val="00970191"/>
    <w:rsid w:val="009702EC"/>
    <w:rsid w:val="00973C06"/>
    <w:rsid w:val="009768D1"/>
    <w:rsid w:val="00977BD9"/>
    <w:rsid w:val="0098197F"/>
    <w:rsid w:val="00985E58"/>
    <w:rsid w:val="00987CA4"/>
    <w:rsid w:val="009967EF"/>
    <w:rsid w:val="009A0451"/>
    <w:rsid w:val="009A1773"/>
    <w:rsid w:val="009B03AE"/>
    <w:rsid w:val="009B2369"/>
    <w:rsid w:val="009B2F75"/>
    <w:rsid w:val="009C48FC"/>
    <w:rsid w:val="009C622D"/>
    <w:rsid w:val="009C6E87"/>
    <w:rsid w:val="009D20FB"/>
    <w:rsid w:val="009D7C6D"/>
    <w:rsid w:val="009E76BD"/>
    <w:rsid w:val="00A120DD"/>
    <w:rsid w:val="00A21399"/>
    <w:rsid w:val="00A231E2"/>
    <w:rsid w:val="00A238F1"/>
    <w:rsid w:val="00A25627"/>
    <w:rsid w:val="00A2739F"/>
    <w:rsid w:val="00A41375"/>
    <w:rsid w:val="00A415B9"/>
    <w:rsid w:val="00A44B64"/>
    <w:rsid w:val="00A46C31"/>
    <w:rsid w:val="00A46D33"/>
    <w:rsid w:val="00A5087D"/>
    <w:rsid w:val="00A55FED"/>
    <w:rsid w:val="00A60195"/>
    <w:rsid w:val="00A643A7"/>
    <w:rsid w:val="00A64912"/>
    <w:rsid w:val="00A65298"/>
    <w:rsid w:val="00A67092"/>
    <w:rsid w:val="00A706B6"/>
    <w:rsid w:val="00A70A74"/>
    <w:rsid w:val="00A90E71"/>
    <w:rsid w:val="00A97A0C"/>
    <w:rsid w:val="00AA1D7A"/>
    <w:rsid w:val="00AA5445"/>
    <w:rsid w:val="00AB18D1"/>
    <w:rsid w:val="00AB4562"/>
    <w:rsid w:val="00AB5A90"/>
    <w:rsid w:val="00AC0523"/>
    <w:rsid w:val="00AC35E3"/>
    <w:rsid w:val="00AC3FC6"/>
    <w:rsid w:val="00AD27B3"/>
    <w:rsid w:val="00AD5641"/>
    <w:rsid w:val="00AE3F3F"/>
    <w:rsid w:val="00AE4E37"/>
    <w:rsid w:val="00AE59F7"/>
    <w:rsid w:val="00AE6CD6"/>
    <w:rsid w:val="00AE7B72"/>
    <w:rsid w:val="00AE7BD7"/>
    <w:rsid w:val="00AF5732"/>
    <w:rsid w:val="00B05DED"/>
    <w:rsid w:val="00B06881"/>
    <w:rsid w:val="00B06CD1"/>
    <w:rsid w:val="00B12B1E"/>
    <w:rsid w:val="00B21A34"/>
    <w:rsid w:val="00B247B0"/>
    <w:rsid w:val="00B24BD5"/>
    <w:rsid w:val="00B26413"/>
    <w:rsid w:val="00B30BBF"/>
    <w:rsid w:val="00B33B3C"/>
    <w:rsid w:val="00B340B6"/>
    <w:rsid w:val="00B3608C"/>
    <w:rsid w:val="00B372A6"/>
    <w:rsid w:val="00B429C2"/>
    <w:rsid w:val="00B46AF0"/>
    <w:rsid w:val="00B56B6D"/>
    <w:rsid w:val="00B6029F"/>
    <w:rsid w:val="00B61C25"/>
    <w:rsid w:val="00B62A9A"/>
    <w:rsid w:val="00B63617"/>
    <w:rsid w:val="00B6411C"/>
    <w:rsid w:val="00B7042B"/>
    <w:rsid w:val="00B70E56"/>
    <w:rsid w:val="00B738A1"/>
    <w:rsid w:val="00B94D27"/>
    <w:rsid w:val="00B97848"/>
    <w:rsid w:val="00BA10EA"/>
    <w:rsid w:val="00BA5112"/>
    <w:rsid w:val="00BB3E29"/>
    <w:rsid w:val="00BC0DC9"/>
    <w:rsid w:val="00BC30F2"/>
    <w:rsid w:val="00BD1655"/>
    <w:rsid w:val="00BD47DB"/>
    <w:rsid w:val="00BD66A0"/>
    <w:rsid w:val="00BE719A"/>
    <w:rsid w:val="00BE720A"/>
    <w:rsid w:val="00C137C5"/>
    <w:rsid w:val="00C14347"/>
    <w:rsid w:val="00C14CDA"/>
    <w:rsid w:val="00C20E12"/>
    <w:rsid w:val="00C42BF8"/>
    <w:rsid w:val="00C50043"/>
    <w:rsid w:val="00C50FB3"/>
    <w:rsid w:val="00C53114"/>
    <w:rsid w:val="00C636C5"/>
    <w:rsid w:val="00C6653D"/>
    <w:rsid w:val="00C71CCF"/>
    <w:rsid w:val="00C71F39"/>
    <w:rsid w:val="00C723B9"/>
    <w:rsid w:val="00C72428"/>
    <w:rsid w:val="00C7401F"/>
    <w:rsid w:val="00C750E6"/>
    <w:rsid w:val="00C7573B"/>
    <w:rsid w:val="00C75D29"/>
    <w:rsid w:val="00C769F0"/>
    <w:rsid w:val="00C77D10"/>
    <w:rsid w:val="00C84244"/>
    <w:rsid w:val="00CB0EA8"/>
    <w:rsid w:val="00CB43D1"/>
    <w:rsid w:val="00CC7A09"/>
    <w:rsid w:val="00CE2405"/>
    <w:rsid w:val="00CF0BB2"/>
    <w:rsid w:val="00CF4975"/>
    <w:rsid w:val="00D00327"/>
    <w:rsid w:val="00D119C9"/>
    <w:rsid w:val="00D13441"/>
    <w:rsid w:val="00D138A7"/>
    <w:rsid w:val="00D3213F"/>
    <w:rsid w:val="00D374CE"/>
    <w:rsid w:val="00D40252"/>
    <w:rsid w:val="00D43F99"/>
    <w:rsid w:val="00D44317"/>
    <w:rsid w:val="00D4649C"/>
    <w:rsid w:val="00D467B9"/>
    <w:rsid w:val="00D47F5D"/>
    <w:rsid w:val="00D52923"/>
    <w:rsid w:val="00D55E27"/>
    <w:rsid w:val="00D57272"/>
    <w:rsid w:val="00D67311"/>
    <w:rsid w:val="00D70232"/>
    <w:rsid w:val="00D70AC0"/>
    <w:rsid w:val="00D70DFB"/>
    <w:rsid w:val="00D7186F"/>
    <w:rsid w:val="00D727A1"/>
    <w:rsid w:val="00D73E0E"/>
    <w:rsid w:val="00D766DF"/>
    <w:rsid w:val="00D77116"/>
    <w:rsid w:val="00D8127F"/>
    <w:rsid w:val="00D82446"/>
    <w:rsid w:val="00D838F9"/>
    <w:rsid w:val="00D874B6"/>
    <w:rsid w:val="00D9284D"/>
    <w:rsid w:val="00D94C60"/>
    <w:rsid w:val="00DA3CB3"/>
    <w:rsid w:val="00DA4711"/>
    <w:rsid w:val="00DA75A9"/>
    <w:rsid w:val="00DA7C2D"/>
    <w:rsid w:val="00DB1588"/>
    <w:rsid w:val="00DB202E"/>
    <w:rsid w:val="00DB2441"/>
    <w:rsid w:val="00DB7BED"/>
    <w:rsid w:val="00DC178A"/>
    <w:rsid w:val="00DC7215"/>
    <w:rsid w:val="00DD0D8D"/>
    <w:rsid w:val="00DD314D"/>
    <w:rsid w:val="00DD6820"/>
    <w:rsid w:val="00DE48FC"/>
    <w:rsid w:val="00DF0BFE"/>
    <w:rsid w:val="00DF2726"/>
    <w:rsid w:val="00E006D1"/>
    <w:rsid w:val="00E03F6C"/>
    <w:rsid w:val="00E05704"/>
    <w:rsid w:val="00E1363F"/>
    <w:rsid w:val="00E261D2"/>
    <w:rsid w:val="00E307EC"/>
    <w:rsid w:val="00E32F35"/>
    <w:rsid w:val="00E54CAB"/>
    <w:rsid w:val="00E57291"/>
    <w:rsid w:val="00E60981"/>
    <w:rsid w:val="00E62105"/>
    <w:rsid w:val="00E62BDB"/>
    <w:rsid w:val="00E633A8"/>
    <w:rsid w:val="00E70F7C"/>
    <w:rsid w:val="00E74DC7"/>
    <w:rsid w:val="00E85CB9"/>
    <w:rsid w:val="00E92210"/>
    <w:rsid w:val="00E94998"/>
    <w:rsid w:val="00EC545D"/>
    <w:rsid w:val="00EC6BFD"/>
    <w:rsid w:val="00ED1A6C"/>
    <w:rsid w:val="00ED28EF"/>
    <w:rsid w:val="00EE25A8"/>
    <w:rsid w:val="00EE35AA"/>
    <w:rsid w:val="00EE6DCC"/>
    <w:rsid w:val="00EF2E3A"/>
    <w:rsid w:val="00EF3416"/>
    <w:rsid w:val="00EF7939"/>
    <w:rsid w:val="00F005F3"/>
    <w:rsid w:val="00F0132A"/>
    <w:rsid w:val="00F03517"/>
    <w:rsid w:val="00F078DC"/>
    <w:rsid w:val="00F13646"/>
    <w:rsid w:val="00F25E5E"/>
    <w:rsid w:val="00F34D6A"/>
    <w:rsid w:val="00F363FC"/>
    <w:rsid w:val="00F37064"/>
    <w:rsid w:val="00F5076A"/>
    <w:rsid w:val="00F50C2E"/>
    <w:rsid w:val="00F62B8B"/>
    <w:rsid w:val="00F71234"/>
    <w:rsid w:val="00F76780"/>
    <w:rsid w:val="00F8103A"/>
    <w:rsid w:val="00F85C2E"/>
    <w:rsid w:val="00F862B8"/>
    <w:rsid w:val="00F97BB1"/>
    <w:rsid w:val="00FA2EE3"/>
    <w:rsid w:val="00FA3991"/>
    <w:rsid w:val="00FA6705"/>
    <w:rsid w:val="00FB1C61"/>
    <w:rsid w:val="00FC104F"/>
    <w:rsid w:val="00FC58E9"/>
    <w:rsid w:val="00FD1A85"/>
    <w:rsid w:val="00FD2FC3"/>
    <w:rsid w:val="00FD483A"/>
    <w:rsid w:val="00FD4DA6"/>
    <w:rsid w:val="00FD6DB0"/>
    <w:rsid w:val="00FE0AF4"/>
    <w:rsid w:val="00FE454C"/>
    <w:rsid w:val="00FF0CED"/>
    <w:rsid w:val="00FF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12E4E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7F5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24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4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4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4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44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44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44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44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44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47F5D"/>
  </w:style>
  <w:style w:type="paragraph" w:customStyle="1" w:styleId="OPCParaBase">
    <w:name w:val="OPCParaBase"/>
    <w:qFormat/>
    <w:rsid w:val="00D47F5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47F5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47F5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47F5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47F5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47F5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47F5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47F5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47F5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47F5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47F5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47F5D"/>
  </w:style>
  <w:style w:type="paragraph" w:customStyle="1" w:styleId="Blocks">
    <w:name w:val="Blocks"/>
    <w:aliases w:val="bb"/>
    <w:basedOn w:val="OPCParaBase"/>
    <w:qFormat/>
    <w:rsid w:val="00D47F5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47F5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47F5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47F5D"/>
    <w:rPr>
      <w:i/>
    </w:rPr>
  </w:style>
  <w:style w:type="paragraph" w:customStyle="1" w:styleId="BoxList">
    <w:name w:val="BoxList"/>
    <w:aliases w:val="bl"/>
    <w:basedOn w:val="BoxText"/>
    <w:qFormat/>
    <w:rsid w:val="00D47F5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47F5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47F5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47F5D"/>
    <w:pPr>
      <w:ind w:left="1985" w:hanging="851"/>
    </w:pPr>
  </w:style>
  <w:style w:type="character" w:customStyle="1" w:styleId="CharAmPartNo">
    <w:name w:val="CharAmPartNo"/>
    <w:basedOn w:val="OPCCharBase"/>
    <w:qFormat/>
    <w:rsid w:val="00D47F5D"/>
  </w:style>
  <w:style w:type="character" w:customStyle="1" w:styleId="CharAmPartText">
    <w:name w:val="CharAmPartText"/>
    <w:basedOn w:val="OPCCharBase"/>
    <w:qFormat/>
    <w:rsid w:val="00D47F5D"/>
  </w:style>
  <w:style w:type="character" w:customStyle="1" w:styleId="CharAmSchNo">
    <w:name w:val="CharAmSchNo"/>
    <w:basedOn w:val="OPCCharBase"/>
    <w:qFormat/>
    <w:rsid w:val="00D47F5D"/>
  </w:style>
  <w:style w:type="character" w:customStyle="1" w:styleId="CharAmSchText">
    <w:name w:val="CharAmSchText"/>
    <w:basedOn w:val="OPCCharBase"/>
    <w:qFormat/>
    <w:rsid w:val="00D47F5D"/>
  </w:style>
  <w:style w:type="character" w:customStyle="1" w:styleId="CharBoldItalic">
    <w:name w:val="CharBoldItalic"/>
    <w:basedOn w:val="OPCCharBase"/>
    <w:uiPriority w:val="1"/>
    <w:qFormat/>
    <w:rsid w:val="00D47F5D"/>
    <w:rPr>
      <w:b/>
      <w:i/>
    </w:rPr>
  </w:style>
  <w:style w:type="character" w:customStyle="1" w:styleId="CharChapNo">
    <w:name w:val="CharChapNo"/>
    <w:basedOn w:val="OPCCharBase"/>
    <w:uiPriority w:val="1"/>
    <w:qFormat/>
    <w:rsid w:val="00D47F5D"/>
  </w:style>
  <w:style w:type="character" w:customStyle="1" w:styleId="CharChapText">
    <w:name w:val="CharChapText"/>
    <w:basedOn w:val="OPCCharBase"/>
    <w:uiPriority w:val="1"/>
    <w:qFormat/>
    <w:rsid w:val="00D47F5D"/>
  </w:style>
  <w:style w:type="character" w:customStyle="1" w:styleId="CharDivNo">
    <w:name w:val="CharDivNo"/>
    <w:basedOn w:val="OPCCharBase"/>
    <w:uiPriority w:val="1"/>
    <w:qFormat/>
    <w:rsid w:val="00D47F5D"/>
  </w:style>
  <w:style w:type="character" w:customStyle="1" w:styleId="CharDivText">
    <w:name w:val="CharDivText"/>
    <w:basedOn w:val="OPCCharBase"/>
    <w:uiPriority w:val="1"/>
    <w:qFormat/>
    <w:rsid w:val="00D47F5D"/>
  </w:style>
  <w:style w:type="character" w:customStyle="1" w:styleId="CharItalic">
    <w:name w:val="CharItalic"/>
    <w:basedOn w:val="OPCCharBase"/>
    <w:uiPriority w:val="1"/>
    <w:qFormat/>
    <w:rsid w:val="00D47F5D"/>
    <w:rPr>
      <w:i/>
    </w:rPr>
  </w:style>
  <w:style w:type="character" w:customStyle="1" w:styleId="CharPartNo">
    <w:name w:val="CharPartNo"/>
    <w:basedOn w:val="OPCCharBase"/>
    <w:uiPriority w:val="1"/>
    <w:qFormat/>
    <w:rsid w:val="00D47F5D"/>
  </w:style>
  <w:style w:type="character" w:customStyle="1" w:styleId="CharPartText">
    <w:name w:val="CharPartText"/>
    <w:basedOn w:val="OPCCharBase"/>
    <w:uiPriority w:val="1"/>
    <w:qFormat/>
    <w:rsid w:val="00D47F5D"/>
  </w:style>
  <w:style w:type="character" w:customStyle="1" w:styleId="CharSectno">
    <w:name w:val="CharSectno"/>
    <w:basedOn w:val="OPCCharBase"/>
    <w:qFormat/>
    <w:rsid w:val="00D47F5D"/>
  </w:style>
  <w:style w:type="character" w:customStyle="1" w:styleId="CharSubdNo">
    <w:name w:val="CharSubdNo"/>
    <w:basedOn w:val="OPCCharBase"/>
    <w:uiPriority w:val="1"/>
    <w:qFormat/>
    <w:rsid w:val="00D47F5D"/>
  </w:style>
  <w:style w:type="character" w:customStyle="1" w:styleId="CharSubdText">
    <w:name w:val="CharSubdText"/>
    <w:basedOn w:val="OPCCharBase"/>
    <w:uiPriority w:val="1"/>
    <w:qFormat/>
    <w:rsid w:val="00D47F5D"/>
  </w:style>
  <w:style w:type="paragraph" w:customStyle="1" w:styleId="CTA--">
    <w:name w:val="CTA --"/>
    <w:basedOn w:val="OPCParaBase"/>
    <w:next w:val="Normal"/>
    <w:rsid w:val="00D47F5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47F5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47F5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47F5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47F5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47F5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47F5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47F5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47F5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47F5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47F5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47F5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47F5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47F5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D47F5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47F5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47F5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47F5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47F5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47F5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47F5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47F5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47F5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47F5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47F5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47F5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47F5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47F5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47F5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47F5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47F5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47F5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47F5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47F5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47F5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47F5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47F5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47F5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47F5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47F5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47F5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47F5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47F5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47F5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47F5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47F5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47F5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47F5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47F5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47F5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47F5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47F5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47F5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47F5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47F5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47F5D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47F5D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47F5D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47F5D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D47F5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D47F5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47F5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47F5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D47F5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47F5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47F5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47F5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47F5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47F5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47F5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47F5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47F5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47F5D"/>
    <w:rPr>
      <w:sz w:val="16"/>
    </w:rPr>
  </w:style>
  <w:style w:type="table" w:customStyle="1" w:styleId="CFlag">
    <w:name w:val="CFlag"/>
    <w:basedOn w:val="TableNormal"/>
    <w:uiPriority w:val="99"/>
    <w:rsid w:val="00D47F5D"/>
    <w:rPr>
      <w:rFonts w:eastAsia="Times New Roman" w:cs="Times New Roman"/>
      <w:lang w:eastAsia="en-AU"/>
    </w:rPr>
    <w:tblPr/>
  </w:style>
  <w:style w:type="paragraph" w:customStyle="1" w:styleId="CompiledActNo">
    <w:name w:val="CompiledActNo"/>
    <w:basedOn w:val="OPCParaBase"/>
    <w:next w:val="Normal"/>
    <w:rsid w:val="00D47F5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47F5D"/>
    <w:rPr>
      <w:i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47F5D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D47F5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D47F5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47F5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47F5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47F5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47F5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47F5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47F5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47F5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47F5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47F5D"/>
  </w:style>
  <w:style w:type="character" w:customStyle="1" w:styleId="CharSubPartNoCASA">
    <w:name w:val="CharSubPartNo(CASA)"/>
    <w:basedOn w:val="OPCCharBase"/>
    <w:uiPriority w:val="1"/>
    <w:rsid w:val="00D47F5D"/>
  </w:style>
  <w:style w:type="paragraph" w:customStyle="1" w:styleId="ENoteTTIndentHeadingSub">
    <w:name w:val="ENoteTTIndentHeadingSub"/>
    <w:aliases w:val="enTTHis"/>
    <w:basedOn w:val="OPCParaBase"/>
    <w:rsid w:val="00D47F5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47F5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47F5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47F5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D47F5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47F5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47F5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47F5D"/>
    <w:rPr>
      <w:sz w:val="22"/>
    </w:rPr>
  </w:style>
  <w:style w:type="paragraph" w:customStyle="1" w:styleId="SOTextNote">
    <w:name w:val="SO TextNote"/>
    <w:aliases w:val="sont"/>
    <w:basedOn w:val="SOText"/>
    <w:qFormat/>
    <w:rsid w:val="00D47F5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47F5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47F5D"/>
    <w:rPr>
      <w:sz w:val="22"/>
    </w:rPr>
  </w:style>
  <w:style w:type="paragraph" w:customStyle="1" w:styleId="FileName">
    <w:name w:val="FileName"/>
    <w:basedOn w:val="Normal"/>
    <w:rsid w:val="00D47F5D"/>
  </w:style>
  <w:style w:type="paragraph" w:customStyle="1" w:styleId="TableHeading">
    <w:name w:val="TableHeading"/>
    <w:aliases w:val="th"/>
    <w:basedOn w:val="OPCParaBase"/>
    <w:next w:val="Tabletext"/>
    <w:rsid w:val="00D47F5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47F5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47F5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47F5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47F5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47F5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47F5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47F5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47F5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47F5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47F5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47F5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otesHeading1">
    <w:name w:val="NotesHeading 1"/>
    <w:basedOn w:val="OPCParaBase"/>
    <w:next w:val="Normal"/>
    <w:rsid w:val="00D47F5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47F5D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D47F5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47F5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dNotespara">
    <w:name w:val="EndNotes(para)"/>
    <w:aliases w:val="eta"/>
    <w:basedOn w:val="OPCParaBase"/>
    <w:next w:val="EndNotessubpara"/>
    <w:rsid w:val="00D47F5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47F5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47F5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47F5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47F5D"/>
    <w:pPr>
      <w:spacing w:before="60" w:line="240" w:lineRule="auto"/>
    </w:pPr>
    <w:rPr>
      <w:rFonts w:cs="Arial"/>
      <w:sz w:val="20"/>
      <w:szCs w:val="22"/>
    </w:rPr>
  </w:style>
  <w:style w:type="table" w:styleId="TableGrid">
    <w:name w:val="Table Grid"/>
    <w:basedOn w:val="TableNormal"/>
    <w:uiPriority w:val="59"/>
    <w:rsid w:val="00D47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nsitional">
    <w:name w:val="Transitional"/>
    <w:aliases w:val="tr"/>
    <w:basedOn w:val="ItemHead"/>
    <w:next w:val="Item"/>
    <w:rsid w:val="00D47F5D"/>
  </w:style>
  <w:style w:type="character" w:customStyle="1" w:styleId="Heading1Char">
    <w:name w:val="Heading 1 Char"/>
    <w:basedOn w:val="DefaultParagraphFont"/>
    <w:link w:val="Heading1"/>
    <w:uiPriority w:val="9"/>
    <w:rsid w:val="00D824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4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4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446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446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44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44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44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44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bill_ins.dotx</Template>
  <TotalTime>0</TotalTime>
  <Pages>5</Pages>
  <Words>777</Words>
  <Characters>4430</Characters>
  <Application>Microsoft Office Word</Application>
  <DocSecurity>2</DocSecurity>
  <PresentationFormat/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draft: Treasury Laws Amendment (Integrity and Transparency) Bill 2023: ACNC Review Rec 17 - Secrecy Provisions</vt:lpstr>
    </vt:vector>
  </TitlesOfParts>
  <Manager/>
  <Company/>
  <LinksUpToDate>false</LinksUpToDate>
  <CharactersWithSpaces>5197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draft: Treasury Laws Amendment (Integrity and Transparency) Bill 2023: ACNC Review Rec 17 - Secrecy Provisions</dc:title>
  <dc:subject/>
  <dc:creator/>
  <cp:keywords/>
  <dc:description/>
  <cp:lastModifiedBy/>
  <cp:revision>1</cp:revision>
  <cp:lastPrinted>2023-09-04T01:36:00Z</cp:lastPrinted>
  <dcterms:created xsi:type="dcterms:W3CDTF">2023-09-26T06:55:00Z</dcterms:created>
  <dcterms:modified xsi:type="dcterms:W3CDTF">2023-09-26T06:55:00Z</dcterms:modified>
  <cp:category/>
  <cp:contentStatus/>
  <dc:language/>
  <cp:version/>
</cp:coreProperties>
</file>