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64AD3" w14:textId="77777777" w:rsidR="00153F86" w:rsidRPr="00153F86" w:rsidRDefault="00153F86" w:rsidP="00153F86">
      <w:pPr>
        <w:spacing w:after="3840"/>
      </w:pPr>
    </w:p>
    <w:p w14:paraId="57D134E0" w14:textId="7FFA2E7A" w:rsidR="00F012EA" w:rsidRDefault="00C430F0" w:rsidP="00153F86">
      <w:pPr>
        <w:pStyle w:val="Title"/>
        <w:rPr>
          <w:color w:val="2C384A" w:themeColor="accent1"/>
        </w:rPr>
      </w:pPr>
      <w:r w:rsidRPr="00C430F0">
        <w:rPr>
          <w:color w:val="2C384A" w:themeColor="accent1"/>
        </w:rPr>
        <w:t>Modelling Industry Specific Policy with TIM</w:t>
      </w:r>
    </w:p>
    <w:p w14:paraId="3BD5F289" w14:textId="574071B8" w:rsidR="0095372F" w:rsidRPr="00270523" w:rsidRDefault="0095372F" w:rsidP="0095372F">
      <w:pPr>
        <w:pStyle w:val="ReportDate"/>
        <w:spacing w:after="240"/>
        <w:rPr>
          <w:rFonts w:asciiTheme="minorHAnsi" w:hAnsiTheme="minorHAnsi"/>
          <w:bCs/>
          <w:color w:val="5D779D" w:themeColor="accent3"/>
          <w:szCs w:val="16"/>
        </w:rPr>
      </w:pPr>
      <w:r w:rsidRPr="00270523">
        <w:rPr>
          <w:rFonts w:asciiTheme="minorHAnsi" w:hAnsiTheme="minorHAnsi"/>
          <w:bCs/>
          <w:color w:val="5D779D" w:themeColor="accent3"/>
          <w:szCs w:val="16"/>
        </w:rPr>
        <w:t>Treasury’s multi-sector dynamic general equilibrium model of the Australian economy</w:t>
      </w:r>
    </w:p>
    <w:p w14:paraId="0FE6665F" w14:textId="19EB23E9" w:rsidR="00F012EA" w:rsidRPr="00270523" w:rsidRDefault="00C430F0" w:rsidP="00F012EA">
      <w:pPr>
        <w:pStyle w:val="AuthorName"/>
        <w:rPr>
          <w:sz w:val="22"/>
          <w:szCs w:val="22"/>
        </w:rPr>
      </w:pPr>
      <w:r w:rsidRPr="00270523">
        <w:rPr>
          <w:sz w:val="22"/>
          <w:szCs w:val="18"/>
        </w:rPr>
        <w:t>Freya Carlton, Linus Gustafsson, Melissa Hinson, Jack Jaensch, Michael Kouparitsas, Niall Peat, Ken Quach, Sebastian Wende and Phillip Womack</w:t>
      </w:r>
      <w:r w:rsidR="00F012EA" w:rsidRPr="00B0720C">
        <w:rPr>
          <w:rStyle w:val="FootnoteReference"/>
          <w:sz w:val="16"/>
          <w:szCs w:val="22"/>
          <w:vertAlign w:val="superscript"/>
        </w:rPr>
        <w:footnoteReference w:id="2"/>
      </w:r>
    </w:p>
    <w:p w14:paraId="14F211B2" w14:textId="77777777" w:rsidR="00F012EA" w:rsidRPr="00F8009C" w:rsidRDefault="00F012EA" w:rsidP="00153F86">
      <w:pPr>
        <w:pStyle w:val="Subtitle"/>
        <w:tabs>
          <w:tab w:val="left" w:pos="1985"/>
        </w:tabs>
        <w:spacing w:after="0"/>
        <w:rPr>
          <w:szCs w:val="40"/>
        </w:rPr>
      </w:pPr>
      <w:r>
        <w:rPr>
          <w:szCs w:val="40"/>
        </w:rPr>
        <w:t>Treasury Working Paper</w:t>
      </w:r>
      <w:r>
        <w:rPr>
          <w:rStyle w:val="FootnoteReference"/>
          <w:szCs w:val="40"/>
        </w:rPr>
        <w:footnoteReference w:id="3"/>
      </w:r>
    </w:p>
    <w:p w14:paraId="259DA292" w14:textId="7237FAA0" w:rsidR="00F012EA" w:rsidRPr="00F8009C" w:rsidRDefault="00F012EA" w:rsidP="00F012EA">
      <w:pPr>
        <w:pStyle w:val="Subtitle"/>
        <w:rPr>
          <w:szCs w:val="36"/>
        </w:rPr>
      </w:pPr>
      <w:r>
        <w:rPr>
          <w:szCs w:val="36"/>
        </w:rPr>
        <w:t>20</w:t>
      </w:r>
      <w:r w:rsidR="00C430F0">
        <w:rPr>
          <w:szCs w:val="36"/>
        </w:rPr>
        <w:t>23</w:t>
      </w:r>
      <w:r w:rsidR="00CF4181">
        <w:rPr>
          <w:szCs w:val="36"/>
        </w:rPr>
        <w:t>–</w:t>
      </w:r>
      <w:r w:rsidR="00C430F0">
        <w:rPr>
          <w:szCs w:val="36"/>
        </w:rPr>
        <w:t>03</w:t>
      </w:r>
    </w:p>
    <w:p w14:paraId="2B728AC4" w14:textId="15CB59AC" w:rsidR="00F012EA" w:rsidRPr="0018497C" w:rsidRDefault="00F012EA" w:rsidP="00F012EA">
      <w:pPr>
        <w:pStyle w:val="SeriesNumber"/>
        <w:spacing w:after="120"/>
        <w:rPr>
          <w:sz w:val="24"/>
          <w:szCs w:val="24"/>
        </w:rPr>
      </w:pPr>
      <w:r w:rsidRPr="0018497C">
        <w:rPr>
          <w:sz w:val="24"/>
          <w:szCs w:val="24"/>
        </w:rPr>
        <w:t xml:space="preserve">Date created: </w:t>
      </w:r>
      <w:r w:rsidR="00C430F0">
        <w:rPr>
          <w:sz w:val="24"/>
          <w:szCs w:val="24"/>
        </w:rPr>
        <w:t>August 2023</w:t>
      </w:r>
    </w:p>
    <w:p w14:paraId="64423EDE" w14:textId="2C417842" w:rsidR="00F012EA" w:rsidRDefault="00F012EA" w:rsidP="00F012EA">
      <w:pPr>
        <w:pStyle w:val="SeriesNumber"/>
        <w:spacing w:after="120"/>
        <w:rPr>
          <w:sz w:val="24"/>
          <w:szCs w:val="24"/>
        </w:rPr>
      </w:pPr>
      <w:r w:rsidRPr="0018497C">
        <w:rPr>
          <w:sz w:val="24"/>
          <w:szCs w:val="24"/>
        </w:rPr>
        <w:t xml:space="preserve">Date </w:t>
      </w:r>
      <w:r>
        <w:rPr>
          <w:sz w:val="24"/>
          <w:szCs w:val="24"/>
        </w:rPr>
        <w:t>modified</w:t>
      </w:r>
      <w:r w:rsidRPr="0018497C">
        <w:rPr>
          <w:sz w:val="24"/>
          <w:szCs w:val="24"/>
        </w:rPr>
        <w:t xml:space="preserve">: </w:t>
      </w:r>
      <w:r w:rsidR="00C430F0">
        <w:rPr>
          <w:sz w:val="24"/>
          <w:szCs w:val="24"/>
        </w:rPr>
        <w:t xml:space="preserve">August 2023 </w:t>
      </w:r>
    </w:p>
    <w:p w14:paraId="5C72B74B" w14:textId="77777777" w:rsidR="000464B6" w:rsidRDefault="000464B6" w:rsidP="00F012EA">
      <w:pPr>
        <w:pStyle w:val="AuthorName"/>
        <w:rPr>
          <w:szCs w:val="24"/>
        </w:rPr>
        <w:sectPr w:rsidR="000464B6" w:rsidSect="00B7535E">
          <w:footerReference w:type="even" r:id="rId8"/>
          <w:footerReference w:type="default" r:id="rId9"/>
          <w:headerReference w:type="first" r:id="rId10"/>
          <w:pgSz w:w="11906" w:h="16838" w:code="9"/>
          <w:pgMar w:top="1843" w:right="1418" w:bottom="1418" w:left="1418" w:header="709" w:footer="709" w:gutter="0"/>
          <w:cols w:space="708"/>
          <w:titlePg/>
          <w:docGrid w:linePitch="360"/>
        </w:sectPr>
      </w:pPr>
    </w:p>
    <w:p w14:paraId="37EEA09F" w14:textId="5E59F8F1" w:rsidR="000464B6" w:rsidRDefault="000464B6" w:rsidP="000464B6">
      <w:r w:rsidRPr="00661BF0">
        <w:lastRenderedPageBreak/>
        <w:t xml:space="preserve">© Commonwealth of Australia </w:t>
      </w:r>
      <w:r w:rsidRPr="00C430F0">
        <w:t>20</w:t>
      </w:r>
      <w:r w:rsidR="00CF4181" w:rsidRPr="00C430F0">
        <w:t>2</w:t>
      </w:r>
      <w:r w:rsidR="00C430F0" w:rsidRPr="00C430F0">
        <w:t>3</w:t>
      </w:r>
    </w:p>
    <w:p w14:paraId="6B9306FD" w14:textId="4B85B562" w:rsidR="00D20FE8" w:rsidRDefault="00D20FE8" w:rsidP="000464B6">
      <w:r w:rsidRPr="00464A16">
        <w:t xml:space="preserve">ISBN </w:t>
      </w:r>
      <w:r w:rsidR="004C3645" w:rsidRPr="004C3645">
        <w:t>978-1-925832-83-9</w:t>
      </w:r>
    </w:p>
    <w:p w14:paraId="5FC5BCEF" w14:textId="77777777" w:rsidR="000464B6" w:rsidRPr="00086F82" w:rsidRDefault="000464B6" w:rsidP="000464B6">
      <w:pPr>
        <w:tabs>
          <w:tab w:val="left" w:pos="1650"/>
        </w:tabs>
        <w:rPr>
          <w:rStyle w:val="A5"/>
          <w:rFonts w:cstheme="minorBidi"/>
          <w:sz w:val="24"/>
          <w:szCs w:val="24"/>
        </w:rPr>
      </w:pPr>
      <w:r w:rsidRPr="002F1BC2">
        <w:t>This publication is available for your use under a</w:t>
      </w:r>
      <w:r w:rsidRPr="00476F09">
        <w:rPr>
          <w:rStyle w:val="A5"/>
          <w:rFonts w:cstheme="minorHAnsi"/>
          <w:sz w:val="24"/>
          <w:szCs w:val="24"/>
        </w:rPr>
        <w:t xml:space="preserve"> </w:t>
      </w:r>
      <w:hyperlink r:id="rId11" w:history="1">
        <w:r w:rsidRPr="006627B4">
          <w:rPr>
            <w:rStyle w:val="Hyperlink"/>
          </w:rPr>
          <w:t xml:space="preserve">Creative Commons </w:t>
        </w:r>
        <w:r>
          <w:rPr>
            <w:rStyle w:val="Hyperlink"/>
          </w:rPr>
          <w:t xml:space="preserve">BY </w:t>
        </w:r>
        <w:r w:rsidRPr="006627B4">
          <w:rPr>
            <w:rStyle w:val="Hyperlink"/>
          </w:rPr>
          <w:t>Attribution 3.0 Australia</w:t>
        </w:r>
      </w:hyperlink>
      <w:r w:rsidRPr="00476F09">
        <w:rPr>
          <w:rStyle w:val="A5"/>
          <w:rFonts w:cstheme="minorHAnsi"/>
          <w:sz w:val="24"/>
          <w:szCs w:val="24"/>
        </w:rPr>
        <w:t xml:space="preserve"> </w:t>
      </w:r>
      <w:r w:rsidRPr="002F1BC2">
        <w:t>licence, with the exception of the Commonwealth Coat of Arms, the Treasury logo</w:t>
      </w:r>
      <w:r>
        <w:t>, photographs, images, signatures and where otherwise stated</w:t>
      </w:r>
      <w:r w:rsidRPr="002F1BC2">
        <w:t>. The full licence terms are available from</w:t>
      </w:r>
      <w:r w:rsidRPr="00476F09">
        <w:rPr>
          <w:rStyle w:val="A5"/>
          <w:rFonts w:cstheme="minorHAnsi"/>
          <w:sz w:val="24"/>
          <w:szCs w:val="24"/>
        </w:rPr>
        <w:t xml:space="preserve"> </w:t>
      </w:r>
      <w:hyperlink r:id="rId12" w:history="1">
        <w:r w:rsidRPr="006627B4">
          <w:rPr>
            <w:rStyle w:val="Hyperlink"/>
          </w:rPr>
          <w:t>http://creativecommons.org/licenses/by/3.0/au/legalcode</w:t>
        </w:r>
      </w:hyperlink>
      <w:r w:rsidRPr="006627B4">
        <w:rPr>
          <w:rStyle w:val="Hyperlink"/>
        </w:rPr>
        <w:t>.</w:t>
      </w:r>
      <w:r w:rsidRPr="00D06A21">
        <w:rPr>
          <w:sz w:val="24"/>
          <w:szCs w:val="24"/>
        </w:rPr>
        <w:t xml:space="preserve"> </w:t>
      </w:r>
    </w:p>
    <w:p w14:paraId="3FEE0D5E" w14:textId="77777777" w:rsidR="000464B6" w:rsidRDefault="000464B6" w:rsidP="000464B6">
      <w:pPr>
        <w:tabs>
          <w:tab w:val="left" w:pos="1650"/>
        </w:tabs>
        <w:spacing w:before="100" w:beforeAutospacing="1" w:after="100" w:afterAutospacing="1"/>
        <w:rPr>
          <w:rFonts w:cstheme="minorHAnsi"/>
          <w:sz w:val="24"/>
          <w:szCs w:val="24"/>
        </w:rPr>
      </w:pPr>
      <w:r w:rsidRPr="00E56DFB">
        <w:rPr>
          <w:rFonts w:cstheme="minorHAnsi"/>
          <w:noProof/>
          <w:sz w:val="24"/>
          <w:szCs w:val="24"/>
          <w:lang w:eastAsia="zh-CN"/>
        </w:rPr>
        <w:drawing>
          <wp:inline distT="0" distB="0" distL="0" distR="0" wp14:anchorId="57BFC354" wp14:editId="72B53F56">
            <wp:extent cx="809625" cy="285750"/>
            <wp:effectExtent l="19050" t="0" r="9525" b="0"/>
            <wp:docPr id="6" name="Picture 6"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3" cstate="print"/>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2A83A23F" w14:textId="77777777" w:rsidR="000464B6" w:rsidRPr="006627B4" w:rsidRDefault="000464B6" w:rsidP="000464B6">
      <w:pPr>
        <w:tabs>
          <w:tab w:val="left" w:pos="1650"/>
        </w:tabs>
      </w:pPr>
      <w:r w:rsidRPr="006627B4">
        <w:t>Use of Treasury material under a</w:t>
      </w:r>
      <w:r w:rsidRPr="00476F09">
        <w:rPr>
          <w:rFonts w:cstheme="minorHAnsi"/>
          <w:sz w:val="24"/>
          <w:szCs w:val="24"/>
        </w:rPr>
        <w:t xml:space="preserve"> </w:t>
      </w:r>
      <w:hyperlink r:id="rId14" w:history="1">
        <w:r w:rsidRPr="002F1BC2">
          <w:rPr>
            <w:rStyle w:val="Hyperlink"/>
          </w:rPr>
          <w:t xml:space="preserve">Creative Commons </w:t>
        </w:r>
        <w:r>
          <w:rPr>
            <w:rStyle w:val="Hyperlink"/>
          </w:rPr>
          <w:t xml:space="preserve">BY </w:t>
        </w:r>
        <w:r w:rsidRPr="002F1BC2">
          <w:rPr>
            <w:rStyle w:val="Hyperlink"/>
          </w:rPr>
          <w:t>Attribution 3.0 Australia</w:t>
        </w:r>
      </w:hyperlink>
      <w:r w:rsidRPr="002F1BC2">
        <w:rPr>
          <w:rStyle w:val="Hyperlink"/>
        </w:rPr>
        <w:t xml:space="preserve"> </w:t>
      </w:r>
      <w:r w:rsidRPr="006627B4">
        <w:t xml:space="preserve">licence requires you to attribute the work (but not in any way that suggests that the Treasury endorses you or your use of the work). </w:t>
      </w:r>
    </w:p>
    <w:p w14:paraId="16F40F39" w14:textId="77777777" w:rsidR="000464B6" w:rsidRPr="0096584F" w:rsidRDefault="000464B6" w:rsidP="0096584F">
      <w:pPr>
        <w:spacing w:after="40"/>
        <w:rPr>
          <w:b/>
        </w:rPr>
      </w:pPr>
      <w:r w:rsidRPr="0096584F">
        <w:rPr>
          <w:b/>
        </w:rPr>
        <w:t>Treasury material used 'as supplied'</w:t>
      </w:r>
    </w:p>
    <w:p w14:paraId="2BF8CA5C" w14:textId="77777777" w:rsidR="000464B6" w:rsidRPr="00476F09" w:rsidRDefault="000464B6" w:rsidP="000464B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0277FE4C" w14:textId="77777777" w:rsidR="000464B6" w:rsidRPr="00A13A11" w:rsidRDefault="000464B6" w:rsidP="000464B6">
      <w:pPr>
        <w:ind w:firstLine="720"/>
      </w:pPr>
      <w:r w:rsidRPr="002F1BC2">
        <w:rPr>
          <w:i/>
        </w:rPr>
        <w:t xml:space="preserve">Source: The </w:t>
      </w:r>
      <w:r w:rsidRPr="002F1BC2">
        <w:rPr>
          <w:i/>
          <w:iCs/>
        </w:rPr>
        <w:t>Australian Government the Treasury</w:t>
      </w:r>
    </w:p>
    <w:p w14:paraId="5063590A" w14:textId="77777777" w:rsidR="000464B6" w:rsidRPr="0096584F" w:rsidRDefault="000464B6" w:rsidP="0096584F">
      <w:pPr>
        <w:spacing w:after="40"/>
        <w:rPr>
          <w:b/>
        </w:rPr>
      </w:pPr>
      <w:r w:rsidRPr="0096584F">
        <w:rPr>
          <w:b/>
        </w:rPr>
        <w:t>Derivative material</w:t>
      </w:r>
    </w:p>
    <w:p w14:paraId="0E5BADA7" w14:textId="77777777" w:rsidR="000464B6" w:rsidRPr="006627B4" w:rsidRDefault="000464B6" w:rsidP="000464B6">
      <w:r w:rsidRPr="006627B4">
        <w:t xml:space="preserve">If you have modified or transformed Treasury material, or derived new material from those of the Treasury in any way, then Treasury prefers the following attribution: </w:t>
      </w:r>
    </w:p>
    <w:p w14:paraId="6E21A20D" w14:textId="77777777" w:rsidR="000464B6" w:rsidRPr="006627B4" w:rsidRDefault="000464B6" w:rsidP="000464B6">
      <w:pPr>
        <w:ind w:firstLine="720"/>
      </w:pPr>
      <w:r w:rsidRPr="002F1BC2">
        <w:rPr>
          <w:i/>
        </w:rPr>
        <w:t>Based on The Australian Government the Treasury data</w:t>
      </w:r>
    </w:p>
    <w:p w14:paraId="1B52CA61" w14:textId="77777777" w:rsidR="000464B6" w:rsidRPr="006627B4" w:rsidRDefault="000464B6" w:rsidP="000464B6">
      <w:pPr>
        <w:spacing w:after="40"/>
        <w:rPr>
          <w:b/>
        </w:rPr>
      </w:pPr>
      <w:r w:rsidRPr="006627B4">
        <w:rPr>
          <w:b/>
        </w:rPr>
        <w:t>Use of the Coat of Arms</w:t>
      </w:r>
    </w:p>
    <w:p w14:paraId="522AB63E" w14:textId="77777777" w:rsidR="000464B6" w:rsidRPr="006627B4" w:rsidRDefault="00A40BA2" w:rsidP="000464B6">
      <w:r w:rsidRPr="00A40BA2">
        <w:t>The terms under which the Coat of Arms can be used are set out on the Departme</w:t>
      </w:r>
      <w:r>
        <w:t>nt of the Prime </w:t>
      </w:r>
      <w:r w:rsidRPr="00A40BA2">
        <w:t xml:space="preserve">Minister and Cabinet website (see </w:t>
      </w:r>
      <w:hyperlink r:id="rId15" w:history="1">
        <w:r w:rsidR="00CF4181">
          <w:rPr>
            <w:rStyle w:val="Hyperlink"/>
          </w:rPr>
          <w:t>https://www.pmc.gov.au/honours-and-symbols/commonwealth-coat-arms</w:t>
        </w:r>
      </w:hyperlink>
      <w:r w:rsidRPr="00A40BA2">
        <w:t>).</w:t>
      </w:r>
    </w:p>
    <w:p w14:paraId="4B9E3B8B" w14:textId="77777777" w:rsidR="000464B6" w:rsidRPr="006627B4" w:rsidRDefault="00A57848" w:rsidP="000464B6">
      <w:pPr>
        <w:spacing w:after="40"/>
        <w:rPr>
          <w:b/>
        </w:rPr>
      </w:pPr>
      <w:r>
        <w:rPr>
          <w:b/>
        </w:rPr>
        <w:t>Other u</w:t>
      </w:r>
      <w:r w:rsidR="000464B6" w:rsidRPr="006627B4">
        <w:rPr>
          <w:b/>
        </w:rPr>
        <w:t>ses</w:t>
      </w:r>
    </w:p>
    <w:p w14:paraId="105F273B" w14:textId="77777777" w:rsidR="000464B6" w:rsidRPr="006627B4" w:rsidRDefault="00A57848" w:rsidP="00A57848">
      <w:r>
        <w:t>E</w:t>
      </w:r>
      <w:r w:rsidR="000464B6" w:rsidRPr="006627B4">
        <w:t>nquiries regarding this licence and any other use of this document are welcome at:</w:t>
      </w:r>
    </w:p>
    <w:p w14:paraId="2D70ACD8" w14:textId="77777777" w:rsidR="000464B6" w:rsidRPr="006627B4" w:rsidRDefault="000464B6" w:rsidP="000464B6">
      <w:pPr>
        <w:spacing w:after="0"/>
        <w:ind w:left="720"/>
      </w:pPr>
      <w:r w:rsidRPr="006627B4">
        <w:t>Manager</w:t>
      </w:r>
      <w:r w:rsidR="0096584F">
        <w:br/>
      </w:r>
      <w:r w:rsidR="00A57848">
        <w:t>Media Unit</w:t>
      </w:r>
      <w:r w:rsidR="0096584F">
        <w:br/>
      </w:r>
      <w:r w:rsidRPr="006627B4">
        <w:t>The Treasury</w:t>
      </w:r>
      <w:r w:rsidR="0096584F">
        <w:br/>
      </w:r>
      <w:r w:rsidRPr="006627B4">
        <w:t xml:space="preserve">Langton Crescent </w:t>
      </w:r>
      <w:r w:rsidR="00A57848">
        <w:br/>
      </w:r>
      <w:r w:rsidRPr="006627B4">
        <w:t>Parkes ACT 2600</w:t>
      </w:r>
    </w:p>
    <w:p w14:paraId="56A3ACF7" w14:textId="77777777" w:rsidR="000464B6" w:rsidRDefault="000464B6" w:rsidP="000464B6">
      <w:pPr>
        <w:spacing w:after="0"/>
        <w:ind w:left="720"/>
        <w:rPr>
          <w:rStyle w:val="Hyperlink"/>
        </w:rPr>
      </w:pPr>
      <w:r w:rsidRPr="006627B4">
        <w:t xml:space="preserve">Email: </w:t>
      </w:r>
      <w:hyperlink r:id="rId16" w:history="1">
        <w:r w:rsidR="00CB4555" w:rsidRPr="000951A5">
          <w:rPr>
            <w:rStyle w:val="Hyperlink"/>
          </w:rPr>
          <w:t>media@treasury.gov.au</w:t>
        </w:r>
      </w:hyperlink>
      <w:r w:rsidRPr="002F1BC2">
        <w:rPr>
          <w:rStyle w:val="Hyperlink"/>
        </w:rPr>
        <w:t xml:space="preserve"> </w:t>
      </w:r>
      <w:r w:rsidR="00CB4555">
        <w:rPr>
          <w:rStyle w:val="Hyperlink"/>
        </w:rPr>
        <w:t xml:space="preserve"> </w:t>
      </w:r>
    </w:p>
    <w:p w14:paraId="602F590B" w14:textId="77777777" w:rsidR="000464B6" w:rsidRPr="000464B6" w:rsidRDefault="000464B6" w:rsidP="000464B6"/>
    <w:p w14:paraId="1377E89F" w14:textId="77777777" w:rsidR="000464B6" w:rsidRDefault="000464B6" w:rsidP="000464B6">
      <w:pPr>
        <w:spacing w:after="0"/>
        <w:ind w:left="720"/>
        <w:rPr>
          <w:rStyle w:val="Hyperlink"/>
        </w:rPr>
        <w:sectPr w:rsidR="000464B6" w:rsidSect="00B7535E">
          <w:headerReference w:type="even" r:id="rId17"/>
          <w:headerReference w:type="default" r:id="rId18"/>
          <w:headerReference w:type="first" r:id="rId19"/>
          <w:pgSz w:w="11906" w:h="16838" w:code="9"/>
          <w:pgMar w:top="1843" w:right="1418" w:bottom="1418" w:left="1418" w:header="709" w:footer="709" w:gutter="0"/>
          <w:cols w:space="708"/>
          <w:titlePg/>
          <w:docGrid w:linePitch="360"/>
        </w:sectPr>
      </w:pPr>
    </w:p>
    <w:p w14:paraId="6A319026" w14:textId="77777777" w:rsidR="0095372F" w:rsidRDefault="0095372F" w:rsidP="0095372F">
      <w:pPr>
        <w:pStyle w:val="SingleParagraph"/>
      </w:pPr>
      <w:r>
        <w:t>Modelling Industry Specific Policy with TIM: Treasury’s multi-sector dynamic general equilibrium model of the Australian economy</w:t>
      </w:r>
    </w:p>
    <w:p w14:paraId="0A73DF2B" w14:textId="77777777" w:rsidR="0095372F" w:rsidRDefault="0095372F" w:rsidP="0095372F">
      <w:pPr>
        <w:pStyle w:val="SingleParagraph"/>
      </w:pPr>
      <w:r>
        <w:t>Freya Carlton, Linus Gustafsson, Melissa Hinson, Jack Jaensch, Michael Kouparitsas, Niall Peat, Ken Quach, Sebastian Wende and Phillip Womack</w:t>
      </w:r>
    </w:p>
    <w:p w14:paraId="1A45348A" w14:textId="77777777" w:rsidR="0095372F" w:rsidRDefault="0095372F" w:rsidP="0095372F">
      <w:pPr>
        <w:pStyle w:val="SingleParagraph"/>
      </w:pPr>
      <w:r>
        <w:t>2023–03</w:t>
      </w:r>
    </w:p>
    <w:p w14:paraId="276C24B2" w14:textId="57722172" w:rsidR="00F012EA" w:rsidRDefault="0095372F" w:rsidP="0095372F">
      <w:pPr>
        <w:pStyle w:val="SingleParagraph"/>
      </w:pPr>
      <w:r>
        <w:t>August 2023</w:t>
      </w:r>
    </w:p>
    <w:p w14:paraId="7AC8904F" w14:textId="77777777" w:rsidR="00F012EA" w:rsidRDefault="00F012EA" w:rsidP="00575037">
      <w:pPr>
        <w:pStyle w:val="Heading1"/>
      </w:pPr>
      <w:r>
        <w:t>Abstract</w:t>
      </w:r>
    </w:p>
    <w:p w14:paraId="7B552A1F" w14:textId="50A8696A" w:rsidR="00F012EA" w:rsidRPr="00E65E4B" w:rsidRDefault="0095372F" w:rsidP="00F012EA">
      <w:pPr>
        <w:pStyle w:val="Abstract"/>
      </w:pPr>
      <w:r w:rsidRPr="0095372F">
        <w:t>The Australian economy is constantly affected by technological, demand and policy shocks from home and abroad. The opportunities and challenges presented by these shocks create demand for government advice on the likely effects on households, firms and the Australian economy, and in turn appropriate policy responses. Treasury has developed a multisector dynamic general equilibrium model to meet this need – the Treasury Industry Model (TIM). As a general equilibrium model, TIM captures the economy’s interconnectedness and rich industry detail, enabling the net effects of policy or other exogenous changes to the economy to be assessed. TIM extends previous Australian models by incorporating forward-looking agents that are able to respond rationally to policy and technological changes, a well-defined balanced growth path defined endogenously, and a model-consistent welfare measure. These features, combined with TIM’s significant production and industry detail, position the model well for informing advice on a range of industry- and trade-related policy questions.</w:t>
      </w:r>
    </w:p>
    <w:p w14:paraId="736DC321" w14:textId="77777777" w:rsidR="0095372F" w:rsidRDefault="0095372F" w:rsidP="0095372F">
      <w:pPr>
        <w:pStyle w:val="SingleParagraph"/>
      </w:pPr>
      <w:r>
        <w:t>JEL Classification Numbers: C68, D58, E13, E23, E60, H30</w:t>
      </w:r>
    </w:p>
    <w:p w14:paraId="189B2C5D" w14:textId="54E3C3A5" w:rsidR="00F012EA" w:rsidRDefault="0095372F" w:rsidP="0095372F">
      <w:pPr>
        <w:pStyle w:val="SingleParagraph"/>
      </w:pPr>
      <w:r>
        <w:t>Keywords: many sector modelling, CGE modelling, industry policy analysis, general equilibrium</w:t>
      </w:r>
    </w:p>
    <w:p w14:paraId="52E6CA87" w14:textId="77777777" w:rsidR="00F012EA" w:rsidRDefault="00F012EA" w:rsidP="00F012EA">
      <w:pPr>
        <w:pStyle w:val="SingleParagraph"/>
      </w:pPr>
    </w:p>
    <w:p w14:paraId="7AF46F03" w14:textId="1F819D4F" w:rsidR="00F012EA" w:rsidRDefault="0095372F" w:rsidP="00F012EA">
      <w:pPr>
        <w:pStyle w:val="SingleParagraph"/>
      </w:pPr>
      <w:r w:rsidRPr="0095372F">
        <w:t>Freya Carlton, Linus Gustafsson, Melissa Hinson, Jack Jaensch, Michael Kouparitsas, Niall Peat, Ken Quach, Sebastian Wende, and Phillip Womack.</w:t>
      </w:r>
    </w:p>
    <w:p w14:paraId="1B5D9785" w14:textId="77777777" w:rsidR="0095372F" w:rsidRDefault="0095372F" w:rsidP="00F012EA">
      <w:pPr>
        <w:pStyle w:val="SingleParagraph"/>
      </w:pPr>
    </w:p>
    <w:p w14:paraId="1511EA97" w14:textId="77777777" w:rsidR="0095372F" w:rsidRDefault="0095372F" w:rsidP="0095372F">
      <w:pPr>
        <w:pStyle w:val="SingleParagraph"/>
      </w:pPr>
      <w:r>
        <w:t>Macroeconomic Analysis and Policy Division</w:t>
      </w:r>
    </w:p>
    <w:p w14:paraId="6B6159A0" w14:textId="77777777" w:rsidR="0095372F" w:rsidRDefault="0095372F" w:rsidP="0095372F">
      <w:pPr>
        <w:pStyle w:val="SingleParagraph"/>
      </w:pPr>
      <w:r>
        <w:t>Macroeconomic Group</w:t>
      </w:r>
    </w:p>
    <w:p w14:paraId="10B846DD" w14:textId="77777777" w:rsidR="0095372F" w:rsidRDefault="0095372F" w:rsidP="0095372F">
      <w:pPr>
        <w:pStyle w:val="SingleParagraph"/>
      </w:pPr>
      <w:r>
        <w:t>The Treasury</w:t>
      </w:r>
    </w:p>
    <w:p w14:paraId="088349F4" w14:textId="77777777" w:rsidR="0095372F" w:rsidRDefault="0095372F" w:rsidP="0095372F">
      <w:pPr>
        <w:pStyle w:val="SingleParagraph"/>
      </w:pPr>
      <w:r>
        <w:t>Langton Crescent</w:t>
      </w:r>
    </w:p>
    <w:p w14:paraId="34D52B57" w14:textId="2FB8DBED" w:rsidR="00F012EA" w:rsidRDefault="0095372F" w:rsidP="0095372F">
      <w:pPr>
        <w:pStyle w:val="SingleParagraph"/>
      </w:pPr>
      <w:r>
        <w:t>Parkes ACT 2600</w:t>
      </w:r>
    </w:p>
    <w:p w14:paraId="3ABFDEB1" w14:textId="77777777" w:rsidR="00F012EA" w:rsidRDefault="00F012EA" w:rsidP="008627B1"/>
    <w:p w14:paraId="48A43A97" w14:textId="67FEF312" w:rsidR="00C430F0" w:rsidRDefault="00C430F0" w:rsidP="008627B1">
      <w:pPr>
        <w:sectPr w:rsidR="00C430F0" w:rsidSect="00B7535E">
          <w:pgSz w:w="11906" w:h="16838" w:code="9"/>
          <w:pgMar w:top="1843" w:right="1418" w:bottom="1418" w:left="1418" w:header="709" w:footer="709" w:gutter="0"/>
          <w:cols w:space="708"/>
          <w:titlePg/>
          <w:docGrid w:linePitch="360"/>
        </w:sectPr>
      </w:pPr>
    </w:p>
    <w:p w14:paraId="48FE31FD" w14:textId="7F4D201A" w:rsidR="00C430F0" w:rsidRDefault="00C430F0" w:rsidP="00C430F0">
      <w:pPr>
        <w:pStyle w:val="Heading1"/>
        <w:numPr>
          <w:ilvl w:val="0"/>
          <w:numId w:val="42"/>
        </w:numPr>
      </w:pPr>
      <w:bookmarkStart w:id="0" w:name="_Hlk120786873"/>
      <w:r>
        <w:t>Introduction</w:t>
      </w:r>
    </w:p>
    <w:p w14:paraId="062C9D26" w14:textId="7ED192EB" w:rsidR="00C430F0" w:rsidRPr="004C787F" w:rsidRDefault="00C430F0" w:rsidP="00C430F0">
      <w:r w:rsidRPr="004C787F">
        <w:t>The Australian economy is constantly subject</w:t>
      </w:r>
      <w:r>
        <w:t>ed</w:t>
      </w:r>
      <w:r w:rsidRPr="004C787F">
        <w:t xml:space="preserve"> to technological, demand and policy shocks from home and abroad. These shocks are typically industry specific, meaning they originate in and/or initially affect the functioning of a</w:t>
      </w:r>
      <w:r>
        <w:t xml:space="preserve"> particular</w:t>
      </w:r>
      <w:r w:rsidRPr="004C787F">
        <w:t xml:space="preserve"> industry </w:t>
      </w:r>
      <w:r>
        <w:t>or group of industries</w:t>
      </w:r>
      <w:r w:rsidRPr="004C787F">
        <w:t xml:space="preserve">. The opportunities and challenges presented by these shocks create demand </w:t>
      </w:r>
      <w:r>
        <w:t>for</w:t>
      </w:r>
      <w:r w:rsidRPr="004C787F">
        <w:t xml:space="preserve"> </w:t>
      </w:r>
      <w:r>
        <w:t>g</w:t>
      </w:r>
      <w:r w:rsidRPr="004C787F">
        <w:t>overnment advice on the likely effects on households, firms and the Australian economy and</w:t>
      </w:r>
      <w:r>
        <w:t>,</w:t>
      </w:r>
      <w:r w:rsidRPr="004C787F">
        <w:t xml:space="preserve"> in turn</w:t>
      </w:r>
      <w:r>
        <w:t>,</w:t>
      </w:r>
      <w:r w:rsidRPr="004C787F">
        <w:t xml:space="preserve"> appropriate policy responses. While this may seem like an </w:t>
      </w:r>
      <w:r w:rsidRPr="00D942CB">
        <w:t>opportunity for microeconomic analysis, it has long been observed that industry shocks can typically cause widespread or aggregate fluctuations or transitions. This suggests macroeconomic analysis is required to better understand the implications of such shocks and inform potential policy responses.</w:t>
      </w:r>
    </w:p>
    <w:bookmarkEnd w:id="0"/>
    <w:p w14:paraId="78957732" w14:textId="77777777" w:rsidR="00C430F0" w:rsidRPr="004C787F" w:rsidRDefault="00C430F0" w:rsidP="00C430F0">
      <w:r w:rsidRPr="004C787F">
        <w:t xml:space="preserve">The Treasury Industry Model (TIM) has been developed by the Department of the Treasury </w:t>
      </w:r>
      <w:r>
        <w:t xml:space="preserve">(Treasury) </w:t>
      </w:r>
      <w:r w:rsidRPr="004C787F">
        <w:t>to meet this policy</w:t>
      </w:r>
      <w:r w:rsidRPr="004C787F">
        <w:noBreakHyphen/>
        <w:t>advising requirement. TIM is, to a large extent, a small open economy variant of the multisector dynamic general equilibrium models developed in the United States in the late 1990s/early 2000s.</w:t>
      </w:r>
      <w:r w:rsidRPr="000D6F06">
        <w:rPr>
          <w:sz w:val="18"/>
          <w:vertAlign w:val="superscript"/>
        </w:rPr>
        <w:footnoteReference w:id="4"/>
      </w:r>
      <w:r w:rsidRPr="004C787F">
        <w:t xml:space="preserve"> The focus of those models was business cycle analysis. By contrast, the intended purpose of TIM is to analyse the effects of industry</w:t>
      </w:r>
      <w:r w:rsidRPr="004C787F">
        <w:noBreakHyphen/>
        <w:t xml:space="preserve">specific shocks, trade policy and other policies aimed at raising the welfare of Australians. </w:t>
      </w:r>
    </w:p>
    <w:p w14:paraId="190AA271" w14:textId="77777777" w:rsidR="00C430F0" w:rsidRPr="004C787F" w:rsidRDefault="00C430F0" w:rsidP="00C430F0">
      <w:r w:rsidRPr="004C787F">
        <w:t>TIM extends previous Australian models with many industries (see, for example, Dixon et al.</w:t>
      </w:r>
      <w:sdt>
        <w:sdtPr>
          <w:id w:val="1446811640"/>
          <w:citation/>
        </w:sdtPr>
        <w:sdtEndPr/>
        <w:sdtContent>
          <w:r w:rsidRPr="004C787F">
            <w:fldChar w:fldCharType="begin"/>
          </w:r>
          <w:r w:rsidRPr="004C787F">
            <w:instrText xml:space="preserve">CITATION Dix822 \n  \t  \l 3081 </w:instrText>
          </w:r>
          <w:r w:rsidRPr="004C787F">
            <w:fldChar w:fldCharType="separate"/>
          </w:r>
          <w:r>
            <w:rPr>
              <w:noProof/>
            </w:rPr>
            <w:t xml:space="preserve"> (1982)</w:t>
          </w:r>
          <w:r w:rsidRPr="004C787F">
            <w:fldChar w:fldCharType="end"/>
          </w:r>
        </w:sdtContent>
      </w:sdt>
      <w:r w:rsidRPr="004C787F">
        <w:t>) by incorporating forward</w:t>
      </w:r>
      <w:r w:rsidRPr="004C787F">
        <w:noBreakHyphen/>
        <w:t>looking agents and a well</w:t>
      </w:r>
      <w:r w:rsidRPr="004C787F">
        <w:noBreakHyphen/>
        <w:t>defined balanced growth path.</w:t>
      </w:r>
      <w:r w:rsidRPr="000D6F06">
        <w:rPr>
          <w:sz w:val="18"/>
          <w:vertAlign w:val="superscript"/>
        </w:rPr>
        <w:footnoteReference w:id="5"/>
      </w:r>
      <w:r w:rsidRPr="004C787F">
        <w:t xml:space="preserve"> This approach overcomes three limitations of models without these features. First, variables which have a significant bearing on modelling results (for example, the long</w:t>
      </w:r>
      <w:r w:rsidRPr="004C787F">
        <w:noBreakHyphen/>
        <w:t xml:space="preserve">run level of net foreign </w:t>
      </w:r>
      <w:r>
        <w:t>assets</w:t>
      </w:r>
      <w:r w:rsidRPr="004C787F">
        <w:t>, household savings and labour supply/total hours worked) are determined endogenously. Second, (forward</w:t>
      </w:r>
      <w:r w:rsidRPr="004C787F">
        <w:noBreakHyphen/>
        <w:t>looking) agents realistically respond to anticipated policy and technological change</w:t>
      </w:r>
      <w:r>
        <w:t>s</w:t>
      </w:r>
      <w:r w:rsidRPr="004C787F">
        <w:t>. This is important for industry analysis as industry</w:t>
      </w:r>
      <w:r w:rsidRPr="004C787F">
        <w:noBreakHyphen/>
        <w:t>specific policies are typically phased in over time or announced well ahead of implementation to diminish the adjustment costs faced by firms and households (in their role as workers). Finally, as decisions are derived from well</w:t>
      </w:r>
      <w:r w:rsidRPr="004C787F">
        <w:noBreakHyphen/>
        <w:t>defined optimisation problems, TIM provides a model</w:t>
      </w:r>
      <w:r w:rsidRPr="004C787F">
        <w:noBreakHyphen/>
        <w:t>consistent welfare measure that is useful for evaluating the benefits and costs of policy.</w:t>
      </w:r>
    </w:p>
    <w:p w14:paraId="48068478" w14:textId="77777777" w:rsidR="00C430F0" w:rsidRPr="004C787F" w:rsidRDefault="00C430F0" w:rsidP="00C430F0">
      <w:r w:rsidRPr="004C787F">
        <w:t xml:space="preserve">Given its purpose to inform policy advice, particularly with respect to industry, TIM includes considerably more detail about </w:t>
      </w:r>
      <w:r>
        <w:t>key</w:t>
      </w:r>
      <w:r w:rsidRPr="004C787F">
        <w:t xml:space="preserve"> economic agents and their interactions than other macroeconomic models used by the </w:t>
      </w:r>
      <w:r>
        <w:t>Reserve Bank of Australia</w:t>
      </w:r>
      <w:r w:rsidRPr="004C787F">
        <w:t xml:space="preserve"> and Treasury for policy advice.</w:t>
      </w:r>
      <w:r w:rsidRPr="000D6F06">
        <w:rPr>
          <w:sz w:val="18"/>
          <w:vertAlign w:val="superscript"/>
        </w:rPr>
        <w:footnoteReference w:id="6"/>
      </w:r>
      <w:r>
        <w:t xml:space="preserve"> </w:t>
      </w:r>
      <w:r w:rsidRPr="004C787F">
        <w:t xml:space="preserve">TIM </w:t>
      </w:r>
      <w:r>
        <w:t xml:space="preserve">currently </w:t>
      </w:r>
      <w:r w:rsidRPr="004C787F">
        <w:t xml:space="preserve">incorporates 114 firms representing the 114 industries defined by the Australian Bureau of Statistics </w:t>
      </w:r>
      <w:r>
        <w:t xml:space="preserve">(ABS) </w:t>
      </w:r>
      <w:r w:rsidRPr="004C787F">
        <w:t>Input</w:t>
      </w:r>
      <w:r w:rsidRPr="004C787F">
        <w:noBreakHyphen/>
        <w:t xml:space="preserve">Output </w:t>
      </w:r>
      <w:r>
        <w:t xml:space="preserve">(I-O) </w:t>
      </w:r>
      <w:r w:rsidRPr="004C787F">
        <w:t>tables. TIM also has three additional agents: the household, government and the rest of the world (ROW). As a multisector dynamic general equilibrium model, TIM captures differences between production processes, inter</w:t>
      </w:r>
      <w:r w:rsidRPr="004C787F">
        <w:noBreakHyphen/>
        <w:t>industry linkages and economy</w:t>
      </w:r>
      <w:r w:rsidRPr="004C787F">
        <w:noBreakHyphen/>
        <w:t xml:space="preserve">wide general equilibrium relationships. </w:t>
      </w:r>
    </w:p>
    <w:p w14:paraId="3D14CB02" w14:textId="77777777" w:rsidR="00C430F0" w:rsidRPr="004C787F" w:rsidRDefault="00C430F0" w:rsidP="00C430F0">
      <w:r w:rsidRPr="004C787F">
        <w:t>TIM retains the details of earlier Australian models that remain important for industry</w:t>
      </w:r>
      <w:r w:rsidRPr="004C787F">
        <w:noBreakHyphen/>
        <w:t>specific analysis, such as distribution costs captured by so</w:t>
      </w:r>
      <w:r w:rsidRPr="004C787F">
        <w:noBreakHyphen/>
        <w:t xml:space="preserve">called margins. These are separately identified within the model from more general intermediate goods and services consumed in production. All domestic production prices are endogenous, with Australian exports competing with differentiated products produced in the ROW. Financial capital is assumed to be perfectly mobile, with marginal investment undertaken by the ROW. The government sector incorporates detailed modelling of expenditure taxes (import duties, excise and goods and services tax (GST)) and production taxes. </w:t>
      </w:r>
      <w:r w:rsidRPr="00CB0949">
        <w:t>Modelling of income taxes, government expenditure and fiscal rules is complete</w:t>
      </w:r>
      <w:r>
        <w:t>,</w:t>
      </w:r>
      <w:r w:rsidRPr="00CB0949">
        <w:t xml:space="preserve"> but has been simplified to ensure the analysis is tractable.</w:t>
      </w:r>
      <w:r w:rsidRPr="004C787F">
        <w:t xml:space="preserve"> </w:t>
      </w:r>
    </w:p>
    <w:p w14:paraId="61BCD647" w14:textId="77777777" w:rsidR="00C430F0" w:rsidRPr="004C787F" w:rsidRDefault="00C430F0" w:rsidP="00C430F0">
      <w:r>
        <w:t>This level of detail positions TIM well to support the assessment of the net effects of policy or other exogenous changes to the economy.</w:t>
      </w:r>
      <w:r w:rsidRPr="004C787F">
        <w:t xml:space="preserve"> Take, for example, a policy</w:t>
      </w:r>
      <w:r w:rsidRPr="004C787F">
        <w:noBreakHyphen/>
        <w:t>induced increase in demand for a particular industry’s output. The impact on other industries depends on a range of factors. It could lead to an increase in production costs, given enhanced competition for inputs. Conversely, it could increase demand for other industries’ output through both household and inter</w:t>
      </w:r>
      <w:r w:rsidRPr="004C787F">
        <w:noBreakHyphen/>
        <w:t xml:space="preserve">industry linkages. </w:t>
      </w:r>
    </w:p>
    <w:p w14:paraId="247557BB" w14:textId="77777777" w:rsidR="00C430F0" w:rsidRPr="004C787F" w:rsidRDefault="00C430F0" w:rsidP="00C430F0">
      <w:r w:rsidRPr="004C787F">
        <w:t>The version of TIM presented in this paper is referred to as TIM Version 1.0. It is one of a suite of</w:t>
      </w:r>
      <w:r>
        <w:t xml:space="preserve"> </w:t>
      </w:r>
      <w:r w:rsidRPr="004C787F">
        <w:t>policy analysis models currently operated by Treasury.</w:t>
      </w:r>
      <w:r w:rsidRPr="004C787F">
        <w:rPr>
          <w:sz w:val="18"/>
          <w:vertAlign w:val="superscript"/>
        </w:rPr>
        <w:footnoteReference w:id="7"/>
      </w:r>
      <w:r>
        <w:t xml:space="preserve"> </w:t>
      </w:r>
      <w:r w:rsidRPr="004C787F">
        <w:t xml:space="preserve">Two key objectives guide Treasury’s macroeconomic modelling development programme – </w:t>
      </w:r>
      <w:r w:rsidRPr="004C787F">
        <w:rPr>
          <w:i/>
        </w:rPr>
        <w:t>capability readiness</w:t>
      </w:r>
      <w:r w:rsidRPr="004C787F">
        <w:t xml:space="preserve"> and </w:t>
      </w:r>
      <w:r w:rsidRPr="004C787F">
        <w:rPr>
          <w:i/>
        </w:rPr>
        <w:t>fit</w:t>
      </w:r>
      <w:r w:rsidRPr="004C787F">
        <w:rPr>
          <w:i/>
        </w:rPr>
        <w:noBreakHyphen/>
        <w:t>for</w:t>
      </w:r>
      <w:r w:rsidRPr="004C787F">
        <w:rPr>
          <w:i/>
        </w:rPr>
        <w:noBreakHyphen/>
        <w:t>purpose</w:t>
      </w:r>
      <w:r w:rsidRPr="004C787F">
        <w:rPr>
          <w:iCs/>
        </w:rPr>
        <w:t>.</w:t>
      </w:r>
      <w:r w:rsidRPr="004C787F">
        <w:t xml:space="preserve"> Following the approach used in developing information technology applications, and which has been widely replicated in the economic modelling world, the capability of Treasury’s models is designed to advance over time with successive versions incorporating new features, while a working version remains available for policy analysis. To meet the needs of Treasury’s disparate stakeholders, the specification of Treasury models – TIM included – typically needs to be far more detailed than general equilibrium models used in academia.</w:t>
      </w:r>
    </w:p>
    <w:p w14:paraId="44B37707" w14:textId="77777777" w:rsidR="00C430F0" w:rsidRPr="004C787F" w:rsidRDefault="00C430F0" w:rsidP="00C430F0">
      <w:r w:rsidRPr="004C787F">
        <w:t>This paper is structured as follows: Section 2 provides a</w:t>
      </w:r>
      <w:r>
        <w:t xml:space="preserve"> general</w:t>
      </w:r>
      <w:r w:rsidRPr="004C787F">
        <w:t xml:space="preserve"> overview of TIM Version 1.0; Section 3 describes in detail the theoretical structure of TIM Version 1.0; Section 4 describes the model calibration; Section 5 discusses welfare analysis; and Section 6 concludes.</w:t>
      </w:r>
    </w:p>
    <w:p w14:paraId="33EA1612" w14:textId="77777777" w:rsidR="00C430F0" w:rsidRPr="004C787F" w:rsidRDefault="00C430F0" w:rsidP="00C430F0"/>
    <w:p w14:paraId="365D71CD" w14:textId="77777777" w:rsidR="00C430F0" w:rsidRPr="004C787F" w:rsidRDefault="00C430F0" w:rsidP="00C430F0">
      <w:pPr>
        <w:sectPr w:rsidR="00C430F0" w:rsidRPr="004C787F">
          <w:headerReference w:type="even" r:id="rId20"/>
          <w:headerReference w:type="default" r:id="rId21"/>
          <w:headerReference w:type="first" r:id="rId22"/>
          <w:footerReference w:type="first" r:id="rId23"/>
          <w:pgSz w:w="11906" w:h="16838" w:code="9"/>
          <w:pgMar w:top="1843" w:right="1418" w:bottom="1418" w:left="1418" w:header="709" w:footer="709" w:gutter="0"/>
          <w:pgNumType w:start="1"/>
          <w:cols w:space="708"/>
          <w:titlePg/>
          <w:docGrid w:linePitch="360"/>
        </w:sectPr>
      </w:pPr>
    </w:p>
    <w:p w14:paraId="39E3A754" w14:textId="77777777" w:rsidR="00C430F0" w:rsidRPr="004C787F" w:rsidRDefault="00C430F0" w:rsidP="00C430F0">
      <w:pPr>
        <w:pStyle w:val="Heading1"/>
        <w:numPr>
          <w:ilvl w:val="0"/>
          <w:numId w:val="42"/>
        </w:numPr>
      </w:pPr>
      <w:r w:rsidRPr="004C787F">
        <w:t>Model overview</w:t>
      </w:r>
    </w:p>
    <w:p w14:paraId="6D9723E5" w14:textId="77777777" w:rsidR="00C430F0" w:rsidRPr="004C787F" w:rsidRDefault="00C430F0" w:rsidP="00C430F0">
      <w:pPr>
        <w:rPr>
          <w:lang w:val="en-US"/>
        </w:rPr>
      </w:pPr>
      <w:r w:rsidRPr="004C787F">
        <w:t xml:space="preserve">TIM captures the behaviour of the Australian economy by modelling stylised representations of its key agents. As a general equilibrium model, TIM captures the economy’s interconnectedness, showing the net effects of policy changes or </w:t>
      </w:r>
      <w:r w:rsidRPr="00FF591E">
        <w:t>exogenous changes to the economy</w:t>
      </w:r>
      <w:r w:rsidRPr="004C787F">
        <w:t xml:space="preserve">. </w:t>
      </w:r>
      <w:r w:rsidRPr="004C787F">
        <w:rPr>
          <w:lang w:val="en-US"/>
        </w:rPr>
        <w:t>However, as with all whole</w:t>
      </w:r>
      <w:r w:rsidRPr="004C787F">
        <w:rPr>
          <w:lang w:val="en-US"/>
        </w:rPr>
        <w:noBreakHyphen/>
        <w:t>of</w:t>
      </w:r>
      <w:r w:rsidRPr="004C787F">
        <w:rPr>
          <w:lang w:val="en-US"/>
        </w:rPr>
        <w:noBreakHyphen/>
        <w:t xml:space="preserve">economy models, TIM should be thought of as a simplified representation. By removing some detail and complexity, it is possible to focus on </w:t>
      </w:r>
      <w:r>
        <w:rPr>
          <w:lang w:val="en-US"/>
        </w:rPr>
        <w:t>select</w:t>
      </w:r>
      <w:r w:rsidRPr="004C787F">
        <w:rPr>
          <w:lang w:val="en-US"/>
        </w:rPr>
        <w:t xml:space="preserve"> aspects of the economy. Given Treasury’s rationale for developing TIM </w:t>
      </w:r>
      <w:r>
        <w:rPr>
          <w:lang w:val="en-US"/>
        </w:rPr>
        <w:t>is</w:t>
      </w:r>
      <w:r w:rsidRPr="004C787F">
        <w:rPr>
          <w:lang w:val="en-US"/>
        </w:rPr>
        <w:t xml:space="preserve"> industry</w:t>
      </w:r>
      <w:r w:rsidRPr="004C787F">
        <w:rPr>
          <w:lang w:val="en-US"/>
        </w:rPr>
        <w:noBreakHyphen/>
        <w:t>specific policy analysis, the model contains a large amount of detail on the production side of the Australian economy and representations of other key agents.</w:t>
      </w:r>
    </w:p>
    <w:p w14:paraId="5A48F4FC" w14:textId="77777777" w:rsidR="00C430F0" w:rsidRPr="004C787F" w:rsidRDefault="00C430F0" w:rsidP="00C430F0">
      <w:pPr>
        <w:rPr>
          <w:lang w:val="en-US"/>
        </w:rPr>
      </w:pPr>
      <w:r w:rsidRPr="004C787F">
        <w:rPr>
          <w:lang w:val="en-US"/>
        </w:rPr>
        <w:t>TIM is well</w:t>
      </w:r>
      <w:r w:rsidRPr="004C787F">
        <w:rPr>
          <w:lang w:val="en-US"/>
        </w:rPr>
        <w:noBreakHyphen/>
        <w:t xml:space="preserve">suited to informing advice where the transmission of events from one sector to related sectors and the broader economy needs to be understood. This can </w:t>
      </w:r>
      <w:r w:rsidRPr="004C787F">
        <w:t xml:space="preserve">include scenarios such as the introduction of new technologies, changes in demand for goods by consumers, changes in foreign markets for exports or changes in the costs of imports used in production. TIM is </w:t>
      </w:r>
      <w:r w:rsidRPr="004C787F">
        <w:rPr>
          <w:lang w:val="en-US"/>
        </w:rPr>
        <w:t xml:space="preserve">particularly well suited to understanding the economy’s response to persistent shocks, including anticipated changes to policy. </w:t>
      </w:r>
    </w:p>
    <w:p w14:paraId="3BEB5DDC" w14:textId="303769AA" w:rsidR="00C430F0" w:rsidRDefault="00C430F0" w:rsidP="00C430F0">
      <w:pPr>
        <w:rPr>
          <w:lang w:val="en-US"/>
        </w:rPr>
      </w:pPr>
      <w:r w:rsidRPr="004C787F">
        <w:rPr>
          <w:lang w:val="en-US"/>
        </w:rPr>
        <w:t xml:space="preserve">It is useful to note that there are a range of policy questions where Treasury’s </w:t>
      </w:r>
      <w:r>
        <w:rPr>
          <w:lang w:val="en-US"/>
        </w:rPr>
        <w:t>OLGA model</w:t>
      </w:r>
      <w:r w:rsidRPr="004C787F">
        <w:rPr>
          <w:lang w:val="en-US"/>
        </w:rPr>
        <w:t xml:space="preserve"> (see Cai, et al., </w:t>
      </w:r>
      <w:sdt>
        <w:sdtPr>
          <w:rPr>
            <w:lang w:val="en-US"/>
          </w:rPr>
          <w:id w:val="1000463717"/>
          <w:citation/>
        </w:sdtPr>
        <w:sdtEndPr/>
        <w:sdtContent>
          <w:r>
            <w:rPr>
              <w:lang w:val="en-US"/>
            </w:rPr>
            <w:fldChar w:fldCharType="begin"/>
          </w:r>
          <w:r w:rsidR="00EA057D">
            <w:instrText xml:space="preserve">CITATION Cai19 \n  \t  \l 3081 </w:instrText>
          </w:r>
          <w:r>
            <w:rPr>
              <w:lang w:val="en-US"/>
            </w:rPr>
            <w:fldChar w:fldCharType="separate"/>
          </w:r>
          <w:r w:rsidR="00EA057D">
            <w:rPr>
              <w:noProof/>
            </w:rPr>
            <w:t>(2023)</w:t>
          </w:r>
          <w:r>
            <w:rPr>
              <w:lang w:val="en-US"/>
            </w:rPr>
            <w:fldChar w:fldCharType="end"/>
          </w:r>
        </w:sdtContent>
      </w:sdt>
      <w:r w:rsidRPr="004C787F">
        <w:rPr>
          <w:lang w:val="en-US"/>
        </w:rPr>
        <w:t>) or EMMA</w:t>
      </w:r>
      <w:r>
        <w:rPr>
          <w:lang w:val="en-US"/>
        </w:rPr>
        <w:t xml:space="preserve"> model</w:t>
      </w:r>
      <w:r w:rsidRPr="004C787F">
        <w:rPr>
          <w:lang w:val="en-US"/>
        </w:rPr>
        <w:t xml:space="preserve"> (see Bullen, et al., </w:t>
      </w:r>
      <w:sdt>
        <w:sdtPr>
          <w:rPr>
            <w:lang w:val="en-US"/>
          </w:rPr>
          <w:id w:val="-1864428844"/>
          <w:citation/>
        </w:sdtPr>
        <w:sdtEndPr/>
        <w:sdtContent>
          <w:r>
            <w:rPr>
              <w:lang w:val="en-US"/>
            </w:rPr>
            <w:fldChar w:fldCharType="begin"/>
          </w:r>
          <w:r>
            <w:instrText xml:space="preserve">CITATION Bul21 \n  \t  \l 3081 </w:instrText>
          </w:r>
          <w:r>
            <w:rPr>
              <w:lang w:val="en-US"/>
            </w:rPr>
            <w:fldChar w:fldCharType="separate"/>
          </w:r>
          <w:r>
            <w:rPr>
              <w:noProof/>
            </w:rPr>
            <w:t>(2021)</w:t>
          </w:r>
          <w:r>
            <w:rPr>
              <w:lang w:val="en-US"/>
            </w:rPr>
            <w:fldChar w:fldCharType="end"/>
          </w:r>
        </w:sdtContent>
      </w:sdt>
      <w:r w:rsidRPr="004C787F">
        <w:rPr>
          <w:lang w:val="en-US"/>
        </w:rPr>
        <w:t>) are better suited:</w:t>
      </w:r>
    </w:p>
    <w:p w14:paraId="4F7C937E" w14:textId="77777777" w:rsidR="00C430F0" w:rsidRPr="00A145CA" w:rsidRDefault="00C430F0" w:rsidP="00C430F0">
      <w:pPr>
        <w:pStyle w:val="Bullet"/>
        <w:spacing w:line="240" w:lineRule="auto"/>
        <w:ind w:left="284" w:hanging="284"/>
        <w:rPr>
          <w:lang w:val="en-US"/>
        </w:rPr>
      </w:pPr>
      <w:r w:rsidRPr="004C787F">
        <w:t>The time interval in TIM is annual and TIM does not include price stickiness – thus, it is not suited to high</w:t>
      </w:r>
      <w:r w:rsidRPr="004C787F">
        <w:noBreakHyphen/>
        <w:t>frequency analysis. On the other hand, EMMA is a quarterly model estimated with time series data. EMMA is</w:t>
      </w:r>
      <w:r>
        <w:t xml:space="preserve"> therefore</w:t>
      </w:r>
      <w:r w:rsidRPr="004C787F">
        <w:t xml:space="preserve"> useful for informing Government understanding of how </w:t>
      </w:r>
      <w:r w:rsidRPr="00FF591E">
        <w:t>real and nominal disturbances</w:t>
      </w:r>
      <w:r w:rsidRPr="004C787F">
        <w:t xml:space="preserve"> play out as the economy transitions back to its </w:t>
      </w:r>
      <w:r w:rsidRPr="00FF591E">
        <w:t>balanced growth path</w:t>
      </w:r>
      <w:r w:rsidRPr="004C787F">
        <w:t>. These insights assist forecasting exercises, analysis of the short</w:t>
      </w:r>
      <w:r w:rsidRPr="004C787F">
        <w:noBreakHyphen/>
        <w:t>run implications of policy changes, and other scenario and sensitivity analysis.</w:t>
      </w:r>
    </w:p>
    <w:p w14:paraId="7933290E" w14:textId="77777777" w:rsidR="00C430F0" w:rsidRPr="00A145CA" w:rsidRDefault="00C430F0" w:rsidP="00C430F0">
      <w:pPr>
        <w:pStyle w:val="Bullet"/>
        <w:spacing w:line="240" w:lineRule="auto"/>
        <w:ind w:left="284" w:hanging="284"/>
        <w:rPr>
          <w:lang w:val="en-US"/>
        </w:rPr>
      </w:pPr>
      <w:r w:rsidRPr="00A145CA">
        <w:rPr>
          <w:lang w:val="en-US"/>
        </w:rPr>
        <w:t>For many fiscal policy questions, heterogen</w:t>
      </w:r>
      <w:r>
        <w:rPr>
          <w:lang w:val="en-US"/>
        </w:rPr>
        <w:t>e</w:t>
      </w:r>
      <w:r w:rsidRPr="00A145CA">
        <w:rPr>
          <w:lang w:val="en-US"/>
        </w:rPr>
        <w:t xml:space="preserve">ous households and intergenerational detail are important considerations </w:t>
      </w:r>
      <w:r w:rsidRPr="004C787F">
        <w:t>for</w:t>
      </w:r>
      <w:r w:rsidRPr="00A145CA">
        <w:rPr>
          <w:lang w:val="en-US"/>
        </w:rPr>
        <w:t xml:space="preserve"> understanding how a policy affects the economy</w:t>
      </w:r>
      <w:r>
        <w:rPr>
          <w:lang w:val="en-US"/>
        </w:rPr>
        <w:t>,</w:t>
      </w:r>
      <w:r w:rsidRPr="00A145CA">
        <w:rPr>
          <w:lang w:val="en-US"/>
        </w:rPr>
        <w:t xml:space="preserve"> as well as how the costs and benefits of the policy are likely </w:t>
      </w:r>
      <w:r w:rsidRPr="004C787F">
        <w:t>to</w:t>
      </w:r>
      <w:r w:rsidRPr="00A145CA">
        <w:rPr>
          <w:lang w:val="en-US"/>
        </w:rPr>
        <w:t xml:space="preserve"> be distributed across the population. For example, a switch between personal income tax and GST will have very different impacts on someone close to retirement compared with someone who has just entered the workforce. OLGA, a dynamic general </w:t>
      </w:r>
      <w:r w:rsidRPr="004C787F">
        <w:t>equilibrium</w:t>
      </w:r>
      <w:r w:rsidRPr="00A145CA">
        <w:rPr>
          <w:lang w:val="en-US"/>
        </w:rPr>
        <w:t xml:space="preserve"> lifecycle model with significant household detail and a detailed description of the Australian tax and transfer system, is </w:t>
      </w:r>
      <w:r>
        <w:rPr>
          <w:lang w:val="en-US"/>
        </w:rPr>
        <w:t xml:space="preserve">therefore </w:t>
      </w:r>
      <w:r w:rsidRPr="00A145CA">
        <w:rPr>
          <w:lang w:val="en-US"/>
        </w:rPr>
        <w:t>best positioned to answer questions around the economy</w:t>
      </w:r>
      <w:r w:rsidRPr="00A145CA">
        <w:rPr>
          <w:lang w:val="en-US"/>
        </w:rPr>
        <w:noBreakHyphen/>
        <w:t xml:space="preserve">wide effects of </w:t>
      </w:r>
      <w:r w:rsidRPr="00241E8E">
        <w:rPr>
          <w:lang w:val="en-US"/>
        </w:rPr>
        <w:t>tax and transfers</w:t>
      </w:r>
      <w:r w:rsidRPr="00A145CA">
        <w:rPr>
          <w:lang w:val="en-US"/>
        </w:rPr>
        <w:t xml:space="preserve"> policy</w:t>
      </w:r>
      <w:r>
        <w:rPr>
          <w:lang w:val="en-US"/>
        </w:rPr>
        <w:t xml:space="preserve"> within a heterogenous household framework</w:t>
      </w:r>
      <w:r w:rsidRPr="00A145CA">
        <w:rPr>
          <w:lang w:val="en-US"/>
        </w:rPr>
        <w:t>.</w:t>
      </w:r>
    </w:p>
    <w:p w14:paraId="3ABAE796" w14:textId="77777777" w:rsidR="00C430F0" w:rsidRPr="004C787F" w:rsidRDefault="00C430F0" w:rsidP="00C430F0">
      <w:pPr>
        <w:pStyle w:val="Heading3"/>
      </w:pPr>
      <w:r w:rsidRPr="004C787F">
        <w:t>Agents</w:t>
      </w:r>
    </w:p>
    <w:p w14:paraId="2F5335BE" w14:textId="77777777" w:rsidR="00C430F0" w:rsidRDefault="00C430F0" w:rsidP="00C430F0">
      <w:r w:rsidRPr="004C787F">
        <w:t>There are four types of agents in TIM who interact with one another and determine economic outcomes</w:t>
      </w:r>
      <w:r>
        <w:t>:</w:t>
      </w:r>
      <w:r w:rsidRPr="004C787F">
        <w:t xml:space="preserve"> the household, firms, government and ROW. TIM assumes each of these agents acts in their own best interest, taking into consideration the behaviour of other agents. Figure 1 shows the interactions </w:t>
      </w:r>
      <w:r>
        <w:t>of</w:t>
      </w:r>
      <w:r w:rsidRPr="004C787F">
        <w:t xml:space="preserve"> the agents as modelled in TIM.</w:t>
      </w:r>
    </w:p>
    <w:p w14:paraId="2641821B" w14:textId="77777777" w:rsidR="00C430F0" w:rsidRDefault="00C430F0" w:rsidP="00C430F0"/>
    <w:p w14:paraId="3A29159C" w14:textId="77777777" w:rsidR="00C430F0" w:rsidRDefault="00C430F0" w:rsidP="00C430F0"/>
    <w:p w14:paraId="552EC64E" w14:textId="77777777" w:rsidR="00C430F0" w:rsidRDefault="00C430F0" w:rsidP="00C430F0"/>
    <w:p w14:paraId="7E7A86DB" w14:textId="77777777" w:rsidR="00C430F0" w:rsidRPr="004C787F" w:rsidRDefault="00C430F0" w:rsidP="00C430F0"/>
    <w:p w14:paraId="3D948EAC" w14:textId="41FFF376" w:rsidR="00C430F0" w:rsidRPr="00C36AB0" w:rsidRDefault="00C430F0" w:rsidP="00C430F0">
      <w:pPr>
        <w:jc w:val="center"/>
        <w:rPr>
          <w:b/>
          <w:bCs/>
        </w:rPr>
      </w:pPr>
      <w:r w:rsidRPr="00C36AB0">
        <w:rPr>
          <w:b/>
          <w:bCs/>
        </w:rPr>
        <w:t xml:space="preserve">Figure </w:t>
      </w:r>
      <w:r w:rsidRPr="00C36AB0">
        <w:rPr>
          <w:b/>
          <w:bCs/>
        </w:rPr>
        <w:fldChar w:fldCharType="begin"/>
      </w:r>
      <w:r w:rsidRPr="00C36AB0">
        <w:rPr>
          <w:b/>
          <w:bCs/>
        </w:rPr>
        <w:instrText xml:space="preserve"> SEQ Figure \* ARABIC </w:instrText>
      </w:r>
      <w:r w:rsidRPr="00C36AB0">
        <w:rPr>
          <w:b/>
          <w:bCs/>
        </w:rPr>
        <w:fldChar w:fldCharType="separate"/>
      </w:r>
      <w:r w:rsidR="00354F38">
        <w:rPr>
          <w:b/>
          <w:bCs/>
          <w:noProof/>
        </w:rPr>
        <w:t>1</w:t>
      </w:r>
      <w:r w:rsidRPr="00C36AB0">
        <w:rPr>
          <w:b/>
          <w:bCs/>
        </w:rPr>
        <w:fldChar w:fldCharType="end"/>
      </w:r>
      <w:r w:rsidRPr="00C36AB0">
        <w:rPr>
          <w:b/>
          <w:bCs/>
        </w:rPr>
        <w:t xml:space="preserve">: </w:t>
      </w:r>
      <w:r>
        <w:rPr>
          <w:b/>
          <w:bCs/>
        </w:rPr>
        <w:t>Illustration of the f</w:t>
      </w:r>
      <w:r w:rsidRPr="00C36AB0">
        <w:rPr>
          <w:b/>
          <w:bCs/>
        </w:rPr>
        <w:t>low of goods and services and factors of production</w:t>
      </w:r>
      <w:r>
        <w:rPr>
          <w:b/>
          <w:bCs/>
        </w:rPr>
        <w:t xml:space="preserve"> within TIM</w:t>
      </w:r>
    </w:p>
    <w:p w14:paraId="073233EE" w14:textId="77777777" w:rsidR="00C430F0" w:rsidRPr="004C787F" w:rsidRDefault="00C430F0" w:rsidP="00C430F0">
      <w:pPr>
        <w:keepNext/>
        <w:spacing w:before="0" w:after="0"/>
        <w:jc w:val="center"/>
        <w:rPr>
          <w:color w:val="004A7F"/>
          <w:sz w:val="20"/>
        </w:rPr>
      </w:pPr>
      <w:r w:rsidRPr="004C787F">
        <w:rPr>
          <w:noProof/>
          <w:color w:val="004A7F"/>
          <w:sz w:val="20"/>
        </w:rPr>
        <w:drawing>
          <wp:inline distT="0" distB="0" distL="0" distR="0" wp14:anchorId="4B8261CB" wp14:editId="63EE8475">
            <wp:extent cx="5400000" cy="4121339"/>
            <wp:effectExtent l="0" t="0" r="0" b="0"/>
            <wp:docPr id="1082" name="Picture 1082" descr="Figure 1 is a flow chart of goods, services and factors of production. The figure shows that the representative household, firms and rest of world are all interconnec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 name="Picture 1082" descr="Figure 1 is a flow chart of goods, services and factors of production. The figure shows that the representative household, firms and rest of world are all interconnected.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0000" cy="4121339"/>
                    </a:xfrm>
                    <a:prstGeom prst="rect">
                      <a:avLst/>
                    </a:prstGeom>
                    <a:noFill/>
                    <a:ln>
                      <a:noFill/>
                    </a:ln>
                  </pic:spPr>
                </pic:pic>
              </a:graphicData>
            </a:graphic>
          </wp:inline>
        </w:drawing>
      </w:r>
    </w:p>
    <w:p w14:paraId="2BFEE3F7" w14:textId="77777777" w:rsidR="00C430F0" w:rsidRPr="004C787F" w:rsidRDefault="00C430F0" w:rsidP="00C430F0">
      <w:pPr>
        <w:spacing w:before="0" w:after="0"/>
      </w:pPr>
    </w:p>
    <w:p w14:paraId="6C7C3E8A" w14:textId="77777777" w:rsidR="00C430F0" w:rsidRPr="004C787F" w:rsidRDefault="00C430F0" w:rsidP="00C430F0">
      <w:pPr>
        <w:pStyle w:val="Heading4"/>
      </w:pPr>
      <w:r w:rsidRPr="004C787F">
        <w:t>Households</w:t>
      </w:r>
    </w:p>
    <w:p w14:paraId="75781CBB" w14:textId="77777777" w:rsidR="00C430F0" w:rsidRPr="004C787F" w:rsidRDefault="00C430F0" w:rsidP="00C430F0">
      <w:pPr>
        <w:rPr>
          <w:rFonts w:eastAsia="Arial"/>
          <w:color w:val="000000"/>
        </w:rPr>
      </w:pPr>
      <w:r w:rsidRPr="004C787F">
        <w:rPr>
          <w:rFonts w:eastAsia="Arial"/>
          <w:color w:val="000000"/>
        </w:rPr>
        <w:t>In TIM, the behaviour of all Australian households is represented by a single infinitely</w:t>
      </w:r>
      <w:r w:rsidRPr="004C787F">
        <w:rPr>
          <w:rFonts w:eastAsia="Arial"/>
          <w:color w:val="000000"/>
        </w:rPr>
        <w:noBreakHyphen/>
        <w:t xml:space="preserve">lived representative household. The </w:t>
      </w:r>
      <w:r w:rsidRPr="004C787F">
        <w:rPr>
          <w:rFonts w:eastAsia="Arial"/>
          <w:color w:val="000000"/>
          <w:lang w:val="en-US"/>
        </w:rPr>
        <w:t>household</w:t>
      </w:r>
      <w:r w:rsidRPr="004C787F">
        <w:rPr>
          <w:rFonts w:eastAsia="Arial"/>
          <w:color w:val="000000"/>
        </w:rPr>
        <w:t xml:space="preserve"> chooses how much it will work or enjoy leisure, how much of its income it will spend or save and what commodities it will buy. These choices determine lifetime welfare, which the household is assumed to maximise. The representative household prefers more consumption and leisure to less, a smooth distribution of consumption and leisure over time, and diversity in its consumption. </w:t>
      </w:r>
    </w:p>
    <w:p w14:paraId="595ED6E9" w14:textId="0293931C" w:rsidR="00C430F0" w:rsidRDefault="00C430F0" w:rsidP="008E7D79">
      <w:pPr>
        <w:rPr>
          <w:rFonts w:eastAsia="Arial"/>
          <w:color w:val="000000"/>
        </w:rPr>
      </w:pPr>
      <w:r w:rsidRPr="004C787F">
        <w:rPr>
          <w:rFonts w:eastAsia="Arial"/>
          <w:color w:val="000000"/>
        </w:rPr>
        <w:t xml:space="preserve">The representative </w:t>
      </w:r>
      <w:r w:rsidRPr="004C787F">
        <w:rPr>
          <w:rFonts w:eastAsia="Arial"/>
          <w:color w:val="000000"/>
          <w:lang w:val="en-US"/>
        </w:rPr>
        <w:t>household</w:t>
      </w:r>
      <w:r w:rsidRPr="004C787F">
        <w:rPr>
          <w:rFonts w:eastAsia="Arial"/>
          <w:color w:val="000000"/>
        </w:rPr>
        <w:t xml:space="preserve"> receives wage income for its hours worked, where extra time spent working means less leisure time. The household’s total disposable income is the sum of its after</w:t>
      </w:r>
      <w:r w:rsidRPr="004C787F">
        <w:rPr>
          <w:rFonts w:eastAsia="Arial"/>
          <w:color w:val="000000"/>
        </w:rPr>
        <w:noBreakHyphen/>
        <w:t>tax labour income, the return on previously purchased equity (such as dividends) and government payments. Total disposable income can be used to buy consumption goods or saved by buying equity.</w:t>
      </w:r>
      <w:r w:rsidRPr="007E1010">
        <w:rPr>
          <w:rFonts w:eastAsia="Arial"/>
          <w:color w:val="000000"/>
          <w:sz w:val="18"/>
          <w:szCs w:val="16"/>
          <w:vertAlign w:val="superscript"/>
        </w:rPr>
        <w:footnoteReference w:id="8"/>
      </w:r>
      <w:r w:rsidRPr="004C787F">
        <w:rPr>
          <w:rFonts w:eastAsia="Arial"/>
          <w:color w:val="000000"/>
        </w:rPr>
        <w:t xml:space="preserve"> </w:t>
      </w:r>
      <w:r>
        <w:rPr>
          <w:rFonts w:eastAsia="Arial"/>
          <w:color w:val="000000"/>
        </w:rPr>
        <w:br w:type="page"/>
      </w:r>
    </w:p>
    <w:p w14:paraId="2667A148" w14:textId="77777777" w:rsidR="00C430F0" w:rsidRDefault="00C430F0" w:rsidP="00C430F0">
      <w:pPr>
        <w:rPr>
          <w:rFonts w:eastAsia="Arial"/>
        </w:rPr>
      </w:pPr>
      <w:r w:rsidRPr="004C787F">
        <w:rPr>
          <w:rFonts w:eastAsia="Arial"/>
        </w:rPr>
        <w:t xml:space="preserve">The behaviour of the representative household </w:t>
      </w:r>
      <w:r>
        <w:rPr>
          <w:rFonts w:eastAsia="Arial"/>
        </w:rPr>
        <w:t>reflects</w:t>
      </w:r>
      <w:r w:rsidRPr="004C787F">
        <w:rPr>
          <w:rFonts w:eastAsia="Arial"/>
        </w:rPr>
        <w:t xml:space="preserve"> established economic </w:t>
      </w:r>
      <w:r>
        <w:rPr>
          <w:rFonts w:eastAsia="Arial"/>
        </w:rPr>
        <w:t>theory</w:t>
      </w:r>
      <w:r w:rsidRPr="004C787F">
        <w:rPr>
          <w:rFonts w:eastAsia="Arial"/>
        </w:rPr>
        <w:t xml:space="preserve">. For example: </w:t>
      </w:r>
    </w:p>
    <w:p w14:paraId="70A30B90" w14:textId="77777777" w:rsidR="00C430F0" w:rsidRPr="00DE4E62" w:rsidRDefault="00C430F0" w:rsidP="00C430F0">
      <w:pPr>
        <w:pStyle w:val="Bullet"/>
        <w:spacing w:line="240" w:lineRule="auto"/>
        <w:ind w:left="284" w:hanging="284"/>
        <w:rPr>
          <w:rFonts w:eastAsia="Arial"/>
        </w:rPr>
      </w:pPr>
      <w:r w:rsidRPr="004C787F">
        <w:t>The household is forward</w:t>
      </w:r>
      <w:r w:rsidRPr="004C787F">
        <w:noBreakHyphen/>
        <w:t>looking and makes decisions in line with its preferences. If the household anticipates higher future income, it will consume more now and save less.</w:t>
      </w:r>
      <w:r w:rsidRPr="004C787F">
        <w:rPr>
          <w:vertAlign w:val="superscript"/>
        </w:rPr>
        <w:footnoteReference w:id="9"/>
      </w:r>
      <w:r w:rsidRPr="004C787F">
        <w:t xml:space="preserve"> </w:t>
      </w:r>
    </w:p>
    <w:p w14:paraId="39FF8D4C" w14:textId="77777777" w:rsidR="00C430F0" w:rsidRPr="00DE4E62" w:rsidRDefault="00C430F0" w:rsidP="00C430F0">
      <w:pPr>
        <w:pStyle w:val="Bullet"/>
        <w:spacing w:line="240" w:lineRule="auto"/>
        <w:ind w:left="284" w:hanging="284"/>
        <w:rPr>
          <w:rFonts w:eastAsia="Arial"/>
        </w:rPr>
      </w:pPr>
      <w:r w:rsidRPr="004C787F">
        <w:t>The household responds to higher income by increasing both consumption and leisure. However, if the higher income comes from higher wages, then the inducement to work can either partly or more than offset the preference for more leisure.</w:t>
      </w:r>
    </w:p>
    <w:p w14:paraId="1BDC6B5D" w14:textId="77777777" w:rsidR="00C430F0" w:rsidRPr="00DE4E62" w:rsidRDefault="00C430F0" w:rsidP="00C430F0">
      <w:pPr>
        <w:pStyle w:val="Bullet"/>
        <w:spacing w:line="240" w:lineRule="auto"/>
        <w:ind w:left="284" w:hanging="284"/>
        <w:rPr>
          <w:rFonts w:eastAsia="Arial"/>
        </w:rPr>
      </w:pPr>
      <w:r w:rsidRPr="004C787F">
        <w:t xml:space="preserve">An increase in the price of a consumption commodity will lead the household to reduce </w:t>
      </w:r>
      <w:r>
        <w:t>its</w:t>
      </w:r>
      <w:r w:rsidRPr="004C787F">
        <w:t xml:space="preserve"> consumption of that commodity to a degree, but not completely. This choice reflects the household’s preference for a variety of different goods.</w:t>
      </w:r>
    </w:p>
    <w:p w14:paraId="720F7E96" w14:textId="77777777" w:rsidR="00C430F0" w:rsidRPr="004C787F" w:rsidRDefault="00C430F0" w:rsidP="00C430F0">
      <w:pPr>
        <w:pStyle w:val="Heading4"/>
      </w:pPr>
      <w:r w:rsidRPr="004C787F">
        <w:t>Firms</w:t>
      </w:r>
    </w:p>
    <w:p w14:paraId="57783C59" w14:textId="77777777" w:rsidR="00C430F0" w:rsidRPr="004C787F" w:rsidRDefault="00C430F0" w:rsidP="00C430F0">
      <w:r w:rsidRPr="004C787F">
        <w:t>There are 114 firms in TIM, corresponding to the 114 industries that the AB</w:t>
      </w:r>
      <w:r>
        <w:t>S</w:t>
      </w:r>
      <w:r w:rsidRPr="004C787F">
        <w:t xml:space="preserve"> identifies in its I</w:t>
      </w:r>
      <w:r w:rsidRPr="004C787F">
        <w:noBreakHyphen/>
        <w:t>O tables. To give a sense of the level of detail this provides, the I</w:t>
      </w:r>
      <w:r w:rsidRPr="004C787F">
        <w:noBreakHyphen/>
        <w:t xml:space="preserve">O tables separately identify the electricity generation and transmission industries, but do not identify generation industries by technology such as coal, gas or renewables. </w:t>
      </w:r>
    </w:p>
    <w:p w14:paraId="3AB005EA" w14:textId="77777777" w:rsidR="00C430F0" w:rsidRPr="004C787F" w:rsidRDefault="00C430F0" w:rsidP="00C430F0">
      <w:r w:rsidRPr="004C787F">
        <w:t xml:space="preserve">Each firm represents the aggregate behaviour of a group of Australian firms, classified by their output (that is, the commodity which it primarily produces). Firms use labour, capital, intermediate inputs and fixed factors (representing land and mineral resources) to produce their outputs. A firm owns its capital and fixed factors and can undertake investment to increase capital over time. However, a firm cannot purchase additional fixed factors. </w:t>
      </w:r>
    </w:p>
    <w:p w14:paraId="0DDFA4D9" w14:textId="77777777" w:rsidR="00C430F0" w:rsidRPr="004C787F" w:rsidRDefault="00C430F0" w:rsidP="00C430F0">
      <w:r w:rsidRPr="004C787F">
        <w:t xml:space="preserve">Firms buy labour services from households. They also buy intermediate inputs from other Australian firms or the ROW to help produce their commodities – </w:t>
      </w:r>
      <w:r w:rsidRPr="009A77A5">
        <w:t>for example, a</w:t>
      </w:r>
      <w:r w:rsidRPr="007D532E">
        <w:t xml:space="preserve"> construction firm imports lightbulbs to finish its houses</w:t>
      </w:r>
      <w:r w:rsidRPr="009A77A5">
        <w:t>.</w:t>
      </w:r>
      <w:r w:rsidRPr="004C787F">
        <w:t xml:space="preserve"> The firms face adjustment costs when undertaking additional investment or changing their labour inputs. Firms act to maximise shareholder returns, with shareholders being the representative household and investors from the ROW.</w:t>
      </w:r>
    </w:p>
    <w:p w14:paraId="57C3CD35" w14:textId="77777777" w:rsidR="00C430F0" w:rsidRDefault="00C430F0" w:rsidP="00C430F0">
      <w:r>
        <w:t>Key aspects of f</w:t>
      </w:r>
      <w:r w:rsidRPr="004C787F">
        <w:t xml:space="preserve">irm behaviour in TIM </w:t>
      </w:r>
      <w:r>
        <w:t>include</w:t>
      </w:r>
      <w:r w:rsidRPr="004C787F">
        <w:t xml:space="preserve">: </w:t>
      </w:r>
    </w:p>
    <w:p w14:paraId="0DA442D3" w14:textId="77777777" w:rsidR="00C430F0" w:rsidRDefault="00C430F0" w:rsidP="00C430F0">
      <w:pPr>
        <w:pStyle w:val="Bullet"/>
        <w:spacing w:line="240" w:lineRule="auto"/>
        <w:ind w:left="284" w:hanging="284"/>
      </w:pPr>
      <w:r w:rsidRPr="004C787F">
        <w:t xml:space="preserve">Firms choose the amount of capital, labour and intermediate inputs to minimise production costs. </w:t>
      </w:r>
    </w:p>
    <w:p w14:paraId="71A44096" w14:textId="77777777" w:rsidR="00C430F0" w:rsidRDefault="00C430F0" w:rsidP="00C430F0">
      <w:pPr>
        <w:pStyle w:val="Bullet"/>
        <w:spacing w:line="240" w:lineRule="auto"/>
        <w:ind w:left="284" w:hanging="284"/>
      </w:pPr>
      <w:r w:rsidRPr="004C787F">
        <w:t>Firms respond to higher returns by increasing investment until the expected return equals the required return on investment.</w:t>
      </w:r>
    </w:p>
    <w:p w14:paraId="454EB394" w14:textId="77777777" w:rsidR="00C430F0" w:rsidRPr="004C787F" w:rsidRDefault="00C430F0" w:rsidP="00C430F0">
      <w:pPr>
        <w:pStyle w:val="Bullet"/>
        <w:spacing w:line="240" w:lineRule="auto"/>
        <w:ind w:left="284" w:hanging="284"/>
      </w:pPr>
      <w:r w:rsidRPr="004C787F">
        <w:t xml:space="preserve">If a firm expects higher future profits, it will undertake some additional investment and bring on additional workers early to integrate them into its production processes. Conversely, a firm that expects investment to be cheaper in the future may delay investment. </w:t>
      </w:r>
    </w:p>
    <w:p w14:paraId="774BFC9E" w14:textId="77777777" w:rsidR="00C430F0" w:rsidRPr="004C787F" w:rsidRDefault="00C430F0" w:rsidP="00C430F0">
      <w:pPr>
        <w:pStyle w:val="Heading4"/>
      </w:pPr>
      <w:r w:rsidRPr="004C787F">
        <w:t>Rest of the world</w:t>
      </w:r>
    </w:p>
    <w:p w14:paraId="39274105" w14:textId="77777777" w:rsidR="00C430F0" w:rsidRPr="004C787F" w:rsidRDefault="00C430F0" w:rsidP="00C430F0">
      <w:r w:rsidRPr="004C787F">
        <w:t xml:space="preserve">Given the small and open nature of the Australian economy, it is important for any general equilibrium model to capture interactions with the ROW. In TIM, the household, government and firms can buy commodities from the ROW. Australian firms can also sell commodities to the ROW. </w:t>
      </w:r>
    </w:p>
    <w:p w14:paraId="31F62DF7" w14:textId="77777777" w:rsidR="00C430F0" w:rsidRPr="004C787F" w:rsidRDefault="00C430F0" w:rsidP="00C430F0">
      <w:r w:rsidRPr="004C787F">
        <w:t>Australian imports are sufficiently small so as not to impact the world price of commodities. That is, from an import perspective, Australia is a price taker.</w:t>
      </w:r>
      <w:r>
        <w:t xml:space="preserve"> </w:t>
      </w:r>
      <w:r w:rsidRPr="004C787F">
        <w:t xml:space="preserve">On the other hand, Australian exports are differentiated from goods produced by the ROW. This means that the quantity demanded by the ROW will depend on the price charged. </w:t>
      </w:r>
    </w:p>
    <w:p w14:paraId="4C4E2BB4" w14:textId="77777777" w:rsidR="00C430F0" w:rsidRDefault="00C430F0" w:rsidP="00C430F0">
      <w:r w:rsidRPr="004C787F">
        <w:t>TIM assumes Australia is a small open economy with perfect financial capital mobility. That is, investors from the ROW are willing to buy equity in Australian firms if the expected return matches that available elsewhere. This means that the required return on investment for Australian firms equals the global after</w:t>
      </w:r>
      <w:r w:rsidRPr="004C787F">
        <w:noBreakHyphen/>
        <w:t xml:space="preserve">tax rate of return. </w:t>
      </w:r>
    </w:p>
    <w:p w14:paraId="6DEF8376" w14:textId="77777777" w:rsidR="00C430F0" w:rsidRPr="004C787F" w:rsidRDefault="00C430F0" w:rsidP="00C430F0">
      <w:r>
        <w:t xml:space="preserve">One important characteristic of TIM is that temporary shocks can have permanent effects on the wealth of Australian households, and therefore on Australia’s net foreign asset position. This result is driven by the household’s desire to smooth consumption over time, which is achieved through changes in savings. This characteristic </w:t>
      </w:r>
      <w:r w:rsidRPr="009E0AB3">
        <w:t>of infinite-horizon, representative agent, small open economy models is well known in the literature</w:t>
      </w:r>
      <w:r>
        <w:t xml:space="preserve"> (see for example Correia, et al., </w:t>
      </w:r>
      <w:sdt>
        <w:sdtPr>
          <w:id w:val="1561972572"/>
          <w:citation/>
        </w:sdtPr>
        <w:sdtEndPr/>
        <w:sdtContent>
          <w:r>
            <w:fldChar w:fldCharType="begin"/>
          </w:r>
          <w:r>
            <w:instrText xml:space="preserve">CITATION Cor95 \n  \t  \l 3081 </w:instrText>
          </w:r>
          <w:r>
            <w:fldChar w:fldCharType="separate"/>
          </w:r>
          <w:r>
            <w:rPr>
              <w:noProof/>
            </w:rPr>
            <w:t>(1995)</w:t>
          </w:r>
          <w:r>
            <w:fldChar w:fldCharType="end"/>
          </w:r>
        </w:sdtContent>
      </w:sdt>
      <w:r>
        <w:t xml:space="preserve"> and Schmitt-Grohe and Uribe </w:t>
      </w:r>
      <w:sdt>
        <w:sdtPr>
          <w:id w:val="-1635015768"/>
          <w:citation/>
        </w:sdtPr>
        <w:sdtEndPr/>
        <w:sdtContent>
          <w:r>
            <w:fldChar w:fldCharType="begin"/>
          </w:r>
          <w:r>
            <w:instrText xml:space="preserve">CITATION Schmidt03 \n  \t  \l 3081 </w:instrText>
          </w:r>
          <w:r>
            <w:fldChar w:fldCharType="separate"/>
          </w:r>
          <w:r>
            <w:rPr>
              <w:noProof/>
            </w:rPr>
            <w:t>(2003)</w:t>
          </w:r>
          <w:r>
            <w:fldChar w:fldCharType="end"/>
          </w:r>
        </w:sdtContent>
      </w:sdt>
      <w:r>
        <w:t>).</w:t>
      </w:r>
      <w:r w:rsidRPr="00B14D2F">
        <w:rPr>
          <w:rStyle w:val="FootnoteReference"/>
          <w:vertAlign w:val="superscript"/>
        </w:rPr>
        <w:footnoteReference w:id="10"/>
      </w:r>
    </w:p>
    <w:p w14:paraId="1893355D" w14:textId="77777777" w:rsidR="00C430F0" w:rsidRPr="004C787F" w:rsidRDefault="00C430F0" w:rsidP="00C430F0">
      <w:pPr>
        <w:pStyle w:val="Heading4"/>
      </w:pPr>
      <w:r w:rsidRPr="004C787F">
        <w:t>Government</w:t>
      </w:r>
    </w:p>
    <w:p w14:paraId="6272EF0C" w14:textId="77777777" w:rsidR="00C430F0" w:rsidRPr="004C787F" w:rsidRDefault="00C430F0" w:rsidP="00C430F0">
      <w:pPr>
        <w:rPr>
          <w:vertAlign w:val="superscript"/>
        </w:rPr>
      </w:pPr>
      <w:r w:rsidRPr="004C787F">
        <w:t>In TIM, the government collects taxes to fund its spending. The government purchases the same bundle of commodities each period. TIM incorporates detailed expenditure taxes (import duties, excise, and GST) and taxes on production. TIM has limited detail on income tax, government expenditure and transfers.</w:t>
      </w:r>
      <w:r w:rsidRPr="004C787F">
        <w:rPr>
          <w:sz w:val="18"/>
          <w:vertAlign w:val="superscript"/>
        </w:rPr>
        <w:footnoteReference w:id="11"/>
      </w:r>
      <w:r w:rsidRPr="004C787F">
        <w:t xml:space="preserve"> For example, TIM</w:t>
      </w:r>
      <w:r w:rsidRPr="004C787F" w:rsidDel="00A97ED6">
        <w:t xml:space="preserve"> </w:t>
      </w:r>
      <w:r w:rsidRPr="004C787F">
        <w:t>assumes a simple fiscal strategy whereby the government balances its budget in every period by adjusting the level of transfers to households.</w:t>
      </w:r>
      <w:r w:rsidRPr="004C787F">
        <w:rPr>
          <w:sz w:val="18"/>
          <w:vertAlign w:val="superscript"/>
        </w:rPr>
        <w:footnoteReference w:id="12"/>
      </w:r>
      <w:r w:rsidRPr="004C787F" w:rsidDel="000A56CD">
        <w:rPr>
          <w:sz w:val="18"/>
          <w:vertAlign w:val="superscript"/>
        </w:rPr>
        <w:t xml:space="preserve"> </w:t>
      </w:r>
    </w:p>
    <w:p w14:paraId="6E499D63" w14:textId="77777777" w:rsidR="00C430F0" w:rsidRPr="004C787F" w:rsidRDefault="00C430F0" w:rsidP="00C430F0">
      <w:pPr>
        <w:pStyle w:val="Heading3"/>
      </w:pPr>
      <w:r w:rsidRPr="004C787F">
        <w:t>Industry supply and commodity use</w:t>
      </w:r>
    </w:p>
    <w:p w14:paraId="1927CCBD" w14:textId="77777777" w:rsidR="00C430F0" w:rsidRPr="004C787F" w:rsidRDefault="00C430F0" w:rsidP="00C430F0">
      <w:r w:rsidRPr="004C787F">
        <w:t>In any economy, there is a degree of complexity regarding how a firm</w:t>
      </w:r>
      <w:r>
        <w:t>’</w:t>
      </w:r>
      <w:r w:rsidRPr="004C787F">
        <w:t>s output reaches users (that is, the household, government, other firms or ROW). TIM captures the flow of output in significant detail by including domestic and import shares, commodity</w:t>
      </w:r>
      <w:r w:rsidRPr="004C787F">
        <w:noBreakHyphen/>
        <w:t xml:space="preserve"> and user</w:t>
      </w:r>
      <w:r w:rsidRPr="004C787F">
        <w:noBreakHyphen/>
        <w:t>specific tax rates and distribution costs (also known as margins).</w:t>
      </w:r>
    </w:p>
    <w:p w14:paraId="26E6262F" w14:textId="77777777" w:rsidR="00C430F0" w:rsidRPr="004C787F" w:rsidRDefault="00C430F0" w:rsidP="00C430F0">
      <w:r w:rsidRPr="004C787F">
        <w:t xml:space="preserve">Bundling goods and services into commodity groups provides a useful way to measure and represent the supply and use of the vast array of different goods in the economy. TIM follows the standard ABS commodity classifications and bundles commodities into 114 groups. This is similar to TIM’s bundling of firms according to output. Industry groupings help capture the impact of policies that directly affect production. Certain other features of the economy, however, are best considered on a commodity basis. This includes taxes like GST or excise where the rates vary with commodities. TIM’s level of industry and commodity detail allows it to capture both sets of scenarios. </w:t>
      </w:r>
    </w:p>
    <w:p w14:paraId="6653A367" w14:textId="77777777" w:rsidR="00C430F0" w:rsidRPr="004C787F" w:rsidRDefault="00C430F0" w:rsidP="00C430F0">
      <w:pPr>
        <w:rPr>
          <w:lang w:val="en-US"/>
        </w:rPr>
      </w:pPr>
      <w:r w:rsidRPr="004C787F">
        <w:rPr>
          <w:lang w:val="en-US"/>
        </w:rPr>
        <w:t xml:space="preserve">While TIM explicitly includes 114 commodities groups, it also embodies greater commodity detail. </w:t>
      </w:r>
      <w:r>
        <w:rPr>
          <w:lang w:val="en-US"/>
        </w:rPr>
        <w:t>T</w:t>
      </w:r>
      <w:r w:rsidRPr="004C787F">
        <w:rPr>
          <w:lang w:val="en-US"/>
        </w:rPr>
        <w:t xml:space="preserve">he tax rates applied to commodities, </w:t>
      </w:r>
      <w:r>
        <w:rPr>
          <w:lang w:val="en-US"/>
        </w:rPr>
        <w:t xml:space="preserve">for example, </w:t>
      </w:r>
      <w:r w:rsidRPr="004C787F">
        <w:rPr>
          <w:lang w:val="en-US"/>
        </w:rPr>
        <w:t>as well as the import and margin shares, vary not only by commodity group, but also by use. In TIM there are 231 such uses. This includes intermediate inputs for TIM’s 114 industries, investment by these 114 industries, government consumption, household consumption and exports. Allowing taxes, import shares and margins to vary by use serves as a proxy for the commodity detail not captured separately in TIM.</w:t>
      </w:r>
    </w:p>
    <w:p w14:paraId="31B08774" w14:textId="77777777" w:rsidR="00C430F0" w:rsidRPr="004C787F" w:rsidRDefault="00C430F0" w:rsidP="00C430F0">
      <w:r w:rsidRPr="004C787F">
        <w:t xml:space="preserve">In reality, many firms produce goods that fall into multiple commodity groups. For example, firms in the </w:t>
      </w:r>
      <w:r w:rsidRPr="004C787F">
        <w:rPr>
          <w:i/>
          <w:iCs/>
        </w:rPr>
        <w:t>Iron and steel manufacturing</w:t>
      </w:r>
      <w:r w:rsidRPr="004C787F">
        <w:t xml:space="preserve"> industry also produce some outputs classified under the </w:t>
      </w:r>
      <w:r w:rsidRPr="004C787F">
        <w:rPr>
          <w:i/>
          <w:iCs/>
        </w:rPr>
        <w:t>Structural metal product manufacturing</w:t>
      </w:r>
      <w:r w:rsidRPr="004C787F">
        <w:t xml:space="preserve"> commodity group. Hence all firms (industries) in TIM can produce a subset of the model’s 114 commodities. Shifting production to other commodities, however, comes at a cost. </w:t>
      </w:r>
    </w:p>
    <w:p w14:paraId="5C49293B" w14:textId="77777777" w:rsidR="00C430F0" w:rsidRPr="004C787F" w:rsidRDefault="00C430F0" w:rsidP="00C430F0">
      <w:r w:rsidRPr="004C787F">
        <w:t xml:space="preserve">In the Australian economy, final users (that is, households, firms, and government) choose between domestic and imported goods. </w:t>
      </w:r>
      <w:r>
        <w:t>T</w:t>
      </w:r>
      <w:r w:rsidRPr="004C787F">
        <w:t>he shares of imported and domestic commodities within the economy are consistent with the historical preferences of Australian consumers. Final users respond to price changes by increasing their use of the cheaper version of the good, regardless of its source.</w:t>
      </w:r>
      <w:r w:rsidRPr="004C787F">
        <w:rPr>
          <w:sz w:val="18"/>
          <w:vertAlign w:val="superscript"/>
        </w:rPr>
        <w:footnoteReference w:id="13"/>
      </w:r>
    </w:p>
    <w:p w14:paraId="7DBFB032" w14:textId="77777777" w:rsidR="00C430F0" w:rsidRPr="004C787F" w:rsidRDefault="00C430F0" w:rsidP="00C430F0">
      <w:pPr>
        <w:rPr>
          <w:lang w:val="en-US"/>
        </w:rPr>
      </w:pPr>
      <w:r w:rsidRPr="004C787F">
        <w:rPr>
          <w:lang w:val="en-US"/>
        </w:rPr>
        <w:t xml:space="preserve">TIM explicitly models the distribution costs involved in transferring output from firms to users (that is, other firms, the household, the government and the ROW). In general, users do not buy commodities directly from firms. For example, a loaf of bread is often transported from a bakery to a supermarket where it is then purchased for final consumption. This process incurs distribution costs (for example, transport and retail trade) which is included in the price of the loaf of bread paid by the user. In TIM, margins are assumed to be required in specific proportions. That is, bread cannot be purchased without purchasing fixed proportions of transport and retail margins required to distribute the good. TIM includes 11 margins which are a subset of the model’s 114 commodities. Some of the margin goods and services, such as road transport, can also be consumed directly (for example, by catching a bus). </w:t>
      </w:r>
    </w:p>
    <w:p w14:paraId="3DD7605B" w14:textId="77777777" w:rsidR="00C430F0" w:rsidRPr="004C787F" w:rsidRDefault="00C430F0" w:rsidP="00C430F0">
      <w:pPr>
        <w:rPr>
          <w:lang w:val="en-US"/>
        </w:rPr>
      </w:pPr>
    </w:p>
    <w:p w14:paraId="0A985602" w14:textId="77777777" w:rsidR="00C430F0" w:rsidRPr="004C787F" w:rsidRDefault="00C430F0" w:rsidP="00C430F0">
      <w:pPr>
        <w:rPr>
          <w:lang w:val="en-US"/>
        </w:rPr>
      </w:pPr>
    </w:p>
    <w:p w14:paraId="11284121" w14:textId="77777777" w:rsidR="00C430F0" w:rsidRPr="004C787F" w:rsidRDefault="00C430F0" w:rsidP="00C430F0">
      <w:pPr>
        <w:rPr>
          <w:lang w:val="en-US"/>
        </w:rPr>
        <w:sectPr w:rsidR="00C430F0" w:rsidRPr="004C787F">
          <w:pgSz w:w="11906" w:h="16838" w:code="9"/>
          <w:pgMar w:top="1843" w:right="1418" w:bottom="1418" w:left="1418" w:header="709" w:footer="709" w:gutter="0"/>
          <w:cols w:space="708"/>
          <w:titlePg/>
          <w:docGrid w:linePitch="360"/>
        </w:sectPr>
      </w:pPr>
    </w:p>
    <w:p w14:paraId="50573D85" w14:textId="77777777" w:rsidR="00C430F0" w:rsidRPr="004C787F" w:rsidRDefault="00C430F0" w:rsidP="00C430F0">
      <w:pPr>
        <w:pStyle w:val="Heading1"/>
        <w:numPr>
          <w:ilvl w:val="0"/>
          <w:numId w:val="42"/>
        </w:numPr>
      </w:pPr>
      <w:r w:rsidRPr="004C787F">
        <w:t>Model detail</w:t>
      </w:r>
    </w:p>
    <w:p w14:paraId="3DDFE970" w14:textId="77777777" w:rsidR="00C430F0" w:rsidRPr="004C787F" w:rsidRDefault="00C430F0" w:rsidP="00C430F0">
      <w:r w:rsidRPr="004C787F">
        <w:t>This section provides details of the economic theory underlying TIM’s agents (households, firms, government and the ROW) and equilibrium conditions.</w:t>
      </w:r>
      <w:r w:rsidRPr="0062335B">
        <w:rPr>
          <w:rStyle w:val="FootnoteReference"/>
          <w:vertAlign w:val="superscript"/>
        </w:rPr>
        <w:footnoteReference w:id="14"/>
      </w:r>
    </w:p>
    <w:p w14:paraId="520B4A86" w14:textId="77777777" w:rsidR="00C430F0" w:rsidRPr="004C787F" w:rsidRDefault="00C430F0" w:rsidP="00C430F0">
      <w:pPr>
        <w:pStyle w:val="Heading3"/>
      </w:pPr>
      <w:r w:rsidRPr="004C787F">
        <w:t>Household</w:t>
      </w:r>
    </w:p>
    <w:p w14:paraId="1636D28B" w14:textId="77777777" w:rsidR="00C430F0" w:rsidRPr="004C787F" w:rsidDel="00D279CF" w:rsidRDefault="00C430F0" w:rsidP="00C430F0">
      <w:pPr>
        <w:rPr>
          <w:lang w:val="en-US"/>
        </w:rPr>
      </w:pPr>
      <w:r w:rsidRPr="004C787F">
        <w:rPr>
          <w:lang w:val="en-US"/>
        </w:rPr>
        <w:t>In TIM, the Australian population is modelled as an infinitely</w:t>
      </w:r>
      <w:r w:rsidRPr="004C787F">
        <w:rPr>
          <w:lang w:val="en-US"/>
        </w:rPr>
        <w:noBreakHyphen/>
        <w:t xml:space="preserve">lived representative household that chooses paths for consumption and leisure to maximise its expected lifetime utility. The household has a time endowment, which it has the option of supplying to the labour market at a given wage to earn labour income or utilising as leisure time. The household also earns capital income, which reflects the return on accumulated savings. </w:t>
      </w:r>
      <w:r w:rsidRPr="004C787F">
        <w:t>In turn the household can choose to spend this income on goods and services or save it for future consumption.</w:t>
      </w:r>
    </w:p>
    <w:p w14:paraId="5037EC7F" w14:textId="77777777" w:rsidR="00C430F0" w:rsidRPr="004C787F" w:rsidRDefault="00C430F0" w:rsidP="00C430F0">
      <w:pPr>
        <w:pStyle w:val="Heading4"/>
      </w:pPr>
      <w:r w:rsidRPr="004C787F">
        <w:t>Endowments</w:t>
      </w:r>
    </w:p>
    <w:p w14:paraId="0C78A15A" w14:textId="5E7DD10E" w:rsidR="00C430F0" w:rsidRPr="004C787F" w:rsidRDefault="00C430F0" w:rsidP="00C430F0">
      <w:r w:rsidRPr="004C787F">
        <w:t xml:space="preserve">At time </w:t>
      </w:r>
      <w:r w:rsidR="009205EE" w:rsidRPr="009205EE">
        <w:rPr>
          <w:position w:val="-6"/>
        </w:rPr>
        <w:object w:dxaOrig="139" w:dyaOrig="240" w14:anchorId="1893FF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2pt" o:ole="">
            <v:imagedata r:id="rId25" o:title=""/>
          </v:shape>
          <o:OLEObject Type="Embed" ProgID="Equation.DSMT4" ShapeID="_x0000_i1025" DrawAspect="Content" ObjectID="_1755515479" r:id="rId26"/>
        </w:object>
      </w:r>
      <w:r w:rsidRPr="004C787F">
        <w:t xml:space="preserve">, the single representative household has a total endowment of time, </w:t>
      </w:r>
      <w:r w:rsidR="009205EE" w:rsidRPr="009205EE">
        <w:rPr>
          <w:position w:val="-12"/>
        </w:rPr>
        <w:object w:dxaOrig="320" w:dyaOrig="360" w14:anchorId="4358F2F7">
          <v:shape id="_x0000_i1026" type="#_x0000_t75" style="width:16.2pt;height:18pt" o:ole="">
            <v:imagedata r:id="rId27" o:title=""/>
          </v:shape>
          <o:OLEObject Type="Embed" ProgID="Equation.DSMT4" ShapeID="_x0000_i1026" DrawAspect="Content" ObjectID="_1755515480" r:id="rId28"/>
        </w:object>
      </w:r>
      <w:r w:rsidRPr="004C787F">
        <w:t xml:space="preserve">, that is allocated between working (that is, labour input to production), </w:t>
      </w:r>
      <w:r w:rsidR="009205EE" w:rsidRPr="009205EE">
        <w:rPr>
          <w:position w:val="-12"/>
        </w:rPr>
        <w:object w:dxaOrig="300" w:dyaOrig="360" w14:anchorId="19BFB03B">
          <v:shape id="_x0000_i1027" type="#_x0000_t75" style="width:15pt;height:18pt" o:ole="">
            <v:imagedata r:id="rId29" o:title=""/>
          </v:shape>
          <o:OLEObject Type="Embed" ProgID="Equation.DSMT4" ShapeID="_x0000_i1027" DrawAspect="Content" ObjectID="_1755515481" r:id="rId30"/>
        </w:object>
      </w:r>
      <w:r w:rsidRPr="004C787F">
        <w:t xml:space="preserve">, and leisure, </w:t>
      </w:r>
      <w:r w:rsidR="009205EE" w:rsidRPr="009205EE">
        <w:rPr>
          <w:position w:val="-12"/>
        </w:rPr>
        <w:object w:dxaOrig="260" w:dyaOrig="360" w14:anchorId="0CEA77D7">
          <v:shape id="_x0000_i1028" type="#_x0000_t75" style="width:13.2pt;height:18pt" o:ole="">
            <v:imagedata r:id="rId31" o:title=""/>
          </v:shape>
          <o:OLEObject Type="Embed" ProgID="Equation.DSMT4" ShapeID="_x0000_i1028" DrawAspect="Content" ObjectID="_1755515482" r:id="rId32"/>
        </w:object>
      </w:r>
      <w:r w:rsidRPr="004C787F">
        <w:t>, such that:</w:t>
      </w:r>
    </w:p>
    <w:p w14:paraId="0AD2ABAD" w14:textId="6C6A2222" w:rsidR="00C430F0" w:rsidRPr="004C787F" w:rsidRDefault="00C430F0" w:rsidP="00C430F0">
      <w:pPr>
        <w:pStyle w:val="MTDisplayEquation"/>
      </w:pPr>
      <w:r w:rsidRPr="004C787F">
        <w:tab/>
      </w:r>
      <w:r w:rsidR="009205EE" w:rsidRPr="009205EE">
        <w:rPr>
          <w:position w:val="-12"/>
        </w:rPr>
        <w:object w:dxaOrig="1219" w:dyaOrig="360" w14:anchorId="598427BC">
          <v:shape id="_x0000_i1029" type="#_x0000_t75" style="width:60.6pt;height:18pt" o:ole="">
            <v:imagedata r:id="rId33" o:title=""/>
          </v:shape>
          <o:OLEObject Type="Embed" ProgID="Equation.DSMT4" ShapeID="_x0000_i1029" DrawAspect="Content" ObjectID="_1755515483" r:id="rId34"/>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bookmarkStart w:id="3" w:name="ZEqnNum234002"/>
      <w:r w:rsidRPr="004C787F">
        <w:instrText>(</w:instrText>
      </w:r>
      <w:r w:rsidR="00697947">
        <w:fldChar w:fldCharType="begin"/>
      </w:r>
      <w:r w:rsidR="00697947">
        <w:instrText>SEQ MTEqn \c \* Arabic \* MERGEFORMAT</w:instrText>
      </w:r>
      <w:r w:rsidR="00697947">
        <w:fldChar w:fldCharType="separate"/>
      </w:r>
      <w:r w:rsidR="00354F38">
        <w:rPr>
          <w:noProof/>
        </w:rPr>
        <w:instrText>1</w:instrText>
      </w:r>
      <w:r w:rsidR="00697947">
        <w:rPr>
          <w:noProof/>
        </w:rPr>
        <w:fldChar w:fldCharType="end"/>
      </w:r>
      <w:r w:rsidRPr="004C787F">
        <w:instrText>)</w:instrText>
      </w:r>
      <w:bookmarkEnd w:id="3"/>
      <w:r w:rsidRPr="004C787F">
        <w:fldChar w:fldCharType="end"/>
      </w:r>
    </w:p>
    <w:p w14:paraId="4F10C53E" w14:textId="37956721" w:rsidR="00C430F0" w:rsidRPr="004C787F" w:rsidRDefault="00C430F0" w:rsidP="00C430F0">
      <w:r w:rsidRPr="004C787F">
        <w:t xml:space="preserve">The population is assumed to grow at rate </w:t>
      </w:r>
      <w:r w:rsidR="009205EE" w:rsidRPr="009205EE">
        <w:rPr>
          <w:position w:val="-12"/>
        </w:rPr>
        <w:object w:dxaOrig="279" w:dyaOrig="380" w14:anchorId="2BC29A48">
          <v:shape id="_x0000_i1030" type="#_x0000_t75" style="width:13.8pt;height:18.6pt" o:ole="">
            <v:imagedata r:id="rId35" o:title=""/>
          </v:shape>
          <o:OLEObject Type="Embed" ProgID="Equation.DSMT4" ShapeID="_x0000_i1030" DrawAspect="Content" ObjectID="_1755515484" r:id="rId36"/>
        </w:object>
      </w:r>
      <w:r w:rsidRPr="004C787F">
        <w:t>, which implies total hours available for work and leisure take the following path:</w:t>
      </w:r>
    </w:p>
    <w:p w14:paraId="516BBA9B" w14:textId="0E85F616" w:rsidR="00C430F0" w:rsidRPr="004C787F" w:rsidRDefault="00C430F0" w:rsidP="00C430F0">
      <w:pPr>
        <w:pStyle w:val="MTDisplayEquation"/>
      </w:pPr>
      <w:r w:rsidRPr="004C787F">
        <w:tab/>
      </w:r>
      <w:r w:rsidR="009205EE" w:rsidRPr="009205EE">
        <w:rPr>
          <w:position w:val="-12"/>
        </w:rPr>
        <w:object w:dxaOrig="1660" w:dyaOrig="380" w14:anchorId="4F00E563">
          <v:shape id="_x0000_i1031" type="#_x0000_t75" style="width:83.4pt;height:18.6pt" o:ole="">
            <v:imagedata r:id="rId37" o:title=""/>
          </v:shape>
          <o:OLEObject Type="Embed" ProgID="Equation.DSMT4" ShapeID="_x0000_i1031" DrawAspect="Content" ObjectID="_1755515485" r:id="rId38"/>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r w:rsidRPr="004C787F">
        <w:instrText>(</w:instrText>
      </w:r>
      <w:r w:rsidR="00697947">
        <w:fldChar w:fldCharType="begin"/>
      </w:r>
      <w:r w:rsidR="00697947">
        <w:instrText>SEQ MTEqn \c \* Arabic \* MERGEFORMAT</w:instrText>
      </w:r>
      <w:r w:rsidR="00697947">
        <w:fldChar w:fldCharType="separate"/>
      </w:r>
      <w:r w:rsidR="00354F38">
        <w:rPr>
          <w:noProof/>
        </w:rPr>
        <w:instrText>2</w:instrText>
      </w:r>
      <w:r w:rsidR="00697947">
        <w:rPr>
          <w:noProof/>
        </w:rPr>
        <w:fldChar w:fldCharType="end"/>
      </w:r>
      <w:r w:rsidRPr="004C787F">
        <w:instrText>)</w:instrText>
      </w:r>
      <w:r w:rsidRPr="004C787F">
        <w:fldChar w:fldCharType="end"/>
      </w:r>
    </w:p>
    <w:p w14:paraId="2CE2B968" w14:textId="2789AE03" w:rsidR="00C430F0" w:rsidRPr="004C787F" w:rsidRDefault="00C430F0" w:rsidP="00C430F0">
      <w:r w:rsidRPr="004C787F">
        <w:t>The household</w:t>
      </w:r>
      <w:r w:rsidRPr="004C787F" w:rsidDel="000E2379">
        <w:t xml:space="preserve"> </w:t>
      </w:r>
      <w:r w:rsidRPr="004C787F">
        <w:t>is also endowed with human capital in the form of labour</w:t>
      </w:r>
      <w:r w:rsidRPr="004C787F">
        <w:noBreakHyphen/>
        <w:t xml:space="preserve">augmenting technical progress denoted by </w:t>
      </w:r>
      <w:r w:rsidR="009205EE" w:rsidRPr="009205EE">
        <w:rPr>
          <w:position w:val="-12"/>
        </w:rPr>
        <w:object w:dxaOrig="240" w:dyaOrig="360" w14:anchorId="37EB252D">
          <v:shape id="_x0000_i1032" type="#_x0000_t75" style="width:12pt;height:18pt" o:ole="">
            <v:imagedata r:id="rId39" o:title=""/>
          </v:shape>
          <o:OLEObject Type="Embed" ProgID="Equation.DSMT4" ShapeID="_x0000_i1032" DrawAspect="Content" ObjectID="_1755515486" r:id="rId40"/>
        </w:object>
      </w:r>
      <w:r w:rsidRPr="004C787F">
        <w:t xml:space="preserve">, which is assumed to grow at rate </w:t>
      </w:r>
      <w:r w:rsidR="009205EE" w:rsidRPr="009205EE">
        <w:rPr>
          <w:position w:val="-12"/>
        </w:rPr>
        <w:object w:dxaOrig="300" w:dyaOrig="380" w14:anchorId="580DF0DC">
          <v:shape id="_x0000_i1033" type="#_x0000_t75" style="width:15pt;height:18.6pt" o:ole="">
            <v:imagedata r:id="rId41" o:title=""/>
          </v:shape>
          <o:OLEObject Type="Embed" ProgID="Equation.DSMT4" ShapeID="_x0000_i1033" DrawAspect="Content" ObjectID="_1755515487" r:id="rId42"/>
        </w:object>
      </w:r>
      <w:r w:rsidRPr="004C787F">
        <w:t>:</w:t>
      </w:r>
    </w:p>
    <w:p w14:paraId="10EF903E" w14:textId="4E172882" w:rsidR="00C430F0" w:rsidRPr="004C787F" w:rsidRDefault="00C430F0" w:rsidP="00C430F0">
      <w:pPr>
        <w:pStyle w:val="MTDisplayEquation"/>
      </w:pPr>
      <w:r w:rsidRPr="004C787F">
        <w:tab/>
      </w:r>
      <w:r w:rsidR="009205EE" w:rsidRPr="009205EE">
        <w:rPr>
          <w:position w:val="-12"/>
        </w:rPr>
        <w:object w:dxaOrig="1500" w:dyaOrig="380" w14:anchorId="0DC7CCC1">
          <v:shape id="_x0000_i1034" type="#_x0000_t75" style="width:75pt;height:18.6pt" o:ole="">
            <v:imagedata r:id="rId43" o:title=""/>
          </v:shape>
          <o:OLEObject Type="Embed" ProgID="Equation.DSMT4" ShapeID="_x0000_i1034" DrawAspect="Content" ObjectID="_1755515488" r:id="rId44"/>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r w:rsidRPr="004C787F">
        <w:instrText>(</w:instrText>
      </w:r>
      <w:r w:rsidR="00697947">
        <w:fldChar w:fldCharType="begin"/>
      </w:r>
      <w:r w:rsidR="00697947">
        <w:instrText>SEQ MTEqn \c \* Arabic \* MERGEFORMAT</w:instrText>
      </w:r>
      <w:r w:rsidR="00697947">
        <w:fldChar w:fldCharType="separate"/>
      </w:r>
      <w:r w:rsidR="00354F38">
        <w:rPr>
          <w:noProof/>
        </w:rPr>
        <w:instrText>3</w:instrText>
      </w:r>
      <w:r w:rsidR="00697947">
        <w:rPr>
          <w:noProof/>
        </w:rPr>
        <w:fldChar w:fldCharType="end"/>
      </w:r>
      <w:r w:rsidRPr="004C787F">
        <w:instrText>)</w:instrText>
      </w:r>
      <w:r w:rsidRPr="004C787F">
        <w:fldChar w:fldCharType="end"/>
      </w:r>
    </w:p>
    <w:p w14:paraId="517D5C9C" w14:textId="694CBC28" w:rsidR="00C430F0" w:rsidRPr="004C787F" w:rsidRDefault="00C430F0" w:rsidP="00C430F0">
      <w:r w:rsidRPr="004C787F">
        <w:t xml:space="preserve">The model is designed to adhere to the </w:t>
      </w:r>
      <w:r>
        <w:t>‘</w:t>
      </w:r>
      <w:r w:rsidRPr="004C787F">
        <w:t>Kaldor growth facts</w:t>
      </w:r>
      <w:r>
        <w:t>’,</w:t>
      </w:r>
      <w:r w:rsidRPr="004C787F">
        <w:t xml:space="preserve"> including balanced growth</w:t>
      </w:r>
      <w:r>
        <w:t>,</w:t>
      </w:r>
      <w:r w:rsidRPr="004C787F">
        <w:t xml:space="preserve"> which means that the trend growth rate of non</w:t>
      </w:r>
      <w:r w:rsidRPr="004C787F">
        <w:noBreakHyphen/>
        <w:t>labour variables is equal to the growth rate of total effective hours, </w:t>
      </w:r>
      <w:r w:rsidR="009205EE" w:rsidRPr="009205EE">
        <w:rPr>
          <w:position w:val="-10"/>
        </w:rPr>
        <w:object w:dxaOrig="200" w:dyaOrig="260" w14:anchorId="3A30264E">
          <v:shape id="_x0000_i1035" type="#_x0000_t75" style="width:9.6pt;height:13.2pt" o:ole="">
            <v:imagedata r:id="rId45" o:title=""/>
          </v:shape>
          <o:OLEObject Type="Embed" ProgID="Equation.DSMT4" ShapeID="_x0000_i1035" DrawAspect="Content" ObjectID="_1755515489" r:id="rId46"/>
        </w:object>
      </w:r>
      <w:r w:rsidRPr="004C787F">
        <w:t>:</w:t>
      </w:r>
    </w:p>
    <w:p w14:paraId="5156AE74" w14:textId="79882E83" w:rsidR="00C430F0" w:rsidRPr="004C787F" w:rsidRDefault="00C430F0" w:rsidP="00C430F0">
      <w:pPr>
        <w:pStyle w:val="MTDisplayEquation"/>
      </w:pPr>
      <w:r w:rsidRPr="004C787F">
        <w:tab/>
      </w:r>
      <w:r w:rsidR="009205EE" w:rsidRPr="009205EE">
        <w:rPr>
          <w:position w:val="-12"/>
        </w:rPr>
        <w:object w:dxaOrig="2820" w:dyaOrig="380" w14:anchorId="6EE9A213">
          <v:shape id="_x0000_i1036" type="#_x0000_t75" style="width:141pt;height:18.6pt" o:ole="">
            <v:imagedata r:id="rId47" o:title=""/>
          </v:shape>
          <o:OLEObject Type="Embed" ProgID="Equation.DSMT4" ShapeID="_x0000_i1036" DrawAspect="Content" ObjectID="_1755515490" r:id="rId48"/>
        </w:object>
      </w:r>
    </w:p>
    <w:p w14:paraId="056F738F" w14:textId="1F8E87A5" w:rsidR="00C430F0" w:rsidRPr="004C787F" w:rsidRDefault="00C430F0" w:rsidP="00C430F0">
      <w:pPr>
        <w:pStyle w:val="MTDisplayEquation"/>
      </w:pPr>
      <w:r w:rsidRPr="004C787F">
        <w:tab/>
      </w:r>
      <w:r w:rsidR="009205EE" w:rsidRPr="009205EE">
        <w:rPr>
          <w:position w:val="-12"/>
        </w:rPr>
        <w:object w:dxaOrig="2020" w:dyaOrig="360" w14:anchorId="1B2D6A42">
          <v:shape id="_x0000_i1037" type="#_x0000_t75" style="width:100.2pt;height:18pt" o:ole="">
            <v:imagedata r:id="rId49" o:title=""/>
          </v:shape>
          <o:OLEObject Type="Embed" ProgID="Equation.DSMT4" ShapeID="_x0000_i1037" DrawAspect="Content" ObjectID="_1755515491" r:id="rId50"/>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r w:rsidRPr="004C787F">
        <w:instrText>(</w:instrText>
      </w:r>
      <w:r w:rsidR="00697947">
        <w:fldChar w:fldCharType="begin"/>
      </w:r>
      <w:r w:rsidR="00697947">
        <w:instrText>SEQ MTEqn \c \* Arabic \* MERGEFORMAT</w:instrText>
      </w:r>
      <w:r w:rsidR="00697947">
        <w:fldChar w:fldCharType="separate"/>
      </w:r>
      <w:r w:rsidR="00354F38">
        <w:rPr>
          <w:noProof/>
        </w:rPr>
        <w:instrText>4</w:instrText>
      </w:r>
      <w:r w:rsidR="00697947">
        <w:rPr>
          <w:noProof/>
        </w:rPr>
        <w:fldChar w:fldCharType="end"/>
      </w:r>
      <w:r w:rsidRPr="004C787F">
        <w:instrText>)</w:instrText>
      </w:r>
      <w:r w:rsidRPr="004C787F">
        <w:fldChar w:fldCharType="end"/>
      </w:r>
    </w:p>
    <w:p w14:paraId="1FB0D924" w14:textId="77777777" w:rsidR="00C430F0" w:rsidRPr="004C787F" w:rsidRDefault="00C430F0" w:rsidP="00C430F0">
      <w:pPr>
        <w:tabs>
          <w:tab w:val="center" w:pos="4640"/>
          <w:tab w:val="right" w:pos="9300"/>
        </w:tabs>
      </w:pPr>
      <w:r w:rsidRPr="004C787F">
        <w:t>Without loss of generality, it is convenient to describe the detrended version of the model. From here on, lower</w:t>
      </w:r>
      <w:r w:rsidRPr="004C787F">
        <w:noBreakHyphen/>
        <w:t>case non</w:t>
      </w:r>
      <w:r w:rsidRPr="004C787F">
        <w:noBreakHyphen/>
        <w:t>labour variables are actuals normalised by total effective hours.</w:t>
      </w:r>
      <w:r w:rsidRPr="004C787F">
        <w:rPr>
          <w:sz w:val="18"/>
          <w:vertAlign w:val="superscript"/>
        </w:rPr>
        <w:footnoteReference w:id="15"/>
      </w:r>
      <w:r>
        <w:t xml:space="preserve"> </w:t>
      </w:r>
      <w:r w:rsidRPr="004C787F">
        <w:t>That is, quantities per unit of effective hours are given by:</w:t>
      </w:r>
    </w:p>
    <w:p w14:paraId="5E8709A7" w14:textId="483BCF66" w:rsidR="00C430F0" w:rsidRPr="004C787F" w:rsidRDefault="00C430F0" w:rsidP="00C430F0">
      <w:pPr>
        <w:tabs>
          <w:tab w:val="center" w:pos="4640"/>
          <w:tab w:val="right" w:pos="9300"/>
        </w:tabs>
      </w:pPr>
      <w:r w:rsidRPr="004C787F">
        <w:tab/>
      </w:r>
      <w:r w:rsidR="009205EE" w:rsidRPr="009205EE">
        <w:rPr>
          <w:position w:val="-30"/>
        </w:rPr>
        <w:object w:dxaOrig="980" w:dyaOrig="680" w14:anchorId="1C1E3F19">
          <v:shape id="_x0000_i1038" type="#_x0000_t75" style="width:48.6pt;height:33.6pt" o:ole="">
            <v:imagedata r:id="rId51" o:title=""/>
          </v:shape>
          <o:OLEObject Type="Embed" ProgID="Equation.DSMT4" ShapeID="_x0000_i1038" DrawAspect="Content" ObjectID="_1755515492" r:id="rId52"/>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r w:rsidRPr="004C787F">
        <w:instrText>(</w:instrText>
      </w:r>
      <w:r w:rsidR="00697947">
        <w:fldChar w:fldCharType="begin"/>
      </w:r>
      <w:r w:rsidR="00697947">
        <w:instrText>SEQ MTEqn \c \* Arabic \* MERGEFORMAT</w:instrText>
      </w:r>
      <w:r w:rsidR="00697947">
        <w:fldChar w:fldCharType="separate"/>
      </w:r>
      <w:r w:rsidR="00354F38">
        <w:rPr>
          <w:noProof/>
        </w:rPr>
        <w:instrText>5</w:instrText>
      </w:r>
      <w:r w:rsidR="00697947">
        <w:rPr>
          <w:noProof/>
        </w:rPr>
        <w:fldChar w:fldCharType="end"/>
      </w:r>
      <w:r w:rsidRPr="004C787F">
        <w:instrText>)</w:instrText>
      </w:r>
      <w:r w:rsidRPr="004C787F">
        <w:fldChar w:fldCharType="end"/>
      </w:r>
    </w:p>
    <w:p w14:paraId="7D8A21C2" w14:textId="77777777" w:rsidR="00C430F0" w:rsidRPr="004C787F" w:rsidRDefault="00C430F0" w:rsidP="00C430F0">
      <w:r w:rsidRPr="004C787F">
        <w:t>Actuals can always be recovered by inflating the normalised variable by total effective hours.</w:t>
      </w:r>
    </w:p>
    <w:p w14:paraId="373E045E" w14:textId="67753038" w:rsidR="00C430F0" w:rsidRPr="004C787F" w:rsidRDefault="00C430F0" w:rsidP="00C430F0">
      <w:r w:rsidRPr="004C787F">
        <w:t xml:space="preserve">Along the balanced growth path, total working hours per head of population do not change over time. As such, it is convenient to normalise the household’s total hours available for work and leisure to 1. Specifically, working time and leisure per hour are derived by dividing aggregate working time and leisure hours by total hours, </w:t>
      </w:r>
      <w:r w:rsidR="009205EE" w:rsidRPr="009205EE">
        <w:rPr>
          <w:position w:val="-12"/>
        </w:rPr>
        <w:object w:dxaOrig="1160" w:dyaOrig="360" w14:anchorId="644F94E9">
          <v:shape id="_x0000_i1039" type="#_x0000_t75" style="width:58.8pt;height:18pt" o:ole="">
            <v:imagedata r:id="rId53" o:title=""/>
          </v:shape>
          <o:OLEObject Type="Embed" ProgID="Equation.DSMT4" ShapeID="_x0000_i1039" DrawAspect="Content" ObjectID="_1755515493" r:id="rId54"/>
        </w:object>
      </w:r>
      <w:r w:rsidRPr="004C787F">
        <w:t xml:space="preserve"> and </w:t>
      </w:r>
      <w:r w:rsidR="009205EE" w:rsidRPr="009205EE">
        <w:rPr>
          <w:position w:val="-12"/>
        </w:rPr>
        <w:object w:dxaOrig="1040" w:dyaOrig="360" w14:anchorId="49EC5A69">
          <v:shape id="_x0000_i1040" type="#_x0000_t75" style="width:51.6pt;height:18pt" o:ole="">
            <v:imagedata r:id="rId55" o:title=""/>
          </v:shape>
          <o:OLEObject Type="Embed" ProgID="Equation.DSMT4" ShapeID="_x0000_i1040" DrawAspect="Content" ObjectID="_1755515494" r:id="rId56"/>
        </w:object>
      </w:r>
      <w:r w:rsidRPr="004C787F">
        <w:t>, respectively, with lower</w:t>
      </w:r>
      <w:r w:rsidRPr="004C787F">
        <w:noBreakHyphen/>
        <w:t xml:space="preserve">case variables denoting the transformed variables. </w:t>
      </w:r>
    </w:p>
    <w:p w14:paraId="613A4B69" w14:textId="77777777" w:rsidR="00C430F0" w:rsidRPr="004C787F" w:rsidRDefault="00C430F0" w:rsidP="00C430F0">
      <w:pPr>
        <w:pStyle w:val="Heading4"/>
      </w:pPr>
      <w:r w:rsidRPr="004C787F">
        <w:t>Preferences</w:t>
      </w:r>
    </w:p>
    <w:p w14:paraId="146BDD01" w14:textId="77777777" w:rsidR="00C430F0" w:rsidRPr="004C787F" w:rsidRDefault="00C430F0" w:rsidP="00C430F0">
      <w:r w:rsidRPr="004C787F">
        <w:t xml:space="preserve">The household’s lifetime utility is the sum of current and discounted future </w:t>
      </w:r>
      <w:r w:rsidRPr="004C787F" w:rsidDel="001845EA">
        <w:t>utility</w:t>
      </w:r>
      <w:r w:rsidRPr="004C787F">
        <w:t>:</w:t>
      </w:r>
    </w:p>
    <w:p w14:paraId="090A2B62" w14:textId="68DAB2E0" w:rsidR="00C430F0" w:rsidRPr="004C787F" w:rsidRDefault="00C430F0" w:rsidP="00C430F0">
      <w:pPr>
        <w:pStyle w:val="MTDisplayEquation"/>
      </w:pPr>
      <w:r w:rsidRPr="004C787F">
        <w:tab/>
      </w:r>
      <w:r w:rsidR="009205EE" w:rsidRPr="009205EE">
        <w:rPr>
          <w:position w:val="-28"/>
        </w:rPr>
        <w:object w:dxaOrig="1620" w:dyaOrig="680" w14:anchorId="326A5EDE">
          <v:shape id="_x0000_i1041" type="#_x0000_t75" style="width:81pt;height:33.6pt" o:ole="">
            <v:imagedata r:id="rId57" o:title=""/>
          </v:shape>
          <o:OLEObject Type="Embed" ProgID="Equation.DSMT4" ShapeID="_x0000_i1041" DrawAspect="Content" ObjectID="_1755515495" r:id="rId58"/>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bookmarkStart w:id="4" w:name="ZEqnNum468794"/>
      <w:r w:rsidRPr="004C787F">
        <w:instrText>(</w:instrText>
      </w:r>
      <w:r w:rsidR="00697947">
        <w:fldChar w:fldCharType="begin"/>
      </w:r>
      <w:r w:rsidR="00697947">
        <w:instrText>SEQ MTEqn \c \* Arabic \* MERGEFORMAT</w:instrText>
      </w:r>
      <w:r w:rsidR="00697947">
        <w:fldChar w:fldCharType="separate"/>
      </w:r>
      <w:r w:rsidR="00354F38">
        <w:rPr>
          <w:noProof/>
        </w:rPr>
        <w:instrText>6</w:instrText>
      </w:r>
      <w:r w:rsidR="00697947">
        <w:rPr>
          <w:noProof/>
        </w:rPr>
        <w:fldChar w:fldCharType="end"/>
      </w:r>
      <w:r w:rsidRPr="004C787F">
        <w:instrText>)</w:instrText>
      </w:r>
      <w:bookmarkEnd w:id="4"/>
      <w:r w:rsidRPr="004C787F">
        <w:fldChar w:fldCharType="end"/>
      </w:r>
    </w:p>
    <w:p w14:paraId="662F1508" w14:textId="4AD6FCD2" w:rsidR="00C430F0" w:rsidRPr="004C787F" w:rsidRDefault="00C430F0" w:rsidP="00C430F0">
      <w:r w:rsidRPr="004C787F">
        <w:t xml:space="preserve">where </w:t>
      </w:r>
      <w:r w:rsidR="009205EE" w:rsidRPr="009205EE">
        <w:rPr>
          <w:position w:val="-10"/>
        </w:rPr>
        <w:object w:dxaOrig="600" w:dyaOrig="320" w14:anchorId="6216DD22">
          <v:shape id="_x0000_i1042" type="#_x0000_t75" style="width:30pt;height:16.2pt" o:ole="">
            <v:imagedata r:id="rId59" o:title=""/>
          </v:shape>
          <o:OLEObject Type="Embed" ProgID="Equation.DSMT4" ShapeID="_x0000_i1042" DrawAspect="Content" ObjectID="_1755515496" r:id="rId60"/>
        </w:object>
      </w:r>
      <w:r w:rsidRPr="004C787F">
        <w:t xml:space="preserve"> is the discount factor and </w:t>
      </w:r>
      <w:r w:rsidR="009205EE" w:rsidRPr="009205EE">
        <w:rPr>
          <w:position w:val="-12"/>
        </w:rPr>
        <w:object w:dxaOrig="220" w:dyaOrig="360" w14:anchorId="15402177">
          <v:shape id="_x0000_i1043" type="#_x0000_t75" style="width:11.4pt;height:18pt" o:ole="">
            <v:imagedata r:id="rId61" o:title=""/>
          </v:shape>
          <o:OLEObject Type="Embed" ProgID="Equation.DSMT4" ShapeID="_x0000_i1043" DrawAspect="Content" ObjectID="_1755515497" r:id="rId62"/>
        </w:object>
      </w:r>
      <w:r w:rsidRPr="004C787F">
        <w:t xml:space="preserve"> is the aggregate consumption good at time </w:t>
      </w:r>
      <w:r w:rsidR="009205EE" w:rsidRPr="009205EE">
        <w:rPr>
          <w:position w:val="-6"/>
        </w:rPr>
        <w:object w:dxaOrig="139" w:dyaOrig="240" w14:anchorId="0D2493FA">
          <v:shape id="_x0000_i1044" type="#_x0000_t75" style="width:6.6pt;height:12pt" o:ole="">
            <v:imagedata r:id="rId63" o:title=""/>
          </v:shape>
          <o:OLEObject Type="Embed" ProgID="Equation.DSMT4" ShapeID="_x0000_i1044" DrawAspect="Content" ObjectID="_1755515498" r:id="rId64"/>
        </w:object>
      </w:r>
      <w:r w:rsidRPr="004C787F">
        <w:t>.</w:t>
      </w:r>
    </w:p>
    <w:p w14:paraId="3746CA38" w14:textId="77777777" w:rsidR="00C430F0" w:rsidRPr="004C787F" w:rsidRDefault="00C430F0" w:rsidP="00C430F0">
      <w:r w:rsidRPr="004C787F">
        <w:t>Utility within each period is an aggregate of consumption and leisure, both of which exhibit decreasing marginal utility, consistent with a constant relative risk aversion (CRRA) utility function:</w:t>
      </w:r>
    </w:p>
    <w:p w14:paraId="31C898EA" w14:textId="2B5002F2" w:rsidR="00C430F0" w:rsidRPr="004C787F" w:rsidRDefault="00C430F0" w:rsidP="00C430F0">
      <w:pPr>
        <w:pStyle w:val="MTDisplayEquation"/>
      </w:pPr>
      <w:r w:rsidRPr="004C787F">
        <w:tab/>
      </w:r>
      <w:r w:rsidR="009205EE" w:rsidRPr="009205EE">
        <w:rPr>
          <w:position w:val="-24"/>
        </w:rPr>
        <w:object w:dxaOrig="2160" w:dyaOrig="780" w14:anchorId="7A7DDCFE">
          <v:shape id="_x0000_i1045" type="#_x0000_t75" style="width:108pt;height:39pt" o:ole="">
            <v:imagedata r:id="rId65" o:title=""/>
          </v:shape>
          <o:OLEObject Type="Embed" ProgID="Equation.DSMT4" ShapeID="_x0000_i1045" DrawAspect="Content" ObjectID="_1755515499" r:id="rId66"/>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bookmarkStart w:id="5" w:name="ZEqnNum208253"/>
      <w:r w:rsidRPr="004C787F">
        <w:instrText>(</w:instrText>
      </w:r>
      <w:r w:rsidR="00697947">
        <w:fldChar w:fldCharType="begin"/>
      </w:r>
      <w:r w:rsidR="00697947">
        <w:instrText>SEQ MTEqn \c \* Arabic \* MERGEFORMAT</w:instrText>
      </w:r>
      <w:r w:rsidR="00697947">
        <w:fldChar w:fldCharType="separate"/>
      </w:r>
      <w:r w:rsidR="00354F38">
        <w:rPr>
          <w:noProof/>
        </w:rPr>
        <w:instrText>7</w:instrText>
      </w:r>
      <w:r w:rsidR="00697947">
        <w:rPr>
          <w:noProof/>
        </w:rPr>
        <w:fldChar w:fldCharType="end"/>
      </w:r>
      <w:r w:rsidRPr="004C787F">
        <w:instrText>)</w:instrText>
      </w:r>
      <w:bookmarkEnd w:id="5"/>
      <w:r w:rsidRPr="004C787F">
        <w:fldChar w:fldCharType="end"/>
      </w:r>
    </w:p>
    <w:p w14:paraId="779F294A" w14:textId="1763094F" w:rsidR="00C430F0" w:rsidRPr="004C787F" w:rsidRDefault="00C430F0" w:rsidP="00C430F0">
      <w:r w:rsidRPr="004C787F">
        <w:t xml:space="preserve">where </w:t>
      </w:r>
      <w:r w:rsidR="009205EE" w:rsidRPr="009205EE">
        <w:rPr>
          <w:position w:val="-6"/>
        </w:rPr>
        <w:object w:dxaOrig="240" w:dyaOrig="220" w14:anchorId="6980FECE">
          <v:shape id="_x0000_i1046" type="#_x0000_t75" style="width:12pt;height:11.4pt" o:ole="">
            <v:imagedata r:id="rId67" o:title=""/>
          </v:shape>
          <o:OLEObject Type="Embed" ProgID="Equation.DSMT4" ShapeID="_x0000_i1046" DrawAspect="Content" ObjectID="_1755515500" r:id="rId68"/>
        </w:object>
      </w:r>
      <w:r w:rsidRPr="004C787F">
        <w:t xml:space="preserve"> is the inverse of the intertemporal elasticity of substitution and</w:t>
      </w:r>
      <w:r>
        <w:t xml:space="preserve"> </w:t>
      </w:r>
      <w:r w:rsidR="009205EE" w:rsidRPr="009205EE">
        <w:rPr>
          <w:position w:val="-6"/>
        </w:rPr>
        <w:object w:dxaOrig="900" w:dyaOrig="279" w14:anchorId="452BB895">
          <v:shape id="_x0000_i1047" type="#_x0000_t75" style="width:45pt;height:13.8pt" o:ole="">
            <v:imagedata r:id="rId69" o:title=""/>
          </v:shape>
          <o:OLEObject Type="Embed" ProgID="Equation.DSMT4" ShapeID="_x0000_i1047" DrawAspect="Content" ObjectID="_1755515501" r:id="rId70"/>
        </w:object>
      </w:r>
      <w:r w:rsidRPr="004C787F">
        <w:t xml:space="preserve"> is a </w:t>
      </w:r>
      <w:r>
        <w:t>weighting</w:t>
      </w:r>
      <w:r w:rsidRPr="004C787F">
        <w:t xml:space="preserve"> parameter which measures the household’s relative preference for consumption and leisure.</w:t>
      </w:r>
    </w:p>
    <w:p w14:paraId="2FFFE562" w14:textId="77777777" w:rsidR="00C430F0" w:rsidRPr="004C787F" w:rsidRDefault="00C430F0" w:rsidP="00C430F0">
      <w:r w:rsidRPr="004C787F">
        <w:br w:type="page"/>
      </w:r>
    </w:p>
    <w:p w14:paraId="070FB0DB" w14:textId="77777777" w:rsidR="00C430F0" w:rsidRPr="004C787F" w:rsidRDefault="00C430F0" w:rsidP="00C430F0">
      <w:pPr>
        <w:pStyle w:val="Heading4"/>
        <w:rPr>
          <w:rFonts w:asciiTheme="majorHAnsi" w:hAnsiTheme="majorHAnsi"/>
          <w:b/>
          <w:iCs/>
          <w:color w:val="000000" w:themeColor="text1"/>
          <w:szCs w:val="36"/>
        </w:rPr>
      </w:pPr>
      <w:r w:rsidRPr="004C787F">
        <w:t>Consumption of commodities</w:t>
      </w:r>
    </w:p>
    <w:p w14:paraId="00006348" w14:textId="22F39B86" w:rsidR="00C430F0" w:rsidRPr="004C787F" w:rsidRDefault="00C430F0" w:rsidP="00C430F0">
      <w:r w:rsidRPr="004C787F">
        <w:t xml:space="preserve">Households have preferences over a bundle of commodities (typically indexed by </w:t>
      </w:r>
      <w:r w:rsidR="009205EE" w:rsidRPr="009205EE">
        <w:rPr>
          <w:position w:val="-10"/>
        </w:rPr>
        <w:object w:dxaOrig="200" w:dyaOrig="300" w14:anchorId="38A77B98">
          <v:shape id="_x0000_i1048" type="#_x0000_t75" style="width:9.6pt;height:15pt" o:ole="">
            <v:imagedata r:id="rId71" o:title=""/>
          </v:shape>
          <o:OLEObject Type="Embed" ProgID="Equation.DSMT4" ShapeID="_x0000_i1048" DrawAspect="Content" ObjectID="_1755515502" r:id="rId72"/>
        </w:object>
      </w:r>
      <w:r w:rsidRPr="004C787F">
        <w:t>) that are assumed to be imperfect substitutes. Specifically, the aggregate consumption good,</w:t>
      </w:r>
      <w:r>
        <w:t xml:space="preserve"> </w:t>
      </w:r>
      <w:r w:rsidR="009205EE" w:rsidRPr="009205EE">
        <w:rPr>
          <w:position w:val="-12"/>
        </w:rPr>
        <w:object w:dxaOrig="220" w:dyaOrig="360" w14:anchorId="00E04B8B">
          <v:shape id="_x0000_i1049" type="#_x0000_t75" style="width:11.4pt;height:18pt" o:ole="">
            <v:imagedata r:id="rId73" o:title=""/>
          </v:shape>
          <o:OLEObject Type="Embed" ProgID="Equation.DSMT4" ShapeID="_x0000_i1049" DrawAspect="Content" ObjectID="_1755515503" r:id="rId74"/>
        </w:object>
      </w:r>
      <w:r w:rsidRPr="004C787F">
        <w:t>, is a composite of commodities</w:t>
      </w:r>
      <w:bookmarkStart w:id="6" w:name="_Hlk120968958"/>
      <w:r w:rsidRPr="004C787F">
        <w:t xml:space="preserve">, </w:t>
      </w:r>
      <w:bookmarkEnd w:id="6"/>
      <w:r w:rsidR="009205EE" w:rsidRPr="009205EE">
        <w:rPr>
          <w:position w:val="-20"/>
        </w:rPr>
        <w:object w:dxaOrig="760" w:dyaOrig="520" w14:anchorId="01AA5282">
          <v:shape id="_x0000_i1050" type="#_x0000_t75" style="width:38.4pt;height:26.4pt" o:ole="">
            <v:imagedata r:id="rId75" o:title=""/>
          </v:shape>
          <o:OLEObject Type="Embed" ProgID="Equation.DSMT4" ShapeID="_x0000_i1050" DrawAspect="Content" ObjectID="_1755515504" r:id="rId76"/>
        </w:object>
      </w:r>
      <w:r w:rsidRPr="004C787F">
        <w:t>, aggregated using a constant elasticity of substitution (CES) function:</w:t>
      </w:r>
    </w:p>
    <w:p w14:paraId="29ED6A98" w14:textId="2988EBF3" w:rsidR="00C430F0" w:rsidRPr="004C787F" w:rsidRDefault="00C430F0" w:rsidP="00C430F0">
      <w:pPr>
        <w:tabs>
          <w:tab w:val="center" w:pos="4640"/>
          <w:tab w:val="right" w:pos="9300"/>
        </w:tabs>
      </w:pPr>
      <w:r w:rsidRPr="004C787F">
        <w:tab/>
      </w:r>
      <w:r w:rsidR="009205EE" w:rsidRPr="009205EE">
        <w:rPr>
          <w:position w:val="-40"/>
        </w:rPr>
        <w:object w:dxaOrig="1980" w:dyaOrig="1080" w14:anchorId="4CC701FF">
          <v:shape id="_x0000_i1051" type="#_x0000_t75" style="width:99pt;height:54pt" o:ole="">
            <v:imagedata r:id="rId77" o:title=""/>
          </v:shape>
          <o:OLEObject Type="Embed" ProgID="Equation.DSMT4" ShapeID="_x0000_i1051" DrawAspect="Content" ObjectID="_1755515505" r:id="rId78"/>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bookmarkStart w:id="7" w:name="ZEqnNum676147"/>
      <w:r w:rsidRPr="004C787F">
        <w:instrText>(</w:instrText>
      </w:r>
      <w:r w:rsidR="00697947">
        <w:fldChar w:fldCharType="begin"/>
      </w:r>
      <w:r w:rsidR="00697947">
        <w:instrText>SEQ MTEqn \c \* Arabic \* MERGEFORMAT</w:instrText>
      </w:r>
      <w:r w:rsidR="00697947">
        <w:fldChar w:fldCharType="separate"/>
      </w:r>
      <w:r w:rsidR="00354F38">
        <w:rPr>
          <w:noProof/>
        </w:rPr>
        <w:instrText>8</w:instrText>
      </w:r>
      <w:r w:rsidR="00697947">
        <w:rPr>
          <w:noProof/>
        </w:rPr>
        <w:fldChar w:fldCharType="end"/>
      </w:r>
      <w:r w:rsidRPr="004C787F">
        <w:instrText>)</w:instrText>
      </w:r>
      <w:bookmarkEnd w:id="7"/>
      <w:r w:rsidRPr="004C787F">
        <w:fldChar w:fldCharType="end"/>
      </w:r>
    </w:p>
    <w:p w14:paraId="141F0DDC" w14:textId="5ADE9B7F" w:rsidR="00C430F0" w:rsidRPr="004C787F" w:rsidRDefault="00C430F0" w:rsidP="00C430F0">
      <w:r w:rsidRPr="004C787F">
        <w:t xml:space="preserve">where </w:t>
      </w:r>
      <w:r w:rsidR="009205EE" w:rsidRPr="009205EE">
        <w:rPr>
          <w:position w:val="-10"/>
        </w:rPr>
        <w:object w:dxaOrig="660" w:dyaOrig="360" w14:anchorId="110D5F12">
          <v:shape id="_x0000_i1052" type="#_x0000_t75" style="width:33pt;height:18pt" o:ole="">
            <v:imagedata r:id="rId79" o:title=""/>
          </v:shape>
          <o:OLEObject Type="Embed" ProgID="Equation.DSMT4" ShapeID="_x0000_i1052" DrawAspect="Content" ObjectID="_1755515506" r:id="rId80"/>
        </w:object>
      </w:r>
      <w:r w:rsidRPr="004C787F">
        <w:t xml:space="preserve"> is the elasticity of substitution between consumption commodities and </w:t>
      </w:r>
      <w:r w:rsidR="009205EE" w:rsidRPr="009205EE">
        <w:rPr>
          <w:position w:val="-14"/>
        </w:rPr>
        <w:object w:dxaOrig="960" w:dyaOrig="400" w14:anchorId="702D9458">
          <v:shape id="_x0000_i1053" type="#_x0000_t75" style="width:48pt;height:20.4pt" o:ole="">
            <v:imagedata r:id="rId81" o:title=""/>
          </v:shape>
          <o:OLEObject Type="Embed" ProgID="Equation.DSMT4" ShapeID="_x0000_i1053" DrawAspect="Content" ObjectID="_1755515507" r:id="rId82"/>
        </w:object>
      </w:r>
      <w:r>
        <w:t xml:space="preserve"> </w:t>
      </w:r>
      <w:r w:rsidRPr="004C787F">
        <w:t xml:space="preserve">is the </w:t>
      </w:r>
      <w:r>
        <w:t>weighting parameter</w:t>
      </w:r>
      <w:r w:rsidRPr="004C787F">
        <w:t xml:space="preserve"> for commodity </w:t>
      </w:r>
      <w:r w:rsidR="009205EE" w:rsidRPr="009205EE">
        <w:rPr>
          <w:position w:val="-10"/>
        </w:rPr>
        <w:object w:dxaOrig="200" w:dyaOrig="300" w14:anchorId="77FE1D8D">
          <v:shape id="_x0000_i1054" type="#_x0000_t75" style="width:9.6pt;height:15pt" o:ole="">
            <v:imagedata r:id="rId83" o:title=""/>
          </v:shape>
          <o:OLEObject Type="Embed" ProgID="Equation.DSMT4" ShapeID="_x0000_i1054" DrawAspect="Content" ObjectID="_1755515508" r:id="rId84"/>
        </w:object>
      </w:r>
      <w:r w:rsidRPr="004C787F">
        <w:t>.</w:t>
      </w:r>
    </w:p>
    <w:p w14:paraId="06635A83" w14:textId="77777777" w:rsidR="00C430F0" w:rsidRPr="004C787F" w:rsidRDefault="00C430F0" w:rsidP="00C430F0">
      <w:r w:rsidRPr="004C787F">
        <w:t>Total household consumption expenditure is:</w:t>
      </w:r>
    </w:p>
    <w:p w14:paraId="2C93FFCD" w14:textId="4CB73CFD" w:rsidR="00C430F0" w:rsidRPr="004C787F" w:rsidRDefault="00C430F0" w:rsidP="00C430F0">
      <w:pPr>
        <w:tabs>
          <w:tab w:val="center" w:pos="4640"/>
          <w:tab w:val="right" w:pos="9300"/>
        </w:tabs>
      </w:pPr>
      <w:r w:rsidRPr="004C787F">
        <w:tab/>
      </w:r>
      <w:r w:rsidR="009205EE" w:rsidRPr="009205EE">
        <w:rPr>
          <w:position w:val="-30"/>
        </w:rPr>
        <w:object w:dxaOrig="1620" w:dyaOrig="700" w14:anchorId="75C0BAD4">
          <v:shape id="_x0000_i1055" type="#_x0000_t75" style="width:81pt;height:35.4pt" o:ole="">
            <v:imagedata r:id="rId85" o:title=""/>
          </v:shape>
          <o:OLEObject Type="Embed" ProgID="Equation.DSMT4" ShapeID="_x0000_i1055" DrawAspect="Content" ObjectID="_1755515509" r:id="rId86"/>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bookmarkStart w:id="8" w:name="ZEqnNum959945"/>
      <w:r w:rsidRPr="004C787F">
        <w:instrText>(</w:instrText>
      </w:r>
      <w:r w:rsidR="00697947">
        <w:fldChar w:fldCharType="begin"/>
      </w:r>
      <w:r w:rsidR="00697947">
        <w:instrText>SEQ MTEqn \c \* Arabic \* MERGEFORMAT</w:instrText>
      </w:r>
      <w:r w:rsidR="00697947">
        <w:fldChar w:fldCharType="separate"/>
      </w:r>
      <w:r w:rsidR="00354F38">
        <w:rPr>
          <w:noProof/>
        </w:rPr>
        <w:instrText>9</w:instrText>
      </w:r>
      <w:r w:rsidR="00697947">
        <w:rPr>
          <w:noProof/>
        </w:rPr>
        <w:fldChar w:fldCharType="end"/>
      </w:r>
      <w:r w:rsidRPr="004C787F">
        <w:instrText>)</w:instrText>
      </w:r>
      <w:bookmarkEnd w:id="8"/>
      <w:r w:rsidRPr="004C787F">
        <w:fldChar w:fldCharType="end"/>
      </w:r>
    </w:p>
    <w:p w14:paraId="44C91564" w14:textId="78D9A844" w:rsidR="00C430F0" w:rsidRPr="004C787F" w:rsidRDefault="00C430F0" w:rsidP="00C430F0">
      <w:r w:rsidRPr="004C787F">
        <w:t xml:space="preserve">where </w:t>
      </w:r>
      <w:r w:rsidR="009205EE" w:rsidRPr="009205EE">
        <w:rPr>
          <w:position w:val="-14"/>
        </w:rPr>
        <w:object w:dxaOrig="380" w:dyaOrig="400" w14:anchorId="3CB3A301">
          <v:shape id="_x0000_i1056" type="#_x0000_t75" style="width:18.6pt;height:20.4pt" o:ole="">
            <v:imagedata r:id="rId87" o:title=""/>
          </v:shape>
          <o:OLEObject Type="Embed" ProgID="Equation.DSMT4" ShapeID="_x0000_i1056" DrawAspect="Content" ObjectID="_1755515510" r:id="rId88"/>
        </w:object>
      </w:r>
      <w:r w:rsidRPr="004C787F">
        <w:t xml:space="preserve"> is the price of consumption for commodity </w:t>
      </w:r>
      <w:r w:rsidR="009205EE" w:rsidRPr="009205EE">
        <w:rPr>
          <w:position w:val="-10"/>
        </w:rPr>
        <w:object w:dxaOrig="200" w:dyaOrig="300" w14:anchorId="59F05855">
          <v:shape id="_x0000_i1057" type="#_x0000_t75" style="width:9.6pt;height:15pt" o:ole="">
            <v:imagedata r:id="rId89" o:title=""/>
          </v:shape>
          <o:OLEObject Type="Embed" ProgID="Equation.DSMT4" ShapeID="_x0000_i1057" DrawAspect="Content" ObjectID="_1755515511" r:id="rId90"/>
        </w:object>
      </w:r>
      <w:r w:rsidRPr="004C787F">
        <w:t xml:space="preserve"> and </w:t>
      </w:r>
      <w:r w:rsidR="009205EE" w:rsidRPr="009205EE">
        <w:rPr>
          <w:position w:val="-12"/>
        </w:rPr>
        <w:object w:dxaOrig="300" w:dyaOrig="380" w14:anchorId="7001EA76">
          <v:shape id="_x0000_i1058" type="#_x0000_t75" style="width:15pt;height:18.6pt" o:ole="">
            <v:imagedata r:id="rId91" o:title=""/>
          </v:shape>
          <o:OLEObject Type="Embed" ProgID="Equation.DSMT4" ShapeID="_x0000_i1058" DrawAspect="Content" ObjectID="_1755515512" r:id="rId92"/>
        </w:object>
      </w:r>
      <w:r w:rsidRPr="004C787F">
        <w:t xml:space="preserve"> is the price of aggregate consumption. </w:t>
      </w:r>
    </w:p>
    <w:p w14:paraId="714686D3" w14:textId="77777777" w:rsidR="00C430F0" w:rsidRPr="004C787F" w:rsidRDefault="00C430F0" w:rsidP="00C430F0">
      <w:pPr>
        <w:pStyle w:val="Heading4"/>
      </w:pPr>
      <w:r w:rsidRPr="004C787F">
        <w:t>Household’s budget constraint</w:t>
      </w:r>
    </w:p>
    <w:p w14:paraId="39AF4344" w14:textId="5813AB3A" w:rsidR="00C430F0" w:rsidRPr="004C787F" w:rsidRDefault="00C430F0" w:rsidP="00C430F0">
      <w:r w:rsidRPr="004C787F">
        <w:t xml:space="preserve">The household begins each period with assets, </w:t>
      </w:r>
      <w:r w:rsidR="009205EE" w:rsidRPr="009205EE">
        <w:rPr>
          <w:position w:val="-12"/>
        </w:rPr>
        <w:object w:dxaOrig="260" w:dyaOrig="380" w14:anchorId="0F1BABFC">
          <v:shape id="_x0000_i1059" type="#_x0000_t75" style="width:13.2pt;height:18.6pt" o:ole="">
            <v:imagedata r:id="rId93" o:title=""/>
          </v:shape>
          <o:OLEObject Type="Embed" ProgID="Equation.DSMT4" ShapeID="_x0000_i1059" DrawAspect="Content" ObjectID="_1755515513" r:id="rId94"/>
        </w:object>
      </w:r>
      <w:r w:rsidRPr="004C787F">
        <w:t xml:space="preserve">, which reflect accumulated savings and earns a rate of return, </w:t>
      </w:r>
      <w:r w:rsidR="009205EE" w:rsidRPr="009205EE">
        <w:rPr>
          <w:position w:val="-12"/>
        </w:rPr>
        <w:object w:dxaOrig="260" w:dyaOrig="380" w14:anchorId="23F606FA">
          <v:shape id="_x0000_i1060" type="#_x0000_t75" style="width:13.2pt;height:18.6pt" o:ole="">
            <v:imagedata r:id="rId95" o:title=""/>
          </v:shape>
          <o:OLEObject Type="Embed" ProgID="Equation.DSMT4" ShapeID="_x0000_i1060" DrawAspect="Content" ObjectID="_1755515514" r:id="rId96"/>
        </w:object>
      </w:r>
      <w:r w:rsidRPr="004C787F">
        <w:t xml:space="preserve">. The household supplies </w:t>
      </w:r>
      <w:r w:rsidR="009205EE" w:rsidRPr="009205EE">
        <w:rPr>
          <w:position w:val="-12"/>
        </w:rPr>
        <w:object w:dxaOrig="240" w:dyaOrig="360" w14:anchorId="1FA11F09">
          <v:shape id="_x0000_i1061" type="#_x0000_t75" style="width:12pt;height:18pt" o:ole="">
            <v:imagedata r:id="rId97" o:title=""/>
          </v:shape>
          <o:OLEObject Type="Embed" ProgID="Equation.DSMT4" ShapeID="_x0000_i1061" DrawAspect="Content" ObjectID="_1755515515" r:id="rId98"/>
        </w:object>
      </w:r>
      <w:r w:rsidRPr="004C787F">
        <w:t xml:space="preserve"> to the labour market, for which it earns wage </w:t>
      </w:r>
      <w:r w:rsidR="009205EE" w:rsidRPr="009205EE">
        <w:rPr>
          <w:position w:val="-12"/>
        </w:rPr>
        <w:object w:dxaOrig="279" w:dyaOrig="360" w14:anchorId="1B137E21">
          <v:shape id="_x0000_i1062" type="#_x0000_t75" style="width:13.8pt;height:18pt" o:ole="">
            <v:imagedata r:id="rId99" o:title=""/>
          </v:shape>
          <o:OLEObject Type="Embed" ProgID="Equation.DSMT4" ShapeID="_x0000_i1062" DrawAspect="Content" ObjectID="_1755515516" r:id="rId100"/>
        </w:object>
      </w:r>
      <w:r w:rsidRPr="004C787F">
        <w:t xml:space="preserve"> and receives labour income </w:t>
      </w:r>
      <w:r w:rsidR="009205EE" w:rsidRPr="009205EE">
        <w:rPr>
          <w:position w:val="-12"/>
        </w:rPr>
        <w:object w:dxaOrig="440" w:dyaOrig="360" w14:anchorId="7F21F657">
          <v:shape id="_x0000_i1063" type="#_x0000_t75" style="width:21.6pt;height:18pt" o:ole="">
            <v:imagedata r:id="rId101" o:title=""/>
          </v:shape>
          <o:OLEObject Type="Embed" ProgID="Equation.DSMT4" ShapeID="_x0000_i1063" DrawAspect="Content" ObjectID="_1755515517" r:id="rId102"/>
        </w:object>
      </w:r>
      <w:r w:rsidRPr="004C787F">
        <w:t xml:space="preserve">, which is taxed at rate </w:t>
      </w:r>
      <w:r w:rsidR="009205EE" w:rsidRPr="009205EE">
        <w:rPr>
          <w:position w:val="-12"/>
        </w:rPr>
        <w:object w:dxaOrig="279" w:dyaOrig="380" w14:anchorId="24A784B1">
          <v:shape id="_x0000_i1064" type="#_x0000_t75" style="width:13.8pt;height:18.6pt" o:ole="">
            <v:imagedata r:id="rId103" o:title=""/>
          </v:shape>
          <o:OLEObject Type="Embed" ProgID="Equation.DSMT4" ShapeID="_x0000_i1064" DrawAspect="Content" ObjectID="_1755515518" r:id="rId104"/>
        </w:object>
      </w:r>
      <w:r w:rsidRPr="004C787F">
        <w:t xml:space="preserve">. The household also receives a lump sum transfer from the government, </w:t>
      </w:r>
      <w:r w:rsidR="009205EE" w:rsidRPr="009205EE">
        <w:rPr>
          <w:position w:val="-12"/>
        </w:rPr>
        <w:object w:dxaOrig="520" w:dyaOrig="360" w14:anchorId="7A7B6791">
          <v:shape id="_x0000_i1065" type="#_x0000_t75" style="width:26.4pt;height:18pt" o:ole="">
            <v:imagedata r:id="rId105" o:title=""/>
          </v:shape>
          <o:OLEObject Type="Embed" ProgID="Equation.DSMT4" ShapeID="_x0000_i1065" DrawAspect="Content" ObjectID="_1755515519" r:id="rId106"/>
        </w:object>
      </w:r>
      <w:r w:rsidRPr="004C787F">
        <w:t>.</w:t>
      </w:r>
      <w:r w:rsidRPr="004C787F">
        <w:rPr>
          <w:sz w:val="18"/>
          <w:vertAlign w:val="superscript"/>
        </w:rPr>
        <w:footnoteReference w:id="16"/>
      </w:r>
      <w:r w:rsidRPr="004C787F">
        <w:t xml:space="preserve"> The household can choose to spend its income on consumption today, </w:t>
      </w:r>
      <w:r w:rsidR="009205EE" w:rsidRPr="009205EE">
        <w:rPr>
          <w:position w:val="-12"/>
        </w:rPr>
        <w:object w:dxaOrig="220" w:dyaOrig="360" w14:anchorId="2886D3C1">
          <v:shape id="_x0000_i1066" type="#_x0000_t75" style="width:11.4pt;height:18pt" o:ole="">
            <v:imagedata r:id="rId107" o:title=""/>
          </v:shape>
          <o:OLEObject Type="Embed" ProgID="Equation.DSMT4" ShapeID="_x0000_i1066" DrawAspect="Content" ObjectID="_1755515520" r:id="rId108"/>
        </w:object>
      </w:r>
      <w:r w:rsidRPr="004C787F">
        <w:t xml:space="preserve">, or save it for the future with the change in assets equal to </w:t>
      </w:r>
      <w:r w:rsidR="009205EE" w:rsidRPr="009205EE">
        <w:rPr>
          <w:position w:val="-12"/>
        </w:rPr>
        <w:object w:dxaOrig="1380" w:dyaOrig="380" w14:anchorId="4718609A">
          <v:shape id="_x0000_i1067" type="#_x0000_t75" style="width:69pt;height:18.6pt" o:ole="">
            <v:imagedata r:id="rId109" o:title=""/>
          </v:shape>
          <o:OLEObject Type="Embed" ProgID="Equation.DSMT4" ShapeID="_x0000_i1067" DrawAspect="Content" ObjectID="_1755515521" r:id="rId110"/>
        </w:object>
      </w:r>
      <w:r w:rsidRPr="004C787F">
        <w:t>.</w:t>
      </w:r>
    </w:p>
    <w:p w14:paraId="13B44FDD" w14:textId="77777777" w:rsidR="00C430F0" w:rsidRPr="004C787F" w:rsidRDefault="00C430F0" w:rsidP="00C430F0">
      <w:r w:rsidRPr="004C787F">
        <w:t>The household’s budget constraint is:</w:t>
      </w:r>
    </w:p>
    <w:p w14:paraId="076881B1" w14:textId="2F753569" w:rsidR="00C430F0" w:rsidRPr="004C787F" w:rsidRDefault="00C430F0" w:rsidP="00C430F0">
      <w:pPr>
        <w:pStyle w:val="MTDisplayEquation"/>
      </w:pPr>
      <w:r w:rsidRPr="004C787F">
        <w:tab/>
      </w:r>
      <w:r w:rsidR="009205EE" w:rsidRPr="009205EE">
        <w:rPr>
          <w:position w:val="-12"/>
        </w:rPr>
        <w:object w:dxaOrig="4599" w:dyaOrig="380" w14:anchorId="6A9616D1">
          <v:shape id="_x0000_i1068" type="#_x0000_t75" style="width:229.2pt;height:18.6pt" o:ole="">
            <v:imagedata r:id="rId111" o:title=""/>
          </v:shape>
          <o:OLEObject Type="Embed" ProgID="Equation.DSMT4" ShapeID="_x0000_i1068" DrawAspect="Content" ObjectID="_1755515522" r:id="rId112"/>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bookmarkStart w:id="9" w:name="ZEqnNum443590"/>
      <w:r w:rsidRPr="004C787F">
        <w:instrText>(</w:instrText>
      </w:r>
      <w:r w:rsidR="00697947">
        <w:fldChar w:fldCharType="begin"/>
      </w:r>
      <w:r w:rsidR="00697947">
        <w:instrText>SEQ MTEqn \c \* Arabic \* MERGEFORMAT</w:instrText>
      </w:r>
      <w:r w:rsidR="00697947">
        <w:fldChar w:fldCharType="separate"/>
      </w:r>
      <w:r w:rsidR="00354F38">
        <w:rPr>
          <w:noProof/>
        </w:rPr>
        <w:instrText>10</w:instrText>
      </w:r>
      <w:r w:rsidR="00697947">
        <w:rPr>
          <w:noProof/>
        </w:rPr>
        <w:fldChar w:fldCharType="end"/>
      </w:r>
      <w:r w:rsidRPr="004C787F">
        <w:instrText>)</w:instrText>
      </w:r>
      <w:bookmarkEnd w:id="9"/>
      <w:r w:rsidRPr="004C787F">
        <w:fldChar w:fldCharType="end"/>
      </w:r>
    </w:p>
    <w:p w14:paraId="4F4423D0" w14:textId="2742F293" w:rsidR="00C430F0" w:rsidRDefault="00C430F0" w:rsidP="00C430F0">
      <w:r w:rsidRPr="004C787F">
        <w:t>Subject to th</w:t>
      </w:r>
      <w:r>
        <w:t>e</w:t>
      </w:r>
      <w:r w:rsidRPr="004C787F">
        <w:t xml:space="preserve"> budget constraint</w:t>
      </w:r>
      <w:r>
        <w:t xml:space="preserve"> in equation </w:t>
      </w:r>
      <w:r>
        <w:rPr>
          <w:iCs/>
        </w:rPr>
        <w:fldChar w:fldCharType="begin"/>
      </w:r>
      <w:r>
        <w:rPr>
          <w:iCs/>
        </w:rPr>
        <w:instrText xml:space="preserve"> GOTOBUTTON ZEqnNum443590  \* MERGEFORMAT </w:instrText>
      </w:r>
      <w:r w:rsidR="00354F38" w:rsidRPr="00354F38">
        <w:rPr>
          <w:iCs/>
        </w:rPr>
        <w:instrText>(10)</w:instrText>
      </w:r>
      <w:r>
        <w:rPr>
          <w:iCs/>
        </w:rPr>
        <w:fldChar w:fldCharType="end"/>
      </w:r>
      <w:r w:rsidRPr="004C787F">
        <w:t xml:space="preserve">, the household chooses consumption and leisure to maximise its lifetime utility, equation </w:t>
      </w:r>
      <w:r w:rsidRPr="004C787F">
        <w:fldChar w:fldCharType="begin"/>
      </w:r>
      <w:r w:rsidRPr="004C787F">
        <w:instrText xml:space="preserve"> GOTOBUTTON ZEqnNum468794  \* MERGEFORMAT </w:instrText>
      </w:r>
      <w:r w:rsidR="00354F38" w:rsidRPr="004C787F">
        <w:instrText>(</w:instrText>
      </w:r>
      <w:r w:rsidR="00354F38">
        <w:instrText>6</w:instrText>
      </w:r>
      <w:r w:rsidR="00354F38" w:rsidRPr="004C787F">
        <w:instrText>)</w:instrText>
      </w:r>
      <w:r w:rsidRPr="004C787F">
        <w:fldChar w:fldCharType="end"/>
      </w:r>
      <w:r w:rsidRPr="004C787F">
        <w:t>. The household’s expectations for future prices, wages and transfers are consistent with their policy expectations.</w:t>
      </w:r>
    </w:p>
    <w:p w14:paraId="277519C5" w14:textId="77777777" w:rsidR="001E0CD2" w:rsidRDefault="001E0CD2" w:rsidP="00C430F0"/>
    <w:p w14:paraId="1F32A26B" w14:textId="77777777" w:rsidR="001E0CD2" w:rsidRDefault="001E0CD2" w:rsidP="00C430F0"/>
    <w:p w14:paraId="041ECB77" w14:textId="60A46E91" w:rsidR="00C430F0" w:rsidRPr="00B50FE6" w:rsidRDefault="00C430F0" w:rsidP="00C430F0">
      <w:r>
        <w:t>Households are also required to satisfy a life-time budget constraint that states that the present value of the household’s consumption must equal the sum of its initial wealth and the present value of its after tax labour income and government transfers:</w:t>
      </w:r>
    </w:p>
    <w:p w14:paraId="2C705319" w14:textId="3CCD1FC5" w:rsidR="00C430F0" w:rsidRPr="004C787F" w:rsidRDefault="00C430F0" w:rsidP="00C430F0">
      <w:pPr>
        <w:pStyle w:val="MTDisplayEquation"/>
      </w:pPr>
      <w:r w:rsidRPr="00A77F88">
        <w:tab/>
      </w:r>
      <w:r w:rsidR="009205EE" w:rsidRPr="009205EE">
        <w:rPr>
          <w:position w:val="-34"/>
        </w:rPr>
        <w:object w:dxaOrig="8240" w:dyaOrig="800" w14:anchorId="7BD891F5">
          <v:shape id="_x0000_i1069" type="#_x0000_t75" style="width:401.4pt;height:39.6pt" o:ole="">
            <v:imagedata r:id="rId113" o:title=""/>
          </v:shape>
          <o:OLEObject Type="Embed" ProgID="Equation.DSMT4" ShapeID="_x0000_i1069" DrawAspect="Content" ObjectID="_1755515523" r:id="rId114"/>
        </w:object>
      </w:r>
      <w:r w:rsidRPr="00A77F88">
        <w:tab/>
        <w:t xml:space="preserve"> </w:t>
      </w:r>
      <w:r w:rsidRPr="00A77F88">
        <w:fldChar w:fldCharType="begin"/>
      </w:r>
      <w:r w:rsidRPr="00A77F88">
        <w:instrText xml:space="preserve"> MACROBUTTON MTPlaceRef \* MERGEFORMAT </w:instrText>
      </w:r>
      <w:r w:rsidRPr="00A77F88">
        <w:fldChar w:fldCharType="begin"/>
      </w:r>
      <w:r w:rsidRPr="00A77F88">
        <w:instrText xml:space="preserve"> SEQ MTEqn \h \* MERGEFORMAT </w:instrText>
      </w:r>
      <w:r w:rsidRPr="00A77F88">
        <w:fldChar w:fldCharType="end"/>
      </w:r>
      <w:r w:rsidRPr="00A77F88">
        <w:instrText>(</w:instrText>
      </w:r>
      <w:r w:rsidR="00697947">
        <w:fldChar w:fldCharType="begin"/>
      </w:r>
      <w:r w:rsidR="00697947">
        <w:instrText xml:space="preserve"> SEQ MTEqn \c \* Arabi</w:instrText>
      </w:r>
      <w:r w:rsidR="00697947">
        <w:instrText xml:space="preserve">c \* MERGEFORMAT </w:instrText>
      </w:r>
      <w:r w:rsidR="00697947">
        <w:fldChar w:fldCharType="separate"/>
      </w:r>
      <w:r w:rsidR="00354F38">
        <w:rPr>
          <w:noProof/>
        </w:rPr>
        <w:instrText>11</w:instrText>
      </w:r>
      <w:r w:rsidR="00697947">
        <w:rPr>
          <w:noProof/>
        </w:rPr>
        <w:fldChar w:fldCharType="end"/>
      </w:r>
      <w:r w:rsidRPr="00A77F88">
        <w:instrText>)</w:instrText>
      </w:r>
      <w:r w:rsidRPr="00A77F88">
        <w:fldChar w:fldCharType="end"/>
      </w:r>
    </w:p>
    <w:p w14:paraId="6C30A8C4" w14:textId="77777777" w:rsidR="00C430F0" w:rsidRPr="00B50FE6" w:rsidRDefault="00C430F0" w:rsidP="00C430F0">
      <w:pPr>
        <w:pStyle w:val="Normal-beforehyperlink"/>
      </w:pPr>
      <w:r>
        <w:t>Combined with the assumption that the economy reaches a balanced growth path, the life-time budget constraint rules out households engaging in a Ponzi-scheme in which they increase borrowing indefinitely to fund consumption.</w:t>
      </w:r>
    </w:p>
    <w:p w14:paraId="21C75A5F" w14:textId="77777777" w:rsidR="00C430F0" w:rsidRPr="004C787F" w:rsidRDefault="00C430F0" w:rsidP="00C430F0">
      <w:pPr>
        <w:pStyle w:val="Heading3"/>
      </w:pPr>
      <w:r w:rsidRPr="004C787F">
        <w:t>Firms: Production sector</w:t>
      </w:r>
    </w:p>
    <w:p w14:paraId="77E2A907" w14:textId="3FE382E1" w:rsidR="00C430F0" w:rsidRPr="004C787F" w:rsidDel="006924D6" w:rsidRDefault="00C430F0" w:rsidP="00C430F0">
      <w:r w:rsidRPr="004C787F">
        <w:t xml:space="preserve">Each of TIM’s industries (indexed by </w:t>
      </w:r>
      <w:r w:rsidR="009205EE" w:rsidRPr="009205EE">
        <w:rPr>
          <w:position w:val="-6"/>
        </w:rPr>
        <w:object w:dxaOrig="139" w:dyaOrig="260" w14:anchorId="680C8383">
          <v:shape id="_x0000_i1070" type="#_x0000_t75" style="width:6.6pt;height:13.2pt" o:ole="">
            <v:imagedata r:id="rId115" o:title=""/>
          </v:shape>
          <o:OLEObject Type="Embed" ProgID="Equation.DSMT4" ShapeID="_x0000_i1070" DrawAspect="Content" ObjectID="_1755515524" r:id="rId116"/>
        </w:object>
      </w:r>
      <w:r w:rsidRPr="004C787F">
        <w:t>) are represented by a single price</w:t>
      </w:r>
      <w:r w:rsidRPr="004C787F">
        <w:noBreakHyphen/>
        <w:t>taking firm which uses an industry</w:t>
      </w:r>
      <w:r>
        <w:t>-</w:t>
      </w:r>
      <w:r w:rsidRPr="004C787F">
        <w:t xml:space="preserve">specific technology to produce output, </w:t>
      </w:r>
      <w:r w:rsidR="009205EE" w:rsidRPr="009205EE">
        <w:rPr>
          <w:position w:val="-14"/>
        </w:rPr>
        <w:object w:dxaOrig="340" w:dyaOrig="380" w14:anchorId="3BF79C84">
          <v:shape id="_x0000_i1071" type="#_x0000_t75" style="width:17.4pt;height:18.6pt" o:ole="">
            <v:imagedata r:id="rId117" o:title=""/>
          </v:shape>
          <o:OLEObject Type="Embed" ProgID="Equation.DSMT4" ShapeID="_x0000_i1071" DrawAspect="Content" ObjectID="_1755515525" r:id="rId118"/>
        </w:object>
      </w:r>
      <w:r w:rsidRPr="004C787F">
        <w:t>. Each firm is assumed to make decisions to maximise its market value on behalf of its shareholders.</w:t>
      </w:r>
    </w:p>
    <w:p w14:paraId="4D7B6C6D" w14:textId="77777777" w:rsidR="00C430F0" w:rsidRPr="004C787F" w:rsidRDefault="00C430F0" w:rsidP="00C430F0">
      <w:pPr>
        <w:pStyle w:val="Heading4"/>
      </w:pPr>
      <w:r w:rsidRPr="004C787F">
        <w:t>Production technology</w:t>
      </w:r>
    </w:p>
    <w:p w14:paraId="12FB673E" w14:textId="5DDFCC65" w:rsidR="00C430F0" w:rsidRPr="004C787F" w:rsidRDefault="00C430F0" w:rsidP="00C430F0">
      <w:r w:rsidRPr="004C787F">
        <w:t xml:space="preserve">Firms combine labour, </w:t>
      </w:r>
      <w:r w:rsidR="009205EE" w:rsidRPr="009205EE">
        <w:rPr>
          <w:position w:val="-14"/>
        </w:rPr>
        <w:object w:dxaOrig="320" w:dyaOrig="380" w14:anchorId="5B096B23">
          <v:shape id="_x0000_i1072" type="#_x0000_t75" style="width:16.2pt;height:18.6pt" o:ole="">
            <v:imagedata r:id="rId119" o:title=""/>
          </v:shape>
          <o:OLEObject Type="Embed" ProgID="Equation.DSMT4" ShapeID="_x0000_i1072" DrawAspect="Content" ObjectID="_1755515526" r:id="rId120"/>
        </w:object>
      </w:r>
      <w:r w:rsidRPr="004C787F">
        <w:t xml:space="preserve">, capital, </w:t>
      </w:r>
      <w:r w:rsidR="009205EE" w:rsidRPr="009205EE">
        <w:rPr>
          <w:position w:val="-14"/>
        </w:rPr>
        <w:object w:dxaOrig="320" w:dyaOrig="380" w14:anchorId="75F025B7">
          <v:shape id="_x0000_i1073" type="#_x0000_t75" style="width:16.2pt;height:18.6pt" o:ole="">
            <v:imagedata r:id="rId121" o:title=""/>
          </v:shape>
          <o:OLEObject Type="Embed" ProgID="Equation.DSMT4" ShapeID="_x0000_i1073" DrawAspect="Content" ObjectID="_1755515527" r:id="rId122"/>
        </w:object>
      </w:r>
      <w:r w:rsidRPr="004C787F">
        <w:t>, an industry</w:t>
      </w:r>
      <w:r w:rsidRPr="004C787F">
        <w:noBreakHyphen/>
        <w:t xml:space="preserve">specific composite aggregate of intermediate inputs, </w:t>
      </w:r>
      <w:r w:rsidR="009205EE" w:rsidRPr="009205EE">
        <w:rPr>
          <w:position w:val="-14"/>
        </w:rPr>
        <w:object w:dxaOrig="420" w:dyaOrig="380" w14:anchorId="3833948C">
          <v:shape id="_x0000_i1074" type="#_x0000_t75" style="width:21pt;height:18.6pt" o:ole="">
            <v:imagedata r:id="rId123" o:title=""/>
          </v:shape>
          <o:OLEObject Type="Embed" ProgID="Equation.DSMT4" ShapeID="_x0000_i1074" DrawAspect="Content" ObjectID="_1755515528" r:id="rId124"/>
        </w:object>
      </w:r>
      <w:r w:rsidRPr="004C787F">
        <w:t xml:space="preserve">, and a fixed factor, </w:t>
      </w:r>
      <w:r w:rsidR="009205EE" w:rsidRPr="009205EE">
        <w:rPr>
          <w:position w:val="-14"/>
        </w:rPr>
        <w:object w:dxaOrig="340" w:dyaOrig="380" w14:anchorId="37475D82">
          <v:shape id="_x0000_i1075" type="#_x0000_t75" style="width:17.4pt;height:18.6pt" o:ole="">
            <v:imagedata r:id="rId125" o:title=""/>
          </v:shape>
          <o:OLEObject Type="Embed" ProgID="Equation.DSMT4" ShapeID="_x0000_i1075" DrawAspect="Content" ObjectID="_1755515529" r:id="rId126"/>
        </w:object>
      </w:r>
      <w:r w:rsidRPr="004C787F">
        <w:t xml:space="preserve">, to produce </w:t>
      </w:r>
      <w:r>
        <w:t xml:space="preserve">gross </w:t>
      </w:r>
      <w:r w:rsidRPr="004C787F">
        <w:t>output using a CES production technology:</w:t>
      </w:r>
    </w:p>
    <w:p w14:paraId="51B4809A" w14:textId="47085B4A" w:rsidR="00C430F0" w:rsidRPr="004C787F" w:rsidRDefault="00C430F0" w:rsidP="00C430F0">
      <w:pPr>
        <w:tabs>
          <w:tab w:val="center" w:pos="4640"/>
          <w:tab w:val="right" w:pos="9300"/>
        </w:tabs>
      </w:pPr>
      <w:r w:rsidRPr="004C787F">
        <w:tab/>
      </w:r>
      <w:r w:rsidR="009205EE" w:rsidRPr="009205EE">
        <w:rPr>
          <w:position w:val="-58"/>
        </w:rPr>
        <w:object w:dxaOrig="6380" w:dyaOrig="1440" w14:anchorId="55A2E51B">
          <v:shape id="_x0000_i1076" type="#_x0000_t75" style="width:318.6pt;height:1in" o:ole="">
            <v:imagedata r:id="rId127" o:title=""/>
          </v:shape>
          <o:OLEObject Type="Embed" ProgID="Equation.DSMT4" ShapeID="_x0000_i1076" DrawAspect="Content" ObjectID="_1755515530" r:id="rId128"/>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bookmarkStart w:id="10" w:name="ZEqnNum467915"/>
      <w:r w:rsidRPr="004C787F">
        <w:instrText>(</w:instrText>
      </w:r>
      <w:r w:rsidR="00697947">
        <w:fldChar w:fldCharType="begin"/>
      </w:r>
      <w:r w:rsidR="00697947">
        <w:instrText>SEQ MTEqn \c \* Arabic \* MERGEF</w:instrText>
      </w:r>
      <w:r w:rsidR="00697947">
        <w:instrText>ORMAT</w:instrText>
      </w:r>
      <w:r w:rsidR="00697947">
        <w:fldChar w:fldCharType="separate"/>
      </w:r>
      <w:r w:rsidR="00354F38">
        <w:rPr>
          <w:noProof/>
        </w:rPr>
        <w:instrText>12</w:instrText>
      </w:r>
      <w:r w:rsidR="00697947">
        <w:rPr>
          <w:noProof/>
        </w:rPr>
        <w:fldChar w:fldCharType="end"/>
      </w:r>
      <w:r w:rsidRPr="004C787F">
        <w:instrText>)</w:instrText>
      </w:r>
      <w:bookmarkEnd w:id="10"/>
      <w:r w:rsidRPr="004C787F">
        <w:fldChar w:fldCharType="end"/>
      </w:r>
    </w:p>
    <w:p w14:paraId="14B66DF0" w14:textId="63F1211E" w:rsidR="00C430F0" w:rsidRPr="004C787F" w:rsidRDefault="00C430F0" w:rsidP="00C430F0">
      <w:r w:rsidRPr="004C787F">
        <w:t xml:space="preserve">where </w:t>
      </w:r>
      <w:r w:rsidR="009205EE" w:rsidRPr="009205EE">
        <w:rPr>
          <w:position w:val="-12"/>
        </w:rPr>
        <w:object w:dxaOrig="980" w:dyaOrig="380" w14:anchorId="3F605D09">
          <v:shape id="_x0000_i1077" type="#_x0000_t75" style="width:48.6pt;height:18.6pt" o:ole="">
            <v:imagedata r:id="rId129" o:title=""/>
          </v:shape>
          <o:OLEObject Type="Embed" ProgID="Equation.DSMT4" ShapeID="_x0000_i1077" DrawAspect="Content" ObjectID="_1755515531" r:id="rId130"/>
        </w:object>
      </w:r>
      <w:r w:rsidRPr="004C787F">
        <w:t xml:space="preserve">, </w:t>
      </w:r>
      <w:r w:rsidR="009205EE" w:rsidRPr="009205EE">
        <w:rPr>
          <w:position w:val="-12"/>
        </w:rPr>
        <w:object w:dxaOrig="980" w:dyaOrig="380" w14:anchorId="4167B3C1">
          <v:shape id="_x0000_i1078" type="#_x0000_t75" style="width:48.6pt;height:18.6pt" o:ole="">
            <v:imagedata r:id="rId131" o:title=""/>
          </v:shape>
          <o:OLEObject Type="Embed" ProgID="Equation.DSMT4" ShapeID="_x0000_i1078" DrawAspect="Content" ObjectID="_1755515532" r:id="rId132"/>
        </w:object>
      </w:r>
      <w:r w:rsidRPr="004C787F">
        <w:t xml:space="preserve">, </w:t>
      </w:r>
      <w:r w:rsidR="009205EE" w:rsidRPr="009205EE">
        <w:rPr>
          <w:position w:val="-12"/>
        </w:rPr>
        <w:object w:dxaOrig="1040" w:dyaOrig="380" w14:anchorId="0F383D59">
          <v:shape id="_x0000_i1079" type="#_x0000_t75" style="width:51.6pt;height:18.6pt" o:ole="">
            <v:imagedata r:id="rId133" o:title=""/>
          </v:shape>
          <o:OLEObject Type="Embed" ProgID="Equation.DSMT4" ShapeID="_x0000_i1079" DrawAspect="Content" ObjectID="_1755515533" r:id="rId134"/>
        </w:object>
      </w:r>
      <w:r w:rsidRPr="004C787F">
        <w:t xml:space="preserve"> and </w:t>
      </w:r>
      <w:r w:rsidR="009205EE" w:rsidRPr="009205EE">
        <w:rPr>
          <w:position w:val="-12"/>
        </w:rPr>
        <w:object w:dxaOrig="999" w:dyaOrig="380" w14:anchorId="08E59E68">
          <v:shape id="_x0000_i1080" type="#_x0000_t75" style="width:50.4pt;height:18.6pt" o:ole="">
            <v:imagedata r:id="rId135" o:title=""/>
          </v:shape>
          <o:OLEObject Type="Embed" ProgID="Equation.DSMT4" ShapeID="_x0000_i1080" DrawAspect="Content" ObjectID="_1755515534" r:id="rId136"/>
        </w:object>
      </w:r>
      <w:r w:rsidRPr="004C787F">
        <w:t xml:space="preserve"> are the </w:t>
      </w:r>
      <w:r>
        <w:t>weighting parameter</w:t>
      </w:r>
      <w:r w:rsidRPr="004C787F">
        <w:t xml:space="preserve">s for labour, capital, intermediate inputs and the fixed factor, respectively. The elasticity of substitution between the factors of production is given by </w:t>
      </w:r>
      <w:r w:rsidR="009205EE" w:rsidRPr="009205EE">
        <w:rPr>
          <w:position w:val="-10"/>
        </w:rPr>
        <w:object w:dxaOrig="680" w:dyaOrig="360" w14:anchorId="742C94F5">
          <v:shape id="_x0000_i1081" type="#_x0000_t75" style="width:33.6pt;height:18pt" o:ole="">
            <v:imagedata r:id="rId137" o:title=""/>
          </v:shape>
          <o:OLEObject Type="Embed" ProgID="Equation.DSMT4" ShapeID="_x0000_i1081" DrawAspect="Content" ObjectID="_1755515535" r:id="rId138"/>
        </w:object>
      </w:r>
      <w:r w:rsidRPr="004C787F">
        <w:t>.</w:t>
      </w:r>
    </w:p>
    <w:p w14:paraId="35A4496F" w14:textId="41D61CE6" w:rsidR="00C430F0" w:rsidRPr="004C787F" w:rsidRDefault="00C430F0" w:rsidP="00C430F0">
      <w:r w:rsidRPr="004C787F">
        <w:t>Given that equat</w:t>
      </w:r>
      <w:r w:rsidRPr="00AF7692">
        <w:t xml:space="preserve">ion </w:t>
      </w:r>
      <w:r w:rsidRPr="00A77F88">
        <w:rPr>
          <w:iCs/>
        </w:rPr>
        <w:fldChar w:fldCharType="begin"/>
      </w:r>
      <w:r w:rsidRPr="00A77F88">
        <w:rPr>
          <w:iCs/>
        </w:rPr>
        <w:instrText xml:space="preserve"> GOTOBUTTON ZEqnNum467915  \* MERGEFORMAT </w:instrText>
      </w:r>
      <w:r w:rsidR="00354F38" w:rsidRPr="00354F38">
        <w:rPr>
          <w:iCs/>
        </w:rPr>
        <w:instrText>(12)</w:instrText>
      </w:r>
      <w:r w:rsidRPr="00A77F88">
        <w:rPr>
          <w:iCs/>
        </w:rPr>
        <w:fldChar w:fldCharType="end"/>
      </w:r>
      <w:r w:rsidRPr="00AF7692">
        <w:t xml:space="preserve"> has</w:t>
      </w:r>
      <w:r w:rsidRPr="004C787F">
        <w:t xml:space="preserve"> been normalised for trend population and labour</w:t>
      </w:r>
      <w:r w:rsidRPr="004C787F">
        <w:noBreakHyphen/>
        <w:t xml:space="preserve">augmenting technical progress, the terms </w:t>
      </w:r>
      <w:r w:rsidR="009205EE" w:rsidRPr="009205EE">
        <w:rPr>
          <w:position w:val="-14"/>
        </w:rPr>
        <w:object w:dxaOrig="340" w:dyaOrig="400" w14:anchorId="55AC962E">
          <v:shape id="_x0000_i1082" type="#_x0000_t75" style="width:17.4pt;height:20.4pt" o:ole="">
            <v:imagedata r:id="rId139" o:title=""/>
          </v:shape>
          <o:OLEObject Type="Embed" ProgID="Equation.DSMT4" ShapeID="_x0000_i1082" DrawAspect="Content" ObjectID="_1755515536" r:id="rId140"/>
        </w:object>
      </w:r>
      <w:r w:rsidRPr="004C787F">
        <w:t xml:space="preserve">, </w:t>
      </w:r>
      <w:r w:rsidR="009205EE" w:rsidRPr="009205EE">
        <w:rPr>
          <w:position w:val="-14"/>
        </w:rPr>
        <w:object w:dxaOrig="340" w:dyaOrig="400" w14:anchorId="6219AE1A">
          <v:shape id="_x0000_i1083" type="#_x0000_t75" style="width:17.4pt;height:20.4pt" o:ole="">
            <v:imagedata r:id="rId141" o:title=""/>
          </v:shape>
          <o:OLEObject Type="Embed" ProgID="Equation.DSMT4" ShapeID="_x0000_i1083" DrawAspect="Content" ObjectID="_1755515537" r:id="rId142"/>
        </w:object>
      </w:r>
      <w:r w:rsidRPr="004C787F">
        <w:t xml:space="preserve">, </w:t>
      </w:r>
      <w:r w:rsidR="009205EE" w:rsidRPr="009205EE">
        <w:rPr>
          <w:position w:val="-14"/>
        </w:rPr>
        <w:object w:dxaOrig="340" w:dyaOrig="400" w14:anchorId="4D26A4C3">
          <v:shape id="_x0000_i1084" type="#_x0000_t75" style="width:17.4pt;height:20.4pt" o:ole="">
            <v:imagedata r:id="rId143" o:title=""/>
          </v:shape>
          <o:OLEObject Type="Embed" ProgID="Equation.DSMT4" ShapeID="_x0000_i1084" DrawAspect="Content" ObjectID="_1755515538" r:id="rId144"/>
        </w:object>
      </w:r>
      <w:r w:rsidRPr="004C787F">
        <w:t xml:space="preserve">, </w:t>
      </w:r>
      <w:r w:rsidR="009205EE" w:rsidRPr="009205EE">
        <w:rPr>
          <w:position w:val="-14"/>
        </w:rPr>
        <w:object w:dxaOrig="360" w:dyaOrig="400" w14:anchorId="73DDB7C6">
          <v:shape id="_x0000_i1085" type="#_x0000_t75" style="width:18pt;height:20.4pt" o:ole="">
            <v:imagedata r:id="rId145" o:title=""/>
          </v:shape>
          <o:OLEObject Type="Embed" ProgID="Equation.DSMT4" ShapeID="_x0000_i1085" DrawAspect="Content" ObjectID="_1755515539" r:id="rId146"/>
        </w:object>
      </w:r>
      <w:r w:rsidRPr="004C787F">
        <w:t xml:space="preserve"> and </w:t>
      </w:r>
      <w:r w:rsidR="009205EE" w:rsidRPr="009205EE">
        <w:rPr>
          <w:position w:val="-14"/>
        </w:rPr>
        <w:object w:dxaOrig="340" w:dyaOrig="400" w14:anchorId="355A201E">
          <v:shape id="_x0000_i1086" type="#_x0000_t75" style="width:17.4pt;height:20.4pt" o:ole="">
            <v:imagedata r:id="rId147" o:title=""/>
          </v:shape>
          <o:OLEObject Type="Embed" ProgID="Equation.DSMT4" ShapeID="_x0000_i1086" DrawAspect="Content" ObjectID="_1755515540" r:id="rId148"/>
        </w:object>
      </w:r>
      <w:r w:rsidRPr="004C787F">
        <w:t xml:space="preserve"> are the total factor, labour, capital, intermediate input and fixed factor productivity shifters, respectively.</w:t>
      </w:r>
      <w:r w:rsidRPr="004C787F">
        <w:rPr>
          <w:sz w:val="18"/>
          <w:vertAlign w:val="superscript"/>
        </w:rPr>
        <w:footnoteReference w:id="17"/>
      </w:r>
    </w:p>
    <w:p w14:paraId="7AA1F878" w14:textId="77777777" w:rsidR="00C430F0" w:rsidRPr="004C787F" w:rsidRDefault="00C430F0" w:rsidP="00C430F0">
      <w:pPr>
        <w:pStyle w:val="Heading5"/>
      </w:pPr>
      <w:r w:rsidRPr="004C787F">
        <w:t>Labour input</w:t>
      </w:r>
    </w:p>
    <w:p w14:paraId="32C608EF" w14:textId="77777777" w:rsidR="00C430F0" w:rsidRPr="004C787F" w:rsidRDefault="00C430F0" w:rsidP="00C430F0">
      <w:r w:rsidRPr="004C787F">
        <w:t>The labour market is assumed to be perfectly competitive, and labour is perfectly substitutable across production activities. This means</w:t>
      </w:r>
      <w:r>
        <w:t>,</w:t>
      </w:r>
      <w:r w:rsidRPr="004C787F">
        <w:t xml:space="preserve"> irrespective of where they work, the household earns a common wage. Total labour units supplied by the household must equal aggregate labour demand</w:t>
      </w:r>
      <w:r>
        <w:t>:</w:t>
      </w:r>
      <w:r w:rsidRPr="004C787F">
        <w:rPr>
          <w:sz w:val="18"/>
          <w:vertAlign w:val="superscript"/>
        </w:rPr>
        <w:footnoteReference w:id="18"/>
      </w:r>
    </w:p>
    <w:p w14:paraId="72517DAE" w14:textId="1C86AFCE" w:rsidR="00C430F0" w:rsidRPr="004C787F" w:rsidRDefault="00C430F0" w:rsidP="00C430F0">
      <w:pPr>
        <w:tabs>
          <w:tab w:val="center" w:pos="4640"/>
          <w:tab w:val="right" w:pos="9300"/>
        </w:tabs>
      </w:pPr>
      <w:r w:rsidRPr="004C787F">
        <w:tab/>
      </w:r>
      <w:r w:rsidR="009205EE" w:rsidRPr="009205EE">
        <w:rPr>
          <w:position w:val="-28"/>
        </w:rPr>
        <w:object w:dxaOrig="1060" w:dyaOrig="540" w14:anchorId="4BFA2132">
          <v:shape id="_x0000_i1087" type="#_x0000_t75" style="width:53.4pt;height:27pt" o:ole="">
            <v:imagedata r:id="rId149" o:title=""/>
          </v:shape>
          <o:OLEObject Type="Embed" ProgID="Equation.DSMT4" ShapeID="_x0000_i1087" DrawAspect="Content" ObjectID="_1755515541" r:id="rId150"/>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bookmarkStart w:id="11" w:name="ZEqnNum517065"/>
      <w:r w:rsidRPr="004C787F">
        <w:instrText>(</w:instrText>
      </w:r>
      <w:r w:rsidR="00697947">
        <w:fldChar w:fldCharType="begin"/>
      </w:r>
      <w:r w:rsidR="00697947">
        <w:instrText>SEQ MTEqn \c \* Arabic \* MERGEFORMAT</w:instrText>
      </w:r>
      <w:r w:rsidR="00697947">
        <w:fldChar w:fldCharType="separate"/>
      </w:r>
      <w:r w:rsidR="00354F38">
        <w:rPr>
          <w:noProof/>
        </w:rPr>
        <w:instrText>13</w:instrText>
      </w:r>
      <w:r w:rsidR="00697947">
        <w:rPr>
          <w:noProof/>
        </w:rPr>
        <w:fldChar w:fldCharType="end"/>
      </w:r>
      <w:r w:rsidRPr="004C787F">
        <w:instrText>)</w:instrText>
      </w:r>
      <w:bookmarkEnd w:id="11"/>
      <w:r w:rsidRPr="004C787F">
        <w:fldChar w:fldCharType="end"/>
      </w:r>
    </w:p>
    <w:p w14:paraId="3B4F79A4" w14:textId="3D4DD844" w:rsidR="00C430F0" w:rsidRPr="004C787F" w:rsidRDefault="00C430F0" w:rsidP="00C430F0">
      <w:r w:rsidRPr="004C787F">
        <w:t>While labour is mobile across industries, firms face a cost of adjusting their labour inputs. For example, new workers are typically less productive, and existing workers are less productive while training new workers. Following Jaimovich and Rebelo</w:t>
      </w:r>
      <w:r>
        <w:t xml:space="preserve"> </w:t>
      </w:r>
      <w:sdt>
        <w:sdtPr>
          <w:id w:val="-224687871"/>
          <w:citation/>
        </w:sdtPr>
        <w:sdtEndPr/>
        <w:sdtContent>
          <w:r>
            <w:fldChar w:fldCharType="begin"/>
          </w:r>
          <w:r w:rsidR="00BE7417">
            <w:instrText xml:space="preserve">CITATION Jai08 \n  \t  \l 3081 </w:instrText>
          </w:r>
          <w:r>
            <w:fldChar w:fldCharType="separate"/>
          </w:r>
          <w:r w:rsidR="00BE7417">
            <w:rPr>
              <w:noProof/>
            </w:rPr>
            <w:t>(2008)</w:t>
          </w:r>
          <w:r>
            <w:fldChar w:fldCharType="end"/>
          </w:r>
        </w:sdtContent>
      </w:sdt>
      <w:sdt>
        <w:sdtPr>
          <w:id w:val="-1091157979"/>
          <w:citation/>
        </w:sdtPr>
        <w:sdtEndPr/>
        <w:sdtContent>
          <w:r w:rsidRPr="004C787F">
            <w:fldChar w:fldCharType="begin"/>
          </w:r>
          <w:r w:rsidRPr="004C787F">
            <w:instrText xml:space="preserve">CITATION Jai08 \n  \t  \l 3081 </w:instrText>
          </w:r>
          <w:r w:rsidR="00697947">
            <w:fldChar w:fldCharType="separate"/>
          </w:r>
          <w:r w:rsidRPr="004C787F">
            <w:fldChar w:fldCharType="end"/>
          </w:r>
        </w:sdtContent>
      </w:sdt>
      <w:r w:rsidRPr="004C787F">
        <w:t xml:space="preserve"> and Arezki et al</w:t>
      </w:r>
      <w:r>
        <w:t>.</w:t>
      </w:r>
      <w:sdt>
        <w:sdtPr>
          <w:id w:val="113490942"/>
          <w:citation/>
        </w:sdtPr>
        <w:sdtEndPr/>
        <w:sdtContent>
          <w:r>
            <w:fldChar w:fldCharType="begin"/>
          </w:r>
          <w:r>
            <w:instrText xml:space="preserve">CITATION Are15 \n  \t  \l 3081 </w:instrText>
          </w:r>
          <w:r>
            <w:fldChar w:fldCharType="separate"/>
          </w:r>
          <w:r>
            <w:rPr>
              <w:noProof/>
            </w:rPr>
            <w:t xml:space="preserve"> (2015)</w:t>
          </w:r>
          <w:r>
            <w:fldChar w:fldCharType="end"/>
          </w:r>
        </w:sdtContent>
      </w:sdt>
      <w:sdt>
        <w:sdtPr>
          <w:id w:val="-1464420850"/>
          <w:citation/>
        </w:sdtPr>
        <w:sdtEndPr/>
        <w:sdtContent>
          <w:r w:rsidRPr="004C787F">
            <w:fldChar w:fldCharType="begin"/>
          </w:r>
          <w:r w:rsidRPr="004C787F">
            <w:instrText xml:space="preserve">CITATION Are15 \n  \t  \l 3081 </w:instrText>
          </w:r>
          <w:r w:rsidR="00697947">
            <w:fldChar w:fldCharType="separate"/>
          </w:r>
          <w:r w:rsidRPr="004C787F">
            <w:fldChar w:fldCharType="end"/>
          </w:r>
        </w:sdtContent>
      </w:sdt>
      <w:r w:rsidRPr="004C787F">
        <w:t>, the firm incurs a quadratic adjustment cost when its labour use does not grow in line with trend growth:</w:t>
      </w:r>
    </w:p>
    <w:p w14:paraId="72FA651D" w14:textId="3AC6A3D1" w:rsidR="00C430F0" w:rsidRPr="004C787F" w:rsidRDefault="00C430F0" w:rsidP="00C430F0">
      <w:pPr>
        <w:tabs>
          <w:tab w:val="center" w:pos="4640"/>
          <w:tab w:val="right" w:pos="9300"/>
        </w:tabs>
      </w:pPr>
      <w:r w:rsidRPr="004C787F">
        <w:tab/>
      </w:r>
      <w:r w:rsidR="009205EE" w:rsidRPr="009205EE">
        <w:rPr>
          <w:position w:val="-34"/>
        </w:rPr>
        <w:object w:dxaOrig="3200" w:dyaOrig="840" w14:anchorId="7981B6F0">
          <v:shape id="_x0000_i1088" type="#_x0000_t75" style="width:160.2pt;height:42pt" o:ole="">
            <v:imagedata r:id="rId151" o:title=""/>
          </v:shape>
          <o:OLEObject Type="Embed" ProgID="Equation.DSMT4" ShapeID="_x0000_i1088" DrawAspect="Content" ObjectID="_1755515542" r:id="rId152"/>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bookmarkStart w:id="12" w:name="ZEqnNum429596"/>
      <w:r w:rsidRPr="004C787F">
        <w:instrText>(</w:instrText>
      </w:r>
      <w:r w:rsidR="00697947">
        <w:fldChar w:fldCharType="begin"/>
      </w:r>
      <w:r w:rsidR="00697947">
        <w:instrText>SEQ MTEqn \c \* Arabic \* MERGEFORMAT</w:instrText>
      </w:r>
      <w:r w:rsidR="00697947">
        <w:fldChar w:fldCharType="separate"/>
      </w:r>
      <w:r w:rsidR="00354F38">
        <w:rPr>
          <w:noProof/>
        </w:rPr>
        <w:instrText>14</w:instrText>
      </w:r>
      <w:r w:rsidR="00697947">
        <w:rPr>
          <w:noProof/>
        </w:rPr>
        <w:fldChar w:fldCharType="end"/>
      </w:r>
      <w:r w:rsidRPr="004C787F">
        <w:instrText>)</w:instrText>
      </w:r>
      <w:bookmarkEnd w:id="12"/>
      <w:r w:rsidRPr="004C787F">
        <w:fldChar w:fldCharType="end"/>
      </w:r>
    </w:p>
    <w:p w14:paraId="0B05EFE4" w14:textId="091F3F9F" w:rsidR="00C430F0" w:rsidRPr="004C787F" w:rsidRDefault="00C430F0" w:rsidP="00C430F0">
      <w:r w:rsidRPr="004C787F">
        <w:t xml:space="preserve">where </w:t>
      </w:r>
      <w:r w:rsidR="009205EE" w:rsidRPr="009205EE">
        <w:rPr>
          <w:position w:val="-12"/>
        </w:rPr>
        <w:object w:dxaOrig="680" w:dyaOrig="380" w14:anchorId="4D06EDA7">
          <v:shape id="_x0000_i1089" type="#_x0000_t75" style="width:33.6pt;height:18.6pt" o:ole="">
            <v:imagedata r:id="rId153" o:title=""/>
          </v:shape>
          <o:OLEObject Type="Embed" ProgID="Equation.DSMT4" ShapeID="_x0000_i1089" DrawAspect="Content" ObjectID="_1755515543" r:id="rId154"/>
        </w:object>
      </w:r>
      <w:r w:rsidRPr="004C787F">
        <w:t xml:space="preserve"> is the labour adjustment cost parameter.</w:t>
      </w:r>
    </w:p>
    <w:p w14:paraId="7DD0B619" w14:textId="77777777" w:rsidR="00C430F0" w:rsidRPr="004C787F" w:rsidRDefault="00C430F0" w:rsidP="00C430F0">
      <w:pPr>
        <w:pStyle w:val="Heading5"/>
      </w:pPr>
      <w:r w:rsidRPr="004C787F">
        <w:t>Capital input</w:t>
      </w:r>
    </w:p>
    <w:p w14:paraId="4AE6C6BB" w14:textId="1AD6B57B" w:rsidR="00C430F0" w:rsidRPr="004C787F" w:rsidRDefault="00C430F0" w:rsidP="00C430F0">
      <w:r w:rsidRPr="004C787F">
        <w:t xml:space="preserve">Productive capital, </w:t>
      </w:r>
      <w:r w:rsidR="009205EE" w:rsidRPr="009205EE">
        <w:rPr>
          <w:position w:val="-14"/>
        </w:rPr>
        <w:object w:dxaOrig="320" w:dyaOrig="380" w14:anchorId="6924F41F">
          <v:shape id="_x0000_i1090" type="#_x0000_t75" style="width:16.2pt;height:18.6pt" o:ole="">
            <v:imagedata r:id="rId155" o:title=""/>
          </v:shape>
          <o:OLEObject Type="Embed" ProgID="Equation.DSMT4" ShapeID="_x0000_i1090" DrawAspect="Content" ObjectID="_1755515544" r:id="rId156"/>
        </w:object>
      </w:r>
      <w:r w:rsidRPr="004C787F">
        <w:t>, represents durable physical inputs such as machines, buildings and plants</w:t>
      </w:r>
      <w:r>
        <w:t>,</w:t>
      </w:r>
      <w:r w:rsidRPr="004C787F">
        <w:t xml:space="preserve"> as well as non</w:t>
      </w:r>
      <w:r w:rsidRPr="004C787F">
        <w:noBreakHyphen/>
        <w:t>physical types of capital, such as intellectual property.</w:t>
      </w:r>
      <w:r w:rsidRPr="004C787F">
        <w:rPr>
          <w:vertAlign w:val="superscript"/>
        </w:rPr>
        <w:t xml:space="preserve"> </w:t>
      </w:r>
      <w:r w:rsidRPr="004C787F">
        <w:t>Firms accrue capital by investing in an industry</w:t>
      </w:r>
      <w:r w:rsidRPr="004C787F">
        <w:noBreakHyphen/>
        <w:t xml:space="preserve">specific capital good, </w:t>
      </w:r>
      <w:r w:rsidR="009205EE" w:rsidRPr="009205EE">
        <w:rPr>
          <w:position w:val="-14"/>
        </w:rPr>
        <w:object w:dxaOrig="380" w:dyaOrig="380" w14:anchorId="7BC1DD15">
          <v:shape id="_x0000_i1091" type="#_x0000_t75" style="width:18.6pt;height:18.6pt" o:ole="">
            <v:imagedata r:id="rId157" o:title=""/>
          </v:shape>
          <o:OLEObject Type="Embed" ProgID="Equation.DSMT4" ShapeID="_x0000_i1091" DrawAspect="Content" ObjectID="_1755515545" r:id="rId158"/>
        </w:object>
      </w:r>
      <w:r w:rsidRPr="004C787F">
        <w:t>. The capital stock evolves according to the following identity:</w:t>
      </w:r>
    </w:p>
    <w:p w14:paraId="1262D245" w14:textId="6B7EBA8E" w:rsidR="00C430F0" w:rsidRPr="004C787F" w:rsidRDefault="00C430F0" w:rsidP="00C430F0">
      <w:pPr>
        <w:pStyle w:val="MTDisplayEquation"/>
      </w:pPr>
      <w:r>
        <w:tab/>
      </w:r>
      <w:r>
        <w:tab/>
      </w:r>
      <w:r w:rsidR="009205EE" w:rsidRPr="009205EE">
        <w:rPr>
          <w:position w:val="-14"/>
        </w:rPr>
        <w:object w:dxaOrig="2740" w:dyaOrig="380" w14:anchorId="171B6621">
          <v:shape id="_x0000_i1092" type="#_x0000_t75" style="width:137.4pt;height:18.6pt" o:ole="">
            <v:imagedata r:id="rId159" o:title=""/>
          </v:shape>
          <o:OLEObject Type="Embed" ProgID="Equation.DSMT4" ShapeID="_x0000_i1092" DrawAspect="Content" ObjectID="_1755515546" r:id="rId160"/>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bookmarkStart w:id="13" w:name="ZEqnNum701378"/>
      <w:r w:rsidRPr="004C787F">
        <w:instrText>(</w:instrText>
      </w:r>
      <w:r w:rsidR="00697947">
        <w:fldChar w:fldCharType="begin"/>
      </w:r>
      <w:r w:rsidR="00697947">
        <w:instrText>SEQ MTEqn \c \* Arabic \* MERGEFORMAT</w:instrText>
      </w:r>
      <w:r w:rsidR="00697947">
        <w:fldChar w:fldCharType="separate"/>
      </w:r>
      <w:r w:rsidR="00354F38">
        <w:rPr>
          <w:noProof/>
        </w:rPr>
        <w:instrText>15</w:instrText>
      </w:r>
      <w:r w:rsidR="00697947">
        <w:rPr>
          <w:noProof/>
        </w:rPr>
        <w:fldChar w:fldCharType="end"/>
      </w:r>
      <w:r w:rsidRPr="004C787F">
        <w:instrText>)</w:instrText>
      </w:r>
      <w:bookmarkEnd w:id="13"/>
      <w:r w:rsidRPr="004C787F">
        <w:fldChar w:fldCharType="end"/>
      </w:r>
    </w:p>
    <w:p w14:paraId="74296ED7" w14:textId="6C7F3E33" w:rsidR="00C430F0" w:rsidRPr="004C787F" w:rsidRDefault="00C430F0" w:rsidP="00C430F0">
      <w:r w:rsidRPr="004C787F">
        <w:t xml:space="preserve">where </w:t>
      </w:r>
      <w:r w:rsidR="009205EE" w:rsidRPr="009205EE">
        <w:rPr>
          <w:position w:val="-12"/>
        </w:rPr>
        <w:object w:dxaOrig="660" w:dyaOrig="380" w14:anchorId="57167E32">
          <v:shape id="_x0000_i1093" type="#_x0000_t75" style="width:33pt;height:18.6pt" o:ole="">
            <v:imagedata r:id="rId161" o:title=""/>
          </v:shape>
          <o:OLEObject Type="Embed" ProgID="Equation.DSMT4" ShapeID="_x0000_i1093" DrawAspect="Content" ObjectID="_1755515547" r:id="rId162"/>
        </w:object>
      </w:r>
      <w:r w:rsidRPr="004C787F">
        <w:t xml:space="preserve"> is the depreciation rate.</w:t>
      </w:r>
    </w:p>
    <w:p w14:paraId="748E1CC6" w14:textId="2E8EDB7F" w:rsidR="00C430F0" w:rsidRPr="004C787F" w:rsidRDefault="00C430F0" w:rsidP="00C430F0">
      <w:r w:rsidRPr="004C787F">
        <w:t xml:space="preserve">Each firm’s investment good, </w:t>
      </w:r>
      <w:r w:rsidR="009205EE" w:rsidRPr="009205EE">
        <w:rPr>
          <w:position w:val="-14"/>
        </w:rPr>
        <w:object w:dxaOrig="380" w:dyaOrig="380" w14:anchorId="215A0971">
          <v:shape id="_x0000_i1094" type="#_x0000_t75" style="width:18.6pt;height:18.6pt" o:ole="">
            <v:imagedata r:id="rId163" o:title=""/>
          </v:shape>
          <o:OLEObject Type="Embed" ProgID="Equation.DSMT4" ShapeID="_x0000_i1094" DrawAspect="Content" ObjectID="_1755515548" r:id="rId164"/>
        </w:object>
      </w:r>
      <w:r w:rsidRPr="004C787F">
        <w:t>, is an industry</w:t>
      </w:r>
      <w:r w:rsidRPr="004C787F">
        <w:noBreakHyphen/>
        <w:t>specific composite of a variety of investment commodities, which are aggregated using a CES function:</w:t>
      </w:r>
    </w:p>
    <w:p w14:paraId="0AF2BCB6" w14:textId="15B3810F" w:rsidR="00C430F0" w:rsidRPr="004C787F" w:rsidRDefault="00C430F0" w:rsidP="00C430F0">
      <w:pPr>
        <w:pStyle w:val="MTDisplayEquation"/>
      </w:pPr>
      <w:r w:rsidRPr="004C787F">
        <w:tab/>
      </w:r>
      <w:r w:rsidR="009205EE" w:rsidRPr="009205EE">
        <w:rPr>
          <w:position w:val="-34"/>
        </w:rPr>
        <w:object w:dxaOrig="2820" w:dyaOrig="980" w14:anchorId="3D7CEB64">
          <v:shape id="_x0000_i1095" type="#_x0000_t75" style="width:141pt;height:48.6pt" o:ole="">
            <v:imagedata r:id="rId165" o:title=""/>
          </v:shape>
          <o:OLEObject Type="Embed" ProgID="Equation.DSMT4" ShapeID="_x0000_i1095" DrawAspect="Content" ObjectID="_1755515549" r:id="rId166"/>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bookmarkStart w:id="14" w:name="ZEqnNum613755"/>
      <w:r w:rsidRPr="004C787F">
        <w:instrText>(</w:instrText>
      </w:r>
      <w:r w:rsidR="00697947">
        <w:fldChar w:fldCharType="begin"/>
      </w:r>
      <w:r w:rsidR="00697947">
        <w:instrText>SEQ MTEqn \c \* Arabic \* MERGEFORMAT</w:instrText>
      </w:r>
      <w:r w:rsidR="00697947">
        <w:fldChar w:fldCharType="separate"/>
      </w:r>
      <w:r w:rsidR="00354F38">
        <w:rPr>
          <w:noProof/>
        </w:rPr>
        <w:instrText>16</w:instrText>
      </w:r>
      <w:r w:rsidR="00697947">
        <w:rPr>
          <w:noProof/>
        </w:rPr>
        <w:fldChar w:fldCharType="end"/>
      </w:r>
      <w:r w:rsidRPr="004C787F">
        <w:instrText>)</w:instrText>
      </w:r>
      <w:bookmarkEnd w:id="14"/>
      <w:r w:rsidRPr="004C787F">
        <w:fldChar w:fldCharType="end"/>
      </w:r>
    </w:p>
    <w:p w14:paraId="1D3E516F" w14:textId="4862E83F" w:rsidR="00C430F0" w:rsidRPr="004C787F" w:rsidRDefault="00C430F0" w:rsidP="00C430F0">
      <w:r w:rsidRPr="004C787F">
        <w:t xml:space="preserve">where </w:t>
      </w:r>
      <w:r w:rsidR="009205EE" w:rsidRPr="009205EE">
        <w:rPr>
          <w:position w:val="-14"/>
        </w:rPr>
        <w:object w:dxaOrig="499" w:dyaOrig="380" w14:anchorId="5EA96DD8">
          <v:shape id="_x0000_i1096" type="#_x0000_t75" style="width:24.6pt;height:18.6pt" o:ole="">
            <v:imagedata r:id="rId167" o:title=""/>
          </v:shape>
          <o:OLEObject Type="Embed" ProgID="Equation.DSMT4" ShapeID="_x0000_i1096" DrawAspect="Content" ObjectID="_1755515550" r:id="rId168"/>
        </w:object>
      </w:r>
      <w:r w:rsidRPr="004C787F">
        <w:t xml:space="preserve"> is the investment in commodity </w:t>
      </w:r>
      <w:r w:rsidR="009205EE" w:rsidRPr="009205EE">
        <w:rPr>
          <w:position w:val="-10"/>
        </w:rPr>
        <w:object w:dxaOrig="200" w:dyaOrig="300" w14:anchorId="67422A1D">
          <v:shape id="_x0000_i1097" type="#_x0000_t75" style="width:9.6pt;height:15pt" o:ole="">
            <v:imagedata r:id="rId169" o:title=""/>
          </v:shape>
          <o:OLEObject Type="Embed" ProgID="Equation.DSMT4" ShapeID="_x0000_i1097" DrawAspect="Content" ObjectID="_1755515551" r:id="rId170"/>
        </w:object>
      </w:r>
      <w:r w:rsidRPr="004C787F">
        <w:t xml:space="preserve"> by industry </w:t>
      </w:r>
      <w:r w:rsidR="009205EE" w:rsidRPr="009205EE">
        <w:rPr>
          <w:position w:val="-6"/>
        </w:rPr>
        <w:object w:dxaOrig="139" w:dyaOrig="260" w14:anchorId="6002B186">
          <v:shape id="_x0000_i1098" type="#_x0000_t75" style="width:6.6pt;height:13.2pt" o:ole="">
            <v:imagedata r:id="rId171" o:title=""/>
          </v:shape>
          <o:OLEObject Type="Embed" ProgID="Equation.DSMT4" ShapeID="_x0000_i1098" DrawAspect="Content" ObjectID="_1755515552" r:id="rId172"/>
        </w:object>
      </w:r>
      <w:r w:rsidRPr="004C787F">
        <w:t xml:space="preserve">, </w:t>
      </w:r>
      <w:r w:rsidR="009205EE" w:rsidRPr="009205EE">
        <w:rPr>
          <w:position w:val="-14"/>
        </w:rPr>
        <w:object w:dxaOrig="1040" w:dyaOrig="400" w14:anchorId="62E7DC74">
          <v:shape id="_x0000_i1099" type="#_x0000_t75" style="width:51.6pt;height:20.4pt" o:ole="">
            <v:imagedata r:id="rId173" o:title=""/>
          </v:shape>
          <o:OLEObject Type="Embed" ProgID="Equation.DSMT4" ShapeID="_x0000_i1099" DrawAspect="Content" ObjectID="_1755515553" r:id="rId174"/>
        </w:object>
      </w:r>
      <w:r w:rsidRPr="004C787F">
        <w:t xml:space="preserve"> are the </w:t>
      </w:r>
      <w:r>
        <w:t>weighting parameter</w:t>
      </w:r>
      <w:r w:rsidRPr="004C787F">
        <w:t xml:space="preserve">s and </w:t>
      </w:r>
      <w:r w:rsidR="009205EE" w:rsidRPr="009205EE">
        <w:rPr>
          <w:position w:val="-10"/>
        </w:rPr>
        <w:object w:dxaOrig="700" w:dyaOrig="360" w14:anchorId="7B781277">
          <v:shape id="_x0000_i1100" type="#_x0000_t75" style="width:35.4pt;height:18pt" o:ole="">
            <v:imagedata r:id="rId175" o:title=""/>
          </v:shape>
          <o:OLEObject Type="Embed" ProgID="Equation.DSMT4" ShapeID="_x0000_i1100" DrawAspect="Content" ObjectID="_1755515554" r:id="rId176"/>
        </w:object>
      </w:r>
      <w:r w:rsidRPr="004C787F">
        <w:t xml:space="preserve"> is the elasticity of substitution between investment commodities. </w:t>
      </w:r>
    </w:p>
    <w:p w14:paraId="7AC6D574" w14:textId="3893F91B" w:rsidR="00C430F0" w:rsidRPr="004C787F" w:rsidRDefault="00C430F0" w:rsidP="00C430F0">
      <w:r w:rsidRPr="004C787F">
        <w:t xml:space="preserve">The total value of investment at time </w:t>
      </w:r>
      <w:r w:rsidR="009205EE" w:rsidRPr="009205EE">
        <w:rPr>
          <w:position w:val="-6"/>
        </w:rPr>
        <w:object w:dxaOrig="139" w:dyaOrig="240" w14:anchorId="7884AF80">
          <v:shape id="_x0000_i1101" type="#_x0000_t75" style="width:6.6pt;height:12pt" o:ole="">
            <v:imagedata r:id="rId177" o:title=""/>
          </v:shape>
          <o:OLEObject Type="Embed" ProgID="Equation.DSMT4" ShapeID="_x0000_i1101" DrawAspect="Content" ObjectID="_1755515555" r:id="rId178"/>
        </w:object>
      </w:r>
      <w:r w:rsidRPr="004C787F">
        <w:t xml:space="preserve"> for firm </w:t>
      </w:r>
      <w:r w:rsidR="009205EE" w:rsidRPr="009205EE">
        <w:rPr>
          <w:position w:val="-6"/>
        </w:rPr>
        <w:object w:dxaOrig="139" w:dyaOrig="260" w14:anchorId="1D411FF7">
          <v:shape id="_x0000_i1102" type="#_x0000_t75" style="width:6.6pt;height:13.2pt" o:ole="">
            <v:imagedata r:id="rId179" o:title=""/>
          </v:shape>
          <o:OLEObject Type="Embed" ProgID="Equation.DSMT4" ShapeID="_x0000_i1102" DrawAspect="Content" ObjectID="_1755515556" r:id="rId180"/>
        </w:object>
      </w:r>
      <w:r w:rsidRPr="004C787F">
        <w:t xml:space="preserve"> is given by:</w:t>
      </w:r>
    </w:p>
    <w:p w14:paraId="38F7C3F1" w14:textId="4FB6A38D" w:rsidR="00C430F0" w:rsidRPr="004C787F" w:rsidRDefault="00C430F0" w:rsidP="00C430F0">
      <w:pPr>
        <w:pStyle w:val="MTDisplayEquation"/>
      </w:pPr>
      <w:r w:rsidRPr="004C787F">
        <w:tab/>
      </w:r>
      <w:r w:rsidR="009205EE" w:rsidRPr="009205EE">
        <w:rPr>
          <w:position w:val="-30"/>
        </w:rPr>
        <w:object w:dxaOrig="2060" w:dyaOrig="700" w14:anchorId="28620377">
          <v:shape id="_x0000_i1103" type="#_x0000_t75" style="width:102.6pt;height:35.4pt" o:ole="">
            <v:imagedata r:id="rId181" o:title=""/>
          </v:shape>
          <o:OLEObject Type="Embed" ProgID="Equation.DSMT4" ShapeID="_x0000_i1103" DrawAspect="Content" ObjectID="_1755515557" r:id="rId182"/>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r w:rsidRPr="004C787F">
        <w:instrText>(</w:instrText>
      </w:r>
      <w:r w:rsidR="00697947">
        <w:fldChar w:fldCharType="begin"/>
      </w:r>
      <w:r w:rsidR="00697947">
        <w:instrText>SEQ MTEqn \c \* Arabic \* MERGEFORMAT</w:instrText>
      </w:r>
      <w:r w:rsidR="00697947">
        <w:fldChar w:fldCharType="separate"/>
      </w:r>
      <w:r w:rsidR="00354F38">
        <w:rPr>
          <w:noProof/>
        </w:rPr>
        <w:instrText>17</w:instrText>
      </w:r>
      <w:r w:rsidR="00697947">
        <w:rPr>
          <w:noProof/>
        </w:rPr>
        <w:fldChar w:fldCharType="end"/>
      </w:r>
      <w:r w:rsidRPr="004C787F">
        <w:instrText>)</w:instrText>
      </w:r>
      <w:r w:rsidRPr="004C787F">
        <w:fldChar w:fldCharType="end"/>
      </w:r>
    </w:p>
    <w:p w14:paraId="1424D7AF" w14:textId="4AA4814E" w:rsidR="00C430F0" w:rsidRPr="004C787F" w:rsidRDefault="00C430F0" w:rsidP="00C430F0">
      <w:r w:rsidRPr="004C787F">
        <w:t xml:space="preserve">where </w:t>
      </w:r>
      <w:r w:rsidR="009205EE" w:rsidRPr="009205EE">
        <w:rPr>
          <w:position w:val="-14"/>
        </w:rPr>
        <w:object w:dxaOrig="480" w:dyaOrig="400" w14:anchorId="645AD6F2">
          <v:shape id="_x0000_i1104" type="#_x0000_t75" style="width:24pt;height:20.4pt" o:ole="">
            <v:imagedata r:id="rId183" o:title=""/>
          </v:shape>
          <o:OLEObject Type="Embed" ProgID="Equation.DSMT4" ShapeID="_x0000_i1104" DrawAspect="Content" ObjectID="_1755515558" r:id="rId184"/>
        </w:object>
      </w:r>
      <w:r w:rsidRPr="004C787F">
        <w:t xml:space="preserve"> is the price of investment commodity </w:t>
      </w:r>
      <w:r w:rsidR="009205EE" w:rsidRPr="009205EE">
        <w:rPr>
          <w:position w:val="-10"/>
        </w:rPr>
        <w:object w:dxaOrig="200" w:dyaOrig="300" w14:anchorId="0B6AFB15">
          <v:shape id="_x0000_i1105" type="#_x0000_t75" style="width:9.6pt;height:15pt" o:ole="">
            <v:imagedata r:id="rId185" o:title=""/>
          </v:shape>
          <o:OLEObject Type="Embed" ProgID="Equation.DSMT4" ShapeID="_x0000_i1105" DrawAspect="Content" ObjectID="_1755515559" r:id="rId186"/>
        </w:object>
      </w:r>
      <w:r w:rsidRPr="004C787F">
        <w:t xml:space="preserve"> for industry </w:t>
      </w:r>
      <w:r w:rsidR="009205EE" w:rsidRPr="009205EE">
        <w:rPr>
          <w:position w:val="-6"/>
        </w:rPr>
        <w:object w:dxaOrig="139" w:dyaOrig="260" w14:anchorId="19D4FD1D">
          <v:shape id="_x0000_i1106" type="#_x0000_t75" style="width:6.6pt;height:13.2pt" o:ole="">
            <v:imagedata r:id="rId187" o:title=""/>
          </v:shape>
          <o:OLEObject Type="Embed" ProgID="Equation.DSMT4" ShapeID="_x0000_i1106" DrawAspect="Content" ObjectID="_1755515560" r:id="rId188"/>
        </w:object>
      </w:r>
      <w:r w:rsidRPr="004C787F">
        <w:t xml:space="preserve"> and </w:t>
      </w:r>
      <w:r w:rsidR="009205EE" w:rsidRPr="009205EE">
        <w:rPr>
          <w:position w:val="-14"/>
        </w:rPr>
        <w:object w:dxaOrig="360" w:dyaOrig="400" w14:anchorId="4B3C6511">
          <v:shape id="_x0000_i1107" type="#_x0000_t75" style="width:18pt;height:20.4pt" o:ole="">
            <v:imagedata r:id="rId189" o:title=""/>
          </v:shape>
          <o:OLEObject Type="Embed" ProgID="Equation.DSMT4" ShapeID="_x0000_i1107" DrawAspect="Content" ObjectID="_1755515561" r:id="rId190"/>
        </w:object>
      </w:r>
      <w:r w:rsidRPr="004C787F">
        <w:t xml:space="preserve"> is the industry</w:t>
      </w:r>
      <w:r w:rsidRPr="004C787F">
        <w:noBreakHyphen/>
        <w:t>specific price of aggregate investment.</w:t>
      </w:r>
    </w:p>
    <w:p w14:paraId="2D5A781B" w14:textId="77777777" w:rsidR="009205EE" w:rsidRDefault="009205EE" w:rsidP="00C430F0"/>
    <w:p w14:paraId="5B9CE59F" w14:textId="77777777" w:rsidR="009205EE" w:rsidRDefault="009205EE" w:rsidP="00C430F0"/>
    <w:p w14:paraId="647313F6" w14:textId="7179757B" w:rsidR="00C430F0" w:rsidRPr="004C787F" w:rsidRDefault="00C430F0" w:rsidP="00C430F0">
      <w:r w:rsidRPr="004C787F">
        <w:t>Following Lucas</w:t>
      </w:r>
      <w:sdt>
        <w:sdtPr>
          <w:id w:val="-35507960"/>
          <w:citation/>
        </w:sdtPr>
        <w:sdtEndPr/>
        <w:sdtContent>
          <w:r w:rsidRPr="004C787F">
            <w:fldChar w:fldCharType="begin"/>
          </w:r>
          <w:r w:rsidRPr="004C787F">
            <w:instrText xml:space="preserve">CITATION Luc76 \n  \t  \l 3081 </w:instrText>
          </w:r>
          <w:r w:rsidRPr="004C787F">
            <w:fldChar w:fldCharType="separate"/>
          </w:r>
          <w:r>
            <w:rPr>
              <w:noProof/>
            </w:rPr>
            <w:t xml:space="preserve"> (1976)</w:t>
          </w:r>
          <w:r w:rsidRPr="004C787F">
            <w:fldChar w:fldCharType="end"/>
          </w:r>
        </w:sdtContent>
      </w:sdt>
      <w:r w:rsidRPr="004C787F">
        <w:t xml:space="preserve"> and Uzawa</w:t>
      </w:r>
      <w:sdt>
        <w:sdtPr>
          <w:id w:val="-1063560197"/>
          <w:citation/>
        </w:sdtPr>
        <w:sdtEndPr/>
        <w:sdtContent>
          <w:r w:rsidRPr="004C787F">
            <w:fldChar w:fldCharType="begin"/>
          </w:r>
          <w:r w:rsidRPr="004C787F">
            <w:instrText xml:space="preserve">CITATION Uza69 \n  \t  \l 3081 </w:instrText>
          </w:r>
          <w:r w:rsidRPr="004C787F">
            <w:fldChar w:fldCharType="separate"/>
          </w:r>
          <w:r>
            <w:rPr>
              <w:noProof/>
            </w:rPr>
            <w:t xml:space="preserve"> (1969)</w:t>
          </w:r>
          <w:r w:rsidRPr="004C787F">
            <w:fldChar w:fldCharType="end"/>
          </w:r>
        </w:sdtContent>
      </w:sdt>
      <w:r w:rsidRPr="004C787F">
        <w:t>, the firm also incurs a quadratic capital adjustment cost when its investment to capital ratio deviates from its balanced growth ratio. The capital adjustment cost is given by:</w:t>
      </w:r>
    </w:p>
    <w:p w14:paraId="2DD1B7D5" w14:textId="1DBBEDCA" w:rsidR="00C430F0" w:rsidRPr="004C787F" w:rsidRDefault="00C430F0" w:rsidP="00C430F0">
      <w:pPr>
        <w:pStyle w:val="MTDisplayEquation"/>
      </w:pPr>
      <w:r w:rsidRPr="004C787F">
        <w:tab/>
      </w:r>
      <w:r w:rsidR="009205EE" w:rsidRPr="009205EE">
        <w:rPr>
          <w:position w:val="-34"/>
        </w:rPr>
        <w:object w:dxaOrig="3620" w:dyaOrig="840" w14:anchorId="6DE21292">
          <v:shape id="_x0000_i1108" type="#_x0000_t75" style="width:180.6pt;height:42pt" o:ole="">
            <v:imagedata r:id="rId191" o:title=""/>
          </v:shape>
          <o:OLEObject Type="Embed" ProgID="Equation.DSMT4" ShapeID="_x0000_i1108" DrawAspect="Content" ObjectID="_1755515562" r:id="rId192"/>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bookmarkStart w:id="15" w:name="ZEqnNum372877"/>
      <w:r w:rsidRPr="004C787F">
        <w:instrText>(</w:instrText>
      </w:r>
      <w:r w:rsidR="00697947">
        <w:fldChar w:fldCharType="begin"/>
      </w:r>
      <w:r w:rsidR="00697947">
        <w:instrText>SEQ MTEqn \c \* Arabic \* MERGEFORMAT</w:instrText>
      </w:r>
      <w:r w:rsidR="00697947">
        <w:fldChar w:fldCharType="separate"/>
      </w:r>
      <w:r w:rsidR="00354F38">
        <w:rPr>
          <w:noProof/>
        </w:rPr>
        <w:instrText>18</w:instrText>
      </w:r>
      <w:r w:rsidR="00697947">
        <w:rPr>
          <w:noProof/>
        </w:rPr>
        <w:fldChar w:fldCharType="end"/>
      </w:r>
      <w:r w:rsidRPr="004C787F">
        <w:instrText>)</w:instrText>
      </w:r>
      <w:bookmarkEnd w:id="15"/>
      <w:r w:rsidRPr="004C787F">
        <w:fldChar w:fldCharType="end"/>
      </w:r>
    </w:p>
    <w:p w14:paraId="61863CB2" w14:textId="04E47EA5" w:rsidR="00C430F0" w:rsidRPr="004C787F" w:rsidRDefault="00C430F0" w:rsidP="00C430F0">
      <w:r w:rsidRPr="004C787F">
        <w:t xml:space="preserve">where </w:t>
      </w:r>
      <w:r w:rsidR="009205EE" w:rsidRPr="009205EE">
        <w:rPr>
          <w:position w:val="-12"/>
        </w:rPr>
        <w:object w:dxaOrig="700" w:dyaOrig="380" w14:anchorId="6D56A829">
          <v:shape id="_x0000_i1109" type="#_x0000_t75" style="width:35.4pt;height:18.6pt" o:ole="">
            <v:imagedata r:id="rId193" o:title=""/>
          </v:shape>
          <o:OLEObject Type="Embed" ProgID="Equation.DSMT4" ShapeID="_x0000_i1109" DrawAspect="Content" ObjectID="_1755515563" r:id="rId194"/>
        </w:object>
      </w:r>
      <w:r w:rsidRPr="004C787F">
        <w:t xml:space="preserve"> is the capital adjustment cost parameter. Capital adjustment costs reflect the disruption that is caused by bringing new capital into the production process.</w:t>
      </w:r>
    </w:p>
    <w:p w14:paraId="75D35C17" w14:textId="77777777" w:rsidR="00C430F0" w:rsidRPr="004C787F" w:rsidRDefault="00C430F0" w:rsidP="00C430F0">
      <w:pPr>
        <w:pStyle w:val="Heading5"/>
      </w:pPr>
      <w:r w:rsidRPr="004C787F">
        <w:t>Intermediate input</w:t>
      </w:r>
    </w:p>
    <w:p w14:paraId="4880DFFB" w14:textId="77777777" w:rsidR="00C430F0" w:rsidRPr="004C787F" w:rsidRDefault="00C430F0" w:rsidP="00C430F0">
      <w:r w:rsidRPr="004C787F">
        <w:t>Production requires the use of intermediate inputs, where these inputs must be used in the period they are produced. Firms purchase intermediate input commodities, which are aggregated into an industry</w:t>
      </w:r>
      <w:r w:rsidRPr="004C787F">
        <w:noBreakHyphen/>
        <w:t>specific aggregate intermediate input using a CES technology:</w:t>
      </w:r>
    </w:p>
    <w:p w14:paraId="131D8351" w14:textId="28BE7E28" w:rsidR="00C430F0" w:rsidRPr="004C787F" w:rsidRDefault="00C430F0" w:rsidP="00C430F0">
      <w:pPr>
        <w:pStyle w:val="MTDisplayEquation"/>
      </w:pPr>
      <w:r w:rsidRPr="004C787F">
        <w:tab/>
      </w:r>
      <w:r w:rsidR="009205EE" w:rsidRPr="009205EE">
        <w:rPr>
          <w:position w:val="-40"/>
        </w:rPr>
        <w:object w:dxaOrig="3280" w:dyaOrig="1080" w14:anchorId="054C4B88">
          <v:shape id="_x0000_i1110" type="#_x0000_t75" style="width:164.4pt;height:54pt" o:ole="">
            <v:imagedata r:id="rId195" o:title=""/>
          </v:shape>
          <o:OLEObject Type="Embed" ProgID="Equation.DSMT4" ShapeID="_x0000_i1110" DrawAspect="Content" ObjectID="_1755515564" r:id="rId196"/>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bookmarkStart w:id="16" w:name="ZEqnNum548669"/>
      <w:r w:rsidRPr="004C787F">
        <w:instrText>(</w:instrText>
      </w:r>
      <w:r w:rsidR="00697947">
        <w:fldChar w:fldCharType="begin"/>
      </w:r>
      <w:r w:rsidR="00697947">
        <w:instrText>SEQ MTEqn \c \* Arabic \* MERGEFORMAT</w:instrText>
      </w:r>
      <w:r w:rsidR="00697947">
        <w:fldChar w:fldCharType="separate"/>
      </w:r>
      <w:r w:rsidR="00354F38">
        <w:rPr>
          <w:noProof/>
        </w:rPr>
        <w:instrText>19</w:instrText>
      </w:r>
      <w:r w:rsidR="00697947">
        <w:rPr>
          <w:noProof/>
        </w:rPr>
        <w:fldChar w:fldCharType="end"/>
      </w:r>
      <w:r w:rsidRPr="004C787F">
        <w:instrText>)</w:instrText>
      </w:r>
      <w:bookmarkEnd w:id="16"/>
      <w:r w:rsidRPr="004C787F">
        <w:fldChar w:fldCharType="end"/>
      </w:r>
    </w:p>
    <w:p w14:paraId="6E4379D0" w14:textId="16A984C0" w:rsidR="00C430F0" w:rsidRPr="004C787F" w:rsidRDefault="00C430F0" w:rsidP="00C430F0">
      <w:r w:rsidRPr="004C787F">
        <w:t xml:space="preserve">where </w:t>
      </w:r>
      <w:r w:rsidR="009205EE" w:rsidRPr="009205EE">
        <w:rPr>
          <w:position w:val="-10"/>
        </w:rPr>
        <w:object w:dxaOrig="720" w:dyaOrig="360" w14:anchorId="6C0B1233">
          <v:shape id="_x0000_i1111" type="#_x0000_t75" style="width:36pt;height:18pt" o:ole="">
            <v:imagedata r:id="rId197" o:title=""/>
          </v:shape>
          <o:OLEObject Type="Embed" ProgID="Equation.DSMT4" ShapeID="_x0000_i1111" DrawAspect="Content" ObjectID="_1755515565" r:id="rId198"/>
        </w:object>
      </w:r>
      <w:r w:rsidRPr="004C787F">
        <w:t xml:space="preserve"> is the elasticity of substitution between intermediate input commodities, </w:t>
      </w:r>
      <w:r w:rsidR="009205EE" w:rsidRPr="009205EE">
        <w:rPr>
          <w:position w:val="-14"/>
        </w:rPr>
        <w:object w:dxaOrig="1040" w:dyaOrig="400" w14:anchorId="37D330EE">
          <v:shape id="_x0000_i1112" type="#_x0000_t75" style="width:51.6pt;height:20.4pt" o:ole="">
            <v:imagedata r:id="rId199" o:title=""/>
          </v:shape>
          <o:OLEObject Type="Embed" ProgID="Equation.DSMT4" ShapeID="_x0000_i1112" DrawAspect="Content" ObjectID="_1755515566" r:id="rId200"/>
        </w:object>
      </w:r>
      <w:r w:rsidRPr="004C787F">
        <w:t xml:space="preserve"> are the </w:t>
      </w:r>
      <w:r>
        <w:t>weighting parameter</w:t>
      </w:r>
      <w:r w:rsidRPr="004C787F">
        <w:t xml:space="preserve">s and </w:t>
      </w:r>
      <w:r w:rsidR="009205EE" w:rsidRPr="009205EE">
        <w:rPr>
          <w:position w:val="-14"/>
        </w:rPr>
        <w:object w:dxaOrig="460" w:dyaOrig="400" w14:anchorId="77C66563">
          <v:shape id="_x0000_i1113" type="#_x0000_t75" style="width:23.4pt;height:20.4pt" o:ole="">
            <v:imagedata r:id="rId201" o:title=""/>
          </v:shape>
          <o:OLEObject Type="Embed" ProgID="Equation.DSMT4" ShapeID="_x0000_i1113" DrawAspect="Content" ObjectID="_1755515567" r:id="rId202"/>
        </w:object>
      </w:r>
      <w:r w:rsidRPr="004C787F">
        <w:t xml:space="preserve"> is an intermediate input commodity productivity shift term. The total value of intermediate inputs used by firm </w:t>
      </w:r>
      <w:r w:rsidR="009205EE" w:rsidRPr="009205EE">
        <w:rPr>
          <w:position w:val="-6"/>
        </w:rPr>
        <w:object w:dxaOrig="139" w:dyaOrig="260" w14:anchorId="34A181D7">
          <v:shape id="_x0000_i1114" type="#_x0000_t75" style="width:6.6pt;height:13.2pt" o:ole="">
            <v:imagedata r:id="rId203" o:title=""/>
          </v:shape>
          <o:OLEObject Type="Embed" ProgID="Equation.DSMT4" ShapeID="_x0000_i1114" DrawAspect="Content" ObjectID="_1755515568" r:id="rId204"/>
        </w:object>
      </w:r>
      <w:r w:rsidRPr="004C787F">
        <w:t xml:space="preserve"> is:</w:t>
      </w:r>
    </w:p>
    <w:p w14:paraId="2DA51407" w14:textId="4845CC21" w:rsidR="00C430F0" w:rsidRPr="004C787F" w:rsidRDefault="00C430F0" w:rsidP="00C430F0">
      <w:pPr>
        <w:pStyle w:val="MTDisplayEquation"/>
      </w:pPr>
      <w:r w:rsidRPr="004C787F">
        <w:tab/>
      </w:r>
      <w:r w:rsidR="009205EE" w:rsidRPr="009205EE">
        <w:rPr>
          <w:position w:val="-30"/>
        </w:rPr>
        <w:object w:dxaOrig="2140" w:dyaOrig="700" w14:anchorId="604AD4A9">
          <v:shape id="_x0000_i1115" type="#_x0000_t75" style="width:107.4pt;height:35.4pt" o:ole="">
            <v:imagedata r:id="rId205" o:title=""/>
          </v:shape>
          <o:OLEObject Type="Embed" ProgID="Equation.DSMT4" ShapeID="_x0000_i1115" DrawAspect="Content" ObjectID="_1755515569" r:id="rId206"/>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r w:rsidRPr="004C787F">
        <w:instrText>(</w:instrText>
      </w:r>
      <w:r w:rsidR="00697947">
        <w:fldChar w:fldCharType="begin"/>
      </w:r>
      <w:r w:rsidR="00697947">
        <w:instrText>SEQ MTEqn \c \* Arabic \* MERGEFORMAT</w:instrText>
      </w:r>
      <w:r w:rsidR="00697947">
        <w:fldChar w:fldCharType="separate"/>
      </w:r>
      <w:r w:rsidR="00354F38">
        <w:rPr>
          <w:noProof/>
        </w:rPr>
        <w:instrText>20</w:instrText>
      </w:r>
      <w:r w:rsidR="00697947">
        <w:rPr>
          <w:noProof/>
        </w:rPr>
        <w:fldChar w:fldCharType="end"/>
      </w:r>
      <w:r w:rsidRPr="004C787F">
        <w:instrText>)</w:instrText>
      </w:r>
      <w:r w:rsidRPr="004C787F">
        <w:fldChar w:fldCharType="end"/>
      </w:r>
    </w:p>
    <w:p w14:paraId="30FE26F0" w14:textId="6E63332E" w:rsidR="00C430F0" w:rsidRPr="004C787F" w:rsidRDefault="00C430F0" w:rsidP="00C430F0">
      <w:r w:rsidRPr="004C787F">
        <w:t xml:space="preserve">where </w:t>
      </w:r>
      <w:r w:rsidR="009205EE" w:rsidRPr="009205EE">
        <w:rPr>
          <w:position w:val="-14"/>
        </w:rPr>
        <w:object w:dxaOrig="480" w:dyaOrig="400" w14:anchorId="0936B05A">
          <v:shape id="_x0000_i1116" type="#_x0000_t75" style="width:24pt;height:20.4pt" o:ole="">
            <v:imagedata r:id="rId207" o:title=""/>
          </v:shape>
          <o:OLEObject Type="Embed" ProgID="Equation.DSMT4" ShapeID="_x0000_i1116" DrawAspect="Content" ObjectID="_1755515570" r:id="rId208"/>
        </w:object>
      </w:r>
      <w:r w:rsidRPr="004C787F">
        <w:t xml:space="preserve"> is the price of intermediate commodity </w:t>
      </w:r>
      <w:r w:rsidR="009205EE" w:rsidRPr="009205EE">
        <w:rPr>
          <w:position w:val="-10"/>
        </w:rPr>
        <w:object w:dxaOrig="200" w:dyaOrig="300" w14:anchorId="2E9ED2FB">
          <v:shape id="_x0000_i1117" type="#_x0000_t75" style="width:9.6pt;height:15pt" o:ole="">
            <v:imagedata r:id="rId209" o:title=""/>
          </v:shape>
          <o:OLEObject Type="Embed" ProgID="Equation.DSMT4" ShapeID="_x0000_i1117" DrawAspect="Content" ObjectID="_1755515571" r:id="rId210"/>
        </w:object>
      </w:r>
      <w:r w:rsidRPr="004C787F">
        <w:t xml:space="preserve"> for industry </w:t>
      </w:r>
      <w:r w:rsidR="009205EE" w:rsidRPr="009205EE">
        <w:rPr>
          <w:position w:val="-6"/>
        </w:rPr>
        <w:object w:dxaOrig="139" w:dyaOrig="260" w14:anchorId="70D443A4">
          <v:shape id="_x0000_i1118" type="#_x0000_t75" style="width:6.6pt;height:13.2pt" o:ole="">
            <v:imagedata r:id="rId211" o:title=""/>
          </v:shape>
          <o:OLEObject Type="Embed" ProgID="Equation.DSMT4" ShapeID="_x0000_i1118" DrawAspect="Content" ObjectID="_1755515572" r:id="rId212"/>
        </w:object>
      </w:r>
      <w:r w:rsidRPr="004C787F">
        <w:t xml:space="preserve"> and </w:t>
      </w:r>
      <w:r w:rsidR="009205EE" w:rsidRPr="009205EE">
        <w:rPr>
          <w:position w:val="-14"/>
        </w:rPr>
        <w:object w:dxaOrig="360" w:dyaOrig="400" w14:anchorId="7E46930E">
          <v:shape id="_x0000_i1119" type="#_x0000_t75" style="width:18pt;height:20.4pt" o:ole="">
            <v:imagedata r:id="rId213" o:title=""/>
          </v:shape>
          <o:OLEObject Type="Embed" ProgID="Equation.DSMT4" ShapeID="_x0000_i1119" DrawAspect="Content" ObjectID="_1755515573" r:id="rId214"/>
        </w:object>
      </w:r>
      <w:r w:rsidRPr="004C787F">
        <w:t xml:space="preserve"> is the industry</w:t>
      </w:r>
      <w:r w:rsidRPr="004C787F">
        <w:noBreakHyphen/>
        <w:t>specific price of aggregate intermediate inputs.</w:t>
      </w:r>
    </w:p>
    <w:p w14:paraId="21288939" w14:textId="77777777" w:rsidR="00C430F0" w:rsidRPr="004C787F" w:rsidRDefault="00C430F0" w:rsidP="00C430F0">
      <w:pPr>
        <w:pStyle w:val="Heading5"/>
      </w:pPr>
      <w:r w:rsidRPr="004C787F">
        <w:t>Fixed factor input</w:t>
      </w:r>
    </w:p>
    <w:p w14:paraId="26694E7A" w14:textId="2325BE4C" w:rsidR="009205EE" w:rsidRDefault="00C430F0" w:rsidP="009205EE">
      <w:r w:rsidRPr="004C787F">
        <w:t>The production process also requires fixed factors such as land/resource endowments. Further, the fixed factors are owned by the firm and fixed factor</w:t>
      </w:r>
      <w:r w:rsidRPr="004C787F">
        <w:noBreakHyphen/>
        <w:t>augmenting technical progress is assumed to grow at the same rate as labour</w:t>
      </w:r>
      <w:r w:rsidRPr="004C787F">
        <w:noBreakHyphen/>
        <w:t xml:space="preserve">augmenting technical progress and the population. This ensures the </w:t>
      </w:r>
      <w:r>
        <w:t>economy is on its</w:t>
      </w:r>
      <w:r w:rsidRPr="004C787F">
        <w:t xml:space="preserve"> balanced growth</w:t>
      </w:r>
      <w:r>
        <w:t xml:space="preserve"> path in the long run</w:t>
      </w:r>
      <w:r w:rsidRPr="004C787F">
        <w:t>.</w:t>
      </w:r>
    </w:p>
    <w:p w14:paraId="4B503630" w14:textId="29B666C9" w:rsidR="00C430F0" w:rsidRPr="004C787F" w:rsidRDefault="00C430F0" w:rsidP="00C430F0">
      <w:pPr>
        <w:pStyle w:val="Heading4"/>
      </w:pPr>
      <w:r>
        <w:t>Net</w:t>
      </w:r>
      <w:r w:rsidRPr="004C787F">
        <w:t xml:space="preserve"> value of production</w:t>
      </w:r>
    </w:p>
    <w:p w14:paraId="5F3BA3BB" w14:textId="77777777" w:rsidR="00C430F0" w:rsidRPr="004C787F" w:rsidRDefault="00C430F0" w:rsidP="00C430F0">
      <w:pPr>
        <w:pStyle w:val="Heading5"/>
      </w:pPr>
      <w:r>
        <w:t>Net</w:t>
      </w:r>
      <w:r w:rsidRPr="004C787F">
        <w:t xml:space="preserve"> output</w:t>
      </w:r>
    </w:p>
    <w:p w14:paraId="0E05240A" w14:textId="525D4672" w:rsidR="00C430F0" w:rsidRPr="004C787F" w:rsidRDefault="00C430F0" w:rsidP="00C430F0">
      <w:r>
        <w:t>A</w:t>
      </w:r>
      <w:r w:rsidRPr="004C787F">
        <w:t xml:space="preserve">long the transition path, firms face capital and labour adjustment costs, which prevent them from achieving their potential level of output for a given level of inputs, with actual output in each industry given by </w:t>
      </w:r>
      <w:r w:rsidR="009205EE" w:rsidRPr="009205EE">
        <w:rPr>
          <w:position w:val="-14"/>
        </w:rPr>
        <w:object w:dxaOrig="340" w:dyaOrig="380" w14:anchorId="6BAE544E">
          <v:shape id="_x0000_i1120" type="#_x0000_t75" style="width:17.4pt;height:18.6pt" o:ole="">
            <v:imagedata r:id="rId215" o:title=""/>
          </v:shape>
          <o:OLEObject Type="Embed" ProgID="Equation.DSMT4" ShapeID="_x0000_i1120" DrawAspect="Content" ObjectID="_1755515574" r:id="rId216"/>
        </w:object>
      </w:r>
      <w:r w:rsidRPr="004C787F">
        <w:t xml:space="preserve"> where:</w:t>
      </w:r>
    </w:p>
    <w:p w14:paraId="764444B5" w14:textId="4A5FAA0E" w:rsidR="00C430F0" w:rsidRPr="004C787F" w:rsidRDefault="00C430F0" w:rsidP="00C430F0">
      <w:pPr>
        <w:pStyle w:val="MTDisplayEquation"/>
      </w:pPr>
      <w:r w:rsidRPr="004C787F">
        <w:tab/>
      </w:r>
      <w:r w:rsidR="009205EE" w:rsidRPr="009205EE">
        <w:rPr>
          <w:position w:val="-14"/>
        </w:rPr>
        <w:object w:dxaOrig="5140" w:dyaOrig="400" w14:anchorId="2A04A29C">
          <v:shape id="_x0000_i1121" type="#_x0000_t75" style="width:257.4pt;height:20.4pt" o:ole="">
            <v:imagedata r:id="rId217" o:title=""/>
          </v:shape>
          <o:OLEObject Type="Embed" ProgID="Equation.DSMT4" ShapeID="_x0000_i1121" DrawAspect="Content" ObjectID="_1755515575" r:id="rId218"/>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bookmarkStart w:id="17" w:name="ZEqnNum563784"/>
      <w:r w:rsidRPr="004C787F">
        <w:instrText>(</w:instrText>
      </w:r>
      <w:r w:rsidR="00697947">
        <w:fldChar w:fldCharType="begin"/>
      </w:r>
      <w:r w:rsidR="00697947">
        <w:instrText>SEQ MTEqn \c \* Arabic \* MERGEFORMAT</w:instrText>
      </w:r>
      <w:r w:rsidR="00697947">
        <w:fldChar w:fldCharType="separate"/>
      </w:r>
      <w:r w:rsidR="00354F38">
        <w:rPr>
          <w:noProof/>
        </w:rPr>
        <w:instrText>21</w:instrText>
      </w:r>
      <w:r w:rsidR="00697947">
        <w:rPr>
          <w:noProof/>
        </w:rPr>
        <w:fldChar w:fldCharType="end"/>
      </w:r>
      <w:r w:rsidRPr="004C787F">
        <w:instrText>)</w:instrText>
      </w:r>
      <w:bookmarkEnd w:id="17"/>
      <w:r w:rsidRPr="004C787F">
        <w:fldChar w:fldCharType="end"/>
      </w:r>
    </w:p>
    <w:p w14:paraId="340CD2FC" w14:textId="77777777" w:rsidR="00C430F0" w:rsidRPr="004C787F" w:rsidRDefault="00C430F0" w:rsidP="00C430F0">
      <w:pPr>
        <w:pStyle w:val="Heading5"/>
      </w:pPr>
      <w:r w:rsidRPr="004C787F">
        <w:t>Domestic supply of commodities</w:t>
      </w:r>
    </w:p>
    <w:p w14:paraId="6B06D181" w14:textId="77777777" w:rsidR="00C430F0" w:rsidRPr="004C787F" w:rsidRDefault="00C430F0" w:rsidP="00C430F0">
      <w:pPr>
        <w:rPr>
          <w:lang w:val="en-US"/>
        </w:rPr>
      </w:pPr>
      <w:r w:rsidRPr="004C787F">
        <w:rPr>
          <w:lang w:val="en-US"/>
        </w:rPr>
        <w:t>Each firm can produce multiple commodities. Following the literature, this is modelled using a constant elasticity of transformation (CET) function:</w:t>
      </w:r>
    </w:p>
    <w:p w14:paraId="7FA03865" w14:textId="3472AA6A" w:rsidR="00C430F0" w:rsidRPr="004C787F" w:rsidRDefault="00C430F0" w:rsidP="00C430F0">
      <w:pPr>
        <w:pStyle w:val="MTDisplayEquation"/>
        <w:rPr>
          <w:lang w:val="en-US"/>
        </w:rPr>
      </w:pPr>
      <w:r w:rsidRPr="004C787F">
        <w:rPr>
          <w:lang w:val="en-US"/>
        </w:rPr>
        <w:tab/>
      </w:r>
      <w:r w:rsidR="009205EE" w:rsidRPr="009205EE">
        <w:rPr>
          <w:position w:val="-34"/>
        </w:rPr>
        <w:object w:dxaOrig="2700" w:dyaOrig="980" w14:anchorId="4D9FAEB0">
          <v:shape id="_x0000_i1122" type="#_x0000_t75" style="width:135pt;height:48.6pt" o:ole="">
            <v:imagedata r:id="rId219" o:title=""/>
          </v:shape>
          <o:OLEObject Type="Embed" ProgID="Equation.DSMT4" ShapeID="_x0000_i1122" DrawAspect="Content" ObjectID="_1755515576" r:id="rId220"/>
        </w:object>
      </w:r>
      <w:r w:rsidRPr="004C787F">
        <w:rPr>
          <w:lang w:val="en-US"/>
        </w:rPr>
        <w:tab/>
      </w:r>
      <w:r w:rsidRPr="004C787F">
        <w:rPr>
          <w:lang w:val="en-US"/>
        </w:rPr>
        <w:fldChar w:fldCharType="begin"/>
      </w:r>
      <w:r w:rsidRPr="004C787F">
        <w:rPr>
          <w:lang w:val="en-US"/>
        </w:rPr>
        <w:instrText xml:space="preserve"> MACROBUTTON MTPlaceRef \* MERGEFORMAT </w:instrText>
      </w:r>
      <w:r w:rsidRPr="004C787F">
        <w:rPr>
          <w:lang w:val="en-US"/>
        </w:rPr>
        <w:fldChar w:fldCharType="begin"/>
      </w:r>
      <w:r w:rsidRPr="004C787F">
        <w:rPr>
          <w:lang w:val="en-US"/>
        </w:rPr>
        <w:instrText xml:space="preserve"> SEQ MTEqn \h \* MERGEFORMAT </w:instrText>
      </w:r>
      <w:r w:rsidRPr="004C787F">
        <w:rPr>
          <w:lang w:val="en-US"/>
        </w:rPr>
        <w:fldChar w:fldCharType="end"/>
      </w:r>
      <w:bookmarkStart w:id="18" w:name="ZEqnNum368333"/>
      <w:r w:rsidRPr="004C787F">
        <w:rPr>
          <w:lang w:val="en-US"/>
        </w:rPr>
        <w:instrText>(</w:instrText>
      </w:r>
      <w:r w:rsidRPr="004C787F">
        <w:rPr>
          <w:lang w:val="en-US"/>
        </w:rPr>
        <w:fldChar w:fldCharType="begin"/>
      </w:r>
      <w:r w:rsidRPr="004C787F">
        <w:rPr>
          <w:lang w:val="en-US"/>
        </w:rPr>
        <w:instrText xml:space="preserve"> SEQ MTEqn \c \* Arabic \* MERGEFORMAT </w:instrText>
      </w:r>
      <w:r w:rsidRPr="004C787F">
        <w:rPr>
          <w:lang w:val="en-US"/>
        </w:rPr>
        <w:fldChar w:fldCharType="separate"/>
      </w:r>
      <w:r w:rsidR="00354F38">
        <w:rPr>
          <w:noProof/>
          <w:lang w:val="en-US"/>
        </w:rPr>
        <w:instrText>22</w:instrText>
      </w:r>
      <w:r w:rsidRPr="004C787F">
        <w:rPr>
          <w:lang w:val="en-US"/>
        </w:rPr>
        <w:fldChar w:fldCharType="end"/>
      </w:r>
      <w:r w:rsidRPr="004C787F">
        <w:rPr>
          <w:lang w:val="en-US"/>
        </w:rPr>
        <w:instrText>)</w:instrText>
      </w:r>
      <w:bookmarkEnd w:id="18"/>
      <w:r w:rsidRPr="004C787F">
        <w:rPr>
          <w:lang w:val="en-US"/>
        </w:rPr>
        <w:fldChar w:fldCharType="end"/>
      </w:r>
    </w:p>
    <w:p w14:paraId="40A088AE" w14:textId="002B855D" w:rsidR="00C430F0" w:rsidRPr="004C787F" w:rsidRDefault="00C430F0" w:rsidP="00C430F0">
      <w:pPr>
        <w:tabs>
          <w:tab w:val="center" w:pos="4640"/>
          <w:tab w:val="right" w:pos="9300"/>
        </w:tabs>
      </w:pPr>
      <w:r w:rsidRPr="004C787F">
        <w:rPr>
          <w:lang w:val="en-US"/>
        </w:rPr>
        <w:t xml:space="preserve">where </w:t>
      </w:r>
      <w:r w:rsidR="009205EE" w:rsidRPr="009205EE">
        <w:rPr>
          <w:position w:val="-14"/>
        </w:rPr>
        <w:object w:dxaOrig="460" w:dyaOrig="380" w14:anchorId="6CE20D9A">
          <v:shape id="_x0000_i1123" type="#_x0000_t75" style="width:23.4pt;height:18.6pt" o:ole="">
            <v:imagedata r:id="rId221" o:title=""/>
          </v:shape>
          <o:OLEObject Type="Embed" ProgID="Equation.DSMT4" ShapeID="_x0000_i1123" DrawAspect="Content" ObjectID="_1755515577" r:id="rId222"/>
        </w:object>
      </w:r>
      <w:r w:rsidRPr="004C787F">
        <w:rPr>
          <w:lang w:val="en-US"/>
        </w:rPr>
        <w:t xml:space="preserve"> </w:t>
      </w:r>
      <w:r w:rsidRPr="004C787F">
        <w:t xml:space="preserve">is the amount of commodity </w:t>
      </w:r>
      <w:r w:rsidR="009205EE" w:rsidRPr="009205EE">
        <w:rPr>
          <w:position w:val="-10"/>
        </w:rPr>
        <w:object w:dxaOrig="200" w:dyaOrig="300" w14:anchorId="2EB44418">
          <v:shape id="_x0000_i1124" type="#_x0000_t75" style="width:9.6pt;height:15pt" o:ole="">
            <v:imagedata r:id="rId223" o:title=""/>
          </v:shape>
          <o:OLEObject Type="Embed" ProgID="Equation.DSMT4" ShapeID="_x0000_i1124" DrawAspect="Content" ObjectID="_1755515578" r:id="rId224"/>
        </w:object>
      </w:r>
      <w:r w:rsidRPr="004C787F">
        <w:t xml:space="preserve"> produced by industry </w:t>
      </w:r>
      <w:r w:rsidR="009205EE" w:rsidRPr="009205EE">
        <w:rPr>
          <w:position w:val="-6"/>
        </w:rPr>
        <w:object w:dxaOrig="139" w:dyaOrig="260" w14:anchorId="3F7C494D">
          <v:shape id="_x0000_i1125" type="#_x0000_t75" style="width:6.6pt;height:13.2pt" o:ole="">
            <v:imagedata r:id="rId225" o:title=""/>
          </v:shape>
          <o:OLEObject Type="Embed" ProgID="Equation.DSMT4" ShapeID="_x0000_i1125" DrawAspect="Content" ObjectID="_1755515579" r:id="rId226"/>
        </w:object>
      </w:r>
      <w:r w:rsidRPr="004C787F">
        <w:rPr>
          <w:lang w:val="en-US"/>
        </w:rPr>
        <w:t xml:space="preserve">, </w:t>
      </w:r>
      <w:r w:rsidR="009205EE" w:rsidRPr="009205EE">
        <w:rPr>
          <w:position w:val="-14"/>
        </w:rPr>
        <w:object w:dxaOrig="1040" w:dyaOrig="400" w14:anchorId="605B8A76">
          <v:shape id="_x0000_i1126" type="#_x0000_t75" style="width:51.6pt;height:20.4pt" o:ole="">
            <v:imagedata r:id="rId227" o:title=""/>
          </v:shape>
          <o:OLEObject Type="Embed" ProgID="Equation.DSMT4" ShapeID="_x0000_i1126" DrawAspect="Content" ObjectID="_1755515580" r:id="rId228"/>
        </w:object>
      </w:r>
      <w:r w:rsidRPr="004C787F">
        <w:rPr>
          <w:lang w:val="en-US"/>
        </w:rPr>
        <w:t xml:space="preserve"> </w:t>
      </w:r>
      <w:r w:rsidRPr="004C787F">
        <w:t xml:space="preserve">is the CET weight of commodity </w:t>
      </w:r>
      <w:r w:rsidR="009205EE" w:rsidRPr="009205EE">
        <w:rPr>
          <w:position w:val="-10"/>
        </w:rPr>
        <w:object w:dxaOrig="200" w:dyaOrig="300" w14:anchorId="2747FAB0">
          <v:shape id="_x0000_i1127" type="#_x0000_t75" style="width:9.6pt;height:15pt" o:ole="">
            <v:imagedata r:id="rId229" o:title=""/>
          </v:shape>
          <o:OLEObject Type="Embed" ProgID="Equation.DSMT4" ShapeID="_x0000_i1127" DrawAspect="Content" ObjectID="_1755515581" r:id="rId230"/>
        </w:object>
      </w:r>
      <w:r>
        <w:t>,</w:t>
      </w:r>
      <w:r w:rsidRPr="004C787F">
        <w:t xml:space="preserve"> and </w:t>
      </w:r>
      <w:r w:rsidR="009205EE" w:rsidRPr="009205EE">
        <w:rPr>
          <w:position w:val="-6"/>
        </w:rPr>
        <w:object w:dxaOrig="300" w:dyaOrig="320" w14:anchorId="4AAABAD8">
          <v:shape id="_x0000_i1128" type="#_x0000_t75" style="width:15pt;height:16.2pt" o:ole="">
            <v:imagedata r:id="rId231" o:title=""/>
          </v:shape>
          <o:OLEObject Type="Embed" ProgID="Equation.DSMT4" ShapeID="_x0000_i1128" DrawAspect="Content" ObjectID="_1755515582" r:id="rId232"/>
        </w:object>
      </w:r>
      <w:r w:rsidRPr="004C787F">
        <w:t xml:space="preserve"> is the elasticity of transformation. The latter determines the ease with which firms can transform their output mix in response to changes in the relative prices of commodities.</w:t>
      </w:r>
      <w:r w:rsidRPr="004C787F">
        <w:rPr>
          <w:sz w:val="18"/>
          <w:vertAlign w:val="superscript"/>
          <w:lang w:val="en-US"/>
        </w:rPr>
        <w:footnoteReference w:id="19"/>
      </w:r>
    </w:p>
    <w:p w14:paraId="69A85D24" w14:textId="5737BF86" w:rsidR="00C430F0" w:rsidRPr="004C787F" w:rsidRDefault="00C430F0" w:rsidP="00C430F0">
      <w:r w:rsidRPr="004C787F">
        <w:t xml:space="preserve">The gross value of production for industry </w:t>
      </w:r>
      <w:r w:rsidR="009205EE" w:rsidRPr="009205EE">
        <w:rPr>
          <w:position w:val="-6"/>
        </w:rPr>
        <w:object w:dxaOrig="139" w:dyaOrig="260" w14:anchorId="0BE205D4">
          <v:shape id="_x0000_i1129" type="#_x0000_t75" style="width:6.6pt;height:13.2pt" o:ole="">
            <v:imagedata r:id="rId233" o:title=""/>
          </v:shape>
          <o:OLEObject Type="Embed" ProgID="Equation.DSMT4" ShapeID="_x0000_i1129" DrawAspect="Content" ObjectID="_1755515583" r:id="rId234"/>
        </w:object>
      </w:r>
      <w:r w:rsidRPr="004C787F">
        <w:t xml:space="preserve"> is:</w:t>
      </w:r>
    </w:p>
    <w:p w14:paraId="7B0A176D" w14:textId="2563557E" w:rsidR="00C430F0" w:rsidRPr="004C787F" w:rsidRDefault="00C430F0" w:rsidP="00C430F0">
      <w:pPr>
        <w:pStyle w:val="MTDisplayEquation"/>
      </w:pPr>
      <w:r w:rsidRPr="004C787F">
        <w:tab/>
      </w:r>
      <w:r w:rsidR="009205EE" w:rsidRPr="009205EE">
        <w:rPr>
          <w:position w:val="-30"/>
        </w:rPr>
        <w:object w:dxaOrig="1900" w:dyaOrig="700" w14:anchorId="38876D73">
          <v:shape id="_x0000_i1130" type="#_x0000_t75" style="width:95.4pt;height:35.4pt" o:ole="">
            <v:imagedata r:id="rId235" o:title=""/>
          </v:shape>
          <o:OLEObject Type="Embed" ProgID="Equation.DSMT4" ShapeID="_x0000_i1130" DrawAspect="Content" ObjectID="_1755515584" r:id="rId236"/>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r w:rsidRPr="004C787F">
        <w:instrText>(</w:instrText>
      </w:r>
      <w:r w:rsidR="00697947">
        <w:fldChar w:fldCharType="begin"/>
      </w:r>
      <w:r w:rsidR="00697947">
        <w:instrText>SEQ MTEqn \c \* Arabic \* MERGEFORMAT</w:instrText>
      </w:r>
      <w:r w:rsidR="00697947">
        <w:fldChar w:fldCharType="separate"/>
      </w:r>
      <w:r w:rsidR="00354F38">
        <w:rPr>
          <w:noProof/>
        </w:rPr>
        <w:instrText>23</w:instrText>
      </w:r>
      <w:r w:rsidR="00697947">
        <w:rPr>
          <w:noProof/>
        </w:rPr>
        <w:fldChar w:fldCharType="end"/>
      </w:r>
      <w:r w:rsidRPr="004C787F">
        <w:instrText>)</w:instrText>
      </w:r>
      <w:r w:rsidRPr="004C787F">
        <w:fldChar w:fldCharType="end"/>
      </w:r>
    </w:p>
    <w:p w14:paraId="4D319946" w14:textId="0D922974" w:rsidR="00C430F0" w:rsidRPr="004C787F" w:rsidRDefault="00C430F0" w:rsidP="00C430F0">
      <w:r w:rsidRPr="004C787F">
        <w:t xml:space="preserve">where </w:t>
      </w:r>
      <w:r w:rsidR="009205EE" w:rsidRPr="009205EE">
        <w:rPr>
          <w:position w:val="-14"/>
        </w:rPr>
        <w:object w:dxaOrig="380" w:dyaOrig="400" w14:anchorId="125B831F">
          <v:shape id="_x0000_i1131" type="#_x0000_t75" style="width:18.6pt;height:20.4pt" o:ole="">
            <v:imagedata r:id="rId237" o:title=""/>
          </v:shape>
          <o:OLEObject Type="Embed" ProgID="Equation.DSMT4" ShapeID="_x0000_i1131" DrawAspect="Content" ObjectID="_1755515585" r:id="rId238"/>
        </w:object>
      </w:r>
      <w:r w:rsidRPr="004C787F">
        <w:t xml:space="preserve"> is the basic price of commodity </w:t>
      </w:r>
      <w:r w:rsidR="009205EE" w:rsidRPr="009205EE">
        <w:rPr>
          <w:position w:val="-10"/>
        </w:rPr>
        <w:object w:dxaOrig="200" w:dyaOrig="300" w14:anchorId="5A4131C1">
          <v:shape id="_x0000_i1132" type="#_x0000_t75" style="width:9.6pt;height:15pt" o:ole="">
            <v:imagedata r:id="rId239" o:title=""/>
          </v:shape>
          <o:OLEObject Type="Embed" ProgID="Equation.DSMT4" ShapeID="_x0000_i1132" DrawAspect="Content" ObjectID="_1755515586" r:id="rId240"/>
        </w:object>
      </w:r>
      <w:r w:rsidRPr="004C787F">
        <w:t>.</w:t>
      </w:r>
    </w:p>
    <w:p w14:paraId="02D1E2D5" w14:textId="4BB90DF0" w:rsidR="00C430F0" w:rsidRPr="004C787F" w:rsidRDefault="00C430F0" w:rsidP="00C430F0">
      <w:pPr>
        <w:tabs>
          <w:tab w:val="center" w:pos="4640"/>
          <w:tab w:val="right" w:pos="9300"/>
        </w:tabs>
      </w:pPr>
      <w:r w:rsidRPr="004C787F">
        <w:t xml:space="preserve">The total quantity of commodity </w:t>
      </w:r>
      <w:r w:rsidR="009205EE" w:rsidRPr="009205EE">
        <w:rPr>
          <w:position w:val="-10"/>
        </w:rPr>
        <w:object w:dxaOrig="200" w:dyaOrig="300" w14:anchorId="12631415">
          <v:shape id="_x0000_i1133" type="#_x0000_t75" style="width:9.6pt;height:15pt" o:ole="">
            <v:imagedata r:id="rId241" o:title=""/>
          </v:shape>
          <o:OLEObject Type="Embed" ProgID="Equation.DSMT4" ShapeID="_x0000_i1133" DrawAspect="Content" ObjectID="_1755515587" r:id="rId242"/>
        </w:object>
      </w:r>
      <w:r w:rsidRPr="004C787F">
        <w:t xml:space="preserve"> produced and supplied </w:t>
      </w:r>
      <w:r>
        <w:t>by domestic industries</w:t>
      </w:r>
      <w:r w:rsidRPr="004C787F">
        <w:t xml:space="preserve"> is:</w:t>
      </w:r>
    </w:p>
    <w:p w14:paraId="48F7B508" w14:textId="120C7EA6" w:rsidR="00C430F0" w:rsidRPr="004C787F" w:rsidRDefault="00C430F0" w:rsidP="00C430F0">
      <w:pPr>
        <w:pStyle w:val="MTDisplayEquation"/>
      </w:pPr>
      <w:r w:rsidRPr="004C787F">
        <w:tab/>
      </w:r>
      <w:r w:rsidR="009205EE" w:rsidRPr="009205EE">
        <w:rPr>
          <w:position w:val="-28"/>
        </w:rPr>
        <w:object w:dxaOrig="1320" w:dyaOrig="680" w14:anchorId="373CB0C9">
          <v:shape id="_x0000_i1134" type="#_x0000_t75" style="width:66pt;height:33.6pt" o:ole="">
            <v:imagedata r:id="rId243" o:title=""/>
          </v:shape>
          <o:OLEObject Type="Embed" ProgID="Equation.DSMT4" ShapeID="_x0000_i1134" DrawAspect="Content" ObjectID="_1755515588" r:id="rId244"/>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bookmarkStart w:id="19" w:name="ZEqnNum830720"/>
      <w:r w:rsidRPr="004C787F">
        <w:instrText>(</w:instrText>
      </w:r>
      <w:r w:rsidR="00697947">
        <w:fldChar w:fldCharType="begin"/>
      </w:r>
      <w:r w:rsidR="00697947">
        <w:instrText>SEQ MTEqn \c \* Arabic \* MERGEFORMAT</w:instrText>
      </w:r>
      <w:r w:rsidR="00697947">
        <w:fldChar w:fldCharType="separate"/>
      </w:r>
      <w:r w:rsidR="00354F38">
        <w:rPr>
          <w:noProof/>
        </w:rPr>
        <w:instrText>24</w:instrText>
      </w:r>
      <w:r w:rsidR="00697947">
        <w:rPr>
          <w:noProof/>
        </w:rPr>
        <w:fldChar w:fldCharType="end"/>
      </w:r>
      <w:r w:rsidRPr="004C787F">
        <w:instrText>)</w:instrText>
      </w:r>
      <w:bookmarkEnd w:id="19"/>
      <w:r w:rsidRPr="004C787F">
        <w:fldChar w:fldCharType="end"/>
      </w:r>
    </w:p>
    <w:p w14:paraId="61E8E1D4" w14:textId="77777777" w:rsidR="00C430F0" w:rsidRPr="004C787F" w:rsidRDefault="00C430F0" w:rsidP="00C430F0">
      <w:pPr>
        <w:pStyle w:val="Heading4"/>
      </w:pPr>
      <w:r w:rsidRPr="004C787F">
        <w:t>Market value of the firm</w:t>
      </w:r>
    </w:p>
    <w:p w14:paraId="0C8DD64D" w14:textId="1F7BECA9" w:rsidR="009205EE" w:rsidRDefault="00C430F0" w:rsidP="00C430F0">
      <w:r w:rsidRPr="004C787F">
        <w:t xml:space="preserve">The firm makes production and investment decisions to maximise its market value on behalf of its shareholders. The firm’s shareholders are the domestic household and investors from the ROW. </w:t>
      </w:r>
    </w:p>
    <w:p w14:paraId="472E6DD5" w14:textId="56120670" w:rsidR="00C430F0" w:rsidRPr="004C787F" w:rsidRDefault="00C430F0" w:rsidP="00C430F0">
      <w:r w:rsidRPr="004C787F">
        <w:t>The no</w:t>
      </w:r>
      <w:r w:rsidRPr="004C787F">
        <w:noBreakHyphen/>
        <w:t xml:space="preserve">arbitrage condition requires that the expected return on equity equals the required rate of return </w:t>
      </w:r>
      <w:r w:rsidR="009205EE" w:rsidRPr="009205EE">
        <w:rPr>
          <w:position w:val="-12"/>
        </w:rPr>
        <w:object w:dxaOrig="260" w:dyaOrig="380" w14:anchorId="6D9E6E38">
          <v:shape id="_x0000_i1135" type="#_x0000_t75" style="width:13.2pt;height:18.6pt" o:ole="">
            <v:imagedata r:id="rId245" o:title=""/>
          </v:shape>
          <o:OLEObject Type="Embed" ProgID="Equation.DSMT4" ShapeID="_x0000_i1135" DrawAspect="Content" ObjectID="_1755515589" r:id="rId246"/>
        </w:object>
      </w:r>
      <w:r w:rsidRPr="004C787F">
        <w:t>:</w:t>
      </w:r>
    </w:p>
    <w:p w14:paraId="5B386B1B" w14:textId="4BAD3183" w:rsidR="00C430F0" w:rsidRPr="004C787F" w:rsidRDefault="00C430F0" w:rsidP="00C430F0">
      <w:pPr>
        <w:pStyle w:val="MTDisplayEquation"/>
      </w:pPr>
      <w:r w:rsidRPr="004C787F">
        <w:tab/>
      </w:r>
      <w:r w:rsidR="009205EE" w:rsidRPr="009205EE">
        <w:rPr>
          <w:position w:val="-34"/>
        </w:rPr>
        <w:object w:dxaOrig="2940" w:dyaOrig="800" w14:anchorId="5C836B59">
          <v:shape id="_x0000_i1136" type="#_x0000_t75" style="width:147pt;height:39.6pt" o:ole="">
            <v:imagedata r:id="rId247" o:title=""/>
          </v:shape>
          <o:OLEObject Type="Embed" ProgID="Equation.DSMT4" ShapeID="_x0000_i1136" DrawAspect="Content" ObjectID="_1755515590" r:id="rId248"/>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bookmarkStart w:id="20" w:name="ZEqnNum236749"/>
      <w:r w:rsidRPr="004C787F">
        <w:instrText>(</w:instrText>
      </w:r>
      <w:r w:rsidR="00697947">
        <w:fldChar w:fldCharType="begin"/>
      </w:r>
      <w:r w:rsidR="00697947">
        <w:instrText>SEQ MTEqn \c \* Arabic \* MERGEFORMAT</w:instrText>
      </w:r>
      <w:r w:rsidR="00697947">
        <w:fldChar w:fldCharType="separate"/>
      </w:r>
      <w:r w:rsidR="00354F38">
        <w:rPr>
          <w:noProof/>
        </w:rPr>
        <w:instrText>25</w:instrText>
      </w:r>
      <w:r w:rsidR="00697947">
        <w:rPr>
          <w:noProof/>
        </w:rPr>
        <w:fldChar w:fldCharType="end"/>
      </w:r>
      <w:r w:rsidRPr="004C787F">
        <w:instrText>)</w:instrText>
      </w:r>
      <w:bookmarkEnd w:id="20"/>
      <w:r w:rsidRPr="004C787F">
        <w:fldChar w:fldCharType="end"/>
      </w:r>
    </w:p>
    <w:p w14:paraId="1E71C5C6" w14:textId="06F02AC9" w:rsidR="00C430F0" w:rsidRPr="004C787F" w:rsidRDefault="00C430F0" w:rsidP="00C430F0">
      <w:r w:rsidRPr="004C787F">
        <w:t xml:space="preserve">where </w:t>
      </w:r>
      <w:r w:rsidR="009205EE" w:rsidRPr="009205EE">
        <w:rPr>
          <w:position w:val="-14"/>
        </w:rPr>
        <w:object w:dxaOrig="320" w:dyaOrig="380" w14:anchorId="0F006281">
          <v:shape id="_x0000_i1137" type="#_x0000_t75" style="width:16.2pt;height:18.6pt" o:ole="">
            <v:imagedata r:id="rId249" o:title=""/>
          </v:shape>
          <o:OLEObject Type="Embed" ProgID="Equation.DSMT4" ShapeID="_x0000_i1137" DrawAspect="Content" ObjectID="_1755515591" r:id="rId250"/>
        </w:object>
      </w:r>
      <w:r w:rsidRPr="004C787F">
        <w:t xml:space="preserve"> is the net cash flow from firms to shareholders and </w:t>
      </w:r>
      <w:r w:rsidR="009205EE" w:rsidRPr="009205EE">
        <w:rPr>
          <w:position w:val="-14"/>
        </w:rPr>
        <w:object w:dxaOrig="300" w:dyaOrig="380" w14:anchorId="0ED11EBA">
          <v:shape id="_x0000_i1138" type="#_x0000_t75" style="width:15pt;height:18.6pt" o:ole="">
            <v:imagedata r:id="rId251" o:title=""/>
          </v:shape>
          <o:OLEObject Type="Embed" ProgID="Equation.DSMT4" ShapeID="_x0000_i1138" DrawAspect="Content" ObjectID="_1755515592" r:id="rId252"/>
        </w:object>
      </w:r>
      <w:r w:rsidRPr="004C787F">
        <w:t xml:space="preserve"> is the ex</w:t>
      </w:r>
      <w:r w:rsidRPr="004C787F">
        <w:noBreakHyphen/>
        <w:t xml:space="preserve">dividend value of the firm’s equity at the beginning of period </w:t>
      </w:r>
      <w:r w:rsidR="009205EE" w:rsidRPr="009205EE">
        <w:rPr>
          <w:position w:val="-6"/>
        </w:rPr>
        <w:object w:dxaOrig="139" w:dyaOrig="240" w14:anchorId="255D496B">
          <v:shape id="_x0000_i1139" type="#_x0000_t75" style="width:6.6pt;height:12pt" o:ole="">
            <v:imagedata r:id="rId253" o:title=""/>
          </v:shape>
          <o:OLEObject Type="Embed" ProgID="Equation.DSMT4" ShapeID="_x0000_i1139" DrawAspect="Content" ObjectID="_1755515593" r:id="rId254"/>
        </w:object>
      </w:r>
      <w:r w:rsidRPr="004C787F">
        <w:t>. The net cash flow includes dividends or share buy</w:t>
      </w:r>
      <w:r w:rsidRPr="004C787F">
        <w:noBreakHyphen/>
        <w:t>back less net issuance of equity. This implies that:</w:t>
      </w:r>
    </w:p>
    <w:p w14:paraId="0DBD040A" w14:textId="1107B0FA" w:rsidR="00C430F0" w:rsidRPr="004C787F" w:rsidRDefault="00C430F0" w:rsidP="00C430F0">
      <w:pPr>
        <w:pStyle w:val="MTDisplayEquation"/>
      </w:pPr>
      <w:r w:rsidRPr="004C787F">
        <w:tab/>
      </w:r>
      <w:r w:rsidR="009205EE" w:rsidRPr="009205EE">
        <w:rPr>
          <w:position w:val="-34"/>
        </w:rPr>
        <w:object w:dxaOrig="2540" w:dyaOrig="800" w14:anchorId="03400F9B">
          <v:shape id="_x0000_i1140" type="#_x0000_t75" style="width:126.6pt;height:39.6pt" o:ole="">
            <v:imagedata r:id="rId255" o:title=""/>
          </v:shape>
          <o:OLEObject Type="Embed" ProgID="Equation.DSMT4" ShapeID="_x0000_i1140" DrawAspect="Content" ObjectID="_1755515594" r:id="rId256"/>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r w:rsidRPr="004C787F">
        <w:instrText>(</w:instrText>
      </w:r>
      <w:r w:rsidR="00697947">
        <w:fldChar w:fldCharType="begin"/>
      </w:r>
      <w:r w:rsidR="00697947">
        <w:instrText>SEQ MTEqn \c \* Arabic \* MERGEFORMAT</w:instrText>
      </w:r>
      <w:r w:rsidR="00697947">
        <w:fldChar w:fldCharType="separate"/>
      </w:r>
      <w:r w:rsidR="00354F38">
        <w:rPr>
          <w:noProof/>
        </w:rPr>
        <w:instrText>26</w:instrText>
      </w:r>
      <w:r w:rsidR="00697947">
        <w:rPr>
          <w:noProof/>
        </w:rPr>
        <w:fldChar w:fldCharType="end"/>
      </w:r>
      <w:r w:rsidRPr="004C787F">
        <w:instrText>)</w:instrText>
      </w:r>
      <w:r w:rsidRPr="004C787F">
        <w:fldChar w:fldCharType="end"/>
      </w:r>
    </w:p>
    <w:p w14:paraId="2750B592" w14:textId="77777777" w:rsidR="00C430F0" w:rsidRPr="004C787F" w:rsidRDefault="00C430F0" w:rsidP="00C430F0">
      <w:r w:rsidRPr="004C787F">
        <w:t>Forward substitution of this relationship implies the market value of the firm’s equity is equivalent to the net present value of current and all future net cash flow to shareholders:</w:t>
      </w:r>
    </w:p>
    <w:p w14:paraId="5E5275E2" w14:textId="4DDD58C5" w:rsidR="00C430F0" w:rsidRPr="004C787F" w:rsidRDefault="00C430F0" w:rsidP="00C430F0">
      <w:pPr>
        <w:pStyle w:val="MTDisplayEquation"/>
      </w:pPr>
      <w:r w:rsidRPr="004C787F">
        <w:tab/>
      </w:r>
      <w:r w:rsidR="009205EE" w:rsidRPr="009205EE">
        <w:rPr>
          <w:position w:val="-34"/>
        </w:rPr>
        <w:object w:dxaOrig="3140" w:dyaOrig="800" w14:anchorId="6C2FFFCF">
          <v:shape id="_x0000_i1141" type="#_x0000_t75" style="width:157.2pt;height:39.6pt" o:ole="">
            <v:imagedata r:id="rId257" o:title=""/>
          </v:shape>
          <o:OLEObject Type="Embed" ProgID="Equation.DSMT4" ShapeID="_x0000_i1141" DrawAspect="Content" ObjectID="_1755515595" r:id="rId258"/>
        </w:object>
      </w:r>
      <w:r w:rsidRPr="00793168">
        <w:tab/>
      </w:r>
      <w:r w:rsidRPr="00793168">
        <w:fldChar w:fldCharType="begin"/>
      </w:r>
      <w:r w:rsidRPr="00793168">
        <w:instrText xml:space="preserve"> MACROBUTTON MTPlaceRef \* MERGEFORMAT </w:instrText>
      </w:r>
      <w:r w:rsidRPr="00793168">
        <w:fldChar w:fldCharType="begin"/>
      </w:r>
      <w:r w:rsidRPr="00793168">
        <w:instrText xml:space="preserve"> SEQ MTEqn \h \* MERGEFORMAT </w:instrText>
      </w:r>
      <w:r w:rsidRPr="00793168">
        <w:fldChar w:fldCharType="end"/>
      </w:r>
      <w:bookmarkStart w:id="21" w:name="ZEqnNum226778"/>
      <w:r w:rsidRPr="00793168">
        <w:instrText>(</w:instrText>
      </w:r>
      <w:r w:rsidR="00697947">
        <w:fldChar w:fldCharType="begin"/>
      </w:r>
      <w:r w:rsidR="00697947">
        <w:instrText>SEQ MTEqn \c \* Arabic \* MERGEFORMAT</w:instrText>
      </w:r>
      <w:r w:rsidR="00697947">
        <w:fldChar w:fldCharType="separate"/>
      </w:r>
      <w:r w:rsidR="00354F38">
        <w:rPr>
          <w:noProof/>
        </w:rPr>
        <w:instrText>27</w:instrText>
      </w:r>
      <w:r w:rsidR="00697947">
        <w:rPr>
          <w:noProof/>
        </w:rPr>
        <w:fldChar w:fldCharType="end"/>
      </w:r>
      <w:r w:rsidRPr="00793168">
        <w:instrText>)</w:instrText>
      </w:r>
      <w:bookmarkEnd w:id="21"/>
      <w:r w:rsidRPr="00793168">
        <w:fldChar w:fldCharType="end"/>
      </w:r>
    </w:p>
    <w:p w14:paraId="1C8142C2" w14:textId="77777777" w:rsidR="00C430F0" w:rsidRPr="004C787F" w:rsidRDefault="00C430F0" w:rsidP="00C430F0">
      <w:pPr>
        <w:pStyle w:val="Heading4"/>
      </w:pPr>
      <w:r w:rsidRPr="004C787F">
        <w:t>Production taxes and subsidies</w:t>
      </w:r>
    </w:p>
    <w:p w14:paraId="25EAD648" w14:textId="54168A83" w:rsidR="00C430F0" w:rsidRPr="004C787F" w:rsidRDefault="00C430F0" w:rsidP="00C430F0">
      <w:r w:rsidRPr="004C787F">
        <w:t xml:space="preserve">The government levies taxes on factors of production: fixed factors, capital and labour. These correspond to land tax, payroll tax and other production taxes, including motor vehicle registration taxes and licencing taxes. The government also pays subsidies to production. Total production tax paid by industry </w:t>
      </w:r>
      <w:r w:rsidR="009205EE" w:rsidRPr="009205EE">
        <w:rPr>
          <w:position w:val="-6"/>
        </w:rPr>
        <w:object w:dxaOrig="139" w:dyaOrig="260" w14:anchorId="6D449EA1">
          <v:shape id="_x0000_i1142" type="#_x0000_t75" style="width:6.6pt;height:13.2pt" o:ole="">
            <v:imagedata r:id="rId259" o:title=""/>
          </v:shape>
          <o:OLEObject Type="Embed" ProgID="Equation.DSMT4" ShapeID="_x0000_i1142" DrawAspect="Content" ObjectID="_1755515596" r:id="rId260"/>
        </w:object>
      </w:r>
      <w:r w:rsidRPr="004C787F">
        <w:t xml:space="preserve"> is the sum of</w:t>
      </w:r>
      <w:r>
        <w:t xml:space="preserve"> taxes on the fixed factor,</w:t>
      </w:r>
      <w:r w:rsidRPr="004C787F">
        <w:t xml:space="preserve"> capital and labour input minus subsidies:</w:t>
      </w:r>
    </w:p>
    <w:p w14:paraId="3D2B5EC6" w14:textId="15C3295D" w:rsidR="00C430F0" w:rsidRPr="004C787F" w:rsidRDefault="00C430F0" w:rsidP="00C430F0">
      <w:pPr>
        <w:pStyle w:val="MTDisplayEquation"/>
      </w:pPr>
      <w:r w:rsidRPr="004C787F">
        <w:tab/>
      </w:r>
      <w:r w:rsidR="009205EE" w:rsidRPr="009205EE">
        <w:rPr>
          <w:position w:val="-14"/>
        </w:rPr>
        <w:object w:dxaOrig="3260" w:dyaOrig="400" w14:anchorId="44063C2A">
          <v:shape id="_x0000_i1143" type="#_x0000_t75" style="width:162.6pt;height:20.4pt" o:ole="">
            <v:imagedata r:id="rId261" o:title=""/>
          </v:shape>
          <o:OLEObject Type="Embed" ProgID="Equation.DSMT4" ShapeID="_x0000_i1143" DrawAspect="Content" ObjectID="_1755515597" r:id="rId262"/>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r w:rsidRPr="004C787F">
        <w:instrText>(</w:instrText>
      </w:r>
      <w:r w:rsidR="00697947">
        <w:fldChar w:fldCharType="begin"/>
      </w:r>
      <w:r w:rsidR="00697947">
        <w:instrText>SEQ MTEqn \c \* Arabic \* MERGEFORMAT</w:instrText>
      </w:r>
      <w:r w:rsidR="00697947">
        <w:fldChar w:fldCharType="separate"/>
      </w:r>
      <w:r w:rsidR="00354F38">
        <w:rPr>
          <w:noProof/>
        </w:rPr>
        <w:instrText>28</w:instrText>
      </w:r>
      <w:r w:rsidR="00697947">
        <w:rPr>
          <w:noProof/>
        </w:rPr>
        <w:fldChar w:fldCharType="end"/>
      </w:r>
      <w:r w:rsidRPr="004C787F">
        <w:instrText>)</w:instrText>
      </w:r>
      <w:r w:rsidRPr="004C787F">
        <w:fldChar w:fldCharType="end"/>
      </w:r>
    </w:p>
    <w:p w14:paraId="43DFAADF" w14:textId="2553F629" w:rsidR="00C430F0" w:rsidRPr="004C787F" w:rsidRDefault="00C430F0" w:rsidP="00C430F0">
      <w:r>
        <w:t xml:space="preserve">A tax on the fixed factor input </w:t>
      </w:r>
      <w:r w:rsidRPr="004C787F">
        <w:t xml:space="preserve">is levied on the value added that is generated by the fixed factor. Fixed factors include land and mineral resources. As such, the tax rate varies by industry, reflecting land and resource rent taxes or royalties. Fixed factors notionally earn rent </w:t>
      </w:r>
      <w:r w:rsidR="009205EE" w:rsidRPr="009205EE">
        <w:rPr>
          <w:position w:val="-14"/>
        </w:rPr>
        <w:object w:dxaOrig="360" w:dyaOrig="400" w14:anchorId="499DE041">
          <v:shape id="_x0000_i1144" type="#_x0000_t75" style="width:18pt;height:20.4pt" o:ole="">
            <v:imagedata r:id="rId263" o:title=""/>
          </v:shape>
          <o:OLEObject Type="Embed" ProgID="Equation.DSMT4" ShapeID="_x0000_i1144" DrawAspect="Content" ObjectID="_1755515598" r:id="rId264"/>
        </w:object>
      </w:r>
      <w:r w:rsidRPr="004C787F">
        <w:t xml:space="preserve">. Therefore, the value added by the fixed factor is </w:t>
      </w:r>
      <w:r w:rsidR="009205EE" w:rsidRPr="009205EE">
        <w:rPr>
          <w:position w:val="-14"/>
        </w:rPr>
        <w:object w:dxaOrig="620" w:dyaOrig="400" w14:anchorId="5C217D9D">
          <v:shape id="_x0000_i1145" type="#_x0000_t75" style="width:30.6pt;height:20.4pt" o:ole="">
            <v:imagedata r:id="rId265" o:title=""/>
          </v:shape>
          <o:OLEObject Type="Embed" ProgID="Equation.DSMT4" ShapeID="_x0000_i1145" DrawAspect="Content" ObjectID="_1755515599" r:id="rId266"/>
        </w:object>
      </w:r>
      <w:r w:rsidRPr="004C787F">
        <w:t xml:space="preserve"> to which tax rate </w:t>
      </w:r>
      <w:r w:rsidR="009205EE" w:rsidRPr="009205EE">
        <w:rPr>
          <w:position w:val="-14"/>
        </w:rPr>
        <w:object w:dxaOrig="340" w:dyaOrig="400" w14:anchorId="5BB8EA3E">
          <v:shape id="_x0000_i1146" type="#_x0000_t75" style="width:17.4pt;height:20.4pt" o:ole="">
            <v:imagedata r:id="rId267" o:title=""/>
          </v:shape>
          <o:OLEObject Type="Embed" ProgID="Equation.DSMT4" ShapeID="_x0000_i1146" DrawAspect="Content" ObjectID="_1755515600" r:id="rId268"/>
        </w:object>
      </w:r>
      <w:r w:rsidRPr="004C787F">
        <w:t xml:space="preserve"> is applied. The revenue is then given by</w:t>
      </w:r>
      <w:r>
        <w:t>:</w:t>
      </w:r>
    </w:p>
    <w:p w14:paraId="76AAF7CA" w14:textId="28A8B91A" w:rsidR="00C430F0" w:rsidRPr="004C787F" w:rsidRDefault="00C430F0" w:rsidP="00C430F0">
      <w:pPr>
        <w:pStyle w:val="MTDisplayEquation"/>
      </w:pPr>
      <w:r w:rsidRPr="004C787F">
        <w:tab/>
      </w:r>
      <w:r w:rsidR="009205EE" w:rsidRPr="009205EE">
        <w:rPr>
          <w:position w:val="-14"/>
        </w:rPr>
        <w:object w:dxaOrig="1579" w:dyaOrig="400" w14:anchorId="61DA1079">
          <v:shape id="_x0000_i1147" type="#_x0000_t75" style="width:78.6pt;height:20.4pt" o:ole="">
            <v:imagedata r:id="rId269" o:title=""/>
          </v:shape>
          <o:OLEObject Type="Embed" ProgID="Equation.DSMT4" ShapeID="_x0000_i1147" DrawAspect="Content" ObjectID="_1755515601" r:id="rId270"/>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bookmarkStart w:id="22" w:name="ZEqnNum751884"/>
      <w:r w:rsidRPr="004C787F">
        <w:instrText>(</w:instrText>
      </w:r>
      <w:r w:rsidR="00697947">
        <w:fldChar w:fldCharType="begin"/>
      </w:r>
      <w:r w:rsidR="00697947">
        <w:instrText>SEQ MTEqn \c \* Arabic \* MERGEFORMAT</w:instrText>
      </w:r>
      <w:r w:rsidR="00697947">
        <w:fldChar w:fldCharType="separate"/>
      </w:r>
      <w:r w:rsidR="00354F38">
        <w:rPr>
          <w:noProof/>
        </w:rPr>
        <w:instrText>29</w:instrText>
      </w:r>
      <w:r w:rsidR="00697947">
        <w:rPr>
          <w:noProof/>
        </w:rPr>
        <w:fldChar w:fldCharType="end"/>
      </w:r>
      <w:r w:rsidRPr="004C787F">
        <w:instrText>)</w:instrText>
      </w:r>
      <w:bookmarkEnd w:id="22"/>
      <w:r w:rsidRPr="004C787F">
        <w:fldChar w:fldCharType="end"/>
      </w:r>
    </w:p>
    <w:p w14:paraId="17F0E4DD" w14:textId="77777777" w:rsidR="00C430F0" w:rsidRPr="004C787F" w:rsidRDefault="00C430F0" w:rsidP="00C430F0">
      <w:r w:rsidRPr="004C787F">
        <w:t>Payroll tax is levied on the compensation of employees and is applied as an industry</w:t>
      </w:r>
      <w:r w:rsidRPr="004C787F">
        <w:noBreakHyphen/>
        <w:t>wide rate:</w:t>
      </w:r>
    </w:p>
    <w:p w14:paraId="0F88BC18" w14:textId="3B0C1128" w:rsidR="00C430F0" w:rsidRPr="004C787F" w:rsidRDefault="00C430F0" w:rsidP="00C430F0">
      <w:pPr>
        <w:pStyle w:val="MTDisplayEquation"/>
      </w:pPr>
      <w:r w:rsidRPr="004C787F">
        <w:tab/>
      </w:r>
      <w:r w:rsidR="009205EE" w:rsidRPr="009205EE">
        <w:rPr>
          <w:position w:val="-14"/>
        </w:rPr>
        <w:object w:dxaOrig="1500" w:dyaOrig="400" w14:anchorId="75DFD70A">
          <v:shape id="_x0000_i1148" type="#_x0000_t75" style="width:75pt;height:20.4pt" o:ole="">
            <v:imagedata r:id="rId271" o:title=""/>
          </v:shape>
          <o:OLEObject Type="Embed" ProgID="Equation.DSMT4" ShapeID="_x0000_i1148" DrawAspect="Content" ObjectID="_1755515602" r:id="rId272"/>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bookmarkStart w:id="23" w:name="ZEqnNum743448"/>
      <w:r w:rsidRPr="004C787F">
        <w:instrText>(</w:instrText>
      </w:r>
      <w:r w:rsidR="00697947">
        <w:fldChar w:fldCharType="begin"/>
      </w:r>
      <w:r w:rsidR="00697947">
        <w:instrText>SEQ MTEqn \c \* Arabic \* MERGEFORMAT</w:instrText>
      </w:r>
      <w:r w:rsidR="00697947">
        <w:fldChar w:fldCharType="separate"/>
      </w:r>
      <w:r w:rsidR="00354F38">
        <w:rPr>
          <w:noProof/>
        </w:rPr>
        <w:instrText>30</w:instrText>
      </w:r>
      <w:r w:rsidR="00697947">
        <w:rPr>
          <w:noProof/>
        </w:rPr>
        <w:fldChar w:fldCharType="end"/>
      </w:r>
      <w:r w:rsidRPr="004C787F">
        <w:instrText>)</w:instrText>
      </w:r>
      <w:bookmarkEnd w:id="23"/>
      <w:r w:rsidRPr="004C787F">
        <w:fldChar w:fldCharType="end"/>
      </w:r>
    </w:p>
    <w:p w14:paraId="0BA494FA" w14:textId="77777777" w:rsidR="00C430F0" w:rsidRPr="004C787F" w:rsidRDefault="00C430F0" w:rsidP="00C430F0">
      <w:r w:rsidRPr="004C787F">
        <w:t>Production taxes on capital are applied to the current replacement value of capital, given by the investment price:</w:t>
      </w:r>
    </w:p>
    <w:p w14:paraId="43F3ED66" w14:textId="708880D5" w:rsidR="00C430F0" w:rsidRPr="004C787F" w:rsidRDefault="00C430F0" w:rsidP="00C430F0">
      <w:pPr>
        <w:pStyle w:val="MTDisplayEquation"/>
      </w:pPr>
      <w:r w:rsidRPr="004C787F">
        <w:tab/>
      </w:r>
      <w:r w:rsidR="009205EE" w:rsidRPr="009205EE">
        <w:rPr>
          <w:position w:val="-14"/>
        </w:rPr>
        <w:object w:dxaOrig="1560" w:dyaOrig="400" w14:anchorId="39D59EF9">
          <v:shape id="_x0000_i1149" type="#_x0000_t75" style="width:78pt;height:20.4pt" o:ole="">
            <v:imagedata r:id="rId273" o:title=""/>
          </v:shape>
          <o:OLEObject Type="Embed" ProgID="Equation.DSMT4" ShapeID="_x0000_i1149" DrawAspect="Content" ObjectID="_1755515603" r:id="rId274"/>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bookmarkStart w:id="24" w:name="ZEqnNum644061"/>
      <w:r w:rsidRPr="004C787F">
        <w:instrText>(</w:instrText>
      </w:r>
      <w:r w:rsidR="00697947">
        <w:fldChar w:fldCharType="begin"/>
      </w:r>
      <w:r w:rsidR="00697947">
        <w:instrText>SEQ MTEqn \c \* Arabic \* MERGEFORMAT</w:instrText>
      </w:r>
      <w:r w:rsidR="00697947">
        <w:fldChar w:fldCharType="separate"/>
      </w:r>
      <w:r w:rsidR="00354F38">
        <w:rPr>
          <w:noProof/>
        </w:rPr>
        <w:instrText>31</w:instrText>
      </w:r>
      <w:r w:rsidR="00697947">
        <w:rPr>
          <w:noProof/>
        </w:rPr>
        <w:fldChar w:fldCharType="end"/>
      </w:r>
      <w:r w:rsidRPr="004C787F">
        <w:instrText>)</w:instrText>
      </w:r>
      <w:bookmarkEnd w:id="24"/>
      <w:r w:rsidRPr="004C787F">
        <w:fldChar w:fldCharType="end"/>
      </w:r>
    </w:p>
    <w:p w14:paraId="1724EC6D" w14:textId="77777777" w:rsidR="009205EE" w:rsidRDefault="009205EE" w:rsidP="00C430F0"/>
    <w:p w14:paraId="7FE72CD4" w14:textId="235F3946" w:rsidR="00C430F0" w:rsidRPr="004C787F" w:rsidRDefault="00C430F0" w:rsidP="00C430F0">
      <w:r w:rsidRPr="004C787F">
        <w:t>Subsidies are received ad valorem to the value of output and given by:</w:t>
      </w:r>
    </w:p>
    <w:p w14:paraId="62AFCBDB" w14:textId="5E3A2E65" w:rsidR="00C430F0" w:rsidRPr="004C787F" w:rsidRDefault="00C430F0" w:rsidP="00C430F0">
      <w:pPr>
        <w:pStyle w:val="MTDisplayEquation"/>
      </w:pPr>
      <w:r w:rsidRPr="004C787F">
        <w:tab/>
      </w:r>
      <w:r w:rsidR="009205EE" w:rsidRPr="009205EE">
        <w:rPr>
          <w:position w:val="-14"/>
        </w:rPr>
        <w:object w:dxaOrig="1719" w:dyaOrig="400" w14:anchorId="6F7592E0">
          <v:shape id="_x0000_i1150" type="#_x0000_t75" style="width:85.8pt;height:20.4pt" o:ole="">
            <v:imagedata r:id="rId275" o:title=""/>
          </v:shape>
          <o:OLEObject Type="Embed" ProgID="Equation.DSMT4" ShapeID="_x0000_i1150" DrawAspect="Content" ObjectID="_1755515604" r:id="rId276"/>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bookmarkStart w:id="25" w:name="ZEqnNum473106"/>
      <w:r w:rsidRPr="004C787F">
        <w:instrText>(</w:instrText>
      </w:r>
      <w:r w:rsidR="00697947">
        <w:fldChar w:fldCharType="begin"/>
      </w:r>
      <w:r w:rsidR="00697947">
        <w:instrText>SEQ MTEqn \c \* Arabic \* MERGEFORMAT</w:instrText>
      </w:r>
      <w:r w:rsidR="00697947">
        <w:fldChar w:fldCharType="separate"/>
      </w:r>
      <w:r w:rsidR="00354F38">
        <w:rPr>
          <w:noProof/>
        </w:rPr>
        <w:instrText>32</w:instrText>
      </w:r>
      <w:r w:rsidR="00697947">
        <w:rPr>
          <w:noProof/>
        </w:rPr>
        <w:fldChar w:fldCharType="end"/>
      </w:r>
      <w:r w:rsidRPr="004C787F">
        <w:instrText>)</w:instrText>
      </w:r>
      <w:bookmarkEnd w:id="25"/>
      <w:r w:rsidRPr="004C787F">
        <w:fldChar w:fldCharType="end"/>
      </w:r>
    </w:p>
    <w:p w14:paraId="0D2C80BB" w14:textId="77777777" w:rsidR="00C430F0" w:rsidRPr="004C787F" w:rsidRDefault="00C430F0" w:rsidP="00C430F0">
      <w:pPr>
        <w:pStyle w:val="Heading4"/>
      </w:pPr>
      <w:r w:rsidRPr="004C787F">
        <w:t>Firm’s budget constraint</w:t>
      </w:r>
    </w:p>
    <w:p w14:paraId="7F53362F" w14:textId="77777777" w:rsidR="00C430F0" w:rsidRPr="004C787F" w:rsidRDefault="00C430F0" w:rsidP="00C430F0">
      <w:r w:rsidRPr="004C787F">
        <w:t>The firm’s flow budget constraint is:</w:t>
      </w:r>
    </w:p>
    <w:p w14:paraId="3652A861" w14:textId="08DB0260" w:rsidR="00C430F0" w:rsidRPr="004C787F" w:rsidRDefault="00C430F0" w:rsidP="00C430F0">
      <w:pPr>
        <w:pStyle w:val="MTDisplayEquation"/>
      </w:pPr>
      <w:r w:rsidRPr="004C787F">
        <w:tab/>
      </w:r>
      <w:r w:rsidR="009205EE" w:rsidRPr="009205EE">
        <w:rPr>
          <w:position w:val="-14"/>
        </w:rPr>
        <w:object w:dxaOrig="6180" w:dyaOrig="400" w14:anchorId="334F42D7">
          <v:shape id="_x0000_i1151" type="#_x0000_t75" style="width:309pt;height:20.4pt" o:ole="">
            <v:imagedata r:id="rId277" o:title=""/>
          </v:shape>
          <o:OLEObject Type="Embed" ProgID="Equation.DSMT4" ShapeID="_x0000_i1151" DrawAspect="Content" ObjectID="_1755515605" r:id="rId278"/>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bookmarkStart w:id="26" w:name="ZEqnNum239683"/>
      <w:r w:rsidRPr="004C787F">
        <w:instrText>(</w:instrText>
      </w:r>
      <w:r w:rsidR="00697947">
        <w:fldChar w:fldCharType="begin"/>
      </w:r>
      <w:r w:rsidR="00697947">
        <w:instrText>SEQ MTEqn \c \</w:instrText>
      </w:r>
      <w:r w:rsidR="00697947">
        <w:instrText>* Arabic \* MERGEFORMAT</w:instrText>
      </w:r>
      <w:r w:rsidR="00697947">
        <w:fldChar w:fldCharType="separate"/>
      </w:r>
      <w:r w:rsidR="00354F38">
        <w:rPr>
          <w:noProof/>
        </w:rPr>
        <w:instrText>33</w:instrText>
      </w:r>
      <w:r w:rsidR="00697947">
        <w:rPr>
          <w:noProof/>
        </w:rPr>
        <w:fldChar w:fldCharType="end"/>
      </w:r>
      <w:r w:rsidRPr="004C787F">
        <w:instrText>)</w:instrText>
      </w:r>
      <w:bookmarkEnd w:id="26"/>
      <w:r w:rsidRPr="004C787F">
        <w:fldChar w:fldCharType="end"/>
      </w:r>
    </w:p>
    <w:p w14:paraId="1C125C18" w14:textId="504E48A7" w:rsidR="00C430F0" w:rsidRPr="004C787F" w:rsidRDefault="00C430F0" w:rsidP="00C430F0">
      <w:r w:rsidRPr="004C787F">
        <w:t xml:space="preserve">where </w:t>
      </w:r>
      <w:r w:rsidR="009205EE" w:rsidRPr="009205EE">
        <w:rPr>
          <w:position w:val="-12"/>
        </w:rPr>
        <w:object w:dxaOrig="279" w:dyaOrig="380" w14:anchorId="54391BA9">
          <v:shape id="_x0000_i1152" type="#_x0000_t75" style="width:13.8pt;height:18.6pt" o:ole="">
            <v:imagedata r:id="rId279" o:title=""/>
          </v:shape>
          <o:OLEObject Type="Embed" ProgID="Equation.DSMT4" ShapeID="_x0000_i1152" DrawAspect="Content" ObjectID="_1755515606" r:id="rId280"/>
        </w:object>
      </w:r>
      <w:r w:rsidRPr="004C787F">
        <w:t xml:space="preserve"> is the effective company income tax rate levied on the firm’s net operating surplus – that is, the gross value of output, less compensation of employees, cost of intermediate inputs, depreciation allowance and production taxes. TIM assumes the firm can deduct depreciation at the economic rate of depreciation and current investment price. The net cash flow from firms to shareholders, </w:t>
      </w:r>
      <w:r w:rsidR="009205EE" w:rsidRPr="009205EE">
        <w:rPr>
          <w:position w:val="-14"/>
        </w:rPr>
        <w:object w:dxaOrig="320" w:dyaOrig="380" w14:anchorId="74D1DC75">
          <v:shape id="_x0000_i1153" type="#_x0000_t75" style="width:16.2pt;height:18.6pt" o:ole="">
            <v:imagedata r:id="rId281" o:title=""/>
          </v:shape>
          <o:OLEObject Type="Embed" ProgID="Equation.DSMT4" ShapeID="_x0000_i1153" DrawAspect="Content" ObjectID="_1755515607" r:id="rId282"/>
        </w:object>
      </w:r>
      <w:r w:rsidRPr="004C787F">
        <w:t>, is the residual of the firm’s after</w:t>
      </w:r>
      <w:r w:rsidRPr="004C787F">
        <w:noBreakHyphen/>
        <w:t>tax net operating surplus less the cost of investment.</w:t>
      </w:r>
    </w:p>
    <w:p w14:paraId="0763C9CE" w14:textId="77777777" w:rsidR="00C430F0" w:rsidRPr="004C787F" w:rsidRDefault="00C430F0" w:rsidP="00C430F0">
      <w:pPr>
        <w:pStyle w:val="Heading4"/>
      </w:pPr>
      <w:r w:rsidRPr="004C787F">
        <w:t>Firm’s objective</w:t>
      </w:r>
    </w:p>
    <w:p w14:paraId="1A41A972" w14:textId="543B1437" w:rsidR="00C430F0" w:rsidRPr="004C787F" w:rsidRDefault="00C430F0" w:rsidP="00C430F0">
      <w:r w:rsidRPr="004C787F">
        <w:t xml:space="preserve">The firm’s objective is to maximise its equity value, </w:t>
      </w:r>
      <w:r w:rsidR="009205EE" w:rsidRPr="009205EE">
        <w:rPr>
          <w:position w:val="-14"/>
        </w:rPr>
        <w:object w:dxaOrig="300" w:dyaOrig="380" w14:anchorId="1A840127">
          <v:shape id="_x0000_i1154" type="#_x0000_t75" style="width:15pt;height:18.6pt" o:ole="">
            <v:imagedata r:id="rId283" o:title=""/>
          </v:shape>
          <o:OLEObject Type="Embed" ProgID="Equation.DSMT4" ShapeID="_x0000_i1154" DrawAspect="Content" ObjectID="_1755515608" r:id="rId284"/>
        </w:object>
      </w:r>
      <w:r w:rsidRPr="004C787F">
        <w:t xml:space="preserve"> (equatio</w:t>
      </w:r>
      <w:r w:rsidRPr="00641FEF">
        <w:t xml:space="preserve">n </w:t>
      </w:r>
      <w:r w:rsidRPr="000B10F8">
        <w:fldChar w:fldCharType="begin"/>
      </w:r>
      <w:r w:rsidRPr="000B10F8">
        <w:instrText xml:space="preserve"> GOTOBUTTON ZEqnNum226778  \* MERGEFORMAT </w:instrText>
      </w:r>
      <w:r w:rsidR="00354F38" w:rsidRPr="00793168">
        <w:instrText>(</w:instrText>
      </w:r>
      <w:r w:rsidR="00354F38">
        <w:instrText>27</w:instrText>
      </w:r>
      <w:r w:rsidR="00354F38" w:rsidRPr="00793168">
        <w:instrText>)</w:instrText>
      </w:r>
      <w:r w:rsidRPr="000B10F8">
        <w:fldChar w:fldCharType="end"/>
      </w:r>
      <w:r w:rsidRPr="00641FEF">
        <w:t>), by choosing</w:t>
      </w:r>
      <w:r w:rsidRPr="004C787F">
        <w:t xml:space="preserve"> labour, intermediate input commodities, investment commodities and the share of output allocated to each commodity. These choices determine gross output and output of each commodity using the production </w:t>
      </w:r>
      <w:r w:rsidRPr="008A1754">
        <w:t xml:space="preserve">technologies in </w:t>
      </w:r>
      <w:r w:rsidRPr="000B10F8">
        <w:t xml:space="preserve">equations </w:t>
      </w:r>
      <w:r w:rsidRPr="000B10F8">
        <w:fldChar w:fldCharType="begin"/>
      </w:r>
      <w:r w:rsidRPr="000B10F8">
        <w:instrText xml:space="preserve"> GOTOBUTTON ZEqnNum467915  \* MERGEFORMAT </w:instrText>
      </w:r>
      <w:r w:rsidR="00354F38" w:rsidRPr="004C787F">
        <w:instrText>(</w:instrText>
      </w:r>
      <w:r w:rsidR="00354F38">
        <w:instrText>12</w:instrText>
      </w:r>
      <w:r w:rsidR="00354F38" w:rsidRPr="004C787F">
        <w:instrText>)</w:instrText>
      </w:r>
      <w:r w:rsidRPr="000B10F8">
        <w:fldChar w:fldCharType="end"/>
      </w:r>
      <w:r w:rsidRPr="000B10F8">
        <w:t xml:space="preserve">, </w:t>
      </w:r>
      <w:r w:rsidRPr="000B10F8">
        <w:fldChar w:fldCharType="begin"/>
      </w:r>
      <w:r w:rsidRPr="000B10F8">
        <w:instrText xml:space="preserve"> GOTOBUTTON ZEqnNum429596  \* MERGEFORMAT </w:instrText>
      </w:r>
      <w:r w:rsidR="00354F38" w:rsidRPr="004C787F">
        <w:instrText>(</w:instrText>
      </w:r>
      <w:r w:rsidR="00354F38">
        <w:instrText>14</w:instrText>
      </w:r>
      <w:r w:rsidR="00354F38" w:rsidRPr="004C787F">
        <w:instrText>)</w:instrText>
      </w:r>
      <w:r w:rsidRPr="000B10F8">
        <w:fldChar w:fldCharType="end"/>
      </w:r>
      <w:r w:rsidRPr="000B10F8">
        <w:t xml:space="preserve">, </w:t>
      </w:r>
      <w:r w:rsidRPr="000B10F8">
        <w:fldChar w:fldCharType="begin"/>
      </w:r>
      <w:r w:rsidRPr="000B10F8">
        <w:instrText xml:space="preserve"> GOTOBUTTON ZEqnNum701378  \* MERGEFORMAT </w:instrText>
      </w:r>
      <w:r w:rsidR="00354F38" w:rsidRPr="004C787F">
        <w:instrText>(</w:instrText>
      </w:r>
      <w:r w:rsidR="00354F38">
        <w:instrText>15</w:instrText>
      </w:r>
      <w:r w:rsidR="00354F38" w:rsidRPr="004C787F">
        <w:instrText>)</w:instrText>
      </w:r>
      <w:r w:rsidRPr="000B10F8">
        <w:fldChar w:fldCharType="end"/>
      </w:r>
      <w:r w:rsidRPr="000B10F8">
        <w:t xml:space="preserve">, </w:t>
      </w:r>
      <w:r w:rsidRPr="000B10F8">
        <w:fldChar w:fldCharType="begin"/>
      </w:r>
      <w:r w:rsidRPr="000B10F8">
        <w:instrText xml:space="preserve"> GOTOBUTTON ZEqnNum613755  \* MERGEFORMAT </w:instrText>
      </w:r>
      <w:r w:rsidR="00354F38" w:rsidRPr="004C787F">
        <w:instrText>(</w:instrText>
      </w:r>
      <w:r w:rsidR="00354F38">
        <w:instrText>16</w:instrText>
      </w:r>
      <w:r w:rsidR="00354F38" w:rsidRPr="004C787F">
        <w:instrText>)</w:instrText>
      </w:r>
      <w:r w:rsidRPr="000B10F8">
        <w:fldChar w:fldCharType="end"/>
      </w:r>
      <w:r w:rsidRPr="000B10F8">
        <w:t xml:space="preserve">, </w:t>
      </w:r>
      <w:r w:rsidRPr="000B10F8">
        <w:fldChar w:fldCharType="begin"/>
      </w:r>
      <w:r w:rsidRPr="000B10F8">
        <w:instrText xml:space="preserve"> GOTOBUTTON ZEqnNum372877  \* MERGEFORMAT </w:instrText>
      </w:r>
      <w:r w:rsidR="00354F38" w:rsidRPr="004C787F">
        <w:instrText>(</w:instrText>
      </w:r>
      <w:r w:rsidR="00354F38">
        <w:instrText>18</w:instrText>
      </w:r>
      <w:r w:rsidR="00354F38" w:rsidRPr="004C787F">
        <w:instrText>)</w:instrText>
      </w:r>
      <w:r w:rsidRPr="000B10F8">
        <w:fldChar w:fldCharType="end"/>
      </w:r>
      <w:r w:rsidRPr="000B10F8">
        <w:t xml:space="preserve">, </w:t>
      </w:r>
      <w:r w:rsidRPr="000B10F8">
        <w:fldChar w:fldCharType="begin"/>
      </w:r>
      <w:r w:rsidRPr="000B10F8">
        <w:instrText xml:space="preserve"> GOTOBUTTON ZEqnNum548669  \* MERGEFORMAT </w:instrText>
      </w:r>
      <w:r w:rsidR="00354F38" w:rsidRPr="004C787F">
        <w:instrText>(</w:instrText>
      </w:r>
      <w:r w:rsidR="00354F38">
        <w:instrText>19</w:instrText>
      </w:r>
      <w:r w:rsidR="00354F38" w:rsidRPr="004C787F">
        <w:instrText>)</w:instrText>
      </w:r>
      <w:r w:rsidRPr="000B10F8">
        <w:fldChar w:fldCharType="end"/>
      </w:r>
      <w:r w:rsidRPr="000B10F8">
        <w:t xml:space="preserve">, </w:t>
      </w:r>
      <w:r w:rsidRPr="000B10F8">
        <w:fldChar w:fldCharType="begin"/>
      </w:r>
      <w:r w:rsidRPr="000B10F8">
        <w:instrText xml:space="preserve"> GOTOBUTTON ZEqnNum563784  \* MERGEFORMAT </w:instrText>
      </w:r>
      <w:r w:rsidR="00354F38" w:rsidRPr="004C787F">
        <w:instrText>(</w:instrText>
      </w:r>
      <w:r w:rsidR="00354F38">
        <w:instrText>21</w:instrText>
      </w:r>
      <w:r w:rsidR="00354F38" w:rsidRPr="004C787F">
        <w:instrText>)</w:instrText>
      </w:r>
      <w:r w:rsidRPr="000B10F8">
        <w:fldChar w:fldCharType="end"/>
      </w:r>
      <w:r w:rsidRPr="000B10F8">
        <w:t xml:space="preserve"> and </w:t>
      </w:r>
      <w:r w:rsidRPr="000B10F8">
        <w:fldChar w:fldCharType="begin"/>
      </w:r>
      <w:r w:rsidRPr="000B10F8">
        <w:instrText xml:space="preserve"> GOTOBUTTON ZEqnNum368333  \* MERGEFORMAT </w:instrText>
      </w:r>
      <w:r w:rsidR="00354F38" w:rsidRPr="00354F38">
        <w:instrText>(22)</w:instrText>
      </w:r>
      <w:r w:rsidRPr="000B10F8">
        <w:fldChar w:fldCharType="end"/>
      </w:r>
      <w:r w:rsidRPr="000B10F8">
        <w:t>.</w:t>
      </w:r>
      <w:r w:rsidRPr="008A1754">
        <w:t xml:space="preserve"> This further determines the firm’s tax liabilities in equations </w:t>
      </w:r>
      <w:r w:rsidRPr="000B10F8">
        <w:rPr>
          <w:iCs/>
        </w:rPr>
        <w:fldChar w:fldCharType="begin"/>
      </w:r>
      <w:r w:rsidRPr="000B10F8">
        <w:rPr>
          <w:iCs/>
        </w:rPr>
        <w:instrText xml:space="preserve"> GOTOBUTTON ZEqnNum751884  \* MERGEFORMAT </w:instrText>
      </w:r>
      <w:r w:rsidR="00354F38" w:rsidRPr="00354F38">
        <w:rPr>
          <w:iCs/>
        </w:rPr>
        <w:instrText>(29)</w:instrText>
      </w:r>
      <w:r w:rsidRPr="000B10F8">
        <w:rPr>
          <w:iCs/>
        </w:rPr>
        <w:fldChar w:fldCharType="end"/>
      </w:r>
      <w:r w:rsidRPr="000B10F8">
        <w:t xml:space="preserve">, </w:t>
      </w:r>
      <w:r w:rsidRPr="000B10F8">
        <w:rPr>
          <w:iCs/>
        </w:rPr>
        <w:fldChar w:fldCharType="begin"/>
      </w:r>
      <w:r w:rsidRPr="000B10F8">
        <w:rPr>
          <w:iCs/>
        </w:rPr>
        <w:instrText xml:space="preserve"> GOTOBUTTON ZEqnNum743448  \* MERGEFORMAT </w:instrText>
      </w:r>
      <w:r w:rsidR="00354F38" w:rsidRPr="00354F38">
        <w:rPr>
          <w:iCs/>
        </w:rPr>
        <w:instrText>(30)</w:instrText>
      </w:r>
      <w:r w:rsidRPr="000B10F8">
        <w:rPr>
          <w:iCs/>
        </w:rPr>
        <w:fldChar w:fldCharType="end"/>
      </w:r>
      <w:r w:rsidRPr="000B10F8">
        <w:t xml:space="preserve">, </w:t>
      </w:r>
      <w:r w:rsidRPr="000B10F8">
        <w:rPr>
          <w:iCs/>
        </w:rPr>
        <w:fldChar w:fldCharType="begin"/>
      </w:r>
      <w:r w:rsidRPr="000B10F8">
        <w:rPr>
          <w:iCs/>
        </w:rPr>
        <w:instrText xml:space="preserve"> GOTOBUTTON ZEqnNum644061  \* MERGEFORMAT </w:instrText>
      </w:r>
      <w:r w:rsidR="00354F38" w:rsidRPr="00354F38">
        <w:rPr>
          <w:iCs/>
        </w:rPr>
        <w:instrText>(31)</w:instrText>
      </w:r>
      <w:r w:rsidRPr="000B10F8">
        <w:rPr>
          <w:iCs/>
        </w:rPr>
        <w:fldChar w:fldCharType="end"/>
      </w:r>
      <w:r w:rsidRPr="000B10F8">
        <w:t xml:space="preserve"> and </w:t>
      </w:r>
      <w:r w:rsidRPr="000B10F8">
        <w:rPr>
          <w:iCs/>
        </w:rPr>
        <w:fldChar w:fldCharType="begin"/>
      </w:r>
      <w:r w:rsidRPr="000B10F8">
        <w:rPr>
          <w:iCs/>
        </w:rPr>
        <w:instrText xml:space="preserve"> GOTOBUTTON ZEqnNum473106  \* MERGEFORMAT </w:instrText>
      </w:r>
      <w:r w:rsidR="00354F38" w:rsidRPr="00354F38">
        <w:rPr>
          <w:iCs/>
        </w:rPr>
        <w:instrText>(32)</w:instrText>
      </w:r>
      <w:r w:rsidRPr="000B10F8">
        <w:rPr>
          <w:iCs/>
        </w:rPr>
        <w:fldChar w:fldCharType="end"/>
      </w:r>
      <w:r w:rsidRPr="008A1754">
        <w:t>, and the firm’s</w:t>
      </w:r>
      <w:r w:rsidRPr="004C787F">
        <w:t xml:space="preserve"> net cash flow and value. Firms take the prices of inputs and outputs as given when making these choices.</w:t>
      </w:r>
    </w:p>
    <w:p w14:paraId="640E4A70" w14:textId="77777777" w:rsidR="00C430F0" w:rsidRPr="004C787F" w:rsidRDefault="00C430F0" w:rsidP="00C430F0">
      <w:pPr>
        <w:pStyle w:val="Heading3"/>
      </w:pPr>
      <w:r w:rsidRPr="004C787F">
        <w:t xml:space="preserve">Firms: </w:t>
      </w:r>
      <w:r w:rsidRPr="00F47D01">
        <w:t>Distribution</w:t>
      </w:r>
      <w:r w:rsidRPr="004C787F">
        <w:t xml:space="preserve"> sector</w:t>
      </w:r>
    </w:p>
    <w:p w14:paraId="134A843B" w14:textId="77777777" w:rsidR="00C430F0" w:rsidRPr="004C787F" w:rsidRDefault="00C430F0" w:rsidP="00C430F0">
      <w:pPr>
        <w:rPr>
          <w:lang w:val="en-US"/>
        </w:rPr>
      </w:pPr>
      <w:r w:rsidRPr="004C787F">
        <w:rPr>
          <w:lang w:val="en-US"/>
        </w:rPr>
        <w:t xml:space="preserve">TIM captures key </w:t>
      </w:r>
      <w:r w:rsidRPr="004C787F">
        <w:t xml:space="preserve">complexities in how output from firms and the ROW reaches </w:t>
      </w:r>
      <w:r w:rsidRPr="004C787F">
        <w:rPr>
          <w:iCs/>
        </w:rPr>
        <w:t>users</w:t>
      </w:r>
      <w:r w:rsidRPr="004C787F">
        <w:t xml:space="preserve">. </w:t>
      </w:r>
      <w:r w:rsidRPr="004C787F">
        <w:rPr>
          <w:lang w:val="en-US"/>
        </w:rPr>
        <w:t xml:space="preserve">TIM’s notional distribution sector attempts to embody this complexity and simplify its exposition. The modelled distribution of commodities to different </w:t>
      </w:r>
      <w:r w:rsidRPr="004C787F">
        <w:rPr>
          <w:iCs/>
          <w:lang w:val="en-US"/>
        </w:rPr>
        <w:t>users</w:t>
      </w:r>
      <w:r w:rsidRPr="004C787F">
        <w:rPr>
          <w:lang w:val="en-US"/>
        </w:rPr>
        <w:t xml:space="preserve"> is the same in structure, but the parameterisation varies by commodity and use.</w:t>
      </w:r>
    </w:p>
    <w:p w14:paraId="2CBF813C" w14:textId="77777777" w:rsidR="00C430F0" w:rsidRPr="004C787F" w:rsidRDefault="00C430F0" w:rsidP="00C430F0">
      <w:pPr>
        <w:pStyle w:val="Heading4"/>
      </w:pPr>
      <w:r w:rsidRPr="004C787F">
        <w:t>Margins</w:t>
      </w:r>
    </w:p>
    <w:p w14:paraId="49CD9E4F" w14:textId="77777777" w:rsidR="00C430F0" w:rsidRPr="004C787F" w:rsidRDefault="00C430F0" w:rsidP="00C430F0">
      <w:pPr>
        <w:rPr>
          <w:lang w:val="en-US"/>
        </w:rPr>
      </w:pPr>
      <w:r w:rsidRPr="004C787F">
        <w:rPr>
          <w:lang w:val="en-US"/>
        </w:rPr>
        <w:t>In any economy, some commodities are used for the distribution of other goods and services from their production location to their final</w:t>
      </w:r>
      <w:r w:rsidRPr="004C787F">
        <w:rPr>
          <w:lang w:val="en-US"/>
        </w:rPr>
        <w:noBreakHyphen/>
        <w:t>use location. For example, when households purchase fresh produce from the supermarket, transportation, wholesale trade and retail trade services are consumed in making these goods available for purchase and distributing them from the farm gate. In the literature, these intermediate goods and services are referred to as margins.</w:t>
      </w:r>
      <w:r w:rsidRPr="004C787F">
        <w:rPr>
          <w:sz w:val="18"/>
          <w:vertAlign w:val="superscript"/>
          <w:lang w:val="en-US"/>
        </w:rPr>
        <w:footnoteReference w:id="20"/>
      </w:r>
    </w:p>
    <w:p w14:paraId="703F096C" w14:textId="3957F9A0" w:rsidR="00C430F0" w:rsidRPr="00791836" w:rsidRDefault="00C430F0" w:rsidP="00C430F0">
      <w:r w:rsidRPr="004C787F">
        <w:rPr>
          <w:lang w:val="en-US"/>
        </w:rPr>
        <w:t>Margins are effectively an intermediate input used in distribution. However, they are modelled separately from intermediate inputs used in producing other commodities. Unlike intermediate inputs used in production</w:t>
      </w:r>
      <w:r>
        <w:rPr>
          <w:lang w:val="en-US"/>
        </w:rPr>
        <w:t>,</w:t>
      </w:r>
      <w:r w:rsidRPr="004C787F">
        <w:rPr>
          <w:lang w:val="en-US"/>
        </w:rPr>
        <w:t xml:space="preserve"> which are substitutable with other inputs, margin commodities are used in fixed proportions,</w:t>
      </w:r>
      <w:r w:rsidRPr="004C787F">
        <w:t xml:space="preserve"> </w:t>
      </w:r>
      <w:r w:rsidR="009205EE" w:rsidRPr="009205EE">
        <w:rPr>
          <w:position w:val="-14"/>
        </w:rPr>
        <w:object w:dxaOrig="400" w:dyaOrig="400" w14:anchorId="05F8D819">
          <v:shape id="_x0000_i1155" type="#_x0000_t75" style="width:20.4pt;height:20.4pt" o:ole="">
            <v:imagedata r:id="rId285" o:title=""/>
          </v:shape>
          <o:OLEObject Type="Embed" ProgID="Equation.DSMT4" ShapeID="_x0000_i1155" DrawAspect="Content" ObjectID="_1755515609" r:id="rId286"/>
        </w:object>
      </w:r>
      <w:r w:rsidRPr="004C787F">
        <w:t xml:space="preserve">. The proportions are dependent on the </w:t>
      </w:r>
      <w:r w:rsidRPr="004C787F">
        <w:rPr>
          <w:lang w:val="en-US"/>
        </w:rPr>
        <w:t xml:space="preserve">commodity being distributed and the use </w:t>
      </w:r>
      <w:r w:rsidRPr="004C787F">
        <w:t>of the commodity, such that:</w:t>
      </w:r>
    </w:p>
    <w:p w14:paraId="3D597470" w14:textId="7552C529" w:rsidR="00C430F0" w:rsidRPr="004C787F" w:rsidRDefault="00C430F0" w:rsidP="00C430F0">
      <w:pPr>
        <w:pStyle w:val="MTDisplayEquation"/>
      </w:pPr>
      <w:r w:rsidRPr="004C787F">
        <w:tab/>
      </w:r>
      <w:r w:rsidR="009205EE" w:rsidRPr="009205EE">
        <w:rPr>
          <w:position w:val="-28"/>
        </w:rPr>
        <w:object w:dxaOrig="5820" w:dyaOrig="540" w14:anchorId="48FBD945">
          <v:shape id="_x0000_i1156" type="#_x0000_t75" style="width:291pt;height:27pt" o:ole="">
            <v:imagedata r:id="rId287" o:title=""/>
          </v:shape>
          <o:OLEObject Type="Embed" ProgID="Equation.DSMT4" ShapeID="_x0000_i1156" DrawAspect="Content" ObjectID="_1755515610" r:id="rId288"/>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r w:rsidRPr="004C787F">
        <w:instrText>(</w:instrText>
      </w:r>
      <w:r w:rsidR="00697947">
        <w:fldChar w:fldCharType="begin"/>
      </w:r>
      <w:r w:rsidR="00697947">
        <w:instrText>SEQ MTEqn \c \* Arabic \* MERGEFORMAT</w:instrText>
      </w:r>
      <w:r w:rsidR="00697947">
        <w:fldChar w:fldCharType="separate"/>
      </w:r>
      <w:r w:rsidR="00354F38">
        <w:rPr>
          <w:noProof/>
        </w:rPr>
        <w:instrText>34</w:instrText>
      </w:r>
      <w:r w:rsidR="00697947">
        <w:rPr>
          <w:noProof/>
        </w:rPr>
        <w:fldChar w:fldCharType="end"/>
      </w:r>
      <w:r w:rsidRPr="004C787F">
        <w:instrText>)</w:instrText>
      </w:r>
      <w:r w:rsidRPr="004C787F">
        <w:fldChar w:fldCharType="end"/>
      </w:r>
    </w:p>
    <w:p w14:paraId="2BD4BE70" w14:textId="7B5A2A35" w:rsidR="00C430F0" w:rsidRPr="004C787F" w:rsidRDefault="00C430F0" w:rsidP="00C430F0">
      <w:pPr>
        <w:spacing w:before="0"/>
        <w:rPr>
          <w:lang w:val="en-US"/>
        </w:rPr>
      </w:pPr>
      <w:r w:rsidRPr="004C787F">
        <w:rPr>
          <w:lang w:val="en-US"/>
        </w:rPr>
        <w:t xml:space="preserve">where </w:t>
      </w:r>
      <w:r w:rsidR="009205EE" w:rsidRPr="009205EE">
        <w:rPr>
          <w:position w:val="-14"/>
        </w:rPr>
        <w:object w:dxaOrig="600" w:dyaOrig="380" w14:anchorId="66B77209">
          <v:shape id="_x0000_i1157" type="#_x0000_t75" style="width:30pt;height:18.6pt" o:ole="">
            <v:imagedata r:id="rId289" o:title=""/>
          </v:shape>
          <o:OLEObject Type="Embed" ProgID="Equation.DSMT4" ShapeID="_x0000_i1157" DrawAspect="Content" ObjectID="_1755515611" r:id="rId290"/>
        </w:object>
      </w:r>
      <w:r w:rsidRPr="004C787F">
        <w:t xml:space="preserve"> is the quantity of margin good </w:t>
      </w:r>
      <w:r w:rsidR="009205EE" w:rsidRPr="009205EE">
        <w:rPr>
          <w:position w:val="-6"/>
        </w:rPr>
        <w:object w:dxaOrig="139" w:dyaOrig="260" w14:anchorId="6716AF84">
          <v:shape id="_x0000_i1158" type="#_x0000_t75" style="width:6.6pt;height:13.2pt" o:ole="">
            <v:imagedata r:id="rId291" o:title=""/>
          </v:shape>
          <o:OLEObject Type="Embed" ProgID="Equation.DSMT4" ShapeID="_x0000_i1158" DrawAspect="Content" ObjectID="_1755515612" r:id="rId292"/>
        </w:object>
      </w:r>
      <w:r w:rsidRPr="004C787F">
        <w:t xml:space="preserve"> required to distribute commodity </w:t>
      </w:r>
      <w:r w:rsidR="009205EE" w:rsidRPr="009205EE">
        <w:rPr>
          <w:position w:val="-10"/>
        </w:rPr>
        <w:object w:dxaOrig="200" w:dyaOrig="300" w14:anchorId="5210D8B6">
          <v:shape id="_x0000_i1159" type="#_x0000_t75" style="width:9.6pt;height:15pt" o:ole="">
            <v:imagedata r:id="rId293" o:title=""/>
          </v:shape>
          <o:OLEObject Type="Embed" ProgID="Equation.DSMT4" ShapeID="_x0000_i1159" DrawAspect="Content" ObjectID="_1755515613" r:id="rId294"/>
        </w:object>
      </w:r>
      <w:r w:rsidRPr="004C787F">
        <w:t xml:space="preserve"> to its various uses.</w:t>
      </w:r>
    </w:p>
    <w:p w14:paraId="1B9A88AF" w14:textId="2A4A9EFB" w:rsidR="00C430F0" w:rsidRPr="004C787F" w:rsidRDefault="00C430F0" w:rsidP="00C430F0">
      <w:pPr>
        <w:pStyle w:val="Heading4"/>
      </w:pPr>
      <w:r w:rsidRPr="004C787F">
        <w:t>Total supply</w:t>
      </w:r>
    </w:p>
    <w:p w14:paraId="127A6BAE" w14:textId="77777777" w:rsidR="00C430F0" w:rsidRPr="004C787F" w:rsidRDefault="00C430F0" w:rsidP="00C430F0">
      <w:r w:rsidRPr="004C787F">
        <w:t xml:space="preserve">The notional distribution sector combines domestically produced and imported commodities to form composite commodities which it supplies to meet demand. </w:t>
      </w:r>
      <w:r>
        <w:t xml:space="preserve">This </w:t>
      </w:r>
      <w:r w:rsidRPr="004C787F">
        <w:t>include</w:t>
      </w:r>
      <w:r>
        <w:t>s</w:t>
      </w:r>
      <w:r w:rsidRPr="004C787F">
        <w:t xml:space="preserve"> consumption, investment by </w:t>
      </w:r>
      <w:r>
        <w:t>firms</w:t>
      </w:r>
      <w:r w:rsidRPr="004C787F">
        <w:t xml:space="preserve">, intermediate inputs by </w:t>
      </w:r>
      <w:r>
        <w:t>firms</w:t>
      </w:r>
      <w:r w:rsidRPr="004C787F">
        <w:t xml:space="preserve">, government consumption, exports and margins. </w:t>
      </w:r>
    </w:p>
    <w:p w14:paraId="7D81BE56" w14:textId="37F6ED7A" w:rsidR="00C430F0" w:rsidRPr="004C787F" w:rsidRDefault="00C430F0" w:rsidP="00C430F0">
      <w:r>
        <w:t>Supply</w:t>
      </w:r>
      <w:r w:rsidRPr="004C787F">
        <w:t xml:space="preserve"> can be met by domestic or imported commodities. For a given commodity</w:t>
      </w:r>
      <w:r>
        <w:t xml:space="preserve"> </w:t>
      </w:r>
      <w:r w:rsidR="009205EE" w:rsidRPr="009205EE">
        <w:rPr>
          <w:position w:val="-10"/>
        </w:rPr>
        <w:object w:dxaOrig="200" w:dyaOrig="300" w14:anchorId="79DCB8CF">
          <v:shape id="_x0000_i1160" type="#_x0000_t75" style="width:9.6pt;height:15pt" o:ole="">
            <v:imagedata r:id="rId295" o:title=""/>
          </v:shape>
          <o:OLEObject Type="Embed" ProgID="Equation.DSMT4" ShapeID="_x0000_i1160" DrawAspect="Content" ObjectID="_1755515614" r:id="rId296"/>
        </w:object>
      </w:r>
      <w:r>
        <w:t xml:space="preserve"> </w:t>
      </w:r>
      <w:r w:rsidRPr="004C787F">
        <w:t xml:space="preserve">and use, </w:t>
      </w:r>
      <w:r w:rsidR="009205EE" w:rsidRPr="009205EE">
        <w:rPr>
          <w:position w:val="-14"/>
        </w:rPr>
        <w:object w:dxaOrig="380" w:dyaOrig="400" w14:anchorId="2F23CE02">
          <v:shape id="_x0000_i1161" type="#_x0000_t75" style="width:18.6pt;height:20.4pt" o:ole="">
            <v:imagedata r:id="rId297" o:title=""/>
          </v:shape>
          <o:OLEObject Type="Embed" ProgID="Equation.DSMT4" ShapeID="_x0000_i1161" DrawAspect="Content" ObjectID="_1755515615" r:id="rId298"/>
        </w:object>
      </w:r>
      <w:r w:rsidRPr="004C787F">
        <w:t xml:space="preserve"> </w:t>
      </w:r>
      <w:r>
        <w:t>is</w:t>
      </w:r>
      <w:r w:rsidRPr="004C787F">
        <w:t xml:space="preserve"> the distribution sector’s demand for domestically produced commodities and </w:t>
      </w:r>
      <w:r w:rsidR="009205EE" w:rsidRPr="009205EE">
        <w:rPr>
          <w:position w:val="-14"/>
        </w:rPr>
        <w:object w:dxaOrig="400" w:dyaOrig="400" w14:anchorId="5B90EB6B">
          <v:shape id="_x0000_i1162" type="#_x0000_t75" style="width:20.4pt;height:20.4pt" o:ole="">
            <v:imagedata r:id="rId299" o:title=""/>
          </v:shape>
          <o:OLEObject Type="Embed" ProgID="Equation.DSMT4" ShapeID="_x0000_i1162" DrawAspect="Content" ObjectID="_1755515616" r:id="rId300"/>
        </w:object>
      </w:r>
      <w:r w:rsidRPr="004C787F">
        <w:t xml:space="preserve"> </w:t>
      </w:r>
      <w:r>
        <w:t>is</w:t>
      </w:r>
      <w:r w:rsidRPr="004C787F">
        <w:t xml:space="preserve"> the demand for imported commodities. These are combined using a CES function, where </w:t>
      </w:r>
      <w:r w:rsidR="009205EE" w:rsidRPr="009205EE">
        <w:rPr>
          <w:position w:val="-14"/>
        </w:rPr>
        <w:object w:dxaOrig="999" w:dyaOrig="400" w14:anchorId="6EB01683">
          <v:shape id="_x0000_i1163" type="#_x0000_t75" style="width:50.4pt;height:20.4pt" o:ole="">
            <v:imagedata r:id="rId301" o:title=""/>
          </v:shape>
          <o:OLEObject Type="Embed" ProgID="Equation.DSMT4" ShapeID="_x0000_i1163" DrawAspect="Content" ObjectID="_1755515617" r:id="rId302"/>
        </w:object>
      </w:r>
      <w:r>
        <w:t xml:space="preserve"> is the weighting parameter for the domestically produced commodity </w:t>
      </w:r>
      <w:r w:rsidR="009205EE" w:rsidRPr="009205EE">
        <w:rPr>
          <w:position w:val="-10"/>
        </w:rPr>
        <w:object w:dxaOrig="200" w:dyaOrig="300" w14:anchorId="294774BF">
          <v:shape id="_x0000_i1164" type="#_x0000_t75" style="width:9.6pt;height:15pt" o:ole="">
            <v:imagedata r:id="rId303" o:title=""/>
          </v:shape>
          <o:OLEObject Type="Embed" ProgID="Equation.DSMT4" ShapeID="_x0000_i1164" DrawAspect="Content" ObjectID="_1755515618" r:id="rId304"/>
        </w:object>
      </w:r>
      <w:r w:rsidRPr="004C787F">
        <w:t xml:space="preserve">, and </w:t>
      </w:r>
      <w:r w:rsidR="009205EE" w:rsidRPr="009205EE">
        <w:rPr>
          <w:position w:val="-10"/>
        </w:rPr>
        <w:object w:dxaOrig="320" w:dyaOrig="360" w14:anchorId="6357082F">
          <v:shape id="_x0000_i1165" type="#_x0000_t75" style="width:16.2pt;height:18pt" o:ole="">
            <v:imagedata r:id="rId305" o:title=""/>
          </v:shape>
          <o:OLEObject Type="Embed" ProgID="Equation.DSMT4" ShapeID="_x0000_i1165" DrawAspect="Content" ObjectID="_1755515619" r:id="rId306"/>
        </w:object>
      </w:r>
      <w:r w:rsidRPr="004C787F">
        <w:t xml:space="preserve">is the elasticity of substitution between domestic and imported varieties of commodity </w:t>
      </w:r>
      <w:r w:rsidR="009205EE" w:rsidRPr="009205EE">
        <w:rPr>
          <w:position w:val="-10"/>
        </w:rPr>
        <w:object w:dxaOrig="200" w:dyaOrig="300" w14:anchorId="7544951D">
          <v:shape id="_x0000_i1166" type="#_x0000_t75" style="width:9.6pt;height:15pt" o:ole="">
            <v:imagedata r:id="rId307" o:title=""/>
          </v:shape>
          <o:OLEObject Type="Embed" ProgID="Equation.DSMT4" ShapeID="_x0000_i1166" DrawAspect="Content" ObjectID="_1755515620" r:id="rId308"/>
        </w:object>
      </w:r>
      <w:r w:rsidRPr="004C787F">
        <w:t>:</w:t>
      </w:r>
    </w:p>
    <w:p w14:paraId="756FD80F" w14:textId="05351DBF" w:rsidR="00C430F0" w:rsidRPr="004C787F" w:rsidRDefault="00C430F0" w:rsidP="00C430F0">
      <w:pPr>
        <w:pStyle w:val="MTDisplayEquation"/>
      </w:pPr>
      <w:r>
        <w:tab/>
      </w:r>
      <w:r w:rsidR="009205EE" w:rsidRPr="009205EE">
        <w:rPr>
          <w:position w:val="-40"/>
        </w:rPr>
        <w:object w:dxaOrig="3840" w:dyaOrig="1080" w14:anchorId="07C5A00E">
          <v:shape id="_x0000_i1167" type="#_x0000_t75" style="width:192pt;height:54pt" o:ole="">
            <v:imagedata r:id="rId309" o:title=""/>
          </v:shape>
          <o:OLEObject Type="Embed" ProgID="Equation.DSMT4" ShapeID="_x0000_i1167" DrawAspect="Content" ObjectID="_1755515621" r:id="rId310"/>
        </w:object>
      </w:r>
      <w:r>
        <w:tab/>
      </w:r>
      <w:r>
        <w:fldChar w:fldCharType="begin"/>
      </w:r>
      <w:r>
        <w:instrText xml:space="preserve"> MACROBUTTON MTPlaceRef \* MERGEFORMAT </w:instrText>
      </w:r>
      <w:r>
        <w:fldChar w:fldCharType="begin"/>
      </w:r>
      <w:r>
        <w:instrText xml:space="preserve"> SEQ MTEqn \h \* MERGEFORMAT </w:instrText>
      </w:r>
      <w:r>
        <w:fldChar w:fldCharType="end"/>
      </w:r>
      <w:r>
        <w:instrText>(</w:instrText>
      </w:r>
      <w:r w:rsidR="00697947">
        <w:fldChar w:fldCharType="begin"/>
      </w:r>
      <w:r w:rsidR="00697947">
        <w:instrText xml:space="preserve"> SEQ MTEqn \c \* Arabic \* MERGEFORMAT </w:instrText>
      </w:r>
      <w:r w:rsidR="00697947">
        <w:fldChar w:fldCharType="separate"/>
      </w:r>
      <w:r w:rsidR="00354F38">
        <w:rPr>
          <w:noProof/>
        </w:rPr>
        <w:instrText>35</w:instrText>
      </w:r>
      <w:r w:rsidR="00697947">
        <w:rPr>
          <w:noProof/>
        </w:rPr>
        <w:fldChar w:fldCharType="end"/>
      </w:r>
      <w:r>
        <w:instrText>)</w:instrText>
      </w:r>
      <w:r>
        <w:fldChar w:fldCharType="end"/>
      </w:r>
    </w:p>
    <w:p w14:paraId="5EC0AA2A" w14:textId="62529ADD" w:rsidR="00C430F0" w:rsidRPr="004C787F" w:rsidRDefault="00C430F0" w:rsidP="00C430F0">
      <w:pPr>
        <w:tabs>
          <w:tab w:val="center" w:pos="4640"/>
          <w:tab w:val="right" w:pos="9300"/>
        </w:tabs>
      </w:pPr>
      <w:r w:rsidRPr="004C787F">
        <w:tab/>
      </w:r>
      <w:r w:rsidR="009205EE" w:rsidRPr="009205EE">
        <w:rPr>
          <w:position w:val="-40"/>
        </w:rPr>
        <w:object w:dxaOrig="4239" w:dyaOrig="1080" w14:anchorId="2E775666">
          <v:shape id="_x0000_i1168" type="#_x0000_t75" style="width:212.4pt;height:54pt" o:ole="">
            <v:imagedata r:id="rId311" o:title=""/>
          </v:shape>
          <o:OLEObject Type="Embed" ProgID="Equation.DSMT4" ShapeID="_x0000_i1168" DrawAspect="Content" ObjectID="_1755515622" r:id="rId312"/>
        </w:object>
      </w:r>
    </w:p>
    <w:p w14:paraId="204CEAB2" w14:textId="65316149" w:rsidR="00C430F0" w:rsidRPr="004C787F" w:rsidRDefault="00C430F0" w:rsidP="00C430F0">
      <w:pPr>
        <w:tabs>
          <w:tab w:val="center" w:pos="4640"/>
          <w:tab w:val="right" w:pos="9300"/>
        </w:tabs>
      </w:pPr>
      <w:r w:rsidRPr="004C787F">
        <w:tab/>
      </w:r>
      <w:r w:rsidR="009205EE" w:rsidRPr="009205EE">
        <w:rPr>
          <w:position w:val="-40"/>
        </w:rPr>
        <w:object w:dxaOrig="4320" w:dyaOrig="1080" w14:anchorId="144E248B">
          <v:shape id="_x0000_i1169" type="#_x0000_t75" style="width:3in;height:54pt" o:ole="">
            <v:imagedata r:id="rId313" o:title=""/>
          </v:shape>
          <o:OLEObject Type="Embed" ProgID="Equation.DSMT4" ShapeID="_x0000_i1169" DrawAspect="Content" ObjectID="_1755515623" r:id="rId314"/>
        </w:object>
      </w:r>
    </w:p>
    <w:p w14:paraId="41D4758C" w14:textId="68A1F1D8" w:rsidR="00C430F0" w:rsidRPr="004C787F" w:rsidRDefault="00C430F0" w:rsidP="00C430F0">
      <w:pPr>
        <w:tabs>
          <w:tab w:val="center" w:pos="4640"/>
          <w:tab w:val="right" w:pos="9300"/>
        </w:tabs>
      </w:pPr>
      <w:r w:rsidRPr="004C787F">
        <w:tab/>
      </w:r>
      <w:r w:rsidR="009205EE" w:rsidRPr="009205EE">
        <w:rPr>
          <w:position w:val="-40"/>
        </w:rPr>
        <w:object w:dxaOrig="3900" w:dyaOrig="1080" w14:anchorId="4882AB36">
          <v:shape id="_x0000_i1170" type="#_x0000_t75" style="width:195pt;height:54pt" o:ole="">
            <v:imagedata r:id="rId315" o:title=""/>
          </v:shape>
          <o:OLEObject Type="Embed" ProgID="Equation.DSMT4" ShapeID="_x0000_i1170" DrawAspect="Content" ObjectID="_1755515624" r:id="rId316"/>
        </w:object>
      </w:r>
    </w:p>
    <w:p w14:paraId="0EAE4F42" w14:textId="154CF4CA" w:rsidR="00C430F0" w:rsidRPr="004C787F" w:rsidRDefault="00C430F0" w:rsidP="00C430F0">
      <w:pPr>
        <w:tabs>
          <w:tab w:val="center" w:pos="4640"/>
          <w:tab w:val="right" w:pos="9300"/>
        </w:tabs>
      </w:pPr>
      <w:r w:rsidRPr="004C787F">
        <w:tab/>
      </w:r>
      <w:r w:rsidR="009205EE" w:rsidRPr="009205EE">
        <w:rPr>
          <w:position w:val="-40"/>
        </w:rPr>
        <w:object w:dxaOrig="3860" w:dyaOrig="1080" w14:anchorId="18AEDD38">
          <v:shape id="_x0000_i1171" type="#_x0000_t75" style="width:192.6pt;height:54pt" o:ole="">
            <v:imagedata r:id="rId317" o:title=""/>
          </v:shape>
          <o:OLEObject Type="Embed" ProgID="Equation.DSMT4" ShapeID="_x0000_i1171" DrawAspect="Content" ObjectID="_1755515625" r:id="rId318"/>
        </w:object>
      </w:r>
    </w:p>
    <w:p w14:paraId="392540E0" w14:textId="733683BD" w:rsidR="00BE7417" w:rsidRDefault="00C430F0" w:rsidP="00BE7417">
      <w:pPr>
        <w:tabs>
          <w:tab w:val="center" w:pos="4640"/>
          <w:tab w:val="right" w:pos="9300"/>
        </w:tabs>
      </w:pPr>
      <w:r w:rsidRPr="004C787F">
        <w:tab/>
      </w:r>
      <w:r w:rsidR="009205EE" w:rsidRPr="009205EE">
        <w:rPr>
          <w:position w:val="-40"/>
        </w:rPr>
        <w:object w:dxaOrig="4459" w:dyaOrig="1080" w14:anchorId="26819C77">
          <v:shape id="_x0000_i1172" type="#_x0000_t75" style="width:222.6pt;height:54pt" o:ole="">
            <v:imagedata r:id="rId319" o:title=""/>
          </v:shape>
          <o:OLEObject Type="Embed" ProgID="Equation.DSMT4" ShapeID="_x0000_i1172" DrawAspect="Content" ObjectID="_1755515626" r:id="rId320"/>
        </w:object>
      </w:r>
      <w:r w:rsidRPr="004C787F">
        <w:tab/>
      </w:r>
    </w:p>
    <w:p w14:paraId="5B11539A" w14:textId="77777777" w:rsidR="00BE7417" w:rsidRDefault="00BE7417" w:rsidP="00BE7417">
      <w:pPr>
        <w:tabs>
          <w:tab w:val="center" w:pos="4640"/>
          <w:tab w:val="right" w:pos="9300"/>
        </w:tabs>
      </w:pPr>
    </w:p>
    <w:p w14:paraId="48352936" w14:textId="77777777" w:rsidR="001E0CD2" w:rsidRDefault="001E0CD2" w:rsidP="00C430F0">
      <w:pPr>
        <w:pStyle w:val="Heading4"/>
      </w:pPr>
    </w:p>
    <w:p w14:paraId="394C94D5" w14:textId="77777777" w:rsidR="001E0CD2" w:rsidRDefault="001E0CD2" w:rsidP="00C430F0">
      <w:pPr>
        <w:pStyle w:val="Heading4"/>
      </w:pPr>
    </w:p>
    <w:p w14:paraId="68C94626" w14:textId="77777777" w:rsidR="001E0CD2" w:rsidRPr="001E0CD2" w:rsidRDefault="001E0CD2" w:rsidP="001E0CD2"/>
    <w:p w14:paraId="75E06AD1" w14:textId="40EBF5AC" w:rsidR="00C430F0" w:rsidRPr="004C787F" w:rsidRDefault="00C430F0" w:rsidP="00C430F0">
      <w:pPr>
        <w:pStyle w:val="Heading4"/>
      </w:pPr>
      <w:r w:rsidRPr="004C787F">
        <w:t>Import prices</w:t>
      </w:r>
    </w:p>
    <w:p w14:paraId="3D6ECEA9" w14:textId="0CA2A890" w:rsidR="00C430F0" w:rsidRPr="004C787F" w:rsidRDefault="00C430F0" w:rsidP="00C430F0">
      <w:r w:rsidRPr="004C787F">
        <w:t xml:space="preserve">Let </w:t>
      </w:r>
      <w:r w:rsidR="009205EE" w:rsidRPr="009205EE">
        <w:rPr>
          <w:position w:val="-14"/>
        </w:rPr>
        <w:object w:dxaOrig="380" w:dyaOrig="400" w14:anchorId="2C80CF07">
          <v:shape id="_x0000_i1173" type="#_x0000_t75" style="width:18.6pt;height:20.4pt" o:ole="">
            <v:imagedata r:id="rId321" o:title=""/>
          </v:shape>
          <o:OLEObject Type="Embed" ProgID="Equation.DSMT4" ShapeID="_x0000_i1173" DrawAspect="Content" ObjectID="_1755515627" r:id="rId322"/>
        </w:object>
      </w:r>
      <w:r w:rsidRPr="004C787F">
        <w:t xml:space="preserve"> be the ROW’s free</w:t>
      </w:r>
      <w:r w:rsidRPr="004C787F">
        <w:noBreakHyphen/>
        <w:t>on</w:t>
      </w:r>
      <w:r w:rsidRPr="004C787F">
        <w:noBreakHyphen/>
        <w:t>board</w:t>
      </w:r>
      <w:r>
        <w:t xml:space="preserve"> (FOB)</w:t>
      </w:r>
      <w:r w:rsidRPr="004C787F">
        <w:t xml:space="preserve"> export price. When imported commodities arrive in Australia, the price is adjusted for import duties an</w:t>
      </w:r>
      <w:r>
        <w:t>d an</w:t>
      </w:r>
      <w:r w:rsidRPr="004C787F">
        <w:t xml:space="preserve"> ad valorem tax</w:t>
      </w:r>
      <w:r>
        <w:t>,</w:t>
      </w:r>
      <w:r w:rsidRPr="004C787F">
        <w:t xml:space="preserve"> </w:t>
      </w:r>
      <w:r w:rsidR="009205EE" w:rsidRPr="009205EE">
        <w:rPr>
          <w:position w:val="-14"/>
        </w:rPr>
        <w:object w:dxaOrig="520" w:dyaOrig="400" w14:anchorId="724E3255">
          <v:shape id="_x0000_i1174" type="#_x0000_t75" style="width:26.4pt;height:20.4pt" o:ole="">
            <v:imagedata r:id="rId323" o:title=""/>
          </v:shape>
          <o:OLEObject Type="Embed" ProgID="Equation.DSMT4" ShapeID="_x0000_i1174" DrawAspect="Content" ObjectID="_1755515628" r:id="rId324"/>
        </w:object>
      </w:r>
      <w:r>
        <w:t>,</w:t>
      </w:r>
      <w:r w:rsidRPr="004C787F">
        <w:t xml:space="preserve"> </w:t>
      </w:r>
      <w:r>
        <w:t>which</w:t>
      </w:r>
      <w:r w:rsidRPr="004C787F">
        <w:t xml:space="preserve"> varies by the use of the commodity. The import prices faced by Australian users is:</w:t>
      </w:r>
    </w:p>
    <w:p w14:paraId="5EFAF140" w14:textId="4914041E" w:rsidR="00C430F0" w:rsidRPr="004C787F" w:rsidRDefault="00C430F0" w:rsidP="00C430F0">
      <w:pPr>
        <w:pStyle w:val="MTDisplayEquation"/>
        <w:rPr>
          <w:rFonts w:eastAsiaTheme="minorEastAsia"/>
        </w:rPr>
      </w:pPr>
      <w:r w:rsidRPr="004C787F">
        <w:rPr>
          <w:rFonts w:eastAsiaTheme="minorEastAsia"/>
        </w:rPr>
        <w:tab/>
      </w:r>
      <w:r w:rsidR="009205EE" w:rsidRPr="009205EE">
        <w:rPr>
          <w:position w:val="-14"/>
        </w:rPr>
        <w:object w:dxaOrig="2060" w:dyaOrig="400" w14:anchorId="635AEBF0">
          <v:shape id="_x0000_i1175" type="#_x0000_t75" style="width:102.6pt;height:20.4pt" o:ole="">
            <v:imagedata r:id="rId325" o:title=""/>
          </v:shape>
          <o:OLEObject Type="Embed" ProgID="Equation.DSMT4" ShapeID="_x0000_i1175" DrawAspect="Content" ObjectID="_1755515629" r:id="rId326"/>
        </w:object>
      </w:r>
      <w:r w:rsidRPr="004C787F">
        <w:rPr>
          <w:rFonts w:eastAsiaTheme="minorEastAsia"/>
        </w:rPr>
        <w:tab/>
      </w:r>
      <w:r w:rsidRPr="004C787F">
        <w:rPr>
          <w:rFonts w:eastAsiaTheme="minorEastAsia"/>
        </w:rPr>
        <w:fldChar w:fldCharType="begin"/>
      </w:r>
      <w:r w:rsidRPr="004C787F">
        <w:rPr>
          <w:rFonts w:eastAsiaTheme="minorEastAsia"/>
        </w:rPr>
        <w:instrText xml:space="preserve"> MACROBUTTON MTPlaceRef \* MERGEFORMAT </w:instrText>
      </w:r>
      <w:r w:rsidRPr="004C787F">
        <w:rPr>
          <w:rFonts w:eastAsiaTheme="minorEastAsia"/>
        </w:rPr>
        <w:fldChar w:fldCharType="begin"/>
      </w:r>
      <w:r w:rsidRPr="004C787F">
        <w:rPr>
          <w:rFonts w:eastAsiaTheme="minorEastAsia"/>
        </w:rPr>
        <w:instrText xml:space="preserve"> SEQ MTEqn \h \* MERGEFORMAT </w:instrText>
      </w:r>
      <w:r w:rsidRPr="004C787F">
        <w:rPr>
          <w:rFonts w:eastAsiaTheme="minorEastAsia"/>
        </w:rPr>
        <w:fldChar w:fldCharType="end"/>
      </w:r>
      <w:r w:rsidRPr="004C787F">
        <w:rPr>
          <w:rFonts w:eastAsiaTheme="minorEastAsia"/>
        </w:rPr>
        <w:instrText>(</w:instrText>
      </w:r>
      <w:r w:rsidRPr="004C787F">
        <w:rPr>
          <w:rFonts w:eastAsiaTheme="minorEastAsia"/>
        </w:rPr>
        <w:fldChar w:fldCharType="begin"/>
      </w:r>
      <w:r w:rsidRPr="004C787F">
        <w:rPr>
          <w:rFonts w:eastAsiaTheme="minorEastAsia"/>
        </w:rPr>
        <w:instrText xml:space="preserve"> SEQ MTEqn \c \* Arabic \* MERGEFORMAT </w:instrText>
      </w:r>
      <w:r w:rsidRPr="004C787F">
        <w:rPr>
          <w:rFonts w:eastAsiaTheme="minorEastAsia"/>
        </w:rPr>
        <w:fldChar w:fldCharType="separate"/>
      </w:r>
      <w:r w:rsidR="00354F38">
        <w:rPr>
          <w:rFonts w:eastAsiaTheme="minorEastAsia"/>
          <w:noProof/>
        </w:rPr>
        <w:instrText>36</w:instrText>
      </w:r>
      <w:r w:rsidRPr="004C787F">
        <w:rPr>
          <w:rFonts w:eastAsiaTheme="minorEastAsia"/>
        </w:rPr>
        <w:fldChar w:fldCharType="end"/>
      </w:r>
      <w:r w:rsidRPr="004C787F">
        <w:rPr>
          <w:rFonts w:eastAsiaTheme="minorEastAsia"/>
        </w:rPr>
        <w:instrText>)</w:instrText>
      </w:r>
      <w:r w:rsidRPr="004C787F">
        <w:rPr>
          <w:rFonts w:eastAsiaTheme="minorEastAsia"/>
        </w:rPr>
        <w:fldChar w:fldCharType="end"/>
      </w:r>
    </w:p>
    <w:p w14:paraId="5C060581" w14:textId="4010720E" w:rsidR="00C430F0" w:rsidRPr="004C787F" w:rsidRDefault="00C430F0" w:rsidP="00C430F0">
      <w:pPr>
        <w:pStyle w:val="MTDisplayEquation"/>
      </w:pPr>
      <w:r w:rsidRPr="004C787F">
        <w:tab/>
      </w:r>
      <w:r w:rsidR="009205EE" w:rsidRPr="009205EE">
        <w:rPr>
          <w:position w:val="-14"/>
        </w:rPr>
        <w:object w:dxaOrig="2060" w:dyaOrig="400" w14:anchorId="1701B990">
          <v:shape id="_x0000_i1176" type="#_x0000_t75" style="width:102.6pt;height:20.4pt" o:ole="">
            <v:imagedata r:id="rId327" o:title=""/>
          </v:shape>
          <o:OLEObject Type="Embed" ProgID="Equation.DSMT4" ShapeID="_x0000_i1176" DrawAspect="Content" ObjectID="_1755515630" r:id="rId328"/>
        </w:object>
      </w:r>
    </w:p>
    <w:p w14:paraId="6E0E1D39" w14:textId="56DA7402" w:rsidR="00C430F0" w:rsidRPr="004C787F" w:rsidRDefault="00C430F0" w:rsidP="00C430F0">
      <w:pPr>
        <w:pStyle w:val="MTDisplayEquation"/>
      </w:pPr>
      <w:r w:rsidRPr="004C787F">
        <w:tab/>
      </w:r>
      <w:r w:rsidR="009205EE" w:rsidRPr="009205EE">
        <w:rPr>
          <w:position w:val="-14"/>
        </w:rPr>
        <w:object w:dxaOrig="2240" w:dyaOrig="400" w14:anchorId="26FD51A1">
          <v:shape id="_x0000_i1177" type="#_x0000_t75" style="width:111.6pt;height:20.4pt" o:ole="">
            <v:imagedata r:id="rId329" o:title=""/>
          </v:shape>
          <o:OLEObject Type="Embed" ProgID="Equation.DSMT4" ShapeID="_x0000_i1177" DrawAspect="Content" ObjectID="_1755515631" r:id="rId330"/>
        </w:object>
      </w:r>
    </w:p>
    <w:p w14:paraId="2E83FB1C" w14:textId="63D489A9" w:rsidR="00C430F0" w:rsidRPr="004C787F" w:rsidRDefault="00C430F0" w:rsidP="00C430F0">
      <w:pPr>
        <w:pStyle w:val="MTDisplayEquation"/>
      </w:pPr>
      <w:r w:rsidRPr="004C787F">
        <w:tab/>
      </w:r>
      <w:r w:rsidR="009205EE" w:rsidRPr="009205EE">
        <w:rPr>
          <w:position w:val="-14"/>
        </w:rPr>
        <w:object w:dxaOrig="2060" w:dyaOrig="400" w14:anchorId="0CA41B2B">
          <v:shape id="_x0000_i1178" type="#_x0000_t75" style="width:102.6pt;height:20.4pt" o:ole="">
            <v:imagedata r:id="rId331" o:title=""/>
          </v:shape>
          <o:OLEObject Type="Embed" ProgID="Equation.DSMT4" ShapeID="_x0000_i1178" DrawAspect="Content" ObjectID="_1755515632" r:id="rId332"/>
        </w:object>
      </w:r>
    </w:p>
    <w:p w14:paraId="18452E20" w14:textId="34C1C6F2" w:rsidR="00C430F0" w:rsidRPr="004C787F" w:rsidRDefault="00C430F0" w:rsidP="00C430F0">
      <w:pPr>
        <w:pStyle w:val="MTDisplayEquation"/>
      </w:pPr>
      <w:r w:rsidRPr="004C787F">
        <w:tab/>
      </w:r>
      <w:r w:rsidR="009205EE" w:rsidRPr="009205EE">
        <w:rPr>
          <w:position w:val="-14"/>
        </w:rPr>
        <w:object w:dxaOrig="2060" w:dyaOrig="400" w14:anchorId="456EDA58">
          <v:shape id="_x0000_i1179" type="#_x0000_t75" style="width:102.6pt;height:20.4pt" o:ole="">
            <v:imagedata r:id="rId333" o:title=""/>
          </v:shape>
          <o:OLEObject Type="Embed" ProgID="Equation.DSMT4" ShapeID="_x0000_i1179" DrawAspect="Content" ObjectID="_1755515633" r:id="rId334"/>
        </w:object>
      </w:r>
    </w:p>
    <w:p w14:paraId="31074A02" w14:textId="57CD3EC2" w:rsidR="00C430F0" w:rsidRPr="004C787F" w:rsidRDefault="00C430F0" w:rsidP="00C430F0">
      <w:pPr>
        <w:pStyle w:val="MTDisplayEquation"/>
      </w:pPr>
      <w:r w:rsidRPr="004C787F">
        <w:tab/>
      </w:r>
      <w:r w:rsidR="009205EE" w:rsidRPr="009205EE">
        <w:rPr>
          <w:position w:val="-14"/>
        </w:rPr>
        <w:object w:dxaOrig="2240" w:dyaOrig="400" w14:anchorId="1ED0F07D">
          <v:shape id="_x0000_i1180" type="#_x0000_t75" style="width:111.6pt;height:20.4pt" o:ole="">
            <v:imagedata r:id="rId335" o:title=""/>
          </v:shape>
          <o:OLEObject Type="Embed" ProgID="Equation.DSMT4" ShapeID="_x0000_i1180" DrawAspect="Content" ObjectID="_1755515634" r:id="rId336"/>
        </w:object>
      </w:r>
    </w:p>
    <w:p w14:paraId="7FAEF408" w14:textId="77777777" w:rsidR="00C430F0" w:rsidRPr="004C787F" w:rsidRDefault="00C430F0" w:rsidP="00C430F0">
      <w:pPr>
        <w:pStyle w:val="Heading4"/>
      </w:pPr>
      <w:r w:rsidRPr="004C787F">
        <w:t>Price of supply</w:t>
      </w:r>
    </w:p>
    <w:p w14:paraId="75D4D7C8" w14:textId="414B9BBF" w:rsidR="00C430F0" w:rsidRPr="004C787F" w:rsidRDefault="00C430F0" w:rsidP="00C430F0">
      <w:pPr>
        <w:rPr>
          <w:rFonts w:eastAsiaTheme="minorEastAsia"/>
        </w:rPr>
      </w:pPr>
      <w:r w:rsidRPr="004C787F">
        <w:rPr>
          <w:rFonts w:eastAsiaTheme="minorEastAsia"/>
        </w:rPr>
        <w:t>The price of Australian supply</w:t>
      </w:r>
      <w:r>
        <w:rPr>
          <w:rFonts w:eastAsiaTheme="minorEastAsia"/>
        </w:rPr>
        <w:t xml:space="preserve"> by use</w:t>
      </w:r>
      <w:r w:rsidRPr="004C787F">
        <w:rPr>
          <w:rFonts w:eastAsiaTheme="minorEastAsia"/>
        </w:rPr>
        <w:t xml:space="preserve">, </w:t>
      </w:r>
      <w:r w:rsidR="009205EE" w:rsidRPr="009205EE">
        <w:rPr>
          <w:position w:val="-14"/>
        </w:rPr>
        <w:object w:dxaOrig="480" w:dyaOrig="400" w14:anchorId="74B048E3">
          <v:shape id="_x0000_i1181" type="#_x0000_t75" style="width:24pt;height:20.4pt" o:ole="">
            <v:imagedata r:id="rId337" o:title=""/>
          </v:shape>
          <o:OLEObject Type="Embed" ProgID="Equation.DSMT4" ShapeID="_x0000_i1181" DrawAspect="Content" ObjectID="_1755515635" r:id="rId338"/>
        </w:object>
      </w:r>
      <w:r w:rsidRPr="004C787F">
        <w:t xml:space="preserve">, </w:t>
      </w:r>
      <w:r w:rsidRPr="004C787F">
        <w:rPr>
          <w:rFonts w:eastAsiaTheme="minorEastAsia"/>
        </w:rPr>
        <w:t>is a composite of the domestic price,</w:t>
      </w:r>
      <w:r w:rsidR="009205EE" w:rsidRPr="009205EE">
        <w:rPr>
          <w:position w:val="-14"/>
        </w:rPr>
        <w:object w:dxaOrig="380" w:dyaOrig="400" w14:anchorId="29BCE134">
          <v:shape id="_x0000_i1182" type="#_x0000_t75" style="width:18.6pt;height:20.4pt" o:ole="">
            <v:imagedata r:id="rId339" o:title=""/>
          </v:shape>
          <o:OLEObject Type="Embed" ProgID="Equation.DSMT4" ShapeID="_x0000_i1182" DrawAspect="Content" ObjectID="_1755515636" r:id="rId340"/>
        </w:object>
      </w:r>
      <w:r w:rsidRPr="004C787F">
        <w:rPr>
          <w:rFonts w:eastAsiaTheme="minorEastAsia"/>
        </w:rPr>
        <w:t>,</w:t>
      </w:r>
      <w:r w:rsidRPr="004C787F">
        <w:t xml:space="preserve">and import price, </w:t>
      </w:r>
      <w:r w:rsidR="009205EE" w:rsidRPr="009205EE">
        <w:rPr>
          <w:position w:val="-14"/>
        </w:rPr>
        <w:object w:dxaOrig="560" w:dyaOrig="400" w14:anchorId="41E90B8A">
          <v:shape id="_x0000_i1183" type="#_x0000_t75" style="width:28.8pt;height:20.4pt" o:ole="">
            <v:imagedata r:id="rId341" o:title=""/>
          </v:shape>
          <o:OLEObject Type="Embed" ProgID="Equation.DSMT4" ShapeID="_x0000_i1183" DrawAspect="Content" ObjectID="_1755515637" r:id="rId342"/>
        </w:object>
      </w:r>
      <w:r w:rsidRPr="004C787F">
        <w:t>, as follows</w:t>
      </w:r>
      <w:r w:rsidRPr="004C787F">
        <w:rPr>
          <w:rFonts w:eastAsiaTheme="minorEastAsia"/>
        </w:rPr>
        <w:t>:</w:t>
      </w:r>
    </w:p>
    <w:p w14:paraId="0166FDAF" w14:textId="541F8992" w:rsidR="00C430F0" w:rsidRPr="004C787F" w:rsidRDefault="00C430F0" w:rsidP="00C430F0">
      <w:pPr>
        <w:pStyle w:val="MTDisplayEquation"/>
      </w:pPr>
      <w:r w:rsidRPr="004C787F">
        <w:tab/>
      </w:r>
      <w:r w:rsidR="009205EE" w:rsidRPr="009205EE">
        <w:rPr>
          <w:position w:val="-14"/>
        </w:rPr>
        <w:object w:dxaOrig="2700" w:dyaOrig="400" w14:anchorId="663AF41B">
          <v:shape id="_x0000_i1184" type="#_x0000_t75" style="width:135pt;height:20.4pt" o:ole="">
            <v:imagedata r:id="rId343" o:title=""/>
          </v:shape>
          <o:OLEObject Type="Embed" ProgID="Equation.DSMT4" ShapeID="_x0000_i1184" DrawAspect="Content" ObjectID="_1755515638" r:id="rId344"/>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r w:rsidRPr="004C787F">
        <w:instrText>(</w:instrText>
      </w:r>
      <w:r w:rsidR="00697947">
        <w:fldChar w:fldCharType="begin"/>
      </w:r>
      <w:r w:rsidR="00697947">
        <w:instrText>SEQ MTEqn \c \* Arabic \* MERGEFORMAT</w:instrText>
      </w:r>
      <w:r w:rsidR="00697947">
        <w:fldChar w:fldCharType="separate"/>
      </w:r>
      <w:r w:rsidR="00354F38">
        <w:rPr>
          <w:noProof/>
        </w:rPr>
        <w:instrText>37</w:instrText>
      </w:r>
      <w:r w:rsidR="00697947">
        <w:rPr>
          <w:noProof/>
        </w:rPr>
        <w:fldChar w:fldCharType="end"/>
      </w:r>
      <w:r w:rsidRPr="004C787F">
        <w:instrText>)</w:instrText>
      </w:r>
      <w:r w:rsidRPr="004C787F">
        <w:fldChar w:fldCharType="end"/>
      </w:r>
    </w:p>
    <w:p w14:paraId="671ED6F2" w14:textId="4493EB53" w:rsidR="00C430F0" w:rsidRPr="004C787F" w:rsidRDefault="00C430F0" w:rsidP="00C430F0">
      <w:pPr>
        <w:pStyle w:val="MTDisplayEquation"/>
        <w:rPr>
          <w:rFonts w:eastAsiaTheme="minorEastAsia"/>
        </w:rPr>
      </w:pPr>
      <w:r w:rsidRPr="004C787F">
        <w:rPr>
          <w:rFonts w:eastAsiaTheme="minorEastAsia"/>
        </w:rPr>
        <w:tab/>
      </w:r>
      <w:r w:rsidR="009205EE" w:rsidRPr="009205EE">
        <w:rPr>
          <w:position w:val="-14"/>
        </w:rPr>
        <w:object w:dxaOrig="3100" w:dyaOrig="400" w14:anchorId="2C72A1F7">
          <v:shape id="_x0000_i1185" type="#_x0000_t75" style="width:155.4pt;height:20.4pt" o:ole="">
            <v:imagedata r:id="rId345" o:title=""/>
          </v:shape>
          <o:OLEObject Type="Embed" ProgID="Equation.DSMT4" ShapeID="_x0000_i1185" DrawAspect="Content" ObjectID="_1755515639" r:id="rId346"/>
        </w:object>
      </w:r>
    </w:p>
    <w:p w14:paraId="252900D9" w14:textId="165F51D5" w:rsidR="00C430F0" w:rsidRPr="004C787F" w:rsidRDefault="00C430F0" w:rsidP="00C430F0">
      <w:pPr>
        <w:pStyle w:val="MTDisplayEquation"/>
        <w:rPr>
          <w:rFonts w:eastAsiaTheme="minorEastAsia"/>
        </w:rPr>
      </w:pPr>
      <w:r w:rsidRPr="004C787F">
        <w:rPr>
          <w:rFonts w:eastAsiaTheme="minorEastAsia"/>
        </w:rPr>
        <w:tab/>
      </w:r>
      <w:r w:rsidR="009205EE" w:rsidRPr="009205EE">
        <w:rPr>
          <w:position w:val="-14"/>
        </w:rPr>
        <w:object w:dxaOrig="3240" w:dyaOrig="400" w14:anchorId="442F7811">
          <v:shape id="_x0000_i1186" type="#_x0000_t75" style="width:162pt;height:20.4pt" o:ole="">
            <v:imagedata r:id="rId347" o:title=""/>
          </v:shape>
          <o:OLEObject Type="Embed" ProgID="Equation.DSMT4" ShapeID="_x0000_i1186" DrawAspect="Content" ObjectID="_1755515640" r:id="rId348"/>
        </w:object>
      </w:r>
    </w:p>
    <w:p w14:paraId="3112383C" w14:textId="219D63BA" w:rsidR="00C430F0" w:rsidRPr="004C787F" w:rsidRDefault="00C430F0" w:rsidP="00C430F0">
      <w:pPr>
        <w:pStyle w:val="MTDisplayEquation"/>
        <w:rPr>
          <w:rFonts w:eastAsiaTheme="minorEastAsia"/>
        </w:rPr>
      </w:pPr>
      <w:r w:rsidRPr="004C787F">
        <w:rPr>
          <w:rFonts w:eastAsiaTheme="minorEastAsia"/>
        </w:rPr>
        <w:tab/>
      </w:r>
      <w:r w:rsidR="009205EE" w:rsidRPr="009205EE">
        <w:rPr>
          <w:position w:val="-14"/>
        </w:rPr>
        <w:object w:dxaOrig="2740" w:dyaOrig="400" w14:anchorId="18E2D8CF">
          <v:shape id="_x0000_i1187" type="#_x0000_t75" style="width:137.4pt;height:20.4pt" o:ole="">
            <v:imagedata r:id="rId349" o:title=""/>
          </v:shape>
          <o:OLEObject Type="Embed" ProgID="Equation.DSMT4" ShapeID="_x0000_i1187" DrawAspect="Content" ObjectID="_1755515641" r:id="rId350"/>
        </w:object>
      </w:r>
    </w:p>
    <w:p w14:paraId="23042081" w14:textId="525BEF8E" w:rsidR="00C430F0" w:rsidRPr="004C787F" w:rsidRDefault="00C430F0" w:rsidP="00C430F0">
      <w:pPr>
        <w:pStyle w:val="MTDisplayEquation"/>
        <w:rPr>
          <w:rFonts w:eastAsiaTheme="minorEastAsia"/>
        </w:rPr>
      </w:pPr>
      <w:r w:rsidRPr="004C787F">
        <w:rPr>
          <w:rFonts w:eastAsiaTheme="minorEastAsia"/>
        </w:rPr>
        <w:tab/>
      </w:r>
      <w:r w:rsidR="009205EE" w:rsidRPr="009205EE">
        <w:rPr>
          <w:position w:val="-14"/>
        </w:rPr>
        <w:object w:dxaOrig="2720" w:dyaOrig="400" w14:anchorId="38CDBA81">
          <v:shape id="_x0000_i1188" type="#_x0000_t75" style="width:135.6pt;height:20.4pt" o:ole="">
            <v:imagedata r:id="rId351" o:title=""/>
          </v:shape>
          <o:OLEObject Type="Embed" ProgID="Equation.DSMT4" ShapeID="_x0000_i1188" DrawAspect="Content" ObjectID="_1755515642" r:id="rId352"/>
        </w:object>
      </w:r>
    </w:p>
    <w:p w14:paraId="705FAC02" w14:textId="2E89E1EB" w:rsidR="00C430F0" w:rsidRPr="004C787F" w:rsidRDefault="00C430F0" w:rsidP="00C430F0">
      <w:pPr>
        <w:pStyle w:val="MTDisplayEquation"/>
        <w:rPr>
          <w:rFonts w:eastAsiaTheme="minorEastAsia"/>
        </w:rPr>
      </w:pPr>
      <w:r w:rsidRPr="004C787F">
        <w:rPr>
          <w:rFonts w:eastAsiaTheme="minorEastAsia"/>
        </w:rPr>
        <w:tab/>
      </w:r>
      <w:r w:rsidR="009205EE" w:rsidRPr="009205EE">
        <w:rPr>
          <w:position w:val="-14"/>
        </w:rPr>
        <w:object w:dxaOrig="3300" w:dyaOrig="400" w14:anchorId="21570218">
          <v:shape id="_x0000_i1189" type="#_x0000_t75" style="width:165pt;height:20.4pt" o:ole="">
            <v:imagedata r:id="rId353" o:title=""/>
          </v:shape>
          <o:OLEObject Type="Embed" ProgID="Equation.DSMT4" ShapeID="_x0000_i1189" DrawAspect="Content" ObjectID="_1755515643" r:id="rId354"/>
        </w:object>
      </w:r>
    </w:p>
    <w:p w14:paraId="0526BA0D" w14:textId="77777777" w:rsidR="00BE7417" w:rsidRDefault="00BE7417" w:rsidP="00C430F0"/>
    <w:p w14:paraId="5F36ADC4" w14:textId="77777777" w:rsidR="001E0CD2" w:rsidRDefault="001E0CD2" w:rsidP="00C430F0"/>
    <w:p w14:paraId="490D897B" w14:textId="77777777" w:rsidR="001E0CD2" w:rsidRDefault="001E0CD2" w:rsidP="00C430F0"/>
    <w:p w14:paraId="5A75941E" w14:textId="77777777" w:rsidR="00BE7417" w:rsidRDefault="00BE7417" w:rsidP="00C430F0"/>
    <w:p w14:paraId="485407BD" w14:textId="77777777" w:rsidR="00BE7417" w:rsidRDefault="00BE7417" w:rsidP="00C430F0"/>
    <w:p w14:paraId="2156BCF1" w14:textId="7B3200C2" w:rsidR="00C430F0" w:rsidRPr="004C787F" w:rsidRDefault="00C430F0" w:rsidP="00C430F0">
      <w:r w:rsidRPr="004C787F">
        <w:t xml:space="preserve">The total demand for domestically produced commodity </w:t>
      </w:r>
      <w:r w:rsidR="009205EE" w:rsidRPr="009205EE">
        <w:rPr>
          <w:position w:val="-10"/>
        </w:rPr>
        <w:object w:dxaOrig="200" w:dyaOrig="300" w14:anchorId="2E6042A7">
          <v:shape id="_x0000_i1190" type="#_x0000_t75" style="width:9.6pt;height:15pt" o:ole="">
            <v:imagedata r:id="rId355" o:title=""/>
          </v:shape>
          <o:OLEObject Type="Embed" ProgID="Equation.DSMT4" ShapeID="_x0000_i1190" DrawAspect="Content" ObjectID="_1755515644" r:id="rId356"/>
        </w:object>
      </w:r>
      <w:r w:rsidRPr="004C787F">
        <w:t xml:space="preserve"> is: </w:t>
      </w:r>
    </w:p>
    <w:p w14:paraId="179B38E7" w14:textId="3CC3A8CE" w:rsidR="00C430F0" w:rsidRPr="004C787F" w:rsidRDefault="00C430F0" w:rsidP="00C430F0">
      <w:pPr>
        <w:pStyle w:val="MTDisplayEquation"/>
      </w:pPr>
      <w:r w:rsidRPr="004C787F">
        <w:tab/>
      </w:r>
      <w:r w:rsidR="009205EE" w:rsidRPr="009205EE">
        <w:rPr>
          <w:position w:val="-28"/>
        </w:rPr>
        <w:object w:dxaOrig="4740" w:dyaOrig="680" w14:anchorId="7A5374EF">
          <v:shape id="_x0000_i1191" type="#_x0000_t75" style="width:237pt;height:33.6pt" o:ole="">
            <v:imagedata r:id="rId357" o:title=""/>
          </v:shape>
          <o:OLEObject Type="Embed" ProgID="Equation.DSMT4" ShapeID="_x0000_i1191" DrawAspect="Content" ObjectID="_1755515645" r:id="rId358"/>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bookmarkStart w:id="27" w:name="ZEqnNum100079"/>
      <w:r w:rsidRPr="004C787F">
        <w:instrText>(</w:instrText>
      </w:r>
      <w:r w:rsidR="00697947">
        <w:fldChar w:fldCharType="begin"/>
      </w:r>
      <w:r w:rsidR="00697947">
        <w:instrText>SEQ MTEqn \c \* Arabic \* MERGEFORMAT</w:instrText>
      </w:r>
      <w:r w:rsidR="00697947">
        <w:fldChar w:fldCharType="separate"/>
      </w:r>
      <w:r w:rsidR="00354F38">
        <w:rPr>
          <w:noProof/>
        </w:rPr>
        <w:instrText>38</w:instrText>
      </w:r>
      <w:r w:rsidR="00697947">
        <w:rPr>
          <w:noProof/>
        </w:rPr>
        <w:fldChar w:fldCharType="end"/>
      </w:r>
      <w:r w:rsidRPr="004C787F">
        <w:instrText>)</w:instrText>
      </w:r>
      <w:bookmarkEnd w:id="27"/>
      <w:r w:rsidRPr="004C787F">
        <w:fldChar w:fldCharType="end"/>
      </w:r>
    </w:p>
    <w:p w14:paraId="38E2B71B" w14:textId="54B02BCA" w:rsidR="00C430F0" w:rsidRPr="004C787F" w:rsidRDefault="00C430F0" w:rsidP="00C430F0">
      <w:r>
        <w:t>a</w:t>
      </w:r>
      <w:r w:rsidRPr="004C787F">
        <w:t xml:space="preserve">nd total demand for imports of commodity </w:t>
      </w:r>
      <w:r w:rsidR="009205EE" w:rsidRPr="009205EE">
        <w:rPr>
          <w:position w:val="-10"/>
        </w:rPr>
        <w:object w:dxaOrig="200" w:dyaOrig="300" w14:anchorId="4181D85F">
          <v:shape id="_x0000_i1192" type="#_x0000_t75" style="width:9.6pt;height:15pt" o:ole="">
            <v:imagedata r:id="rId359" o:title=""/>
          </v:shape>
          <o:OLEObject Type="Embed" ProgID="Equation.DSMT4" ShapeID="_x0000_i1192" DrawAspect="Content" ObjectID="_1755515646" r:id="rId360"/>
        </w:object>
      </w:r>
      <w:r w:rsidRPr="004C787F">
        <w:t xml:space="preserve"> is:</w:t>
      </w:r>
    </w:p>
    <w:p w14:paraId="6C9761B2" w14:textId="15E72BBF" w:rsidR="00C430F0" w:rsidRPr="004C787F" w:rsidRDefault="00C430F0" w:rsidP="00C430F0">
      <w:pPr>
        <w:tabs>
          <w:tab w:val="center" w:pos="4640"/>
          <w:tab w:val="right" w:pos="9300"/>
        </w:tabs>
      </w:pPr>
      <w:r w:rsidRPr="004C787F">
        <w:tab/>
      </w:r>
      <w:r w:rsidR="009205EE" w:rsidRPr="009205EE">
        <w:rPr>
          <w:position w:val="-28"/>
        </w:rPr>
        <w:object w:dxaOrig="5000" w:dyaOrig="680" w14:anchorId="3AA2BAC0">
          <v:shape id="_x0000_i1193" type="#_x0000_t75" style="width:249.6pt;height:33.6pt" o:ole="">
            <v:imagedata r:id="rId361" o:title=""/>
          </v:shape>
          <o:OLEObject Type="Embed" ProgID="Equation.DSMT4" ShapeID="_x0000_i1193" DrawAspect="Content" ObjectID="_1755515647" r:id="rId362"/>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bookmarkStart w:id="28" w:name="ZEqnNum570953"/>
      <w:r w:rsidRPr="004C787F">
        <w:instrText>(</w:instrText>
      </w:r>
      <w:r w:rsidR="00697947">
        <w:fldChar w:fldCharType="begin"/>
      </w:r>
      <w:r w:rsidR="00697947">
        <w:instrText>SEQ MTEqn \c \* Arabic \* MERGEFORMAT</w:instrText>
      </w:r>
      <w:r w:rsidR="00697947">
        <w:fldChar w:fldCharType="separate"/>
      </w:r>
      <w:r w:rsidR="00354F38">
        <w:rPr>
          <w:noProof/>
        </w:rPr>
        <w:instrText>39</w:instrText>
      </w:r>
      <w:r w:rsidR="00697947">
        <w:rPr>
          <w:noProof/>
        </w:rPr>
        <w:fldChar w:fldCharType="end"/>
      </w:r>
      <w:r w:rsidRPr="004C787F">
        <w:instrText>)</w:instrText>
      </w:r>
      <w:bookmarkEnd w:id="28"/>
      <w:r w:rsidRPr="004C787F">
        <w:fldChar w:fldCharType="end"/>
      </w:r>
    </w:p>
    <w:p w14:paraId="068BD02B" w14:textId="77777777" w:rsidR="00C430F0" w:rsidRPr="004C787F" w:rsidRDefault="00C430F0" w:rsidP="00C430F0">
      <w:pPr>
        <w:pStyle w:val="Heading4"/>
      </w:pPr>
      <w:r w:rsidRPr="004C787F">
        <w:t>Purchaser price</w:t>
      </w:r>
      <w:r>
        <w:t>s</w:t>
      </w:r>
    </w:p>
    <w:p w14:paraId="3CBDC7AE" w14:textId="0469E370" w:rsidR="00C430F0" w:rsidRPr="004C787F" w:rsidRDefault="00C430F0" w:rsidP="00C430F0">
      <w:r w:rsidRPr="004C787F">
        <w:t xml:space="preserve">The final use price of a commodity, commonly known as the purchaser’s price, depends on the total supply price, </w:t>
      </w:r>
      <w:r w:rsidR="009205EE" w:rsidRPr="009205EE">
        <w:rPr>
          <w:position w:val="-14"/>
        </w:rPr>
        <w:object w:dxaOrig="480" w:dyaOrig="400" w14:anchorId="1A053938">
          <v:shape id="_x0000_i1194" type="#_x0000_t75" style="width:24pt;height:20.4pt" o:ole="">
            <v:imagedata r:id="rId363" o:title=""/>
          </v:shape>
          <o:OLEObject Type="Embed" ProgID="Equation.DSMT4" ShapeID="_x0000_i1194" DrawAspect="Content" ObjectID="_1755515648" r:id="rId364"/>
        </w:object>
      </w:r>
      <w:r w:rsidRPr="004C787F">
        <w:t xml:space="preserve">, the cost of margins required to transfer the commodity to its final use, </w:t>
      </w:r>
      <w:r w:rsidR="009205EE" w:rsidRPr="009205EE">
        <w:rPr>
          <w:position w:val="-14"/>
        </w:rPr>
        <w:object w:dxaOrig="820" w:dyaOrig="400" w14:anchorId="57C753B2">
          <v:shape id="_x0000_i1195" type="#_x0000_t75" style="width:41.4pt;height:20.4pt" o:ole="">
            <v:imagedata r:id="rId365" o:title=""/>
          </v:shape>
          <o:OLEObject Type="Embed" ProgID="Equation.DSMT4" ShapeID="_x0000_i1195" DrawAspect="Content" ObjectID="_1755515649" r:id="rId366"/>
        </w:object>
      </w:r>
      <w:r w:rsidRPr="004C787F">
        <w:t xml:space="preserve">, and taxes on products (excise, </w:t>
      </w:r>
      <w:r w:rsidR="009205EE" w:rsidRPr="009205EE">
        <w:rPr>
          <w:position w:val="-14"/>
        </w:rPr>
        <w:object w:dxaOrig="440" w:dyaOrig="400" w14:anchorId="70B62057">
          <v:shape id="_x0000_i1196" type="#_x0000_t75" style="width:21.6pt;height:20.4pt" o:ole="">
            <v:imagedata r:id="rId367" o:title=""/>
          </v:shape>
          <o:OLEObject Type="Embed" ProgID="Equation.DSMT4" ShapeID="_x0000_i1196" DrawAspect="Content" ObjectID="_1755515650" r:id="rId368"/>
        </w:object>
      </w:r>
      <w:r w:rsidRPr="004C787F">
        <w:t xml:space="preserve">, and sales taxes, </w:t>
      </w:r>
      <w:r w:rsidR="009205EE" w:rsidRPr="009205EE">
        <w:rPr>
          <w:position w:val="-14"/>
        </w:rPr>
        <w:object w:dxaOrig="440" w:dyaOrig="400" w14:anchorId="71BF167F">
          <v:shape id="_x0000_i1197" type="#_x0000_t75" style="width:21.6pt;height:20.4pt" o:ole="">
            <v:imagedata r:id="rId369" o:title=""/>
          </v:shape>
          <o:OLEObject Type="Embed" ProgID="Equation.DSMT4" ShapeID="_x0000_i1197" DrawAspect="Content" ObjectID="_1755515651" r:id="rId370"/>
        </w:object>
      </w:r>
      <w:r w:rsidRPr="004C787F">
        <w:t>)</w:t>
      </w:r>
      <w:r>
        <w:t>.</w:t>
      </w:r>
    </w:p>
    <w:p w14:paraId="57A231AE" w14:textId="3CB37B3B" w:rsidR="00C430F0" w:rsidRPr="004C787F" w:rsidRDefault="00C430F0" w:rsidP="00C430F0">
      <w:r w:rsidRPr="004C787F">
        <w:t xml:space="preserve">Excise is levied per unit at rate </w:t>
      </w:r>
      <w:r w:rsidR="009205EE" w:rsidRPr="009205EE">
        <w:rPr>
          <w:position w:val="-14"/>
        </w:rPr>
        <w:object w:dxaOrig="440" w:dyaOrig="400" w14:anchorId="2041404A">
          <v:shape id="_x0000_i1198" type="#_x0000_t75" style="width:21.6pt;height:20.4pt" o:ole="">
            <v:imagedata r:id="rId371" o:title=""/>
          </v:shape>
          <o:OLEObject Type="Embed" ProgID="Equation.DSMT4" ShapeID="_x0000_i1198" DrawAspect="Content" ObjectID="_1755515652" r:id="rId372"/>
        </w:object>
      </w:r>
      <w:r w:rsidRPr="004C787F">
        <w:t xml:space="preserve">, which depends on the use category, commodity and industry. Sales tax, </w:t>
      </w:r>
      <w:r w:rsidR="009205EE" w:rsidRPr="009205EE">
        <w:rPr>
          <w:position w:val="-14"/>
        </w:rPr>
        <w:object w:dxaOrig="440" w:dyaOrig="400" w14:anchorId="3A2FC300">
          <v:shape id="_x0000_i1199" type="#_x0000_t75" style="width:21.6pt;height:20.4pt" o:ole="">
            <v:imagedata r:id="rId373" o:title=""/>
          </v:shape>
          <o:OLEObject Type="Embed" ProgID="Equation.DSMT4" ShapeID="_x0000_i1199" DrawAspect="Content" ObjectID="_1755515653" r:id="rId374"/>
        </w:object>
      </w:r>
      <w:r w:rsidRPr="004C787F">
        <w:t>, represents a combination of GST, subsidies and other sales taxes, and is levied on the combined basic value of the commodities, the associated margins, import duties and excise.</w:t>
      </w:r>
    </w:p>
    <w:p w14:paraId="0458C764" w14:textId="4F644FAF" w:rsidR="00C430F0" w:rsidRPr="004C787F" w:rsidRDefault="00C430F0" w:rsidP="00C430F0">
      <w:r w:rsidRPr="004C787F">
        <w:t xml:space="preserve">Hence, the purchaser’s price by use of commodity </w:t>
      </w:r>
      <w:r w:rsidR="009205EE" w:rsidRPr="009205EE">
        <w:rPr>
          <w:position w:val="-10"/>
        </w:rPr>
        <w:object w:dxaOrig="200" w:dyaOrig="300" w14:anchorId="1E8D87E7">
          <v:shape id="_x0000_i1200" type="#_x0000_t75" style="width:9.6pt;height:15pt" o:ole="">
            <v:imagedata r:id="rId375" o:title=""/>
          </v:shape>
          <o:OLEObject Type="Embed" ProgID="Equation.DSMT4" ShapeID="_x0000_i1200" DrawAspect="Content" ObjectID="_1755515654" r:id="rId376"/>
        </w:object>
      </w:r>
      <w:r w:rsidRPr="004C787F">
        <w:t xml:space="preserve"> is given by:</w:t>
      </w:r>
    </w:p>
    <w:p w14:paraId="5CE5FF60" w14:textId="61C7705B" w:rsidR="00C430F0" w:rsidRPr="004C787F" w:rsidRDefault="00C430F0" w:rsidP="00C430F0">
      <w:pPr>
        <w:pStyle w:val="MTDisplayEquation"/>
      </w:pPr>
      <w:r w:rsidRPr="004C787F">
        <w:tab/>
      </w:r>
      <w:r w:rsidR="009205EE" w:rsidRPr="009205EE">
        <w:rPr>
          <w:position w:val="-28"/>
        </w:rPr>
        <w:object w:dxaOrig="4020" w:dyaOrig="540" w14:anchorId="149BF891">
          <v:shape id="_x0000_i1201" type="#_x0000_t75" style="width:201pt;height:27pt" o:ole="">
            <v:imagedata r:id="rId377" o:title=""/>
          </v:shape>
          <o:OLEObject Type="Embed" ProgID="Equation.DSMT4" ShapeID="_x0000_i1201" DrawAspect="Content" ObjectID="_1755515655" r:id="rId378"/>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r w:rsidRPr="004C787F">
        <w:instrText>(</w:instrText>
      </w:r>
      <w:r w:rsidR="00697947">
        <w:fldChar w:fldCharType="begin"/>
      </w:r>
      <w:r w:rsidR="00697947">
        <w:instrText>SEQ MTEqn \c \* Arabic \* MERGEFORMAT</w:instrText>
      </w:r>
      <w:r w:rsidR="00697947">
        <w:fldChar w:fldCharType="separate"/>
      </w:r>
      <w:r w:rsidR="00354F38">
        <w:rPr>
          <w:noProof/>
        </w:rPr>
        <w:instrText>40</w:instrText>
      </w:r>
      <w:r w:rsidR="00697947">
        <w:rPr>
          <w:noProof/>
        </w:rPr>
        <w:fldChar w:fldCharType="end"/>
      </w:r>
      <w:r w:rsidRPr="004C787F">
        <w:instrText>)</w:instrText>
      </w:r>
      <w:r w:rsidRPr="004C787F">
        <w:fldChar w:fldCharType="end"/>
      </w:r>
    </w:p>
    <w:p w14:paraId="7E82DA9E" w14:textId="4BB649A6" w:rsidR="00C430F0" w:rsidRPr="004C787F" w:rsidRDefault="00C430F0" w:rsidP="00C430F0">
      <w:pPr>
        <w:pStyle w:val="MTDisplayEquation"/>
      </w:pPr>
      <w:r w:rsidRPr="004C787F">
        <w:tab/>
      </w:r>
      <w:r w:rsidR="009205EE" w:rsidRPr="009205EE">
        <w:rPr>
          <w:position w:val="-28"/>
        </w:rPr>
        <w:object w:dxaOrig="4360" w:dyaOrig="540" w14:anchorId="2850AA50">
          <v:shape id="_x0000_i1202" type="#_x0000_t75" style="width:217.8pt;height:27pt" o:ole="">
            <v:imagedata r:id="rId379" o:title=""/>
          </v:shape>
          <o:OLEObject Type="Embed" ProgID="Equation.DSMT4" ShapeID="_x0000_i1202" DrawAspect="Content" ObjectID="_1755515656" r:id="rId380"/>
        </w:object>
      </w:r>
    </w:p>
    <w:p w14:paraId="7D09C9F1" w14:textId="26F9DDA7" w:rsidR="00C430F0" w:rsidRPr="004C787F" w:rsidRDefault="00C430F0" w:rsidP="00C430F0">
      <w:pPr>
        <w:pStyle w:val="MTDisplayEquation"/>
      </w:pPr>
      <w:r w:rsidRPr="004C787F">
        <w:tab/>
      </w:r>
      <w:r w:rsidR="009205EE" w:rsidRPr="009205EE">
        <w:rPr>
          <w:position w:val="-28"/>
        </w:rPr>
        <w:object w:dxaOrig="4360" w:dyaOrig="540" w14:anchorId="565BE386">
          <v:shape id="_x0000_i1203" type="#_x0000_t75" style="width:217.8pt;height:27pt" o:ole="">
            <v:imagedata r:id="rId381" o:title=""/>
          </v:shape>
          <o:OLEObject Type="Embed" ProgID="Equation.DSMT4" ShapeID="_x0000_i1203" DrawAspect="Content" ObjectID="_1755515657" r:id="rId382"/>
        </w:object>
      </w:r>
    </w:p>
    <w:p w14:paraId="7B952E24" w14:textId="50D975F1" w:rsidR="00C430F0" w:rsidRPr="004C787F" w:rsidRDefault="00C430F0" w:rsidP="00C430F0">
      <w:pPr>
        <w:pStyle w:val="MTDisplayEquation"/>
      </w:pPr>
      <w:r w:rsidRPr="004C787F">
        <w:tab/>
      </w:r>
      <w:r w:rsidR="009205EE" w:rsidRPr="009205EE">
        <w:rPr>
          <w:position w:val="-28"/>
        </w:rPr>
        <w:object w:dxaOrig="2400" w:dyaOrig="540" w14:anchorId="0EF4B276">
          <v:shape id="_x0000_i1204" type="#_x0000_t75" style="width:120pt;height:27pt" o:ole="">
            <v:imagedata r:id="rId383" o:title=""/>
          </v:shape>
          <o:OLEObject Type="Embed" ProgID="Equation.DSMT4" ShapeID="_x0000_i1204" DrawAspect="Content" ObjectID="_1755515658" r:id="rId384"/>
        </w:object>
      </w:r>
    </w:p>
    <w:p w14:paraId="25180434" w14:textId="2850C3A7" w:rsidR="00C430F0" w:rsidRPr="004C787F" w:rsidRDefault="00C430F0" w:rsidP="00C430F0">
      <w:pPr>
        <w:pStyle w:val="MTDisplayEquation"/>
      </w:pPr>
      <w:r w:rsidRPr="004C787F">
        <w:tab/>
      </w:r>
      <w:r w:rsidR="009205EE" w:rsidRPr="009205EE">
        <w:rPr>
          <w:position w:val="-28"/>
        </w:rPr>
        <w:object w:dxaOrig="4020" w:dyaOrig="540" w14:anchorId="514A044B">
          <v:shape id="_x0000_i1205" type="#_x0000_t75" style="width:201pt;height:27pt" o:ole="">
            <v:imagedata r:id="rId385" o:title=""/>
          </v:shape>
          <o:OLEObject Type="Embed" ProgID="Equation.DSMT4" ShapeID="_x0000_i1205" DrawAspect="Content" ObjectID="_1755515659" r:id="rId386"/>
        </w:object>
      </w:r>
    </w:p>
    <w:p w14:paraId="256612BD" w14:textId="77777777" w:rsidR="00C430F0" w:rsidRPr="004C787F" w:rsidRDefault="00C430F0" w:rsidP="00C430F0">
      <w:pPr>
        <w:pStyle w:val="Heading3"/>
      </w:pPr>
      <w:r w:rsidRPr="004C787F">
        <w:t>Government</w:t>
      </w:r>
    </w:p>
    <w:p w14:paraId="57E999F3" w14:textId="77777777" w:rsidR="00C430F0" w:rsidRPr="004C787F" w:rsidRDefault="00C430F0" w:rsidP="00C430F0">
      <w:pPr>
        <w:pStyle w:val="Heading4"/>
      </w:pPr>
      <w:r w:rsidRPr="004C787F">
        <w:t>Revenue</w:t>
      </w:r>
    </w:p>
    <w:p w14:paraId="37C3EF72" w14:textId="77777777" w:rsidR="00C430F0" w:rsidRPr="004C787F" w:rsidRDefault="00C430F0" w:rsidP="00C430F0">
      <w:r w:rsidRPr="004C787F">
        <w:t xml:space="preserve">The government collects revenue by levying taxes on income, </w:t>
      </w:r>
      <w:r>
        <w:t>commodities</w:t>
      </w:r>
      <w:r w:rsidRPr="004C787F">
        <w:t xml:space="preserve"> and production. </w:t>
      </w:r>
    </w:p>
    <w:p w14:paraId="72C5BF07" w14:textId="77777777" w:rsidR="00C430F0" w:rsidRPr="004C787F" w:rsidRDefault="00C430F0" w:rsidP="00C430F0">
      <w:pPr>
        <w:pStyle w:val="Heading5"/>
      </w:pPr>
      <w:r w:rsidRPr="004C787F">
        <w:t>Income taxes</w:t>
      </w:r>
    </w:p>
    <w:p w14:paraId="273E6ED9" w14:textId="77777777" w:rsidR="00C430F0" w:rsidRPr="004C787F" w:rsidRDefault="00C430F0" w:rsidP="00C430F0">
      <w:r w:rsidRPr="004C787F">
        <w:t xml:space="preserve">TIM does not incorporate heterogeneous households or different savings vehicles, which limits the modelling of income tax to stylised labour and capital income taxes. </w:t>
      </w:r>
    </w:p>
    <w:p w14:paraId="212F45B0" w14:textId="2D8AAC4A" w:rsidR="00C430F0" w:rsidRPr="004C787F" w:rsidRDefault="00C430F0" w:rsidP="00C430F0">
      <w:r w:rsidRPr="004C787F">
        <w:t xml:space="preserve">Labour income tax is modelled as a flat rate, </w:t>
      </w:r>
      <w:r w:rsidR="009205EE" w:rsidRPr="009205EE">
        <w:rPr>
          <w:position w:val="-12"/>
        </w:rPr>
        <w:object w:dxaOrig="279" w:dyaOrig="380" w14:anchorId="0128E8DD">
          <v:shape id="_x0000_i1206" type="#_x0000_t75" style="width:13.8pt;height:18.6pt" o:ole="">
            <v:imagedata r:id="rId387" o:title=""/>
          </v:shape>
          <o:OLEObject Type="Embed" ProgID="Equation.DSMT4" ShapeID="_x0000_i1206" DrawAspect="Content" ObjectID="_1755515660" r:id="rId388"/>
        </w:object>
      </w:r>
      <w:r w:rsidRPr="004C787F">
        <w:t>, applied to total labour income:</w:t>
      </w:r>
    </w:p>
    <w:p w14:paraId="2D913606" w14:textId="616268CC" w:rsidR="00C430F0" w:rsidRPr="004C787F" w:rsidRDefault="00C430F0" w:rsidP="00C430F0">
      <w:pPr>
        <w:tabs>
          <w:tab w:val="center" w:pos="4640"/>
          <w:tab w:val="right" w:pos="9300"/>
        </w:tabs>
      </w:pPr>
      <w:r w:rsidRPr="004C787F">
        <w:tab/>
      </w:r>
      <w:r w:rsidR="009205EE" w:rsidRPr="009205EE">
        <w:rPr>
          <w:position w:val="-28"/>
        </w:rPr>
        <w:object w:dxaOrig="2500" w:dyaOrig="540" w14:anchorId="27278248">
          <v:shape id="_x0000_i1207" type="#_x0000_t75" style="width:125.4pt;height:27pt" o:ole="">
            <v:imagedata r:id="rId389" o:title=""/>
          </v:shape>
          <o:OLEObject Type="Embed" ProgID="Equation.DSMT4" ShapeID="_x0000_i1207" DrawAspect="Content" ObjectID="_1755515661" r:id="rId390"/>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bookmarkStart w:id="29" w:name="ZEqnNum361328"/>
      <w:r w:rsidRPr="004C787F">
        <w:instrText>(</w:instrText>
      </w:r>
      <w:r w:rsidR="00697947">
        <w:fldChar w:fldCharType="begin"/>
      </w:r>
      <w:r w:rsidR="00697947">
        <w:instrText>SEQ MTEqn \c \* Arabic \* MERGEFORMAT</w:instrText>
      </w:r>
      <w:r w:rsidR="00697947">
        <w:fldChar w:fldCharType="separate"/>
      </w:r>
      <w:r w:rsidR="00354F38">
        <w:rPr>
          <w:noProof/>
        </w:rPr>
        <w:instrText>41</w:instrText>
      </w:r>
      <w:r w:rsidR="00697947">
        <w:rPr>
          <w:noProof/>
        </w:rPr>
        <w:fldChar w:fldCharType="end"/>
      </w:r>
      <w:r w:rsidRPr="004C787F">
        <w:instrText>)</w:instrText>
      </w:r>
      <w:bookmarkEnd w:id="29"/>
      <w:r w:rsidRPr="004C787F">
        <w:fldChar w:fldCharType="end"/>
      </w:r>
    </w:p>
    <w:p w14:paraId="36D249CA" w14:textId="77777777" w:rsidR="00C430F0" w:rsidRPr="004C787F" w:rsidRDefault="00C430F0" w:rsidP="00C430F0">
      <w:r w:rsidRPr="004C787F">
        <w:t>Capital income tax represents company income tax, which is paid by firms on behalf of shareholders. It is levied on corporate earnings after deductions for production taxes and depreciation:</w:t>
      </w:r>
    </w:p>
    <w:p w14:paraId="3C659A68" w14:textId="117C3823" w:rsidR="00C430F0" w:rsidRPr="004C787F" w:rsidRDefault="00C430F0" w:rsidP="00C430F0">
      <w:pPr>
        <w:tabs>
          <w:tab w:val="center" w:pos="4640"/>
          <w:tab w:val="right" w:pos="9300"/>
        </w:tabs>
      </w:pPr>
      <w:r w:rsidRPr="004C787F">
        <w:tab/>
      </w:r>
      <w:r w:rsidR="009205EE" w:rsidRPr="009205EE">
        <w:rPr>
          <w:position w:val="-28"/>
        </w:rPr>
        <w:object w:dxaOrig="5179" w:dyaOrig="560" w14:anchorId="0E086414">
          <v:shape id="_x0000_i1208" type="#_x0000_t75" style="width:259.2pt;height:28.8pt" o:ole="">
            <v:imagedata r:id="rId391" o:title=""/>
          </v:shape>
          <o:OLEObject Type="Embed" ProgID="Equation.DSMT4" ShapeID="_x0000_i1208" DrawAspect="Content" ObjectID="_1755515662" r:id="rId392"/>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r w:rsidRPr="004C787F">
        <w:instrText>(</w:instrText>
      </w:r>
      <w:r w:rsidR="00697947">
        <w:fldChar w:fldCharType="begin"/>
      </w:r>
      <w:r w:rsidR="00697947">
        <w:instrText>SEQ MTEqn \c \* Arabic \* MERGEFORMAT</w:instrText>
      </w:r>
      <w:r w:rsidR="00697947">
        <w:fldChar w:fldCharType="separate"/>
      </w:r>
      <w:r w:rsidR="00354F38">
        <w:rPr>
          <w:noProof/>
        </w:rPr>
        <w:instrText>42</w:instrText>
      </w:r>
      <w:r w:rsidR="00697947">
        <w:rPr>
          <w:noProof/>
        </w:rPr>
        <w:fldChar w:fldCharType="end"/>
      </w:r>
      <w:r w:rsidRPr="004C787F">
        <w:instrText>)</w:instrText>
      </w:r>
      <w:r w:rsidRPr="004C787F">
        <w:fldChar w:fldCharType="end"/>
      </w:r>
    </w:p>
    <w:p w14:paraId="20E16153" w14:textId="77777777" w:rsidR="00C430F0" w:rsidRPr="004C787F" w:rsidRDefault="00C430F0" w:rsidP="00C430F0">
      <w:r w:rsidRPr="004C787F">
        <w:t xml:space="preserve">The model ignores </w:t>
      </w:r>
      <w:r>
        <w:t xml:space="preserve">other </w:t>
      </w:r>
      <w:r w:rsidRPr="004C787F">
        <w:t>withholding tax or similar taxes on passive income earned by the ROW.</w:t>
      </w:r>
    </w:p>
    <w:p w14:paraId="015F62F4" w14:textId="77777777" w:rsidR="00C430F0" w:rsidRPr="004C787F" w:rsidRDefault="00C430F0" w:rsidP="00C430F0">
      <w:pPr>
        <w:pStyle w:val="Heading5"/>
      </w:pPr>
      <w:r w:rsidRPr="004C787F">
        <w:t>Taxes on products</w:t>
      </w:r>
    </w:p>
    <w:p w14:paraId="4363EE27" w14:textId="77777777" w:rsidR="00C430F0" w:rsidRPr="004C787F" w:rsidRDefault="00C430F0" w:rsidP="00C430F0">
      <w:r w:rsidRPr="004C787F">
        <w:t>The government collects excise and sales tax. Sales tax is modelled as an ad valorem tax on the value of household final consumption, government expenditure, exports, intermediate inputs and private gross fixed capital formation:</w:t>
      </w:r>
    </w:p>
    <w:p w14:paraId="6BB41AE5" w14:textId="41BA545A" w:rsidR="00C430F0" w:rsidRPr="004C787F" w:rsidRDefault="00C430F0" w:rsidP="00C430F0">
      <w:pPr>
        <w:tabs>
          <w:tab w:val="center" w:pos="4640"/>
          <w:tab w:val="right" w:pos="9300"/>
        </w:tabs>
      </w:pPr>
      <w:r w:rsidRPr="004C787F">
        <w:tab/>
      </w:r>
      <w:r w:rsidR="009205EE" w:rsidRPr="009205EE">
        <w:rPr>
          <w:position w:val="-32"/>
        </w:rPr>
        <w:object w:dxaOrig="2079" w:dyaOrig="760" w14:anchorId="3A0D4A3F">
          <v:shape id="_x0000_i1209" type="#_x0000_t75" style="width:103.8pt;height:38.4pt" o:ole="">
            <v:imagedata r:id="rId393" o:title=""/>
          </v:shape>
          <o:OLEObject Type="Embed" ProgID="Equation.DSMT4" ShapeID="_x0000_i1209" DrawAspect="Content" ObjectID="_1755515663" r:id="rId394"/>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bookmarkStart w:id="30" w:name="ZEqnNum280717"/>
      <w:r w:rsidRPr="004C787F">
        <w:instrText>(</w:instrText>
      </w:r>
      <w:r w:rsidR="00697947">
        <w:fldChar w:fldCharType="begin"/>
      </w:r>
      <w:r w:rsidR="00697947">
        <w:instrText>SEQ MTEqn \c \* Arabic \* MERGEFORMAT</w:instrText>
      </w:r>
      <w:r w:rsidR="00697947">
        <w:fldChar w:fldCharType="separate"/>
      </w:r>
      <w:r w:rsidR="00354F38">
        <w:rPr>
          <w:noProof/>
        </w:rPr>
        <w:instrText>43</w:instrText>
      </w:r>
      <w:r w:rsidR="00697947">
        <w:rPr>
          <w:noProof/>
        </w:rPr>
        <w:fldChar w:fldCharType="end"/>
      </w:r>
      <w:r w:rsidRPr="004C787F">
        <w:instrText>)</w:instrText>
      </w:r>
      <w:bookmarkEnd w:id="30"/>
      <w:r w:rsidRPr="004C787F">
        <w:fldChar w:fldCharType="end"/>
      </w:r>
    </w:p>
    <w:p w14:paraId="7778A87E" w14:textId="1AB82BE5" w:rsidR="00C430F0" w:rsidRPr="004C787F" w:rsidRDefault="00C430F0" w:rsidP="00C430F0">
      <w:pPr>
        <w:tabs>
          <w:tab w:val="center" w:pos="4640"/>
          <w:tab w:val="right" w:pos="9300"/>
        </w:tabs>
      </w:pPr>
      <w:r w:rsidRPr="004C787F">
        <w:tab/>
      </w:r>
      <w:r w:rsidR="009205EE" w:rsidRPr="009205EE">
        <w:rPr>
          <w:position w:val="-32"/>
        </w:rPr>
        <w:object w:dxaOrig="2720" w:dyaOrig="760" w14:anchorId="2B77A450">
          <v:shape id="_x0000_i1210" type="#_x0000_t75" style="width:135.6pt;height:38.4pt" o:ole="">
            <v:imagedata r:id="rId395" o:title=""/>
          </v:shape>
          <o:OLEObject Type="Embed" ProgID="Equation.DSMT4" ShapeID="_x0000_i1210" DrawAspect="Content" ObjectID="_1755515664" r:id="rId396"/>
        </w:object>
      </w:r>
    </w:p>
    <w:p w14:paraId="6AE4D9CA" w14:textId="2DF3ECEC" w:rsidR="00C430F0" w:rsidRPr="004C787F" w:rsidRDefault="00C430F0" w:rsidP="00C430F0">
      <w:pPr>
        <w:tabs>
          <w:tab w:val="center" w:pos="4640"/>
          <w:tab w:val="right" w:pos="9300"/>
        </w:tabs>
      </w:pPr>
      <w:r w:rsidRPr="004C787F">
        <w:tab/>
      </w:r>
      <w:r w:rsidR="009205EE" w:rsidRPr="009205EE">
        <w:rPr>
          <w:position w:val="-32"/>
        </w:rPr>
        <w:object w:dxaOrig="2799" w:dyaOrig="760" w14:anchorId="3D47B3A4">
          <v:shape id="_x0000_i1211" type="#_x0000_t75" style="width:140.4pt;height:38.4pt" o:ole="">
            <v:imagedata r:id="rId397" o:title=""/>
          </v:shape>
          <o:OLEObject Type="Embed" ProgID="Equation.DSMT4" ShapeID="_x0000_i1211" DrawAspect="Content" ObjectID="_1755515665" r:id="rId398"/>
        </w:object>
      </w:r>
    </w:p>
    <w:p w14:paraId="68840980" w14:textId="3896C078" w:rsidR="00C430F0" w:rsidRPr="004C787F" w:rsidRDefault="00C430F0" w:rsidP="00C430F0">
      <w:pPr>
        <w:tabs>
          <w:tab w:val="center" w:pos="4640"/>
          <w:tab w:val="right" w:pos="9300"/>
        </w:tabs>
      </w:pPr>
      <w:r w:rsidRPr="004C787F">
        <w:tab/>
      </w:r>
      <w:r w:rsidR="009205EE" w:rsidRPr="009205EE">
        <w:rPr>
          <w:position w:val="-32"/>
        </w:rPr>
        <w:object w:dxaOrig="2100" w:dyaOrig="760" w14:anchorId="01F314EE">
          <v:shape id="_x0000_i1212" type="#_x0000_t75" style="width:105pt;height:38.4pt" o:ole="">
            <v:imagedata r:id="rId399" o:title=""/>
          </v:shape>
          <o:OLEObject Type="Embed" ProgID="Equation.DSMT4" ShapeID="_x0000_i1212" DrawAspect="Content" ObjectID="_1755515666" r:id="rId400"/>
        </w:object>
      </w:r>
    </w:p>
    <w:p w14:paraId="2C6D5BBA" w14:textId="77777777" w:rsidR="00C430F0" w:rsidRPr="004C787F" w:rsidRDefault="00C430F0" w:rsidP="00C430F0">
      <w:r w:rsidRPr="004C787F">
        <w:t>Excise is levied on the volume of sales, with total revenue given by:</w:t>
      </w:r>
    </w:p>
    <w:p w14:paraId="7A64BB72" w14:textId="0F8E7951" w:rsidR="00C430F0" w:rsidRPr="004C787F" w:rsidRDefault="00C430F0" w:rsidP="00C430F0">
      <w:pPr>
        <w:tabs>
          <w:tab w:val="center" w:pos="4640"/>
          <w:tab w:val="right" w:pos="9300"/>
        </w:tabs>
      </w:pPr>
      <w:r w:rsidRPr="004C787F">
        <w:tab/>
      </w:r>
      <w:r w:rsidR="009205EE" w:rsidRPr="009205EE">
        <w:rPr>
          <w:position w:val="-30"/>
        </w:rPr>
        <w:object w:dxaOrig="1719" w:dyaOrig="560" w14:anchorId="678E01A9">
          <v:shape id="_x0000_i1213" type="#_x0000_t75" style="width:85.8pt;height:28.8pt" o:ole="">
            <v:imagedata r:id="rId401" o:title=""/>
          </v:shape>
          <o:OLEObject Type="Embed" ProgID="Equation.DSMT4" ShapeID="_x0000_i1213" DrawAspect="Content" ObjectID="_1755515667" r:id="rId402"/>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r w:rsidRPr="004C787F">
        <w:instrText>(</w:instrText>
      </w:r>
      <w:r w:rsidR="00697947">
        <w:fldChar w:fldCharType="begin"/>
      </w:r>
      <w:r w:rsidR="00697947">
        <w:instrText>SEQ MTEqn \c \* Arabic \* MERGEFORMAT</w:instrText>
      </w:r>
      <w:r w:rsidR="00697947">
        <w:fldChar w:fldCharType="separate"/>
      </w:r>
      <w:r w:rsidR="00354F38">
        <w:rPr>
          <w:noProof/>
        </w:rPr>
        <w:instrText>44</w:instrText>
      </w:r>
      <w:r w:rsidR="00697947">
        <w:rPr>
          <w:noProof/>
        </w:rPr>
        <w:fldChar w:fldCharType="end"/>
      </w:r>
      <w:r w:rsidRPr="004C787F">
        <w:instrText>)</w:instrText>
      </w:r>
      <w:r w:rsidRPr="004C787F">
        <w:fldChar w:fldCharType="end"/>
      </w:r>
    </w:p>
    <w:p w14:paraId="0577EC32" w14:textId="15D9F64F" w:rsidR="00C430F0" w:rsidRPr="004C787F" w:rsidRDefault="00C430F0" w:rsidP="00C430F0">
      <w:pPr>
        <w:tabs>
          <w:tab w:val="center" w:pos="4640"/>
          <w:tab w:val="right" w:pos="9300"/>
        </w:tabs>
      </w:pPr>
      <w:r w:rsidRPr="004C787F">
        <w:tab/>
      </w:r>
      <w:r w:rsidR="009205EE" w:rsidRPr="009205EE">
        <w:rPr>
          <w:position w:val="-30"/>
        </w:rPr>
        <w:object w:dxaOrig="2299" w:dyaOrig="560" w14:anchorId="35DCB562">
          <v:shape id="_x0000_i1214" type="#_x0000_t75" style="width:115.8pt;height:28.8pt" o:ole="">
            <v:imagedata r:id="rId403" o:title=""/>
          </v:shape>
          <o:OLEObject Type="Embed" ProgID="Equation.DSMT4" ShapeID="_x0000_i1214" DrawAspect="Content" ObjectID="_1755515668" r:id="rId404"/>
        </w:object>
      </w:r>
    </w:p>
    <w:p w14:paraId="64ACDD4E" w14:textId="78C39D44" w:rsidR="00C430F0" w:rsidRPr="004C787F" w:rsidRDefault="00C430F0" w:rsidP="00C430F0">
      <w:pPr>
        <w:tabs>
          <w:tab w:val="center" w:pos="4640"/>
          <w:tab w:val="right" w:pos="9300"/>
        </w:tabs>
      </w:pPr>
      <w:r w:rsidRPr="004C787F">
        <w:tab/>
      </w:r>
      <w:r w:rsidR="009205EE" w:rsidRPr="009205EE">
        <w:rPr>
          <w:position w:val="-30"/>
        </w:rPr>
        <w:object w:dxaOrig="2360" w:dyaOrig="560" w14:anchorId="7625921F">
          <v:shape id="_x0000_i1215" type="#_x0000_t75" style="width:117.6pt;height:28.8pt" o:ole="">
            <v:imagedata r:id="rId405" o:title=""/>
          </v:shape>
          <o:OLEObject Type="Embed" ProgID="Equation.DSMT4" ShapeID="_x0000_i1215" DrawAspect="Content" ObjectID="_1755515669" r:id="rId406"/>
        </w:object>
      </w:r>
    </w:p>
    <w:p w14:paraId="56B2DA71" w14:textId="5B5998A5" w:rsidR="00C430F0" w:rsidRPr="004C787F" w:rsidRDefault="00C430F0" w:rsidP="00C430F0">
      <w:pPr>
        <w:tabs>
          <w:tab w:val="center" w:pos="4640"/>
          <w:tab w:val="right" w:pos="9300"/>
        </w:tabs>
      </w:pPr>
      <w:r w:rsidRPr="004C787F">
        <w:tab/>
      </w:r>
      <w:r w:rsidR="009205EE" w:rsidRPr="009205EE">
        <w:rPr>
          <w:position w:val="-30"/>
        </w:rPr>
        <w:object w:dxaOrig="1740" w:dyaOrig="560" w14:anchorId="39864AE9">
          <v:shape id="_x0000_i1216" type="#_x0000_t75" style="width:87pt;height:28.8pt" o:ole="">
            <v:imagedata r:id="rId407" o:title=""/>
          </v:shape>
          <o:OLEObject Type="Embed" ProgID="Equation.DSMT4" ShapeID="_x0000_i1216" DrawAspect="Content" ObjectID="_1755515670" r:id="rId408"/>
        </w:object>
      </w:r>
    </w:p>
    <w:p w14:paraId="26730A7A" w14:textId="77777777" w:rsidR="00C430F0" w:rsidRPr="004C787F" w:rsidRDefault="00C430F0" w:rsidP="00C430F0">
      <w:pPr>
        <w:spacing w:before="0" w:after="200" w:line="276" w:lineRule="auto"/>
        <w:rPr>
          <w:lang w:val="en-US"/>
        </w:rPr>
      </w:pPr>
      <w:r w:rsidRPr="004C787F">
        <w:rPr>
          <w:lang w:val="en-US"/>
        </w:rPr>
        <w:br w:type="page"/>
      </w:r>
    </w:p>
    <w:p w14:paraId="2665B39A" w14:textId="77777777" w:rsidR="00C430F0" w:rsidRPr="004C787F" w:rsidRDefault="00C430F0" w:rsidP="00C430F0">
      <w:r w:rsidRPr="004C787F">
        <w:rPr>
          <w:lang w:val="en-US"/>
        </w:rPr>
        <w:t>Import duties are levied on the value of imports with total revenue given by:</w:t>
      </w:r>
    </w:p>
    <w:p w14:paraId="26A7E726" w14:textId="29CD3DD5" w:rsidR="00C430F0" w:rsidRPr="004C787F" w:rsidRDefault="00C430F0" w:rsidP="00C430F0">
      <w:pPr>
        <w:pStyle w:val="MTDisplayEquation"/>
      </w:pPr>
      <w:r w:rsidRPr="004C787F">
        <w:tab/>
      </w:r>
      <w:r w:rsidR="009205EE" w:rsidRPr="009205EE">
        <w:rPr>
          <w:position w:val="-30"/>
        </w:rPr>
        <w:object w:dxaOrig="2220" w:dyaOrig="560" w14:anchorId="020FECBC">
          <v:shape id="_x0000_i1217" type="#_x0000_t75" style="width:111pt;height:28.8pt" o:ole="">
            <v:imagedata r:id="rId409" o:title=""/>
          </v:shape>
          <o:OLEObject Type="Embed" ProgID="Equation.DSMT4" ShapeID="_x0000_i1217" DrawAspect="Content" ObjectID="_1755515671" r:id="rId410"/>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r w:rsidRPr="004C787F">
        <w:instrText>(</w:instrText>
      </w:r>
      <w:r w:rsidR="00697947">
        <w:fldChar w:fldCharType="begin"/>
      </w:r>
      <w:r w:rsidR="00697947">
        <w:instrText>SEQ MTEqn \c \* Arabic \* MERGEFORMAT</w:instrText>
      </w:r>
      <w:r w:rsidR="00697947">
        <w:fldChar w:fldCharType="separate"/>
      </w:r>
      <w:r w:rsidR="00354F38">
        <w:rPr>
          <w:noProof/>
        </w:rPr>
        <w:instrText>45</w:instrText>
      </w:r>
      <w:r w:rsidR="00697947">
        <w:rPr>
          <w:noProof/>
        </w:rPr>
        <w:fldChar w:fldCharType="end"/>
      </w:r>
      <w:r w:rsidRPr="004C787F">
        <w:instrText>)</w:instrText>
      </w:r>
      <w:r w:rsidRPr="004C787F">
        <w:fldChar w:fldCharType="end"/>
      </w:r>
    </w:p>
    <w:p w14:paraId="125B6C3B" w14:textId="76A85E87" w:rsidR="00C430F0" w:rsidRPr="004C787F" w:rsidRDefault="00C430F0" w:rsidP="00C430F0">
      <w:pPr>
        <w:pStyle w:val="MTDisplayEquation"/>
      </w:pPr>
      <w:r w:rsidRPr="004C787F">
        <w:tab/>
      </w:r>
      <w:r w:rsidR="009205EE" w:rsidRPr="009205EE">
        <w:rPr>
          <w:position w:val="-30"/>
        </w:rPr>
        <w:object w:dxaOrig="2260" w:dyaOrig="560" w14:anchorId="52675B77">
          <v:shape id="_x0000_i1218" type="#_x0000_t75" style="width:113.4pt;height:28.8pt" o:ole="">
            <v:imagedata r:id="rId411" o:title=""/>
          </v:shape>
          <o:OLEObject Type="Embed" ProgID="Equation.DSMT4" ShapeID="_x0000_i1218" DrawAspect="Content" ObjectID="_1755515672" r:id="rId412"/>
        </w:object>
      </w:r>
    </w:p>
    <w:p w14:paraId="5853DB97" w14:textId="3F2F4254" w:rsidR="00C430F0" w:rsidRPr="004C787F" w:rsidRDefault="00C430F0" w:rsidP="00C430F0">
      <w:pPr>
        <w:pStyle w:val="MTDisplayEquation"/>
      </w:pPr>
      <w:r w:rsidRPr="004C787F">
        <w:tab/>
      </w:r>
      <w:r w:rsidR="009205EE" w:rsidRPr="009205EE">
        <w:rPr>
          <w:position w:val="-30"/>
        </w:rPr>
        <w:object w:dxaOrig="2680" w:dyaOrig="560" w14:anchorId="0663AB25">
          <v:shape id="_x0000_i1219" type="#_x0000_t75" style="width:134.4pt;height:28.8pt" o:ole="">
            <v:imagedata r:id="rId413" o:title=""/>
          </v:shape>
          <o:OLEObject Type="Embed" ProgID="Equation.DSMT4" ShapeID="_x0000_i1219" DrawAspect="Content" ObjectID="_1755515673" r:id="rId414"/>
        </w:object>
      </w:r>
    </w:p>
    <w:p w14:paraId="241C06A0" w14:textId="5F3CE7D0" w:rsidR="00C430F0" w:rsidRPr="004C787F" w:rsidRDefault="00C430F0" w:rsidP="00C430F0">
      <w:pPr>
        <w:pStyle w:val="MTDisplayEquation"/>
      </w:pPr>
      <w:r w:rsidRPr="004C787F">
        <w:tab/>
      </w:r>
      <w:r w:rsidR="009205EE" w:rsidRPr="009205EE">
        <w:rPr>
          <w:position w:val="-30"/>
        </w:rPr>
        <w:object w:dxaOrig="2220" w:dyaOrig="560" w14:anchorId="4968EBC3">
          <v:shape id="_x0000_i1220" type="#_x0000_t75" style="width:111pt;height:28.8pt" o:ole="">
            <v:imagedata r:id="rId415" o:title=""/>
          </v:shape>
          <o:OLEObject Type="Embed" ProgID="Equation.DSMT4" ShapeID="_x0000_i1220" DrawAspect="Content" ObjectID="_1755515674" r:id="rId416"/>
        </w:object>
      </w:r>
    </w:p>
    <w:p w14:paraId="6236E8A3" w14:textId="77777777" w:rsidR="00C430F0" w:rsidRPr="004C787F" w:rsidRDefault="00C430F0" w:rsidP="00C430F0">
      <w:pPr>
        <w:pStyle w:val="Heading4"/>
      </w:pPr>
      <w:r w:rsidRPr="004C787F">
        <w:t>Expenditure</w:t>
      </w:r>
    </w:p>
    <w:p w14:paraId="6F879E1D" w14:textId="77777777" w:rsidR="00C430F0" w:rsidRPr="004C787F" w:rsidRDefault="00C430F0" w:rsidP="00C430F0">
      <w:r w:rsidRPr="004C787F">
        <w:t>Tax revenue is used to finance general government consumption and a lump</w:t>
      </w:r>
      <w:r w:rsidRPr="004C787F">
        <w:noBreakHyphen/>
        <w:t xml:space="preserve">sum transfer to the household. Government expenditure does not directly affect the welfare of the household or the productivity of private factors of production. Real government expenditure is assumed to grow at the same rate as trend output. That is, </w:t>
      </w:r>
      <w:r>
        <w:t xml:space="preserve">in </w:t>
      </w:r>
      <w:r w:rsidRPr="004C787F">
        <w:t xml:space="preserve">the </w:t>
      </w:r>
      <w:r>
        <w:t xml:space="preserve">absence of shocks, the </w:t>
      </w:r>
      <w:r w:rsidRPr="004C787F">
        <w:t>ratio of real government expenditure to real gross domestic product is constant. The total cost of government expenditure is given by:</w:t>
      </w:r>
    </w:p>
    <w:p w14:paraId="40C9A3C3" w14:textId="1DBC1303" w:rsidR="00C430F0" w:rsidRPr="004C787F" w:rsidRDefault="00C430F0" w:rsidP="00C430F0">
      <w:pPr>
        <w:pStyle w:val="MTDisplayEquation"/>
      </w:pPr>
      <w:r w:rsidRPr="004C787F">
        <w:tab/>
      </w:r>
      <w:r w:rsidR="009205EE" w:rsidRPr="009205EE">
        <w:rPr>
          <w:position w:val="-30"/>
        </w:rPr>
        <w:object w:dxaOrig="1700" w:dyaOrig="560" w14:anchorId="65150181">
          <v:shape id="_x0000_i1221" type="#_x0000_t75" style="width:85.8pt;height:28.8pt" o:ole="">
            <v:imagedata r:id="rId417" o:title=""/>
          </v:shape>
          <o:OLEObject Type="Embed" ProgID="Equation.DSMT4" ShapeID="_x0000_i1221" DrawAspect="Content" ObjectID="_1755515675" r:id="rId418"/>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bookmarkStart w:id="31" w:name="ZEqnNum418568"/>
      <w:r w:rsidRPr="004C787F">
        <w:instrText>(</w:instrText>
      </w:r>
      <w:r w:rsidR="00697947">
        <w:fldChar w:fldCharType="begin"/>
      </w:r>
      <w:r w:rsidR="00697947">
        <w:instrText>SEQ MTEqn \c \* Arabic \* MERGEFORMAT</w:instrText>
      </w:r>
      <w:r w:rsidR="00697947">
        <w:fldChar w:fldCharType="separate"/>
      </w:r>
      <w:r w:rsidR="00354F38">
        <w:rPr>
          <w:noProof/>
        </w:rPr>
        <w:instrText>46</w:instrText>
      </w:r>
      <w:r w:rsidR="00697947">
        <w:rPr>
          <w:noProof/>
        </w:rPr>
        <w:fldChar w:fldCharType="end"/>
      </w:r>
      <w:r w:rsidRPr="004C787F">
        <w:instrText>)</w:instrText>
      </w:r>
      <w:bookmarkEnd w:id="31"/>
      <w:r w:rsidRPr="004C787F">
        <w:fldChar w:fldCharType="end"/>
      </w:r>
    </w:p>
    <w:p w14:paraId="129C58F8" w14:textId="77777777" w:rsidR="00C430F0" w:rsidRPr="004C787F" w:rsidRDefault="00C430F0" w:rsidP="00C430F0">
      <w:pPr>
        <w:pStyle w:val="Heading4"/>
      </w:pPr>
      <w:r w:rsidRPr="004C787F">
        <w:t>Government’s budget constraint</w:t>
      </w:r>
    </w:p>
    <w:p w14:paraId="130DCF81" w14:textId="77777777" w:rsidR="00C430F0" w:rsidRPr="004C787F" w:rsidRDefault="00C430F0" w:rsidP="00C430F0">
      <w:r w:rsidRPr="004C787F">
        <w:t>TIM’s</w:t>
      </w:r>
      <w:r>
        <w:t xml:space="preserve"> standard</w:t>
      </w:r>
      <w:r w:rsidRPr="004C787F">
        <w:t xml:space="preserve"> fiscal rule is that the government’s budget is balanced in every period (including in the calibration) with lump sum transfers adjusting to offset any changes in revenue. Government transfers are thus given by:</w:t>
      </w:r>
    </w:p>
    <w:p w14:paraId="13DE3E30" w14:textId="6F6D1F7A" w:rsidR="00C430F0" w:rsidRPr="004C787F" w:rsidRDefault="00C430F0" w:rsidP="00C430F0">
      <w:pPr>
        <w:pStyle w:val="MTDisplayEquation"/>
      </w:pPr>
      <w:r w:rsidRPr="004C787F">
        <w:tab/>
      </w:r>
      <w:r w:rsidR="009205EE" w:rsidRPr="009205EE">
        <w:rPr>
          <w:position w:val="-12"/>
        </w:rPr>
        <w:object w:dxaOrig="4900" w:dyaOrig="380" w14:anchorId="0B8DD6E9">
          <v:shape id="_x0000_i1222" type="#_x0000_t75" style="width:244.8pt;height:18.6pt" o:ole="">
            <v:imagedata r:id="rId419" o:title=""/>
          </v:shape>
          <o:OLEObject Type="Embed" ProgID="Equation.DSMT4" ShapeID="_x0000_i1222" DrawAspect="Content" ObjectID="_1755515676" r:id="rId420"/>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bookmarkStart w:id="32" w:name="ZEqnNum485037"/>
      <w:r w:rsidRPr="004C787F">
        <w:instrText>(</w:instrText>
      </w:r>
      <w:r w:rsidR="00697947">
        <w:fldChar w:fldCharType="begin"/>
      </w:r>
      <w:r w:rsidR="00697947">
        <w:instrText>SEQ MTEqn \c \* Arabic \* MERGEFORMAT</w:instrText>
      </w:r>
      <w:r w:rsidR="00697947">
        <w:fldChar w:fldCharType="separate"/>
      </w:r>
      <w:r w:rsidR="00354F38">
        <w:rPr>
          <w:noProof/>
        </w:rPr>
        <w:instrText>47</w:instrText>
      </w:r>
      <w:r w:rsidR="00697947">
        <w:rPr>
          <w:noProof/>
        </w:rPr>
        <w:fldChar w:fldCharType="end"/>
      </w:r>
      <w:r w:rsidRPr="004C787F">
        <w:instrText>)</w:instrText>
      </w:r>
      <w:bookmarkEnd w:id="32"/>
      <w:r w:rsidRPr="004C787F">
        <w:fldChar w:fldCharType="end"/>
      </w:r>
    </w:p>
    <w:p w14:paraId="5004855D" w14:textId="77777777" w:rsidR="00C430F0" w:rsidRPr="004C787F" w:rsidRDefault="00C430F0" w:rsidP="00C430F0">
      <w:pPr>
        <w:pStyle w:val="Heading3"/>
      </w:pPr>
      <w:r w:rsidRPr="004C787F">
        <w:t xml:space="preserve">Financial sector </w:t>
      </w:r>
    </w:p>
    <w:p w14:paraId="587D1707" w14:textId="77777777" w:rsidR="00C430F0" w:rsidRPr="004C787F" w:rsidRDefault="00C430F0" w:rsidP="00C430F0">
      <w:pPr>
        <w:rPr>
          <w:lang w:val="en-US"/>
        </w:rPr>
      </w:pPr>
      <w:r w:rsidRPr="004C787F">
        <w:rPr>
          <w:lang w:val="en-US"/>
        </w:rPr>
        <w:t xml:space="preserve">TIM’s financial sector allocates household savings to domestic equity. Under the model’s small open economy/perfect capital mobility assumption, any shortfall in funds for domestic equity investment is </w:t>
      </w:r>
      <w:r>
        <w:rPr>
          <w:lang w:val="en-US"/>
        </w:rPr>
        <w:t xml:space="preserve">therefore </w:t>
      </w:r>
      <w:r w:rsidRPr="004C787F">
        <w:rPr>
          <w:lang w:val="en-US"/>
        </w:rPr>
        <w:t>sourced from the foreign sector.</w:t>
      </w:r>
    </w:p>
    <w:p w14:paraId="51E94401" w14:textId="77777777" w:rsidR="00C430F0" w:rsidRPr="004C787F" w:rsidRDefault="00C430F0" w:rsidP="00C430F0">
      <w:pPr>
        <w:pStyle w:val="Heading4"/>
        <w:rPr>
          <w:lang w:val="en-US"/>
        </w:rPr>
      </w:pPr>
      <w:r w:rsidRPr="004C787F">
        <w:rPr>
          <w:lang w:val="en-US"/>
        </w:rPr>
        <w:t xml:space="preserve">Household </w:t>
      </w:r>
      <w:r w:rsidRPr="004C787F">
        <w:t>saving</w:t>
      </w:r>
    </w:p>
    <w:p w14:paraId="7CE2B9BE" w14:textId="546B5F25" w:rsidR="00C430F0" w:rsidRPr="004C787F" w:rsidRDefault="00C430F0" w:rsidP="00C430F0">
      <w:r w:rsidRPr="004C787F">
        <w:rPr>
          <w:lang w:val="en-US"/>
        </w:rPr>
        <w:t>For simplicity, TIM assumes that domestic households only hold claims to domestic equity. Before asset and commodity markets open at time</w:t>
      </w:r>
      <w:r>
        <w:rPr>
          <w:lang w:val="en-US"/>
        </w:rPr>
        <w:t xml:space="preserve"> </w:t>
      </w:r>
      <w:r w:rsidR="009205EE" w:rsidRPr="009205EE">
        <w:rPr>
          <w:position w:val="-6"/>
        </w:rPr>
        <w:object w:dxaOrig="139" w:dyaOrig="240" w14:anchorId="268057CA">
          <v:shape id="_x0000_i1223" type="#_x0000_t75" style="width:6.6pt;height:12pt" o:ole="">
            <v:imagedata r:id="rId421" o:title=""/>
          </v:shape>
          <o:OLEObject Type="Embed" ProgID="Equation.DSMT4" ShapeID="_x0000_i1223" DrawAspect="Content" ObjectID="_1755515677" r:id="rId422"/>
        </w:object>
      </w:r>
      <w:r w:rsidRPr="004C787F">
        <w:rPr>
          <w:lang w:val="en-US"/>
        </w:rPr>
        <w:t>, a notional funds manager allocates a fixed share, </w:t>
      </w:r>
      <w:r w:rsidR="009205EE" w:rsidRPr="009205EE">
        <w:rPr>
          <w:position w:val="-12"/>
        </w:rPr>
        <w:object w:dxaOrig="960" w:dyaOrig="380" w14:anchorId="4D26C9D9">
          <v:shape id="_x0000_i1224" type="#_x0000_t75" style="width:48pt;height:18.6pt" o:ole="">
            <v:imagedata r:id="rId423" o:title=""/>
          </v:shape>
          <o:OLEObject Type="Embed" ProgID="Equation.DSMT4" ShapeID="_x0000_i1224" DrawAspect="Content" ObjectID="_1755515678" r:id="rId424"/>
        </w:object>
      </w:r>
      <w:r w:rsidRPr="004C787F">
        <w:t xml:space="preserve">, </w:t>
      </w:r>
      <w:r w:rsidRPr="004C787F">
        <w:rPr>
          <w:lang w:val="en-US"/>
        </w:rPr>
        <w:t>of household savings to equity holdings in industry</w:t>
      </w:r>
      <w:r>
        <w:t xml:space="preserve"> </w:t>
      </w:r>
      <w:r w:rsidR="009205EE" w:rsidRPr="009205EE">
        <w:rPr>
          <w:position w:val="-6"/>
        </w:rPr>
        <w:object w:dxaOrig="139" w:dyaOrig="260" w14:anchorId="1BBB38A2">
          <v:shape id="_x0000_i1225" type="#_x0000_t75" style="width:6.6pt;height:13.2pt" o:ole="">
            <v:imagedata r:id="rId425" o:title=""/>
          </v:shape>
          <o:OLEObject Type="Embed" ProgID="Equation.DSMT4" ShapeID="_x0000_i1225" DrawAspect="Content" ObjectID="_1755515679" r:id="rId426"/>
        </w:object>
      </w:r>
      <w:r w:rsidRPr="004C787F">
        <w:rPr>
          <w:lang w:val="en-US"/>
        </w:rPr>
        <w:t xml:space="preserve">, where </w:t>
      </w:r>
      <w:r w:rsidR="009205EE" w:rsidRPr="009205EE">
        <w:rPr>
          <w:position w:val="-28"/>
        </w:rPr>
        <w:object w:dxaOrig="900" w:dyaOrig="540" w14:anchorId="170F8C5B">
          <v:shape id="_x0000_i1226" type="#_x0000_t75" style="width:45pt;height:27pt" o:ole="">
            <v:imagedata r:id="rId427" o:title=""/>
          </v:shape>
          <o:OLEObject Type="Embed" ProgID="Equation.DSMT4" ShapeID="_x0000_i1226" DrawAspect="Content" ObjectID="_1755515680" r:id="rId428"/>
        </w:object>
      </w:r>
      <w:r w:rsidRPr="004C787F">
        <w:t>:</w:t>
      </w:r>
    </w:p>
    <w:p w14:paraId="20FCB6FF" w14:textId="591D090D" w:rsidR="00C430F0" w:rsidRPr="004C787F" w:rsidRDefault="00C430F0" w:rsidP="00C430F0">
      <w:pPr>
        <w:tabs>
          <w:tab w:val="center" w:pos="4640"/>
          <w:tab w:val="right" w:pos="9300"/>
        </w:tabs>
      </w:pPr>
      <w:r w:rsidRPr="004C787F">
        <w:tab/>
      </w:r>
      <w:r w:rsidR="009205EE" w:rsidRPr="009205EE">
        <w:rPr>
          <w:position w:val="-14"/>
        </w:rPr>
        <w:object w:dxaOrig="980" w:dyaOrig="400" w14:anchorId="5915E722">
          <v:shape id="_x0000_i1227" type="#_x0000_t75" style="width:48.6pt;height:20.4pt" o:ole="">
            <v:imagedata r:id="rId429" o:title=""/>
          </v:shape>
          <o:OLEObject Type="Embed" ProgID="Equation.DSMT4" ShapeID="_x0000_i1227" DrawAspect="Content" ObjectID="_1755515681" r:id="rId430"/>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r w:rsidRPr="004C787F">
        <w:instrText>(</w:instrText>
      </w:r>
      <w:r w:rsidR="00697947">
        <w:fldChar w:fldCharType="begin"/>
      </w:r>
      <w:r w:rsidR="00697947">
        <w:instrText>SEQ MTEqn \c \* Arabic \* MERGEFORMAT</w:instrText>
      </w:r>
      <w:r w:rsidR="00697947">
        <w:fldChar w:fldCharType="separate"/>
      </w:r>
      <w:r w:rsidR="00354F38">
        <w:rPr>
          <w:noProof/>
        </w:rPr>
        <w:instrText>48</w:instrText>
      </w:r>
      <w:r w:rsidR="00697947">
        <w:rPr>
          <w:noProof/>
        </w:rPr>
        <w:fldChar w:fldCharType="end"/>
      </w:r>
      <w:r w:rsidRPr="004C787F">
        <w:instrText>)</w:instrText>
      </w:r>
      <w:r w:rsidRPr="004C787F">
        <w:fldChar w:fldCharType="end"/>
      </w:r>
    </w:p>
    <w:p w14:paraId="1A05099D" w14:textId="3513546C" w:rsidR="00C430F0" w:rsidRPr="004C787F" w:rsidRDefault="00C430F0" w:rsidP="00C430F0">
      <w:pPr>
        <w:rPr>
          <w:lang w:val="en-US"/>
        </w:rPr>
      </w:pPr>
      <w:r w:rsidRPr="004C787F">
        <w:rPr>
          <w:lang w:val="en-US"/>
        </w:rPr>
        <w:t xml:space="preserve">The value of the household’s equity in industry </w:t>
      </w:r>
      <w:r w:rsidR="009205EE" w:rsidRPr="009205EE">
        <w:rPr>
          <w:position w:val="-6"/>
        </w:rPr>
        <w:object w:dxaOrig="139" w:dyaOrig="260" w14:anchorId="0694C3E1">
          <v:shape id="_x0000_i1228" type="#_x0000_t75" style="width:6.6pt;height:13.2pt" o:ole="">
            <v:imagedata r:id="rId431" o:title=""/>
          </v:shape>
          <o:OLEObject Type="Embed" ProgID="Equation.DSMT4" ShapeID="_x0000_i1228" DrawAspect="Content" ObjectID="_1755515682" r:id="rId432"/>
        </w:object>
      </w:r>
      <w:r w:rsidRPr="004C787F">
        <w:rPr>
          <w:lang w:val="en-US"/>
        </w:rPr>
        <w:t xml:space="preserve"> at the beginning of period </w:t>
      </w:r>
      <w:r w:rsidR="009205EE" w:rsidRPr="009205EE">
        <w:rPr>
          <w:position w:val="-6"/>
        </w:rPr>
        <w:object w:dxaOrig="139" w:dyaOrig="240" w14:anchorId="142073B9">
          <v:shape id="_x0000_i1229" type="#_x0000_t75" style="width:6.6pt;height:12pt" o:ole="">
            <v:imagedata r:id="rId433" o:title=""/>
          </v:shape>
          <o:OLEObject Type="Embed" ProgID="Equation.DSMT4" ShapeID="_x0000_i1229" DrawAspect="Content" ObjectID="_1755515683" r:id="rId434"/>
        </w:object>
      </w:r>
      <w:r w:rsidRPr="004C787F">
        <w:rPr>
          <w:lang w:val="en-US"/>
        </w:rPr>
        <w:t xml:space="preserve"> after shocks are realised is</w:t>
      </w:r>
      <w:r>
        <w:rPr>
          <w:lang w:val="en-US"/>
        </w:rPr>
        <w:t xml:space="preserve"> </w:t>
      </w:r>
      <w:r w:rsidR="009205EE" w:rsidRPr="009205EE">
        <w:rPr>
          <w:position w:val="-14"/>
        </w:rPr>
        <w:object w:dxaOrig="300" w:dyaOrig="400" w14:anchorId="097A25F1">
          <v:shape id="_x0000_i1230" type="#_x0000_t75" style="width:15pt;height:20.4pt" o:ole="">
            <v:imagedata r:id="rId435" o:title=""/>
          </v:shape>
          <o:OLEObject Type="Embed" ProgID="Equation.DSMT4" ShapeID="_x0000_i1230" DrawAspect="Content" ObjectID="_1755515684" r:id="rId436"/>
        </w:object>
      </w:r>
      <w:r w:rsidRPr="004C787F">
        <w:t>, and implied household wealth</w:t>
      </w:r>
      <w:r>
        <w:t xml:space="preserve"> </w:t>
      </w:r>
      <w:r w:rsidR="009205EE" w:rsidRPr="009205EE">
        <w:rPr>
          <w:position w:val="-12"/>
        </w:rPr>
        <w:object w:dxaOrig="260" w:dyaOrig="380" w14:anchorId="6E4F48A1">
          <v:shape id="_x0000_i1231" type="#_x0000_t75" style="width:13.2pt;height:18.6pt" o:ole="">
            <v:imagedata r:id="rId437" o:title=""/>
          </v:shape>
          <o:OLEObject Type="Embed" ProgID="Equation.DSMT4" ShapeID="_x0000_i1231" DrawAspect="Content" ObjectID="_1755515685" r:id="rId438"/>
        </w:object>
      </w:r>
      <w:r>
        <w:t xml:space="preserve"> </w:t>
      </w:r>
      <w:r w:rsidRPr="004C787F">
        <w:t>is as follows:</w:t>
      </w:r>
    </w:p>
    <w:p w14:paraId="4E4E8F9F" w14:textId="7F780B7C" w:rsidR="00C430F0" w:rsidRPr="004C787F" w:rsidRDefault="00C430F0" w:rsidP="00C430F0">
      <w:pPr>
        <w:pStyle w:val="MTDisplayEquation"/>
      </w:pPr>
      <w:r w:rsidRPr="004C787F">
        <w:tab/>
      </w:r>
      <w:r w:rsidR="009205EE" w:rsidRPr="009205EE">
        <w:rPr>
          <w:position w:val="-28"/>
        </w:rPr>
        <w:object w:dxaOrig="1080" w:dyaOrig="540" w14:anchorId="5A4DA4AA">
          <v:shape id="_x0000_i1232" type="#_x0000_t75" style="width:54pt;height:27pt" o:ole="">
            <v:imagedata r:id="rId439" o:title=""/>
          </v:shape>
          <o:OLEObject Type="Embed" ProgID="Equation.DSMT4" ShapeID="_x0000_i1232" DrawAspect="Content" ObjectID="_1755515686" r:id="rId440"/>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r w:rsidRPr="004C787F">
        <w:instrText>(</w:instrText>
      </w:r>
      <w:r w:rsidR="00697947">
        <w:fldChar w:fldCharType="begin"/>
      </w:r>
      <w:r w:rsidR="00697947">
        <w:instrText>SEQ MTEqn \c \* Arabic \* MERGEFORMAT</w:instrText>
      </w:r>
      <w:r w:rsidR="00697947">
        <w:fldChar w:fldCharType="separate"/>
      </w:r>
      <w:r w:rsidR="00354F38">
        <w:rPr>
          <w:noProof/>
        </w:rPr>
        <w:instrText>49</w:instrText>
      </w:r>
      <w:r w:rsidR="00697947">
        <w:rPr>
          <w:noProof/>
        </w:rPr>
        <w:fldChar w:fldCharType="end"/>
      </w:r>
      <w:r w:rsidRPr="004C787F">
        <w:instrText>)</w:instrText>
      </w:r>
      <w:r w:rsidRPr="004C787F">
        <w:fldChar w:fldCharType="end"/>
      </w:r>
    </w:p>
    <w:p w14:paraId="36E89A75" w14:textId="491A65FD" w:rsidR="00C430F0" w:rsidRPr="004C787F" w:rsidRDefault="00C430F0" w:rsidP="00C430F0">
      <w:r w:rsidRPr="004C787F">
        <w:rPr>
          <w:lang w:val="en-US"/>
        </w:rPr>
        <w:t xml:space="preserve">The share of household savings allocated to equity holdings in industry </w:t>
      </w:r>
      <w:r w:rsidR="009205EE" w:rsidRPr="009205EE">
        <w:rPr>
          <w:position w:val="-6"/>
        </w:rPr>
        <w:object w:dxaOrig="139" w:dyaOrig="260" w14:anchorId="29896C37">
          <v:shape id="_x0000_i1233" type="#_x0000_t75" style="width:6.6pt;height:13.2pt" o:ole="">
            <v:imagedata r:id="rId441" o:title=""/>
          </v:shape>
          <o:OLEObject Type="Embed" ProgID="Equation.DSMT4" ShapeID="_x0000_i1233" DrawAspect="Content" ObjectID="_1755515687" r:id="rId442"/>
        </w:object>
      </w:r>
      <w:r w:rsidRPr="004C787F">
        <w:t xml:space="preserve"> </w:t>
      </w:r>
      <w:r w:rsidRPr="004C787F">
        <w:rPr>
          <w:lang w:val="en-US"/>
        </w:rPr>
        <w:t>at the beginning of time </w:t>
      </w:r>
      <w:r w:rsidR="009205EE" w:rsidRPr="009205EE">
        <w:rPr>
          <w:position w:val="-6"/>
        </w:rPr>
        <w:object w:dxaOrig="139" w:dyaOrig="240" w14:anchorId="2006C7C9">
          <v:shape id="_x0000_i1234" type="#_x0000_t75" style="width:6.6pt;height:12pt" o:ole="">
            <v:imagedata r:id="rId443" o:title=""/>
          </v:shape>
          <o:OLEObject Type="Embed" ProgID="Equation.DSMT4" ShapeID="_x0000_i1234" DrawAspect="Content" ObjectID="_1755515688" r:id="rId444"/>
        </w:object>
      </w:r>
      <w:r w:rsidRPr="004C787F">
        <w:t xml:space="preserve"> after the realisation of shocks will, </w:t>
      </w:r>
      <w:r w:rsidRPr="004C787F">
        <w:rPr>
          <w:lang w:val="en-US"/>
        </w:rPr>
        <w:t>in general, vary from the fund manager</w:t>
      </w:r>
      <w:r>
        <w:rPr>
          <w:lang w:val="en-US"/>
        </w:rPr>
        <w:t>’</w:t>
      </w:r>
      <w:r w:rsidRPr="004C787F">
        <w:rPr>
          <w:lang w:val="en-US"/>
        </w:rPr>
        <w:t xml:space="preserve">s initial allocation, </w:t>
      </w:r>
      <w:r w:rsidR="009205EE" w:rsidRPr="009205EE">
        <w:rPr>
          <w:position w:val="-12"/>
        </w:rPr>
        <w:object w:dxaOrig="960" w:dyaOrig="380" w14:anchorId="49C3EAD8">
          <v:shape id="_x0000_i1235" type="#_x0000_t75" style="width:48pt;height:18.6pt" o:ole="">
            <v:imagedata r:id="rId445" o:title=""/>
          </v:shape>
          <o:OLEObject Type="Embed" ProgID="Equation.DSMT4" ShapeID="_x0000_i1235" DrawAspect="Content" ObjectID="_1755515689" r:id="rId446"/>
        </w:object>
      </w:r>
      <w:r w:rsidRPr="004C787F">
        <w:t xml:space="preserve">, </w:t>
      </w:r>
      <w:r w:rsidRPr="004C787F">
        <w:rPr>
          <w:lang w:val="en-US"/>
        </w:rPr>
        <w:t>because unexpected sector</w:t>
      </w:r>
      <w:r>
        <w:rPr>
          <w:lang w:val="en-US"/>
        </w:rPr>
        <w:t>-</w:t>
      </w:r>
      <w:r w:rsidRPr="004C787F">
        <w:rPr>
          <w:lang w:val="en-US"/>
        </w:rPr>
        <w:t>specific shocks will have an asymmetric effect on the equity value of firms in different industries.</w:t>
      </w:r>
    </w:p>
    <w:p w14:paraId="147A503A" w14:textId="77777777" w:rsidR="00C430F0" w:rsidRPr="004C787F" w:rsidRDefault="00C430F0" w:rsidP="00C430F0">
      <w:pPr>
        <w:pStyle w:val="Heading4"/>
      </w:pPr>
      <w:r w:rsidRPr="004C787F">
        <w:t>Foreign liabilities</w:t>
      </w:r>
    </w:p>
    <w:p w14:paraId="33646CC1" w14:textId="2A14EC6E" w:rsidR="00C430F0" w:rsidRPr="004C787F" w:rsidRDefault="00C430F0" w:rsidP="00C430F0">
      <w:r w:rsidRPr="004C787F">
        <w:rPr>
          <w:lang w:val="en-US"/>
        </w:rPr>
        <w:t>As a small open economy, TIM assumes Australia has no influence on the global equity market or</w:t>
      </w:r>
      <w:r w:rsidRPr="004C787F">
        <w:t xml:space="preserve"> the global required after</w:t>
      </w:r>
      <w:r w:rsidRPr="004C787F">
        <w:noBreakHyphen/>
        <w:t>tax rate of return,</w:t>
      </w:r>
      <w:r>
        <w:t xml:space="preserve"> </w:t>
      </w:r>
      <w:r w:rsidR="009205EE" w:rsidRPr="009205EE">
        <w:rPr>
          <w:position w:val="-12"/>
        </w:rPr>
        <w:object w:dxaOrig="240" w:dyaOrig="380" w14:anchorId="168E58C1">
          <v:shape id="_x0000_i1236" type="#_x0000_t75" style="width:12pt;height:18.6pt" o:ole="">
            <v:imagedata r:id="rId447" o:title=""/>
          </v:shape>
          <o:OLEObject Type="Embed" ProgID="Equation.DSMT4" ShapeID="_x0000_i1236" DrawAspect="Content" ObjectID="_1755515690" r:id="rId448"/>
        </w:object>
      </w:r>
      <w:r w:rsidRPr="004C787F">
        <w:t xml:space="preserve">. </w:t>
      </w:r>
      <w:r w:rsidRPr="004C787F">
        <w:rPr>
          <w:lang w:val="en-US"/>
        </w:rPr>
        <w:t>T</w:t>
      </w:r>
      <w:r w:rsidRPr="004C787F">
        <w:t>he supply of foreign capital is assumed to be perfectly elastic at the global required rate of return and Australian equity is a perfect substitute for international equity. This implies that the required after</w:t>
      </w:r>
      <w:r w:rsidRPr="004C787F">
        <w:noBreakHyphen/>
        <w:t>tax rate of return for domestic equity is the global after</w:t>
      </w:r>
      <w:r w:rsidRPr="004C787F">
        <w:noBreakHyphen/>
        <w:t xml:space="preserve">tax rate of return, so that </w:t>
      </w:r>
      <w:r w:rsidR="009205EE" w:rsidRPr="009205EE">
        <w:rPr>
          <w:position w:val="-12"/>
        </w:rPr>
        <w:object w:dxaOrig="700" w:dyaOrig="380" w14:anchorId="4205DE9C">
          <v:shape id="_x0000_i1237" type="#_x0000_t75" style="width:35.4pt;height:18.6pt" o:ole="">
            <v:imagedata r:id="rId449" o:title=""/>
          </v:shape>
          <o:OLEObject Type="Embed" ProgID="Equation.DSMT4" ShapeID="_x0000_i1237" DrawAspect="Content" ObjectID="_1755515691" r:id="rId450"/>
        </w:object>
      </w:r>
      <w:r w:rsidRPr="004C787F">
        <w:t>.</w:t>
      </w:r>
    </w:p>
    <w:p w14:paraId="2EACFDFC" w14:textId="77777777" w:rsidR="00C430F0" w:rsidRPr="004C787F" w:rsidRDefault="00C430F0" w:rsidP="00C430F0">
      <w:r w:rsidRPr="004C787F">
        <w:t>Under these assumptions, the ROW is willing to buy any equity available in Australia if the expected rate of return equals the global rate of return, such that:</w:t>
      </w:r>
    </w:p>
    <w:p w14:paraId="3D98662B" w14:textId="21172C10" w:rsidR="00C430F0" w:rsidRPr="004C787F" w:rsidRDefault="00C430F0" w:rsidP="00C430F0">
      <w:pPr>
        <w:pStyle w:val="MTDisplayEquation"/>
      </w:pPr>
      <w:r w:rsidRPr="004C787F">
        <w:tab/>
      </w:r>
      <w:r w:rsidR="009205EE" w:rsidRPr="009205EE">
        <w:rPr>
          <w:position w:val="-14"/>
        </w:rPr>
        <w:object w:dxaOrig="1320" w:dyaOrig="400" w14:anchorId="20FF645D">
          <v:shape id="_x0000_i1238" type="#_x0000_t75" style="width:66pt;height:20.4pt" o:ole="">
            <v:imagedata r:id="rId451" o:title=""/>
          </v:shape>
          <o:OLEObject Type="Embed" ProgID="Equation.DSMT4" ShapeID="_x0000_i1238" DrawAspect="Content" ObjectID="_1755515692" r:id="rId452"/>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bookmarkStart w:id="33" w:name="ZEqnNum724634"/>
      <w:r w:rsidRPr="004C787F">
        <w:instrText>(</w:instrText>
      </w:r>
      <w:r w:rsidR="00697947">
        <w:fldChar w:fldCharType="begin"/>
      </w:r>
      <w:r w:rsidR="00697947">
        <w:instrText>SEQ MTEqn \c \* Arabic \* MERGEFORMAT</w:instrText>
      </w:r>
      <w:r w:rsidR="00697947">
        <w:fldChar w:fldCharType="separate"/>
      </w:r>
      <w:r w:rsidR="00354F38">
        <w:rPr>
          <w:noProof/>
        </w:rPr>
        <w:instrText>50</w:instrText>
      </w:r>
      <w:r w:rsidR="00697947">
        <w:rPr>
          <w:noProof/>
        </w:rPr>
        <w:fldChar w:fldCharType="end"/>
      </w:r>
      <w:r w:rsidRPr="004C787F">
        <w:instrText>)</w:instrText>
      </w:r>
      <w:bookmarkEnd w:id="33"/>
      <w:r w:rsidRPr="004C787F">
        <w:fldChar w:fldCharType="end"/>
      </w:r>
    </w:p>
    <w:p w14:paraId="1A944D40" w14:textId="1770AE7C" w:rsidR="00C430F0" w:rsidRPr="004C787F" w:rsidRDefault="00C430F0" w:rsidP="00C430F0">
      <w:r w:rsidRPr="004C787F">
        <w:t xml:space="preserve">where </w:t>
      </w:r>
      <w:r w:rsidR="009205EE" w:rsidRPr="009205EE">
        <w:rPr>
          <w:position w:val="-14"/>
        </w:rPr>
        <w:object w:dxaOrig="360" w:dyaOrig="400" w14:anchorId="0C739F86">
          <v:shape id="_x0000_i1239" type="#_x0000_t75" style="width:18pt;height:20.4pt" o:ole="">
            <v:imagedata r:id="rId453" o:title=""/>
          </v:shape>
          <o:OLEObject Type="Embed" ProgID="Equation.DSMT4" ShapeID="_x0000_i1239" DrawAspect="Content" ObjectID="_1755515693" r:id="rId454"/>
        </w:object>
      </w:r>
      <w:r w:rsidRPr="004C787F">
        <w:t xml:space="preserve"> is the ROW’s holding of equity of Australian industry </w:t>
      </w:r>
      <w:r w:rsidR="009205EE" w:rsidRPr="009205EE">
        <w:rPr>
          <w:position w:val="-6"/>
        </w:rPr>
        <w:object w:dxaOrig="139" w:dyaOrig="260" w14:anchorId="1CBE91F1">
          <v:shape id="_x0000_i1240" type="#_x0000_t75" style="width:6.6pt;height:13.2pt" o:ole="">
            <v:imagedata r:id="rId455" o:title=""/>
          </v:shape>
          <o:OLEObject Type="Embed" ProgID="Equation.DSMT4" ShapeID="_x0000_i1240" DrawAspect="Content" ObjectID="_1755515694" r:id="rId456"/>
        </w:object>
      </w:r>
      <w:r w:rsidRPr="004C787F">
        <w:t>.</w:t>
      </w:r>
    </w:p>
    <w:p w14:paraId="46644A9E" w14:textId="77777777" w:rsidR="00C430F0" w:rsidRPr="004C787F" w:rsidRDefault="00C430F0" w:rsidP="00C430F0">
      <w:r w:rsidRPr="004C787F">
        <w:t xml:space="preserve">As such, the ROW is the marginal investor, which means the ROW determines the price of Australian equity and the size of the Australian capital stock. </w:t>
      </w:r>
    </w:p>
    <w:p w14:paraId="108F7C59" w14:textId="77777777" w:rsidR="00C430F0" w:rsidRPr="004C787F" w:rsidRDefault="00C430F0" w:rsidP="00C430F0">
      <w:r w:rsidRPr="004C787F">
        <w:t>TIM assumes that Australian households only hold Australian assets</w:t>
      </w:r>
      <w:r>
        <w:t>,</w:t>
      </w:r>
      <w:r w:rsidRPr="004C787F">
        <w:t xml:space="preserve"> and that Australia is an international net debtor. This implies the value of Australia’s net foreign liabilities is given by:</w:t>
      </w:r>
    </w:p>
    <w:p w14:paraId="6BA219DA" w14:textId="43FE78AF" w:rsidR="00C430F0" w:rsidRPr="004C787F" w:rsidRDefault="00C430F0" w:rsidP="00C430F0">
      <w:pPr>
        <w:pStyle w:val="MTDisplayEquation"/>
      </w:pPr>
      <w:r w:rsidRPr="004C787F">
        <w:tab/>
      </w:r>
      <w:r w:rsidR="009205EE" w:rsidRPr="009205EE">
        <w:rPr>
          <w:position w:val="-28"/>
        </w:rPr>
        <w:object w:dxaOrig="1200" w:dyaOrig="540" w14:anchorId="6CA8E545">
          <v:shape id="_x0000_i1241" type="#_x0000_t75" style="width:60pt;height:27pt" o:ole="">
            <v:imagedata r:id="rId457" o:title=""/>
          </v:shape>
          <o:OLEObject Type="Embed" ProgID="Equation.DSMT4" ShapeID="_x0000_i1241" DrawAspect="Content" ObjectID="_1755515695" r:id="rId458"/>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bookmarkStart w:id="34" w:name="ZEqnNum300648"/>
      <w:r w:rsidRPr="004C787F">
        <w:instrText>(</w:instrText>
      </w:r>
      <w:r w:rsidR="00697947">
        <w:fldChar w:fldCharType="begin"/>
      </w:r>
      <w:r w:rsidR="00697947">
        <w:instrText>SEQ MTEqn \c \* Arabic \* MERGEFORMAT</w:instrText>
      </w:r>
      <w:r w:rsidR="00697947">
        <w:fldChar w:fldCharType="separate"/>
      </w:r>
      <w:r w:rsidR="00354F38">
        <w:rPr>
          <w:noProof/>
        </w:rPr>
        <w:instrText>51</w:instrText>
      </w:r>
      <w:r w:rsidR="00697947">
        <w:rPr>
          <w:noProof/>
        </w:rPr>
        <w:fldChar w:fldCharType="end"/>
      </w:r>
      <w:r w:rsidRPr="004C787F">
        <w:instrText>)</w:instrText>
      </w:r>
      <w:bookmarkEnd w:id="34"/>
      <w:r w:rsidRPr="004C787F">
        <w:fldChar w:fldCharType="end"/>
      </w:r>
    </w:p>
    <w:p w14:paraId="44C6B0E3" w14:textId="77777777" w:rsidR="00C430F0" w:rsidRPr="004C787F" w:rsidRDefault="00C430F0" w:rsidP="00C430F0">
      <w:r>
        <w:t>F</w:t>
      </w:r>
      <w:r w:rsidRPr="004C787F">
        <w:t xml:space="preserve">or simplicity, </w:t>
      </w:r>
      <w:r>
        <w:t>Version 1.0 of TIM</w:t>
      </w:r>
      <w:r w:rsidRPr="004C787F">
        <w:t xml:space="preserve"> assume</w:t>
      </w:r>
      <w:r>
        <w:t>s</w:t>
      </w:r>
      <w:r w:rsidRPr="004C787F">
        <w:t xml:space="preserve"> there is no </w:t>
      </w:r>
      <w:r>
        <w:t>g</w:t>
      </w:r>
      <w:r w:rsidRPr="004C787F">
        <w:t>overnment debt.</w:t>
      </w:r>
      <w:r>
        <w:t xml:space="preserve"> This assumption will be relaxed in future versions.</w:t>
      </w:r>
      <w:r w:rsidRPr="004C787F">
        <w:t xml:space="preserve"> </w:t>
      </w:r>
    </w:p>
    <w:p w14:paraId="157CD580" w14:textId="77777777" w:rsidR="00C430F0" w:rsidRPr="004C787F" w:rsidRDefault="00C430F0" w:rsidP="00C430F0">
      <w:pPr>
        <w:pStyle w:val="Heading4"/>
      </w:pPr>
      <w:r w:rsidRPr="004C787F">
        <w:t>Return on household saving</w:t>
      </w:r>
    </w:p>
    <w:p w14:paraId="71174B97" w14:textId="428E96D1" w:rsidR="00C430F0" w:rsidRPr="004C787F" w:rsidRDefault="00C430F0" w:rsidP="00C430F0">
      <w:r w:rsidRPr="004C787F">
        <w:t xml:space="preserve">Under the perfect capital mobility assumption, all </w:t>
      </w:r>
      <w:r>
        <w:t>industries</w:t>
      </w:r>
      <w:r w:rsidRPr="004C787F">
        <w:t xml:space="preserve"> earn the same after</w:t>
      </w:r>
      <w:r w:rsidRPr="004C787F">
        <w:noBreakHyphen/>
        <w:t xml:space="preserve">tax rate of return, </w:t>
      </w:r>
      <w:r w:rsidR="009205EE" w:rsidRPr="009205EE">
        <w:rPr>
          <w:position w:val="-12"/>
        </w:rPr>
        <w:object w:dxaOrig="700" w:dyaOrig="380" w14:anchorId="1FF26E64">
          <v:shape id="_x0000_i1242" type="#_x0000_t75" style="width:35.4pt;height:18.6pt" o:ole="">
            <v:imagedata r:id="rId459" o:title=""/>
          </v:shape>
          <o:OLEObject Type="Embed" ProgID="Equation.DSMT4" ShapeID="_x0000_i1242" DrawAspect="Content" ObjectID="_1755515696" r:id="rId460"/>
        </w:object>
      </w:r>
      <w:r w:rsidRPr="004C787F">
        <w:t>. Therefore, the household’s assets generate an aggregate return that is the common after</w:t>
      </w:r>
      <w:r w:rsidRPr="004C787F">
        <w:noBreakHyphen/>
        <w:t xml:space="preserve">tax return to industries, </w:t>
      </w:r>
      <w:r w:rsidR="009205EE" w:rsidRPr="009205EE">
        <w:rPr>
          <w:position w:val="-12"/>
        </w:rPr>
        <w:object w:dxaOrig="1140" w:dyaOrig="380" w14:anchorId="620EAA2D">
          <v:shape id="_x0000_i1243" type="#_x0000_t75" style="width:57pt;height:18.6pt" o:ole="">
            <v:imagedata r:id="rId461" o:title=""/>
          </v:shape>
          <o:OLEObject Type="Embed" ProgID="Equation.DSMT4" ShapeID="_x0000_i1243" DrawAspect="Content" ObjectID="_1755515697" r:id="rId462"/>
        </w:object>
      </w:r>
      <w:r w:rsidRPr="004C787F">
        <w:t>.</w:t>
      </w:r>
    </w:p>
    <w:p w14:paraId="25BBD39F" w14:textId="77777777" w:rsidR="00C430F0" w:rsidRPr="004C787F" w:rsidRDefault="00C430F0" w:rsidP="00C430F0">
      <w:pPr>
        <w:pStyle w:val="Heading3"/>
      </w:pPr>
      <w:r w:rsidRPr="004C787F">
        <w:t>Rest of the world</w:t>
      </w:r>
    </w:p>
    <w:p w14:paraId="31B246AA" w14:textId="373FB04E" w:rsidR="00C430F0" w:rsidRPr="004C787F" w:rsidRDefault="00C430F0" w:rsidP="00C430F0">
      <w:r w:rsidRPr="004C787F">
        <w:t>The ROW is assumed to trade with the Australian economy in three ways. First, the ROW purchases Australian exports,</w:t>
      </w:r>
      <w:r>
        <w:t xml:space="preserve"> </w:t>
      </w:r>
      <w:r w:rsidR="009205EE" w:rsidRPr="009205EE">
        <w:rPr>
          <w:position w:val="-14"/>
        </w:rPr>
        <w:object w:dxaOrig="360" w:dyaOrig="400" w14:anchorId="77B3B85F">
          <v:shape id="_x0000_i1244" type="#_x0000_t75" style="width:18pt;height:20.4pt" o:ole="">
            <v:imagedata r:id="rId463" o:title=""/>
          </v:shape>
          <o:OLEObject Type="Embed" ProgID="Equation.DSMT4" ShapeID="_x0000_i1244" DrawAspect="Content" ObjectID="_1755515698" r:id="rId464"/>
        </w:object>
      </w:r>
      <w:r w:rsidRPr="004C787F">
        <w:t>, at Australian export prices,</w:t>
      </w:r>
      <w:r>
        <w:t xml:space="preserve"> </w:t>
      </w:r>
      <w:r w:rsidR="009205EE" w:rsidRPr="009205EE">
        <w:rPr>
          <w:position w:val="-14"/>
        </w:rPr>
        <w:object w:dxaOrig="380" w:dyaOrig="400" w14:anchorId="157F1C38">
          <v:shape id="_x0000_i1245" type="#_x0000_t75" style="width:18.6pt;height:20.4pt" o:ole="">
            <v:imagedata r:id="rId465" o:title=""/>
          </v:shape>
          <o:OLEObject Type="Embed" ProgID="Equation.DSMT4" ShapeID="_x0000_i1245" DrawAspect="Content" ObjectID="_1755515699" r:id="rId466"/>
        </w:object>
      </w:r>
      <w:r w:rsidRPr="004C787F">
        <w:t xml:space="preserve">. Second, the ROW supplies commodities, </w:t>
      </w:r>
      <w:r w:rsidR="009205EE" w:rsidRPr="009205EE">
        <w:rPr>
          <w:position w:val="-14"/>
        </w:rPr>
        <w:object w:dxaOrig="360" w:dyaOrig="400" w14:anchorId="610AD1C6">
          <v:shape id="_x0000_i1246" type="#_x0000_t75" style="width:18pt;height:20.4pt" o:ole="">
            <v:imagedata r:id="rId467" o:title=""/>
          </v:shape>
          <o:OLEObject Type="Embed" ProgID="Equation.DSMT4" ShapeID="_x0000_i1246" DrawAspect="Content" ObjectID="_1755515700" r:id="rId468"/>
        </w:object>
      </w:r>
      <w:r w:rsidRPr="004C787F">
        <w:t>, that are imported by Australians (</w:t>
      </w:r>
      <w:r w:rsidR="009205EE" w:rsidRPr="009205EE">
        <w:rPr>
          <w:position w:val="-14"/>
        </w:rPr>
        <w:object w:dxaOrig="960" w:dyaOrig="400" w14:anchorId="5F90A5C6">
          <v:shape id="_x0000_i1247" type="#_x0000_t75" style="width:48pt;height:20.4pt" o:ole="">
            <v:imagedata r:id="rId469" o:title=""/>
          </v:shape>
          <o:OLEObject Type="Embed" ProgID="Equation.DSMT4" ShapeID="_x0000_i1247" DrawAspect="Content" ObjectID="_1755515701" r:id="rId470"/>
        </w:object>
      </w:r>
      <w:r w:rsidRPr="004C787F">
        <w:t>) at the FOB price,</w:t>
      </w:r>
      <w:r>
        <w:t xml:space="preserve"> </w:t>
      </w:r>
      <w:r w:rsidR="009205EE" w:rsidRPr="009205EE">
        <w:rPr>
          <w:position w:val="-14"/>
        </w:rPr>
        <w:object w:dxaOrig="380" w:dyaOrig="400" w14:anchorId="25B554D5">
          <v:shape id="_x0000_i1248" type="#_x0000_t75" style="width:18.6pt;height:20.4pt" o:ole="">
            <v:imagedata r:id="rId471" o:title=""/>
          </v:shape>
          <o:OLEObject Type="Embed" ProgID="Equation.DSMT4" ShapeID="_x0000_i1248" DrawAspect="Content" ObjectID="_1755515702" r:id="rId472"/>
        </w:object>
      </w:r>
      <w:r w:rsidRPr="004C787F">
        <w:t>. Finally, the ROW supplies capital perfectly elastically at the required rate of return,</w:t>
      </w:r>
      <w:r>
        <w:t xml:space="preserve"> </w:t>
      </w:r>
      <w:r w:rsidR="009205EE" w:rsidRPr="009205EE">
        <w:rPr>
          <w:position w:val="-12"/>
        </w:rPr>
        <w:object w:dxaOrig="240" w:dyaOrig="380" w14:anchorId="30085BA8">
          <v:shape id="_x0000_i1249" type="#_x0000_t75" style="width:12pt;height:18.6pt" o:ole="">
            <v:imagedata r:id="rId473" o:title=""/>
          </v:shape>
          <o:OLEObject Type="Embed" ProgID="Equation.DSMT4" ShapeID="_x0000_i1249" DrawAspect="Content" ObjectID="_1755515703" r:id="rId474"/>
        </w:object>
      </w:r>
      <w:r w:rsidRPr="004C787F">
        <w:t xml:space="preserve">. </w:t>
      </w:r>
    </w:p>
    <w:p w14:paraId="1F4DC1AD" w14:textId="77777777" w:rsidR="00C430F0" w:rsidRPr="004C787F" w:rsidRDefault="00C430F0" w:rsidP="00C430F0">
      <w:pPr>
        <w:pStyle w:val="Heading4"/>
      </w:pPr>
      <w:r w:rsidRPr="004C787F">
        <w:t>Global goods and services market</w:t>
      </w:r>
    </w:p>
    <w:p w14:paraId="050BBC21" w14:textId="77777777" w:rsidR="00C430F0" w:rsidRPr="004C787F" w:rsidRDefault="00C430F0" w:rsidP="00C430F0">
      <w:pPr>
        <w:pStyle w:val="Heading5"/>
      </w:pPr>
      <w:r w:rsidRPr="004C787F">
        <w:t>Imports</w:t>
      </w:r>
    </w:p>
    <w:p w14:paraId="2E3CECE5" w14:textId="54E6BE4B" w:rsidR="00C430F0" w:rsidRPr="004C787F" w:rsidRDefault="00C430F0" w:rsidP="00C430F0">
      <w:pPr>
        <w:rPr>
          <w:lang w:val="en-US"/>
        </w:rPr>
      </w:pPr>
      <w:r w:rsidRPr="004C787F">
        <w:rPr>
          <w:lang w:val="en-US"/>
        </w:rPr>
        <w:t xml:space="preserve">As a small open economy, TIM assumes domestic demand cannot affect the price at which the ROW supplies imports, </w:t>
      </w:r>
      <w:r w:rsidR="009205EE" w:rsidRPr="009205EE">
        <w:rPr>
          <w:position w:val="-14"/>
        </w:rPr>
        <w:object w:dxaOrig="380" w:dyaOrig="400" w14:anchorId="0584D27D">
          <v:shape id="_x0000_i1250" type="#_x0000_t75" style="width:18.6pt;height:20.4pt" o:ole="">
            <v:imagedata r:id="rId475" o:title=""/>
          </v:shape>
          <o:OLEObject Type="Embed" ProgID="Equation.DSMT4" ShapeID="_x0000_i1250" DrawAspect="Content" ObjectID="_1755515704" r:id="rId476"/>
        </w:object>
      </w:r>
      <w:r w:rsidRPr="004C787F">
        <w:t>,</w:t>
      </w:r>
      <w:r w:rsidRPr="004C787F">
        <w:rPr>
          <w:lang w:val="en-US"/>
        </w:rPr>
        <w:t xml:space="preserve"> and that the ROW’s supply of imports is perfectly elastic at that price. </w:t>
      </w:r>
    </w:p>
    <w:p w14:paraId="7258DBCA" w14:textId="77777777" w:rsidR="00C430F0" w:rsidRPr="004C787F" w:rsidRDefault="00C430F0" w:rsidP="00C430F0">
      <w:pPr>
        <w:pStyle w:val="Heading5"/>
      </w:pPr>
      <w:r w:rsidRPr="004C787F">
        <w:t xml:space="preserve">Exports </w:t>
      </w:r>
    </w:p>
    <w:p w14:paraId="55F4C2FA" w14:textId="07FD1D29" w:rsidR="00C430F0" w:rsidRPr="004C787F" w:rsidRDefault="00C430F0" w:rsidP="00C430F0">
      <w:pPr>
        <w:rPr>
          <w:lang w:val="en-US"/>
        </w:rPr>
      </w:pPr>
      <w:r w:rsidRPr="004C787F">
        <w:rPr>
          <w:lang w:val="en-US"/>
        </w:rPr>
        <w:t>To model Australia’s exports, the ROW is assumed to have a similar nest</w:t>
      </w:r>
      <w:r>
        <w:rPr>
          <w:lang w:val="en-US"/>
        </w:rPr>
        <w:t>ed</w:t>
      </w:r>
      <w:r w:rsidRPr="004C787F">
        <w:rPr>
          <w:lang w:val="en-US"/>
        </w:rPr>
        <w:t xml:space="preserve"> preference structure to Australian households and firms. First, the ROW decides on the mix of commodities it wants to consume, and secondly how much of each commodity will be sourced from Australia and the ROW. This means that Australian exports of commodity </w:t>
      </w:r>
      <w:r w:rsidR="009205EE" w:rsidRPr="009205EE">
        <w:rPr>
          <w:position w:val="-10"/>
        </w:rPr>
        <w:object w:dxaOrig="200" w:dyaOrig="300" w14:anchorId="2C336582">
          <v:shape id="_x0000_i1251" type="#_x0000_t75" style="width:9.6pt;height:15pt" o:ole="">
            <v:imagedata r:id="rId477" o:title=""/>
          </v:shape>
          <o:OLEObject Type="Embed" ProgID="Equation.DSMT4" ShapeID="_x0000_i1251" DrawAspect="Content" ObjectID="_1755515705" r:id="rId478"/>
        </w:object>
      </w:r>
      <w:r w:rsidRPr="004C787F">
        <w:t xml:space="preserve"> </w:t>
      </w:r>
      <w:r w:rsidRPr="004C787F">
        <w:rPr>
          <w:lang w:val="en-US"/>
        </w:rPr>
        <w:t xml:space="preserve">compete with those produced in the ROW. </w:t>
      </w:r>
    </w:p>
    <w:p w14:paraId="29E8CE8F" w14:textId="74653062" w:rsidR="00C430F0" w:rsidRPr="004C787F" w:rsidRDefault="00C430F0" w:rsidP="00C430F0">
      <w:pPr>
        <w:rPr>
          <w:lang w:val="en-US"/>
        </w:rPr>
      </w:pPr>
      <w:r w:rsidRPr="004C787F">
        <w:rPr>
          <w:lang w:val="en-US"/>
        </w:rPr>
        <w:t xml:space="preserve">Australian exports can trade at a different price to their ROW counterparts because they are assumed to be differentiated commodities. This means the response of foreign demand to changes in the price of Australian exports will depend on both the elasticity of substitution between different types of commodities, </w:t>
      </w:r>
      <w:r w:rsidR="009205EE" w:rsidRPr="009205EE">
        <w:rPr>
          <w:position w:val="-12"/>
        </w:rPr>
        <w:object w:dxaOrig="279" w:dyaOrig="380" w14:anchorId="2BF17789">
          <v:shape id="_x0000_i1252" type="#_x0000_t75" style="width:13.8pt;height:18.6pt" o:ole="">
            <v:imagedata r:id="rId479" o:title=""/>
          </v:shape>
          <o:OLEObject Type="Embed" ProgID="Equation.DSMT4" ShapeID="_x0000_i1252" DrawAspect="Content" ObjectID="_1755515706" r:id="rId480"/>
        </w:object>
      </w:r>
      <w:r w:rsidRPr="004C787F">
        <w:rPr>
          <w:lang w:val="en-US"/>
        </w:rPr>
        <w:t>, and the elasticity of substitution between different varieties of the same commodity produced in Australian and the ROW,</w:t>
      </w:r>
      <w:r>
        <w:rPr>
          <w:lang w:val="en-US"/>
        </w:rPr>
        <w:t xml:space="preserve"> </w:t>
      </w:r>
      <w:r w:rsidR="009205EE" w:rsidRPr="009205EE">
        <w:rPr>
          <w:position w:val="-12"/>
        </w:rPr>
        <w:object w:dxaOrig="380" w:dyaOrig="380" w14:anchorId="79F203F8">
          <v:shape id="_x0000_i1253" type="#_x0000_t75" style="width:18.6pt;height:18.6pt" o:ole="">
            <v:imagedata r:id="rId481" o:title=""/>
          </v:shape>
          <o:OLEObject Type="Embed" ProgID="Equation.DSMT4" ShapeID="_x0000_i1253" DrawAspect="Content" ObjectID="_1755515707" r:id="rId482"/>
        </w:object>
      </w:r>
      <w:r w:rsidRPr="004C787F">
        <w:rPr>
          <w:lang w:val="en-US"/>
        </w:rPr>
        <w:t>.</w:t>
      </w:r>
    </w:p>
    <w:p w14:paraId="63490057" w14:textId="77777777" w:rsidR="00C430F0" w:rsidRPr="004C787F" w:rsidRDefault="00C430F0" w:rsidP="00C430F0">
      <w:r w:rsidRPr="004C787F">
        <w:rPr>
          <w:lang w:val="en-US"/>
        </w:rPr>
        <w:t>This structure implies that the demand for Australian exports is given by the following foreign import demand relationship:</w:t>
      </w:r>
    </w:p>
    <w:p w14:paraId="029EF2E2" w14:textId="4FAA57B6" w:rsidR="00C430F0" w:rsidRPr="004C787F" w:rsidRDefault="00C430F0" w:rsidP="00C430F0">
      <w:pPr>
        <w:tabs>
          <w:tab w:val="center" w:pos="4640"/>
          <w:tab w:val="right" w:pos="9300"/>
        </w:tabs>
      </w:pPr>
      <w:r w:rsidRPr="004C787F">
        <w:tab/>
      </w:r>
      <w:r w:rsidR="009205EE" w:rsidRPr="009205EE">
        <w:rPr>
          <w:position w:val="-34"/>
        </w:rPr>
        <w:object w:dxaOrig="3900" w:dyaOrig="880" w14:anchorId="44B639F2">
          <v:shape id="_x0000_i1254" type="#_x0000_t75" style="width:195pt;height:43.8pt" o:ole="">
            <v:imagedata r:id="rId483" o:title=""/>
          </v:shape>
          <o:OLEObject Type="Embed" ProgID="Equation.DSMT4" ShapeID="_x0000_i1254" DrawAspect="Content" ObjectID="_1755515708" r:id="rId484"/>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bookmarkStart w:id="35" w:name="ZEqnNum593942"/>
      <w:r w:rsidRPr="004C787F">
        <w:instrText>(</w:instrText>
      </w:r>
      <w:r w:rsidR="00697947">
        <w:fldChar w:fldCharType="begin"/>
      </w:r>
      <w:r w:rsidR="00697947">
        <w:instrText>SEQ MTEqn \c \* Arabic \* MERGEFORMAT</w:instrText>
      </w:r>
      <w:r w:rsidR="00697947">
        <w:fldChar w:fldCharType="separate"/>
      </w:r>
      <w:r w:rsidR="00354F38">
        <w:rPr>
          <w:noProof/>
        </w:rPr>
        <w:instrText>52</w:instrText>
      </w:r>
      <w:r w:rsidR="00697947">
        <w:rPr>
          <w:noProof/>
        </w:rPr>
        <w:fldChar w:fldCharType="end"/>
      </w:r>
      <w:r w:rsidRPr="004C787F">
        <w:instrText>)</w:instrText>
      </w:r>
      <w:bookmarkEnd w:id="35"/>
      <w:r w:rsidRPr="004C787F">
        <w:fldChar w:fldCharType="end"/>
      </w:r>
    </w:p>
    <w:p w14:paraId="26D88372" w14:textId="2AA2B123" w:rsidR="00C430F0" w:rsidRPr="004C787F" w:rsidRDefault="00C430F0" w:rsidP="00C430F0">
      <w:pPr>
        <w:rPr>
          <w:lang w:val="en-US"/>
        </w:rPr>
      </w:pPr>
      <w:r w:rsidRPr="004C787F">
        <w:rPr>
          <w:lang w:val="en-US"/>
        </w:rPr>
        <w:t xml:space="preserve">where for commodity </w:t>
      </w:r>
      <w:r w:rsidR="009205EE" w:rsidRPr="009205EE">
        <w:rPr>
          <w:position w:val="-10"/>
        </w:rPr>
        <w:object w:dxaOrig="200" w:dyaOrig="300" w14:anchorId="4862F87A">
          <v:shape id="_x0000_i1255" type="#_x0000_t75" style="width:9.6pt;height:15pt" o:ole="">
            <v:imagedata r:id="rId485" o:title=""/>
          </v:shape>
          <o:OLEObject Type="Embed" ProgID="Equation.DSMT4" ShapeID="_x0000_i1255" DrawAspect="Content" ObjectID="_1755515709" r:id="rId486"/>
        </w:object>
      </w:r>
      <w:r w:rsidRPr="004C787F">
        <w:rPr>
          <w:lang w:val="en-US"/>
        </w:rPr>
        <w:t xml:space="preserve">, </w:t>
      </w:r>
      <w:r w:rsidR="009205EE" w:rsidRPr="009205EE">
        <w:rPr>
          <w:position w:val="-14"/>
        </w:rPr>
        <w:object w:dxaOrig="360" w:dyaOrig="380" w14:anchorId="41DACD2E">
          <v:shape id="_x0000_i1256" type="#_x0000_t75" style="width:18pt;height:18.6pt" o:ole="">
            <v:imagedata r:id="rId487" o:title=""/>
          </v:shape>
          <o:OLEObject Type="Embed" ProgID="Equation.DSMT4" ShapeID="_x0000_i1256" DrawAspect="Content" ObjectID="_1755515710" r:id="rId488"/>
        </w:object>
      </w:r>
      <w:r w:rsidRPr="004C787F">
        <w:rPr>
          <w:lang w:val="en-US"/>
        </w:rPr>
        <w:t xml:space="preserve">is Australian exports (which represents the ROW’s imports </w:t>
      </w:r>
      <w:r w:rsidR="009205EE" w:rsidRPr="009205EE">
        <w:rPr>
          <w:position w:val="-14"/>
        </w:rPr>
        <w:object w:dxaOrig="400" w:dyaOrig="400" w14:anchorId="1AB97648">
          <v:shape id="_x0000_i1257" type="#_x0000_t75" style="width:20.4pt;height:20.4pt" o:ole="">
            <v:imagedata r:id="rId489" o:title=""/>
          </v:shape>
          <o:OLEObject Type="Embed" ProgID="Equation.DSMT4" ShapeID="_x0000_i1257" DrawAspect="Content" ObjectID="_1755515711" r:id="rId490"/>
        </w:object>
      </w:r>
      <w:r w:rsidRPr="004C787F">
        <w:rPr>
          <w:lang w:val="en-US"/>
        </w:rPr>
        <w:t xml:space="preserve">), </w:t>
      </w:r>
      <w:r w:rsidR="009205EE" w:rsidRPr="009205EE">
        <w:rPr>
          <w:position w:val="-12"/>
        </w:rPr>
        <w:object w:dxaOrig="240" w:dyaOrig="380" w14:anchorId="723850F4">
          <v:shape id="_x0000_i1258" type="#_x0000_t75" style="width:12pt;height:18.6pt" o:ole="">
            <v:imagedata r:id="rId491" o:title=""/>
          </v:shape>
          <o:OLEObject Type="Embed" ProgID="Equation.DSMT4" ShapeID="_x0000_i1258" DrawAspect="Content" ObjectID="_1755515712" r:id="rId492"/>
        </w:object>
      </w:r>
      <w:r w:rsidRPr="004C787F">
        <w:t xml:space="preserve"> </w:t>
      </w:r>
      <w:r w:rsidRPr="004C787F">
        <w:rPr>
          <w:lang w:val="en-US"/>
        </w:rPr>
        <w:t xml:space="preserve">is the ROW’s aggregate demand, </w:t>
      </w:r>
      <w:r w:rsidR="009205EE" w:rsidRPr="009205EE">
        <w:rPr>
          <w:position w:val="-14"/>
        </w:rPr>
        <w:object w:dxaOrig="279" w:dyaOrig="400" w14:anchorId="3616DD54">
          <v:shape id="_x0000_i1259" type="#_x0000_t75" style="width:13.8pt;height:20.4pt" o:ole="">
            <v:imagedata r:id="rId493" o:title=""/>
          </v:shape>
          <o:OLEObject Type="Embed" ProgID="Equation.DSMT4" ShapeID="_x0000_i1259" DrawAspect="Content" ObjectID="_1755515713" r:id="rId494"/>
        </w:object>
      </w:r>
      <w:r w:rsidRPr="004C787F">
        <w:rPr>
          <w:lang w:val="en-US"/>
        </w:rPr>
        <w:t xml:space="preserve"> represents the CES weight for commodity </w:t>
      </w:r>
      <w:r w:rsidR="009205EE" w:rsidRPr="009205EE">
        <w:rPr>
          <w:position w:val="-10"/>
        </w:rPr>
        <w:object w:dxaOrig="200" w:dyaOrig="300" w14:anchorId="729BCCEF">
          <v:shape id="_x0000_i1260" type="#_x0000_t75" style="width:9.6pt;height:15pt" o:ole="">
            <v:imagedata r:id="rId495" o:title=""/>
          </v:shape>
          <o:OLEObject Type="Embed" ProgID="Equation.DSMT4" ShapeID="_x0000_i1260" DrawAspect="Content" ObjectID="_1755515714" r:id="rId496"/>
        </w:object>
      </w:r>
      <w:r w:rsidRPr="004C787F">
        <w:t xml:space="preserve"> </w:t>
      </w:r>
      <w:r w:rsidRPr="004C787F">
        <w:rPr>
          <w:lang w:val="en-US"/>
        </w:rPr>
        <w:t xml:space="preserve">over the set of commodities in the ROW’s aggregate demand and </w:t>
      </w:r>
      <w:r w:rsidR="009205EE" w:rsidRPr="009205EE">
        <w:rPr>
          <w:position w:val="-14"/>
        </w:rPr>
        <w:object w:dxaOrig="859" w:dyaOrig="400" w14:anchorId="5D9A8E55">
          <v:shape id="_x0000_i1261" type="#_x0000_t75" style="width:43.8pt;height:20.4pt" o:ole="">
            <v:imagedata r:id="rId497" o:title=""/>
          </v:shape>
          <o:OLEObject Type="Embed" ProgID="Equation.DSMT4" ShapeID="_x0000_i1261" DrawAspect="Content" ObjectID="_1755515715" r:id="rId498"/>
        </w:object>
      </w:r>
      <w:r w:rsidRPr="004C787F">
        <w:t xml:space="preserve"> </w:t>
      </w:r>
      <w:r w:rsidRPr="004C787F">
        <w:rPr>
          <w:lang w:val="en-US"/>
        </w:rPr>
        <w:t xml:space="preserve">represents the CES weight for Australian commodity </w:t>
      </w:r>
      <w:r w:rsidR="009205EE" w:rsidRPr="009205EE">
        <w:rPr>
          <w:position w:val="-10"/>
        </w:rPr>
        <w:object w:dxaOrig="200" w:dyaOrig="300" w14:anchorId="4BCACC99">
          <v:shape id="_x0000_i1262" type="#_x0000_t75" style="width:9.6pt;height:15pt" o:ole="">
            <v:imagedata r:id="rId499" o:title=""/>
          </v:shape>
          <o:OLEObject Type="Embed" ProgID="Equation.DSMT4" ShapeID="_x0000_i1262" DrawAspect="Content" ObjectID="_1755515716" r:id="rId500"/>
        </w:object>
      </w:r>
      <w:r w:rsidRPr="004C787F">
        <w:rPr>
          <w:lang w:val="en-US"/>
        </w:rPr>
        <w:t xml:space="preserve"> among competing varieties in the ROW. Furthermore, </w:t>
      </w:r>
      <w:r w:rsidR="009205EE" w:rsidRPr="009205EE">
        <w:rPr>
          <w:position w:val="-14"/>
        </w:rPr>
        <w:object w:dxaOrig="480" w:dyaOrig="400" w14:anchorId="5B34AA37">
          <v:shape id="_x0000_i1263" type="#_x0000_t75" style="width:24pt;height:20.4pt" o:ole="">
            <v:imagedata r:id="rId501" o:title=""/>
          </v:shape>
          <o:OLEObject Type="Embed" ProgID="Equation.DSMT4" ShapeID="_x0000_i1263" DrawAspect="Content" ObjectID="_1755515717" r:id="rId502"/>
        </w:object>
      </w:r>
      <w:r w:rsidRPr="004C787F">
        <w:t xml:space="preserve"> </w:t>
      </w:r>
      <w:r w:rsidRPr="004C787F">
        <w:rPr>
          <w:lang w:val="en-US"/>
        </w:rPr>
        <w:t>is the ROW’s CES price aggregate</w:t>
      </w:r>
      <w:r>
        <w:rPr>
          <w:lang w:val="en-US"/>
        </w:rPr>
        <w:t>d</w:t>
      </w:r>
      <w:r w:rsidRPr="004C787F">
        <w:rPr>
          <w:lang w:val="en-US"/>
        </w:rPr>
        <w:t xml:space="preserve"> over all varieties of commodity </w:t>
      </w:r>
      <w:r w:rsidRPr="004C787F">
        <w:rPr>
          <w:noProof/>
          <w:position w:val="-10"/>
        </w:rPr>
        <w:drawing>
          <wp:inline distT="0" distB="0" distL="0" distR="0" wp14:anchorId="505C62EE" wp14:editId="034C29EB">
            <wp:extent cx="91440" cy="182880"/>
            <wp:effectExtent l="0" t="0" r="3810" b="762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1"/>
                    <pic:cNvPicPr>
                      <a:picLocks noChangeAspect="1" noChangeArrowheads="1"/>
                    </pic:cNvPicPr>
                  </pic:nvPicPr>
                  <pic:blipFill>
                    <a:blip r:embed="rId503" cstate="print">
                      <a:extLst>
                        <a:ext uri="{28A0092B-C50C-407E-A947-70E740481C1C}">
                          <a14:useLocalDpi xmlns:a14="http://schemas.microsoft.com/office/drawing/2010/main" val="0"/>
                        </a:ext>
                      </a:extLst>
                    </a:blip>
                    <a:srcRect/>
                    <a:stretch>
                      <a:fillRect/>
                    </a:stretch>
                  </pic:blipFill>
                  <pic:spPr bwMode="auto">
                    <a:xfrm>
                      <a:off x="0" y="0"/>
                      <a:ext cx="91440" cy="182880"/>
                    </a:xfrm>
                    <a:prstGeom prst="rect">
                      <a:avLst/>
                    </a:prstGeom>
                    <a:noFill/>
                    <a:ln>
                      <a:noFill/>
                    </a:ln>
                  </pic:spPr>
                </pic:pic>
              </a:graphicData>
            </a:graphic>
          </wp:inline>
        </w:drawing>
      </w:r>
      <w:r>
        <w:rPr>
          <w:lang w:val="en-US"/>
        </w:rPr>
        <w:t>,</w:t>
      </w:r>
      <w:r w:rsidRPr="004C787F">
        <w:t xml:space="preserve"> and </w:t>
      </w:r>
      <w:r w:rsidR="009205EE" w:rsidRPr="009205EE">
        <w:rPr>
          <w:position w:val="-12"/>
        </w:rPr>
        <w:object w:dxaOrig="400" w:dyaOrig="380" w14:anchorId="7FE8AE59">
          <v:shape id="_x0000_i1264" type="#_x0000_t75" style="width:20.4pt;height:18.6pt" o:ole="">
            <v:imagedata r:id="rId504" o:title=""/>
          </v:shape>
          <o:OLEObject Type="Embed" ProgID="Equation.DSMT4" ShapeID="_x0000_i1264" DrawAspect="Content" ObjectID="_1755515718" r:id="rId505"/>
        </w:object>
      </w:r>
      <w:r>
        <w:t xml:space="preserve"> </w:t>
      </w:r>
      <w:r w:rsidRPr="004C787F">
        <w:t>is the ROW’s total supply price which is exogenous</w:t>
      </w:r>
      <w:r w:rsidRPr="004C787F">
        <w:rPr>
          <w:lang w:val="en-US"/>
        </w:rPr>
        <w:t>.</w:t>
      </w:r>
    </w:p>
    <w:p w14:paraId="4535E167" w14:textId="77777777" w:rsidR="00CD3A34" w:rsidRDefault="00CD3A34" w:rsidP="00C430F0">
      <w:pPr>
        <w:rPr>
          <w:lang w:val="en-US"/>
        </w:rPr>
      </w:pPr>
    </w:p>
    <w:p w14:paraId="5B3780DC" w14:textId="30AF03E9" w:rsidR="00C430F0" w:rsidRPr="004C787F" w:rsidRDefault="00C430F0" w:rsidP="00C430F0">
      <w:pPr>
        <w:rPr>
          <w:lang w:val="en-US"/>
        </w:rPr>
      </w:pPr>
      <w:r w:rsidRPr="004C787F">
        <w:rPr>
          <w:lang w:val="en-US"/>
        </w:rPr>
        <w:t>The ROW’s price aggregate</w:t>
      </w:r>
      <w:r>
        <w:rPr>
          <w:lang w:val="en-US"/>
        </w:rPr>
        <w:t>d</w:t>
      </w:r>
      <w:r w:rsidRPr="004C787F">
        <w:rPr>
          <w:lang w:val="en-US"/>
        </w:rPr>
        <w:t xml:space="preserve"> over all varieties of commodity </w:t>
      </w:r>
      <w:r w:rsidR="009205EE" w:rsidRPr="009205EE">
        <w:rPr>
          <w:position w:val="-10"/>
        </w:rPr>
        <w:object w:dxaOrig="200" w:dyaOrig="300" w14:anchorId="5141DE3C">
          <v:shape id="_x0000_i1265" type="#_x0000_t75" style="width:9.6pt;height:15pt" o:ole="">
            <v:imagedata r:id="rId506" o:title=""/>
          </v:shape>
          <o:OLEObject Type="Embed" ProgID="Equation.DSMT4" ShapeID="_x0000_i1265" DrawAspect="Content" ObjectID="_1755515719" r:id="rId507"/>
        </w:object>
      </w:r>
      <w:r w:rsidRPr="004C787F">
        <w:t xml:space="preserve"> is an aggregate of </w:t>
      </w:r>
      <w:r w:rsidRPr="004C787F">
        <w:rPr>
          <w:lang w:val="en-US"/>
        </w:rPr>
        <w:t xml:space="preserve">the price of Australian exports to the ROW of commodity </w:t>
      </w:r>
      <w:r w:rsidR="009205EE" w:rsidRPr="009205EE">
        <w:rPr>
          <w:position w:val="-10"/>
        </w:rPr>
        <w:object w:dxaOrig="200" w:dyaOrig="300" w14:anchorId="2DBABAA3">
          <v:shape id="_x0000_i1266" type="#_x0000_t75" style="width:9.6pt;height:15pt" o:ole="">
            <v:imagedata r:id="rId508" o:title=""/>
          </v:shape>
          <o:OLEObject Type="Embed" ProgID="Equation.DSMT4" ShapeID="_x0000_i1266" DrawAspect="Content" ObjectID="_1755515720" r:id="rId509"/>
        </w:object>
      </w:r>
      <w:r w:rsidRPr="004C787F">
        <w:t xml:space="preserve"> (where</w:t>
      </w:r>
      <w:r>
        <w:t xml:space="preserve"> </w:t>
      </w:r>
      <w:r w:rsidR="009205EE" w:rsidRPr="009205EE">
        <w:rPr>
          <w:position w:val="-14"/>
        </w:rPr>
        <w:object w:dxaOrig="1140" w:dyaOrig="400" w14:anchorId="2341E743">
          <v:shape id="_x0000_i1267" type="#_x0000_t75" style="width:57pt;height:20.4pt" o:ole="">
            <v:imagedata r:id="rId510" o:title=""/>
          </v:shape>
          <o:OLEObject Type="Embed" ProgID="Equation.DSMT4" ShapeID="_x0000_i1267" DrawAspect="Content" ObjectID="_1755515721" r:id="rId511"/>
        </w:object>
      </w:r>
      <w:r w:rsidRPr="004C787F">
        <w:t>),</w:t>
      </w:r>
      <w:r w:rsidRPr="004C787F">
        <w:rPr>
          <w:lang w:val="en-US"/>
        </w:rPr>
        <w:t xml:space="preserve"> and the ROW’s price of its competing variety of commodity </w:t>
      </w:r>
      <w:r w:rsidR="009205EE" w:rsidRPr="009205EE">
        <w:rPr>
          <w:position w:val="-10"/>
        </w:rPr>
        <w:object w:dxaOrig="200" w:dyaOrig="300" w14:anchorId="354172B9">
          <v:shape id="_x0000_i1268" type="#_x0000_t75" style="width:9.6pt;height:15pt" o:ole="">
            <v:imagedata r:id="rId512" o:title=""/>
          </v:shape>
          <o:OLEObject Type="Embed" ProgID="Equation.DSMT4" ShapeID="_x0000_i1268" DrawAspect="Content" ObjectID="_1755515722" r:id="rId513"/>
        </w:object>
      </w:r>
      <w:r w:rsidRPr="004C787F">
        <w:t>,</w:t>
      </w:r>
      <w:r w:rsidR="009205EE" w:rsidRPr="009205EE">
        <w:rPr>
          <w:position w:val="-14"/>
        </w:rPr>
        <w:object w:dxaOrig="380" w:dyaOrig="400" w14:anchorId="5BD746F9">
          <v:shape id="_x0000_i1269" type="#_x0000_t75" style="width:18.6pt;height:20.4pt" o:ole="">
            <v:imagedata r:id="rId514" o:title=""/>
          </v:shape>
          <o:OLEObject Type="Embed" ProgID="Equation.DSMT4" ShapeID="_x0000_i1269" DrawAspect="Content" ObjectID="_1755515723" r:id="rId515"/>
        </w:object>
      </w:r>
      <w:r w:rsidRPr="004C787F">
        <w:rPr>
          <w:lang w:val="en-US"/>
        </w:rPr>
        <w:t>:</w:t>
      </w:r>
    </w:p>
    <w:p w14:paraId="7B575D99" w14:textId="2A84D554" w:rsidR="00C430F0" w:rsidRPr="004C787F" w:rsidRDefault="00C430F0" w:rsidP="00C430F0">
      <w:pPr>
        <w:pStyle w:val="MTDisplayEquation"/>
      </w:pPr>
      <w:r w:rsidRPr="004C787F">
        <w:tab/>
      </w:r>
      <w:r w:rsidR="009205EE" w:rsidRPr="009205EE">
        <w:rPr>
          <w:position w:val="-40"/>
        </w:rPr>
        <w:object w:dxaOrig="5400" w:dyaOrig="1040" w14:anchorId="67FA5C12">
          <v:shape id="_x0000_i1270" type="#_x0000_t75" style="width:270pt;height:51.6pt" o:ole="">
            <v:imagedata r:id="rId516" o:title=""/>
          </v:shape>
          <o:OLEObject Type="Embed" ProgID="Equation.DSMT4" ShapeID="_x0000_i1270" DrawAspect="Content" ObjectID="_1755515724" r:id="rId517"/>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r w:rsidRPr="004C787F">
        <w:instrText>(</w:instrText>
      </w:r>
      <w:r w:rsidR="00697947">
        <w:fldChar w:fldCharType="begin"/>
      </w:r>
      <w:r w:rsidR="00697947">
        <w:instrText>SEQ MTEqn \c \* Arabic \* MERGEFORMAT</w:instrText>
      </w:r>
      <w:r w:rsidR="00697947">
        <w:fldChar w:fldCharType="separate"/>
      </w:r>
      <w:r w:rsidR="00354F38">
        <w:rPr>
          <w:noProof/>
        </w:rPr>
        <w:instrText>53</w:instrText>
      </w:r>
      <w:r w:rsidR="00697947">
        <w:rPr>
          <w:noProof/>
        </w:rPr>
        <w:fldChar w:fldCharType="end"/>
      </w:r>
      <w:r w:rsidRPr="004C787F">
        <w:instrText>)</w:instrText>
      </w:r>
      <w:r w:rsidRPr="004C787F">
        <w:fldChar w:fldCharType="end"/>
      </w:r>
    </w:p>
    <w:p w14:paraId="61AEA314" w14:textId="61D94089" w:rsidR="00C430F0" w:rsidRPr="004C787F" w:rsidRDefault="00C430F0" w:rsidP="00C430F0">
      <w:pPr>
        <w:rPr>
          <w:lang w:val="en-US"/>
        </w:rPr>
      </w:pPr>
      <w:r w:rsidRPr="004C787F">
        <w:t xml:space="preserve">In a similar vein to the modelling of domestic use prices, the world price against which Australian exports compete, </w:t>
      </w:r>
      <w:r w:rsidR="009205EE" w:rsidRPr="009205EE">
        <w:rPr>
          <w:position w:val="-14"/>
        </w:rPr>
        <w:object w:dxaOrig="380" w:dyaOrig="400" w14:anchorId="2DAB4A97">
          <v:shape id="_x0000_i1271" type="#_x0000_t75" style="width:18.6pt;height:20.4pt" o:ole="">
            <v:imagedata r:id="rId518" o:title=""/>
          </v:shape>
          <o:OLEObject Type="Embed" ProgID="Equation.DSMT4" ShapeID="_x0000_i1271" DrawAspect="Content" ObjectID="_1755515725" r:id="rId519"/>
        </w:object>
      </w:r>
      <w:r w:rsidRPr="004C787F">
        <w:t xml:space="preserve">, </w:t>
      </w:r>
      <w:r>
        <w:t xml:space="preserve">can </w:t>
      </w:r>
      <w:r w:rsidRPr="004C787F">
        <w:t xml:space="preserve">differ from the price at which the world supplies imports to Australia, </w:t>
      </w:r>
      <w:r w:rsidR="009205EE" w:rsidRPr="009205EE">
        <w:rPr>
          <w:position w:val="-14"/>
        </w:rPr>
        <w:object w:dxaOrig="380" w:dyaOrig="400" w14:anchorId="1A525451">
          <v:shape id="_x0000_i1272" type="#_x0000_t75" style="width:18.6pt;height:20.4pt" o:ole="">
            <v:imagedata r:id="rId520" o:title=""/>
          </v:shape>
          <o:OLEObject Type="Embed" ProgID="Equation.DSMT4" ShapeID="_x0000_i1272" DrawAspect="Content" ObjectID="_1755515726" r:id="rId521"/>
        </w:object>
      </w:r>
      <w:r w:rsidRPr="004C787F">
        <w:t>.</w:t>
      </w:r>
    </w:p>
    <w:p w14:paraId="03B310B5" w14:textId="77777777" w:rsidR="00C430F0" w:rsidRPr="004C787F" w:rsidRDefault="00C430F0" w:rsidP="00C430F0">
      <w:pPr>
        <w:pStyle w:val="Heading4"/>
      </w:pPr>
      <w:r w:rsidRPr="004C787F">
        <w:t>National budget constraint</w:t>
      </w:r>
    </w:p>
    <w:p w14:paraId="0794AC73" w14:textId="77777777" w:rsidR="00C430F0" w:rsidRPr="004C787F" w:rsidRDefault="00C430F0" w:rsidP="00C430F0">
      <w:pPr>
        <w:rPr>
          <w:lang w:val="en-US"/>
        </w:rPr>
      </w:pPr>
      <w:r w:rsidRPr="004C787F">
        <w:rPr>
          <w:lang w:val="en-US"/>
        </w:rPr>
        <w:t>Given the quantities and prices of imports and exports, as well as the global required rate of return, the national budget constraint is:</w:t>
      </w:r>
    </w:p>
    <w:p w14:paraId="6DA87032" w14:textId="141BBDF7" w:rsidR="00C430F0" w:rsidRPr="004C787F" w:rsidRDefault="00C430F0" w:rsidP="00C430F0">
      <w:pPr>
        <w:pStyle w:val="MTDisplayEquation"/>
        <w:rPr>
          <w:lang w:val="en-US"/>
        </w:rPr>
      </w:pPr>
      <w:r w:rsidRPr="004C787F">
        <w:rPr>
          <w:lang w:val="en-US"/>
        </w:rPr>
        <w:tab/>
      </w:r>
      <w:r w:rsidR="009205EE" w:rsidRPr="009205EE">
        <w:rPr>
          <w:position w:val="-32"/>
        </w:rPr>
        <w:object w:dxaOrig="4740" w:dyaOrig="760" w14:anchorId="3C91B8F0">
          <v:shape id="_x0000_i1273" type="#_x0000_t75" style="width:237pt;height:38.4pt" o:ole="">
            <v:imagedata r:id="rId522" o:title=""/>
          </v:shape>
          <o:OLEObject Type="Embed" ProgID="Equation.DSMT4" ShapeID="_x0000_i1273" DrawAspect="Content" ObjectID="_1755515727" r:id="rId523"/>
        </w:object>
      </w:r>
      <w:r w:rsidRPr="004C787F">
        <w:rPr>
          <w:lang w:val="en-US"/>
        </w:rPr>
        <w:tab/>
      </w:r>
      <w:r w:rsidRPr="004C787F">
        <w:rPr>
          <w:lang w:val="en-US"/>
        </w:rPr>
        <w:fldChar w:fldCharType="begin"/>
      </w:r>
      <w:r w:rsidRPr="004C787F">
        <w:rPr>
          <w:lang w:val="en-US"/>
        </w:rPr>
        <w:instrText xml:space="preserve"> MACROBUTTON MTPlaceRef \* MERGEFORMAT </w:instrText>
      </w:r>
      <w:r w:rsidRPr="004C787F">
        <w:rPr>
          <w:lang w:val="en-US"/>
        </w:rPr>
        <w:fldChar w:fldCharType="begin"/>
      </w:r>
      <w:r w:rsidRPr="004C787F">
        <w:rPr>
          <w:lang w:val="en-US"/>
        </w:rPr>
        <w:instrText xml:space="preserve"> SEQ MTEqn \h \* MERGEFORMAT </w:instrText>
      </w:r>
      <w:r w:rsidRPr="004C787F">
        <w:rPr>
          <w:lang w:val="en-US"/>
        </w:rPr>
        <w:fldChar w:fldCharType="end"/>
      </w:r>
      <w:r w:rsidRPr="004C787F">
        <w:rPr>
          <w:lang w:val="en-US"/>
        </w:rPr>
        <w:instrText>(</w:instrText>
      </w:r>
      <w:r w:rsidRPr="004C787F">
        <w:rPr>
          <w:lang w:val="en-US"/>
        </w:rPr>
        <w:fldChar w:fldCharType="begin"/>
      </w:r>
      <w:r w:rsidRPr="004C787F">
        <w:rPr>
          <w:lang w:val="en-US"/>
        </w:rPr>
        <w:instrText xml:space="preserve"> SEQ MTEqn \c \* Arabic \* MERGEFORMAT </w:instrText>
      </w:r>
      <w:r w:rsidRPr="004C787F">
        <w:rPr>
          <w:lang w:val="en-US"/>
        </w:rPr>
        <w:fldChar w:fldCharType="separate"/>
      </w:r>
      <w:r w:rsidR="00354F38">
        <w:rPr>
          <w:noProof/>
          <w:lang w:val="en-US"/>
        </w:rPr>
        <w:instrText>54</w:instrText>
      </w:r>
      <w:r w:rsidRPr="004C787F">
        <w:rPr>
          <w:lang w:val="en-US"/>
        </w:rPr>
        <w:fldChar w:fldCharType="end"/>
      </w:r>
      <w:r w:rsidRPr="004C787F">
        <w:rPr>
          <w:lang w:val="en-US"/>
        </w:rPr>
        <w:instrText>)</w:instrText>
      </w:r>
      <w:r w:rsidRPr="004C787F">
        <w:rPr>
          <w:lang w:val="en-US"/>
        </w:rPr>
        <w:fldChar w:fldCharType="end"/>
      </w:r>
    </w:p>
    <w:p w14:paraId="71E525BF" w14:textId="3BC4621D" w:rsidR="00C430F0" w:rsidRPr="004C787F" w:rsidRDefault="00C430F0" w:rsidP="00C430F0">
      <w:pPr>
        <w:tabs>
          <w:tab w:val="center" w:pos="4640"/>
          <w:tab w:val="right" w:pos="9300"/>
        </w:tabs>
        <w:rPr>
          <w:lang w:val="en-US"/>
        </w:rPr>
      </w:pPr>
      <w:r w:rsidRPr="004C787F">
        <w:rPr>
          <w:lang w:val="en-US"/>
        </w:rPr>
        <w:t>Where</w:t>
      </w:r>
      <w:r>
        <w:rPr>
          <w:lang w:val="en-US"/>
        </w:rPr>
        <w:t xml:space="preserve"> </w:t>
      </w:r>
      <w:r w:rsidR="009205EE" w:rsidRPr="009205EE">
        <w:rPr>
          <w:position w:val="-12"/>
        </w:rPr>
        <w:object w:dxaOrig="240" w:dyaOrig="380" w14:anchorId="7E631A2B">
          <v:shape id="_x0000_i1274" type="#_x0000_t75" style="width:12pt;height:18.6pt" o:ole="">
            <v:imagedata r:id="rId524" o:title=""/>
          </v:shape>
          <o:OLEObject Type="Embed" ProgID="Equation.DSMT4" ShapeID="_x0000_i1274" DrawAspect="Content" ObjectID="_1755515728" r:id="rId525"/>
        </w:object>
      </w:r>
      <w:r>
        <w:rPr>
          <w:lang w:val="en-US"/>
        </w:rPr>
        <w:t xml:space="preserve"> </w:t>
      </w:r>
      <w:r w:rsidRPr="004C787F">
        <w:rPr>
          <w:lang w:val="en-US"/>
        </w:rPr>
        <w:t>is the ROW’s realized return on Australian assets.</w:t>
      </w:r>
    </w:p>
    <w:p w14:paraId="7EE60CB0" w14:textId="2AE50CBB" w:rsidR="00C430F0" w:rsidRPr="004C787F" w:rsidRDefault="00C430F0" w:rsidP="00C430F0">
      <w:pPr>
        <w:rPr>
          <w:lang w:val="en-US"/>
        </w:rPr>
      </w:pPr>
      <w:r w:rsidRPr="004C787F">
        <w:rPr>
          <w:lang w:val="en-US"/>
        </w:rPr>
        <w:t xml:space="preserve">The trade balance, </w:t>
      </w:r>
      <w:r w:rsidR="009205EE" w:rsidRPr="009205EE">
        <w:rPr>
          <w:position w:val="-12"/>
        </w:rPr>
        <w:object w:dxaOrig="300" w:dyaOrig="360" w14:anchorId="086A05EF">
          <v:shape id="_x0000_i1275" type="#_x0000_t75" style="width:15pt;height:18pt" o:ole="">
            <v:imagedata r:id="rId526" o:title=""/>
          </v:shape>
          <o:OLEObject Type="Embed" ProgID="Equation.DSMT4" ShapeID="_x0000_i1275" DrawAspect="Content" ObjectID="_1755515729" r:id="rId527"/>
        </w:object>
      </w:r>
      <w:r w:rsidRPr="004C787F">
        <w:rPr>
          <w:lang w:val="en-US"/>
        </w:rPr>
        <w:t>, is given by the value of exports minus FOB imports:</w:t>
      </w:r>
    </w:p>
    <w:p w14:paraId="5A81C953" w14:textId="2C709524" w:rsidR="00C430F0" w:rsidRPr="004C787F" w:rsidRDefault="00C430F0" w:rsidP="00C430F0">
      <w:pPr>
        <w:pStyle w:val="MTDisplayEquation"/>
        <w:rPr>
          <w:lang w:val="en-US"/>
        </w:rPr>
      </w:pPr>
      <w:r w:rsidRPr="004C787F">
        <w:rPr>
          <w:lang w:val="en-US"/>
        </w:rPr>
        <w:tab/>
      </w:r>
      <w:r w:rsidR="009205EE" w:rsidRPr="009205EE">
        <w:rPr>
          <w:position w:val="-30"/>
        </w:rPr>
        <w:object w:dxaOrig="2620" w:dyaOrig="560" w14:anchorId="6E62F8A0">
          <v:shape id="_x0000_i1276" type="#_x0000_t75" style="width:130.2pt;height:28.8pt" o:ole="">
            <v:imagedata r:id="rId528" o:title=""/>
          </v:shape>
          <o:OLEObject Type="Embed" ProgID="Equation.DSMT4" ShapeID="_x0000_i1276" DrawAspect="Content" ObjectID="_1755515730" r:id="rId529"/>
        </w:object>
      </w:r>
      <w:r w:rsidRPr="004C787F">
        <w:rPr>
          <w:lang w:val="en-US"/>
        </w:rPr>
        <w:tab/>
      </w:r>
      <w:r w:rsidRPr="004C787F">
        <w:rPr>
          <w:lang w:val="en-US"/>
        </w:rPr>
        <w:fldChar w:fldCharType="begin"/>
      </w:r>
      <w:r w:rsidRPr="004C787F">
        <w:rPr>
          <w:lang w:val="en-US"/>
        </w:rPr>
        <w:instrText xml:space="preserve"> MACROBUTTON MTPlaceRef \* MERGEFORMAT </w:instrText>
      </w:r>
      <w:r w:rsidRPr="004C787F">
        <w:rPr>
          <w:lang w:val="en-US"/>
        </w:rPr>
        <w:fldChar w:fldCharType="begin"/>
      </w:r>
      <w:r w:rsidRPr="004C787F">
        <w:rPr>
          <w:lang w:val="en-US"/>
        </w:rPr>
        <w:instrText xml:space="preserve"> SEQ MTEqn \h \* MERGEFORMAT </w:instrText>
      </w:r>
      <w:r w:rsidRPr="004C787F">
        <w:rPr>
          <w:lang w:val="en-US"/>
        </w:rPr>
        <w:fldChar w:fldCharType="end"/>
      </w:r>
      <w:bookmarkStart w:id="36" w:name="ZEqnNum399525"/>
      <w:r w:rsidRPr="004C787F">
        <w:rPr>
          <w:lang w:val="en-US"/>
        </w:rPr>
        <w:instrText>(</w:instrText>
      </w:r>
      <w:r w:rsidRPr="004C787F">
        <w:rPr>
          <w:lang w:val="en-US"/>
        </w:rPr>
        <w:fldChar w:fldCharType="begin"/>
      </w:r>
      <w:r w:rsidRPr="004C787F">
        <w:rPr>
          <w:lang w:val="en-US"/>
        </w:rPr>
        <w:instrText xml:space="preserve"> SEQ MTEqn \c \* Arabic \* MERGEFORMAT </w:instrText>
      </w:r>
      <w:r w:rsidRPr="004C787F">
        <w:rPr>
          <w:lang w:val="en-US"/>
        </w:rPr>
        <w:fldChar w:fldCharType="separate"/>
      </w:r>
      <w:r w:rsidR="00354F38">
        <w:rPr>
          <w:noProof/>
          <w:lang w:val="en-US"/>
        </w:rPr>
        <w:instrText>55</w:instrText>
      </w:r>
      <w:r w:rsidRPr="004C787F">
        <w:rPr>
          <w:lang w:val="en-US"/>
        </w:rPr>
        <w:fldChar w:fldCharType="end"/>
      </w:r>
      <w:r w:rsidRPr="004C787F">
        <w:rPr>
          <w:lang w:val="en-US"/>
        </w:rPr>
        <w:instrText>)</w:instrText>
      </w:r>
      <w:bookmarkEnd w:id="36"/>
      <w:r w:rsidRPr="004C787F">
        <w:rPr>
          <w:lang w:val="en-US"/>
        </w:rPr>
        <w:fldChar w:fldCharType="end"/>
      </w:r>
    </w:p>
    <w:p w14:paraId="40156C10" w14:textId="407D741E" w:rsidR="00C430F0" w:rsidRPr="004C787F" w:rsidRDefault="00C430F0" w:rsidP="00C430F0">
      <w:pPr>
        <w:tabs>
          <w:tab w:val="center" w:pos="4640"/>
          <w:tab w:val="right" w:pos="9300"/>
        </w:tabs>
      </w:pPr>
      <w:r w:rsidRPr="004C787F">
        <w:t xml:space="preserve">The capital income paid to the ROW equals the negative of </w:t>
      </w:r>
      <w:r>
        <w:t xml:space="preserve">the </w:t>
      </w:r>
      <w:r w:rsidRPr="004C787F">
        <w:t xml:space="preserve">net foreign income balance </w:t>
      </w:r>
      <w:r w:rsidR="009205EE" w:rsidRPr="009205EE">
        <w:rPr>
          <w:position w:val="-12"/>
        </w:rPr>
        <w:object w:dxaOrig="380" w:dyaOrig="360" w14:anchorId="636A674B">
          <v:shape id="_x0000_i1277" type="#_x0000_t75" style="width:18.6pt;height:18pt" o:ole="">
            <v:imagedata r:id="rId530" o:title=""/>
          </v:shape>
          <o:OLEObject Type="Embed" ProgID="Equation.DSMT4" ShapeID="_x0000_i1277" DrawAspect="Content" ObjectID="_1755515731" r:id="rId531"/>
        </w:object>
      </w:r>
      <w:r w:rsidRPr="004C787F">
        <w:t>:</w:t>
      </w:r>
    </w:p>
    <w:p w14:paraId="10DF85C5" w14:textId="39E3D353" w:rsidR="00C430F0" w:rsidRPr="004C787F" w:rsidRDefault="00C430F0" w:rsidP="00C430F0">
      <w:pPr>
        <w:pStyle w:val="MTDisplayEquation"/>
      </w:pPr>
      <w:r w:rsidRPr="004C787F">
        <w:tab/>
      </w:r>
      <w:r w:rsidR="009205EE" w:rsidRPr="009205EE">
        <w:rPr>
          <w:position w:val="-12"/>
        </w:rPr>
        <w:object w:dxaOrig="1240" w:dyaOrig="380" w14:anchorId="1125A38E">
          <v:shape id="_x0000_i1278" type="#_x0000_t75" style="width:62.4pt;height:18.6pt" o:ole="">
            <v:imagedata r:id="rId532" o:title=""/>
          </v:shape>
          <o:OLEObject Type="Embed" ProgID="Equation.DSMT4" ShapeID="_x0000_i1278" DrawAspect="Content" ObjectID="_1755515732" r:id="rId533"/>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bookmarkStart w:id="37" w:name="ZEqnNum345550"/>
      <w:r w:rsidRPr="004C787F">
        <w:instrText>(</w:instrText>
      </w:r>
      <w:r w:rsidR="00697947">
        <w:fldChar w:fldCharType="begin"/>
      </w:r>
      <w:r w:rsidR="00697947">
        <w:instrText>SEQ MTEqn \c \* Arabic \* MERGEFORMAT</w:instrText>
      </w:r>
      <w:r w:rsidR="00697947">
        <w:fldChar w:fldCharType="separate"/>
      </w:r>
      <w:r w:rsidR="00354F38">
        <w:rPr>
          <w:noProof/>
        </w:rPr>
        <w:instrText>56</w:instrText>
      </w:r>
      <w:r w:rsidR="00697947">
        <w:rPr>
          <w:noProof/>
        </w:rPr>
        <w:fldChar w:fldCharType="end"/>
      </w:r>
      <w:r w:rsidRPr="004C787F">
        <w:instrText>)</w:instrText>
      </w:r>
      <w:bookmarkEnd w:id="37"/>
      <w:r w:rsidRPr="004C787F">
        <w:fldChar w:fldCharType="end"/>
      </w:r>
    </w:p>
    <w:p w14:paraId="6A1B95E1" w14:textId="7FF06262" w:rsidR="00C430F0" w:rsidRPr="004C787F" w:rsidRDefault="00C430F0" w:rsidP="00C430F0">
      <w:r w:rsidRPr="004C787F">
        <w:t xml:space="preserve">The balance on the current account </w:t>
      </w:r>
      <w:r w:rsidR="009205EE" w:rsidRPr="009205EE">
        <w:rPr>
          <w:position w:val="-12"/>
        </w:rPr>
        <w:object w:dxaOrig="340" w:dyaOrig="360" w14:anchorId="06A099BA">
          <v:shape id="_x0000_i1279" type="#_x0000_t75" style="width:17.4pt;height:18pt" o:ole="">
            <v:imagedata r:id="rId534" o:title=""/>
          </v:shape>
          <o:OLEObject Type="Embed" ProgID="Equation.DSMT4" ShapeID="_x0000_i1279" DrawAspect="Content" ObjectID="_1755515733" r:id="rId535"/>
        </w:object>
      </w:r>
      <w:r w:rsidRPr="004C787F">
        <w:t xml:space="preserve"> reflects the change in the Australian household’s net foreign assets:</w:t>
      </w:r>
    </w:p>
    <w:p w14:paraId="3F51C53C" w14:textId="2EFFE6F2" w:rsidR="00C430F0" w:rsidRPr="004C787F" w:rsidRDefault="00C430F0" w:rsidP="00C430F0">
      <w:pPr>
        <w:pStyle w:val="MTDisplayEquation"/>
      </w:pPr>
      <w:r w:rsidRPr="004C787F">
        <w:tab/>
      </w:r>
      <w:r w:rsidR="009205EE" w:rsidRPr="009205EE">
        <w:rPr>
          <w:position w:val="-12"/>
        </w:rPr>
        <w:object w:dxaOrig="1980" w:dyaOrig="380" w14:anchorId="614B0903">
          <v:shape id="_x0000_i1280" type="#_x0000_t75" style="width:99pt;height:18.6pt" o:ole="">
            <v:imagedata r:id="rId536" o:title=""/>
          </v:shape>
          <o:OLEObject Type="Embed" ProgID="Equation.DSMT4" ShapeID="_x0000_i1280" DrawAspect="Content" ObjectID="_1755515734" r:id="rId537"/>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bookmarkStart w:id="38" w:name="ZEqnNum572526"/>
      <w:r w:rsidRPr="004C787F">
        <w:instrText>(</w:instrText>
      </w:r>
      <w:r w:rsidR="00697947">
        <w:fldChar w:fldCharType="begin"/>
      </w:r>
      <w:r w:rsidR="00697947">
        <w:instrText>SEQ MTEqn \c \* Arabic \* MERGEFORMAT</w:instrText>
      </w:r>
      <w:r w:rsidR="00697947">
        <w:fldChar w:fldCharType="separate"/>
      </w:r>
      <w:r w:rsidR="00354F38">
        <w:rPr>
          <w:noProof/>
        </w:rPr>
        <w:instrText>57</w:instrText>
      </w:r>
      <w:r w:rsidR="00697947">
        <w:rPr>
          <w:noProof/>
        </w:rPr>
        <w:fldChar w:fldCharType="end"/>
      </w:r>
      <w:r w:rsidRPr="004C787F">
        <w:instrText>)</w:instrText>
      </w:r>
      <w:bookmarkEnd w:id="38"/>
      <w:r w:rsidRPr="004C787F">
        <w:fldChar w:fldCharType="end"/>
      </w:r>
    </w:p>
    <w:p w14:paraId="3F08693C" w14:textId="77777777" w:rsidR="00C430F0" w:rsidRPr="004C787F" w:rsidRDefault="00C430F0" w:rsidP="00C430F0">
      <w:pPr>
        <w:pStyle w:val="Heading3"/>
      </w:pPr>
      <w:bookmarkStart w:id="39" w:name="_Ref534628030"/>
      <w:bookmarkEnd w:id="39"/>
      <w:r w:rsidRPr="004C787F">
        <w:t>Equilibrium definition</w:t>
      </w:r>
    </w:p>
    <w:p w14:paraId="40BA05DA" w14:textId="77777777" w:rsidR="00C430F0" w:rsidRPr="004C787F" w:rsidRDefault="00C430F0" w:rsidP="00C430F0">
      <w:r w:rsidRPr="004C787F">
        <w:rPr>
          <w:lang w:val="en-US"/>
        </w:rPr>
        <w:t xml:space="preserve">An equilibrium is defined by agents behaving optimally and markets clearing such that the quantity demanded is equal to the quantity supplied in all markets. TIM assumes that both the household and firms are price takers and firms accept zero economic profits. </w:t>
      </w:r>
    </w:p>
    <w:p w14:paraId="7CE0A148" w14:textId="77777777" w:rsidR="00166F7A" w:rsidRDefault="00166F7A" w:rsidP="00C430F0">
      <w:pPr>
        <w:rPr>
          <w:lang w:val="en-US"/>
        </w:rPr>
      </w:pPr>
    </w:p>
    <w:p w14:paraId="1CCA8ADF" w14:textId="77777777" w:rsidR="00166F7A" w:rsidRDefault="00166F7A" w:rsidP="00C430F0">
      <w:pPr>
        <w:rPr>
          <w:lang w:val="en-US"/>
        </w:rPr>
      </w:pPr>
    </w:p>
    <w:p w14:paraId="3B7F5AFB" w14:textId="0D0891B5" w:rsidR="00C430F0" w:rsidRPr="004C787F" w:rsidRDefault="00C430F0" w:rsidP="00C430F0">
      <w:pPr>
        <w:rPr>
          <w:lang w:val="en-US"/>
        </w:rPr>
      </w:pPr>
      <w:r w:rsidRPr="004C787F">
        <w:rPr>
          <w:lang w:val="en-US"/>
        </w:rPr>
        <w:t xml:space="preserve">Given a sequence of tax rates, government </w:t>
      </w:r>
      <w:r w:rsidRPr="004C787F">
        <w:t>expenditure</w:t>
      </w:r>
      <w:r w:rsidRPr="004C787F">
        <w:rPr>
          <w:lang w:val="en-US"/>
        </w:rPr>
        <w:t xml:space="preserve"> and transfers, initial capital stock and land owned by each firm, assets initially owned by the household and the ROW, the household’s endowment of time, productivity factors</w:t>
      </w:r>
      <w:r w:rsidRPr="004C787F">
        <w:t>,</w:t>
      </w:r>
      <w:r w:rsidRPr="004C787F">
        <w:rPr>
          <w:lang w:val="en-US"/>
        </w:rPr>
        <w:t xml:space="preserve"> foreign demand and international prices</w:t>
      </w:r>
      <w:r w:rsidRPr="004C787F">
        <w:t xml:space="preserve">, </w:t>
      </w:r>
      <w:r w:rsidRPr="004C787F">
        <w:rPr>
          <w:lang w:val="en-US"/>
        </w:rPr>
        <w:t>a competitive equilibrium is given by a sequence of prices</w:t>
      </w:r>
      <w:r w:rsidRPr="004C787F">
        <w:t>,</w:t>
      </w:r>
      <w:r w:rsidRPr="004C787F">
        <w:rPr>
          <w:lang w:val="en-US"/>
        </w:rPr>
        <w:t xml:space="preserve"> quantities, asset holdings, cash flow from firms to shareholders, and government revenue and expenditure for all commodities and firms that satisfies the following conditions:</w:t>
      </w:r>
    </w:p>
    <w:p w14:paraId="1FD22068" w14:textId="7CD984B3" w:rsidR="00C430F0" w:rsidRPr="004C787F" w:rsidRDefault="00C430F0" w:rsidP="00C430F0">
      <w:pPr>
        <w:numPr>
          <w:ilvl w:val="0"/>
          <w:numId w:val="8"/>
        </w:numPr>
        <w:ind w:left="522" w:hanging="522"/>
        <w:rPr>
          <w:lang w:val="en-US"/>
        </w:rPr>
      </w:pPr>
      <w:r w:rsidRPr="004C787F">
        <w:rPr>
          <w:lang w:val="en-US"/>
        </w:rPr>
        <w:t xml:space="preserve">The household maximises the discounted value of its expected utility, subject to the budget constraint, as per equations </w:t>
      </w:r>
      <w:r w:rsidRPr="004C787F">
        <w:rPr>
          <w:lang w:val="en-US"/>
        </w:rPr>
        <w:fldChar w:fldCharType="begin"/>
      </w:r>
      <w:r w:rsidRPr="004C787F">
        <w:rPr>
          <w:lang w:val="en-US"/>
        </w:rPr>
        <w:instrText xml:space="preserve"> GOTOBUTTON ZEqnNum468794  \* MERGEFORMAT </w:instrText>
      </w:r>
      <w:r w:rsidR="00354F38" w:rsidRPr="00354F38">
        <w:rPr>
          <w:lang w:val="en-US"/>
        </w:rPr>
        <w:instrText>(6)</w:instrText>
      </w:r>
      <w:r w:rsidRPr="004C787F">
        <w:rPr>
          <w:lang w:val="en-US"/>
        </w:rPr>
        <w:fldChar w:fldCharType="end"/>
      </w:r>
      <w:r w:rsidRPr="004C787F">
        <w:rPr>
          <w:lang w:val="en-US"/>
        </w:rPr>
        <w:t xml:space="preserve"> and </w:t>
      </w:r>
      <w:r w:rsidRPr="004C787F">
        <w:rPr>
          <w:iCs/>
          <w:lang w:val="en-US"/>
        </w:rPr>
        <w:fldChar w:fldCharType="begin"/>
      </w:r>
      <w:r w:rsidRPr="004C787F">
        <w:rPr>
          <w:iCs/>
          <w:lang w:val="en-US"/>
        </w:rPr>
        <w:instrText xml:space="preserve"> GOTOBUTTON ZEqnNum443590  \* MERGEFORMAT </w:instrText>
      </w:r>
      <w:r w:rsidR="00354F38" w:rsidRPr="00354F38">
        <w:rPr>
          <w:iCs/>
          <w:lang w:val="en-US"/>
        </w:rPr>
        <w:instrText>(10)</w:instrText>
      </w:r>
      <w:r w:rsidRPr="004C787F">
        <w:rPr>
          <w:iCs/>
          <w:lang w:val="en-US"/>
        </w:rPr>
        <w:fldChar w:fldCharType="end"/>
      </w:r>
      <w:r>
        <w:rPr>
          <w:iCs/>
          <w:lang w:val="en-US"/>
        </w:rPr>
        <w:t>.</w:t>
      </w:r>
    </w:p>
    <w:p w14:paraId="5B320BB9" w14:textId="7BDE8C12" w:rsidR="00C430F0" w:rsidRPr="000B10F8" w:rsidRDefault="00C430F0" w:rsidP="00C430F0">
      <w:pPr>
        <w:numPr>
          <w:ilvl w:val="0"/>
          <w:numId w:val="8"/>
        </w:numPr>
        <w:ind w:left="522" w:hanging="522"/>
        <w:rPr>
          <w:lang w:val="en-US"/>
        </w:rPr>
      </w:pPr>
      <w:r w:rsidRPr="00E60C16">
        <w:rPr>
          <w:lang w:val="en-US"/>
        </w:rPr>
        <w:t xml:space="preserve">Each firm maximises its equity value, subject to its resource constraint, as per </w:t>
      </w:r>
      <w:r w:rsidRPr="000B10F8">
        <w:rPr>
          <w:lang w:val="en-US"/>
        </w:rPr>
        <w:t xml:space="preserve">equations </w:t>
      </w:r>
      <w:r w:rsidRPr="000B10F8">
        <w:rPr>
          <w:lang w:val="en-US"/>
        </w:rPr>
        <w:fldChar w:fldCharType="begin"/>
      </w:r>
      <w:r w:rsidRPr="000B10F8">
        <w:rPr>
          <w:lang w:val="en-US"/>
        </w:rPr>
        <w:instrText xml:space="preserve"> GOTOBUTTON ZEqnNum226778  \* MERGEFORMAT </w:instrText>
      </w:r>
      <w:r w:rsidR="00354F38" w:rsidRPr="00354F38">
        <w:rPr>
          <w:lang w:val="en-US"/>
        </w:rPr>
        <w:instrText>(27)</w:instrText>
      </w:r>
      <w:r w:rsidRPr="000B10F8">
        <w:rPr>
          <w:lang w:val="en-US"/>
        </w:rPr>
        <w:fldChar w:fldCharType="end"/>
      </w:r>
      <w:r w:rsidRPr="000B10F8">
        <w:rPr>
          <w:lang w:val="en-US"/>
        </w:rPr>
        <w:t xml:space="preserve"> and </w:t>
      </w:r>
      <w:r w:rsidRPr="000B10F8">
        <w:rPr>
          <w:lang w:val="en-US"/>
        </w:rPr>
        <w:fldChar w:fldCharType="begin"/>
      </w:r>
      <w:r w:rsidRPr="000B10F8">
        <w:rPr>
          <w:lang w:val="en-US"/>
        </w:rPr>
        <w:instrText xml:space="preserve"> GOTOBUTTON ZEqnNum239683  \* MERGEFORMAT </w:instrText>
      </w:r>
      <w:r w:rsidR="00354F38" w:rsidRPr="00354F38">
        <w:rPr>
          <w:lang w:val="en-US"/>
        </w:rPr>
        <w:instrText>(33)</w:instrText>
      </w:r>
      <w:r w:rsidRPr="000B10F8">
        <w:rPr>
          <w:lang w:val="en-US"/>
        </w:rPr>
        <w:fldChar w:fldCharType="end"/>
      </w:r>
      <w:r w:rsidRPr="000B10F8">
        <w:rPr>
          <w:lang w:val="en-US"/>
        </w:rPr>
        <w:t>.</w:t>
      </w:r>
    </w:p>
    <w:p w14:paraId="29F89F29" w14:textId="322B8681" w:rsidR="00C430F0" w:rsidRPr="000B10F8" w:rsidRDefault="00C430F0" w:rsidP="00C430F0">
      <w:pPr>
        <w:numPr>
          <w:ilvl w:val="0"/>
          <w:numId w:val="8"/>
        </w:numPr>
        <w:ind w:left="522" w:hanging="522"/>
        <w:rPr>
          <w:lang w:val="en-US"/>
        </w:rPr>
      </w:pPr>
      <w:r w:rsidRPr="00E60C16">
        <w:rPr>
          <w:lang w:val="en-US"/>
        </w:rPr>
        <w:t xml:space="preserve">Domestic demand for imports is satisfied as per </w:t>
      </w:r>
      <w:r w:rsidRPr="000B10F8">
        <w:rPr>
          <w:lang w:val="en-US"/>
        </w:rPr>
        <w:t>equation</w:t>
      </w:r>
      <w:r w:rsidRPr="000B10F8">
        <w:rPr>
          <w:iCs/>
          <w:lang w:val="en-US"/>
        </w:rPr>
        <w:t xml:space="preserve"> </w:t>
      </w:r>
      <w:r w:rsidRPr="000B10F8">
        <w:rPr>
          <w:lang w:val="en-US"/>
        </w:rPr>
        <w:fldChar w:fldCharType="begin"/>
      </w:r>
      <w:r w:rsidRPr="000B10F8">
        <w:rPr>
          <w:lang w:val="en-US"/>
        </w:rPr>
        <w:instrText xml:space="preserve"> GOTOBUTTON ZEqnNum570953  \* MERGEFORMAT </w:instrText>
      </w:r>
      <w:r w:rsidR="00354F38" w:rsidRPr="00354F38">
        <w:rPr>
          <w:lang w:val="en-US"/>
        </w:rPr>
        <w:instrText>(39)</w:instrText>
      </w:r>
      <w:r w:rsidRPr="000B10F8">
        <w:rPr>
          <w:lang w:val="en-US"/>
        </w:rPr>
        <w:fldChar w:fldCharType="end"/>
      </w:r>
      <w:r w:rsidRPr="000B10F8">
        <w:rPr>
          <w:lang w:val="en-US"/>
        </w:rPr>
        <w:t>.</w:t>
      </w:r>
    </w:p>
    <w:p w14:paraId="41FEB166" w14:textId="162B26BE" w:rsidR="00C430F0" w:rsidRPr="000B10F8" w:rsidRDefault="00C430F0" w:rsidP="00C430F0">
      <w:pPr>
        <w:numPr>
          <w:ilvl w:val="0"/>
          <w:numId w:val="8"/>
        </w:numPr>
        <w:ind w:left="522" w:hanging="522"/>
        <w:rPr>
          <w:lang w:val="en-US"/>
        </w:rPr>
      </w:pPr>
      <w:r w:rsidRPr="00E60C16">
        <w:rPr>
          <w:lang w:val="en-US"/>
        </w:rPr>
        <w:t xml:space="preserve">Foreign demand for exports is satisfied as per </w:t>
      </w:r>
      <w:r w:rsidRPr="000B10F8">
        <w:rPr>
          <w:lang w:val="en-US"/>
        </w:rPr>
        <w:t xml:space="preserve">equation </w:t>
      </w:r>
      <w:r w:rsidRPr="000B10F8">
        <w:rPr>
          <w:lang w:val="en-US"/>
        </w:rPr>
        <w:fldChar w:fldCharType="begin"/>
      </w:r>
      <w:r w:rsidRPr="000B10F8">
        <w:rPr>
          <w:lang w:val="en-US"/>
        </w:rPr>
        <w:instrText xml:space="preserve"> GOTOBUTTON ZEqnNum593942  \* MERGEFORMAT </w:instrText>
      </w:r>
      <w:r w:rsidR="00354F38" w:rsidRPr="00354F38">
        <w:rPr>
          <w:lang w:val="en-US"/>
        </w:rPr>
        <w:instrText>(52)</w:instrText>
      </w:r>
      <w:r w:rsidRPr="000B10F8">
        <w:rPr>
          <w:lang w:val="en-US"/>
        </w:rPr>
        <w:fldChar w:fldCharType="end"/>
      </w:r>
      <w:r w:rsidRPr="000B10F8">
        <w:rPr>
          <w:lang w:val="en-US"/>
        </w:rPr>
        <w:t>.</w:t>
      </w:r>
    </w:p>
    <w:p w14:paraId="62E87729" w14:textId="0384F6EC" w:rsidR="00C430F0" w:rsidRPr="000B10F8" w:rsidRDefault="00C430F0" w:rsidP="00C430F0">
      <w:pPr>
        <w:numPr>
          <w:ilvl w:val="0"/>
          <w:numId w:val="8"/>
        </w:numPr>
        <w:ind w:left="522" w:hanging="522"/>
      </w:pPr>
      <w:r w:rsidRPr="006E0813">
        <w:rPr>
          <w:lang w:val="en-US"/>
        </w:rPr>
        <w:t xml:space="preserve">The demand for domestically produced commodities equals the supply of domestically produced commodities as per </w:t>
      </w:r>
      <w:r w:rsidRPr="000B10F8">
        <w:rPr>
          <w:lang w:val="en-US"/>
        </w:rPr>
        <w:t xml:space="preserve">equations </w:t>
      </w:r>
      <w:r w:rsidRPr="000B10F8">
        <w:rPr>
          <w:iCs/>
          <w:lang w:val="en-US"/>
        </w:rPr>
        <w:fldChar w:fldCharType="begin"/>
      </w:r>
      <w:r w:rsidRPr="000B10F8">
        <w:rPr>
          <w:iCs/>
          <w:lang w:val="en-US"/>
        </w:rPr>
        <w:instrText xml:space="preserve"> GOTOBUTTON ZEqnNum830720  \* MERGEFORMAT </w:instrText>
      </w:r>
      <w:r w:rsidR="00354F38" w:rsidRPr="00354F38">
        <w:rPr>
          <w:iCs/>
          <w:lang w:val="en-US"/>
        </w:rPr>
        <w:instrText>(24)</w:instrText>
      </w:r>
      <w:r w:rsidRPr="000B10F8">
        <w:rPr>
          <w:iCs/>
          <w:lang w:val="en-US"/>
        </w:rPr>
        <w:fldChar w:fldCharType="end"/>
      </w:r>
      <w:r w:rsidRPr="000B10F8">
        <w:rPr>
          <w:lang w:val="en-US"/>
        </w:rPr>
        <w:t xml:space="preserve"> and</w:t>
      </w:r>
      <w:r w:rsidRPr="000B10F8">
        <w:rPr>
          <w:i/>
          <w:iCs/>
          <w:lang w:val="en-US"/>
        </w:rPr>
        <w:t xml:space="preserve"> </w:t>
      </w:r>
      <w:r w:rsidRPr="000B10F8">
        <w:rPr>
          <w:lang w:val="en-US"/>
        </w:rPr>
        <w:fldChar w:fldCharType="begin"/>
      </w:r>
      <w:r w:rsidRPr="000B10F8">
        <w:rPr>
          <w:lang w:val="en-US"/>
        </w:rPr>
        <w:instrText xml:space="preserve"> GOTOBUTTON ZEqnNum100079  \* MERGEFORMAT </w:instrText>
      </w:r>
      <w:r w:rsidR="00354F38" w:rsidRPr="00354F38">
        <w:rPr>
          <w:lang w:val="en-US"/>
        </w:rPr>
        <w:instrText>(38)</w:instrText>
      </w:r>
      <w:r w:rsidRPr="000B10F8">
        <w:rPr>
          <w:lang w:val="en-US"/>
        </w:rPr>
        <w:fldChar w:fldCharType="end"/>
      </w:r>
      <w:r w:rsidRPr="000B10F8">
        <w:rPr>
          <w:lang w:val="en-US"/>
        </w:rPr>
        <w:t>.</w:t>
      </w:r>
    </w:p>
    <w:p w14:paraId="0B304952" w14:textId="77777777" w:rsidR="00C430F0" w:rsidRPr="004C787F" w:rsidRDefault="00C430F0" w:rsidP="00C430F0">
      <w:pPr>
        <w:numPr>
          <w:ilvl w:val="0"/>
          <w:numId w:val="8"/>
        </w:numPr>
        <w:ind w:left="522" w:hanging="522"/>
      </w:pPr>
      <w:r w:rsidRPr="004C787F">
        <w:rPr>
          <w:lang w:val="en-US"/>
        </w:rPr>
        <w:t>The distribution sector ensures demand of commodities by use equals supply</w:t>
      </w:r>
      <w:r>
        <w:rPr>
          <w:lang w:val="en-US"/>
        </w:rPr>
        <w:t>:</w:t>
      </w:r>
      <w:r w:rsidRPr="004C787F">
        <w:rPr>
          <w:lang w:val="en-US"/>
        </w:rPr>
        <w:t xml:space="preserve"> </w:t>
      </w:r>
    </w:p>
    <w:p w14:paraId="56799811" w14:textId="3AAAAD98" w:rsidR="00C430F0" w:rsidRDefault="00C430F0" w:rsidP="00C430F0">
      <w:pPr>
        <w:pStyle w:val="MTDisplayEquation"/>
        <w:rPr>
          <w:lang w:val="en-US"/>
        </w:rPr>
      </w:pPr>
      <w:r>
        <w:rPr>
          <w:lang w:val="en-US"/>
        </w:rPr>
        <w:tab/>
      </w:r>
      <w:r w:rsidR="009205EE" w:rsidRPr="009205EE">
        <w:rPr>
          <w:position w:val="-20"/>
        </w:rPr>
        <w:object w:dxaOrig="1300" w:dyaOrig="520" w14:anchorId="2C5C98C1">
          <v:shape id="_x0000_i1281" type="#_x0000_t75" style="width:65.4pt;height:26.4pt" o:ole="">
            <v:imagedata r:id="rId538" o:title=""/>
          </v:shape>
          <o:OLEObject Type="Embed" ProgID="Equation.DSMT4" ShapeID="_x0000_i1281" DrawAspect="Content" ObjectID="_1755515735" r:id="rId539"/>
        </w:object>
      </w:r>
    </w:p>
    <w:p w14:paraId="11CBB6BF" w14:textId="7E5A21B9" w:rsidR="00C430F0" w:rsidRDefault="00C430F0" w:rsidP="00C430F0">
      <w:pPr>
        <w:pStyle w:val="MTDisplayEquation"/>
      </w:pPr>
      <w:r>
        <w:tab/>
      </w:r>
      <w:r w:rsidR="009205EE" w:rsidRPr="009205EE">
        <w:rPr>
          <w:position w:val="-20"/>
        </w:rPr>
        <w:object w:dxaOrig="1359" w:dyaOrig="520" w14:anchorId="78F7D012">
          <v:shape id="_x0000_i1282" type="#_x0000_t75" style="width:68.4pt;height:26.4pt" o:ole="">
            <v:imagedata r:id="rId540" o:title=""/>
          </v:shape>
          <o:OLEObject Type="Embed" ProgID="Equation.DSMT4" ShapeID="_x0000_i1282" DrawAspect="Content" ObjectID="_1755515736" r:id="rId541"/>
        </w:object>
      </w:r>
    </w:p>
    <w:p w14:paraId="4F2E6672" w14:textId="121538B4" w:rsidR="00C430F0" w:rsidRDefault="00C430F0" w:rsidP="00C430F0">
      <w:pPr>
        <w:pStyle w:val="MTDisplayEquation"/>
      </w:pPr>
      <w:r>
        <w:tab/>
      </w:r>
      <w:r w:rsidR="009205EE" w:rsidRPr="009205EE">
        <w:rPr>
          <w:position w:val="-20"/>
        </w:rPr>
        <w:object w:dxaOrig="1400" w:dyaOrig="520" w14:anchorId="37213409">
          <v:shape id="_x0000_i1283" type="#_x0000_t75" style="width:70.2pt;height:26.4pt" o:ole="">
            <v:imagedata r:id="rId542" o:title=""/>
          </v:shape>
          <o:OLEObject Type="Embed" ProgID="Equation.DSMT4" ShapeID="_x0000_i1283" DrawAspect="Content" ObjectID="_1755515737" r:id="rId543"/>
        </w:object>
      </w:r>
    </w:p>
    <w:p w14:paraId="421D11EF" w14:textId="4991E6B2" w:rsidR="00C430F0" w:rsidRDefault="00C430F0" w:rsidP="00C430F0">
      <w:pPr>
        <w:pStyle w:val="MTDisplayEquation"/>
      </w:pPr>
      <w:r>
        <w:tab/>
      </w:r>
      <w:r w:rsidR="009205EE" w:rsidRPr="009205EE">
        <w:rPr>
          <w:position w:val="-20"/>
        </w:rPr>
        <w:object w:dxaOrig="1340" w:dyaOrig="520" w14:anchorId="5B1430F5">
          <v:shape id="_x0000_i1284" type="#_x0000_t75" style="width:66.6pt;height:26.4pt" o:ole="">
            <v:imagedata r:id="rId544" o:title=""/>
          </v:shape>
          <o:OLEObject Type="Embed" ProgID="Equation.DSMT4" ShapeID="_x0000_i1284" DrawAspect="Content" ObjectID="_1755515738" r:id="rId545"/>
        </w:object>
      </w:r>
    </w:p>
    <w:p w14:paraId="7045D497" w14:textId="608ED88A" w:rsidR="00C430F0" w:rsidRDefault="00C430F0" w:rsidP="00C430F0">
      <w:pPr>
        <w:pStyle w:val="MTDisplayEquation"/>
      </w:pPr>
      <w:r>
        <w:tab/>
      </w:r>
      <w:r w:rsidR="009205EE" w:rsidRPr="009205EE">
        <w:rPr>
          <w:position w:val="-20"/>
        </w:rPr>
        <w:object w:dxaOrig="1300" w:dyaOrig="520" w14:anchorId="628235DC">
          <v:shape id="_x0000_i1285" type="#_x0000_t75" style="width:65.4pt;height:26.4pt" o:ole="">
            <v:imagedata r:id="rId546" o:title=""/>
          </v:shape>
          <o:OLEObject Type="Embed" ProgID="Equation.DSMT4" ShapeID="_x0000_i1285" DrawAspect="Content" ObjectID="_1755515739" r:id="rId547"/>
        </w:object>
      </w:r>
    </w:p>
    <w:p w14:paraId="41F98BBB" w14:textId="152FD708" w:rsidR="00C430F0" w:rsidRPr="004C787F" w:rsidRDefault="00C430F0" w:rsidP="00C430F0">
      <w:pPr>
        <w:pStyle w:val="MTDisplayEquation"/>
      </w:pPr>
      <w:r>
        <w:tab/>
      </w:r>
      <w:r w:rsidR="009205EE" w:rsidRPr="009205EE">
        <w:rPr>
          <w:position w:val="-20"/>
        </w:rPr>
        <w:object w:dxaOrig="1480" w:dyaOrig="520" w14:anchorId="501AB2B6">
          <v:shape id="_x0000_i1286" type="#_x0000_t75" style="width:73.2pt;height:26.4pt" o:ole="">
            <v:imagedata r:id="rId548" o:title=""/>
          </v:shape>
          <o:OLEObject Type="Embed" ProgID="Equation.DSMT4" ShapeID="_x0000_i1286" DrawAspect="Content" ObjectID="_1755515740" r:id="rId549"/>
        </w:object>
      </w:r>
    </w:p>
    <w:p w14:paraId="1D726DE9" w14:textId="19D29D8E" w:rsidR="00C430F0" w:rsidRPr="000B10F8" w:rsidRDefault="00C430F0" w:rsidP="00C430F0">
      <w:pPr>
        <w:numPr>
          <w:ilvl w:val="0"/>
          <w:numId w:val="8"/>
        </w:numPr>
        <w:ind w:left="522" w:hanging="522"/>
        <w:rPr>
          <w:lang w:val="en-US"/>
        </w:rPr>
      </w:pPr>
      <w:r w:rsidRPr="006E0813">
        <w:rPr>
          <w:lang w:val="en-US"/>
        </w:rPr>
        <w:t xml:space="preserve">The labour market clears as per </w:t>
      </w:r>
      <w:r w:rsidRPr="000B10F8">
        <w:rPr>
          <w:lang w:val="en-US"/>
        </w:rPr>
        <w:t>equation</w:t>
      </w:r>
      <w:r w:rsidRPr="000B10F8" w:rsidDel="009A39EF">
        <w:rPr>
          <w:lang w:val="en-US"/>
        </w:rPr>
        <w:t xml:space="preserve"> </w:t>
      </w:r>
      <w:r w:rsidRPr="000B10F8">
        <w:rPr>
          <w:lang w:val="en-US"/>
        </w:rPr>
        <w:fldChar w:fldCharType="begin"/>
      </w:r>
      <w:r w:rsidRPr="000B10F8">
        <w:rPr>
          <w:lang w:val="en-US"/>
        </w:rPr>
        <w:instrText xml:space="preserve"> GOTOBUTTON ZEqnNum517065  \* MERGEFORMAT </w:instrText>
      </w:r>
      <w:r w:rsidR="00354F38" w:rsidRPr="00354F38">
        <w:rPr>
          <w:lang w:val="en-US"/>
        </w:rPr>
        <w:instrText>(13)</w:instrText>
      </w:r>
      <w:r w:rsidRPr="000B10F8">
        <w:rPr>
          <w:lang w:val="en-US"/>
        </w:rPr>
        <w:fldChar w:fldCharType="end"/>
      </w:r>
      <w:r w:rsidRPr="000B10F8">
        <w:rPr>
          <w:lang w:val="en-US"/>
        </w:rPr>
        <w:t>.</w:t>
      </w:r>
    </w:p>
    <w:p w14:paraId="49EF497A" w14:textId="15F81D0A" w:rsidR="00C430F0" w:rsidRPr="004C787F" w:rsidRDefault="00C430F0" w:rsidP="00C430F0">
      <w:pPr>
        <w:numPr>
          <w:ilvl w:val="0"/>
          <w:numId w:val="8"/>
        </w:numPr>
        <w:ind w:left="522" w:hanging="522"/>
        <w:rPr>
          <w:lang w:val="en-US"/>
        </w:rPr>
      </w:pPr>
      <w:r w:rsidRPr="004C787F">
        <w:rPr>
          <w:lang w:val="en-US"/>
        </w:rPr>
        <w:t xml:space="preserve">The capital </w:t>
      </w:r>
      <w:r w:rsidRPr="006E0813">
        <w:rPr>
          <w:lang w:val="en-US"/>
        </w:rPr>
        <w:t xml:space="preserve">market clears as per </w:t>
      </w:r>
      <w:r w:rsidRPr="000B10F8">
        <w:rPr>
          <w:lang w:val="en-US"/>
        </w:rPr>
        <w:t>equation</w:t>
      </w:r>
      <w:r w:rsidRPr="000B10F8">
        <w:rPr>
          <w:iCs/>
          <w:lang w:val="en-US"/>
        </w:rPr>
        <w:t xml:space="preserve"> </w:t>
      </w:r>
      <w:r w:rsidRPr="000B10F8">
        <w:rPr>
          <w:lang w:val="en-US"/>
        </w:rPr>
        <w:fldChar w:fldCharType="begin"/>
      </w:r>
      <w:r w:rsidRPr="000B10F8">
        <w:rPr>
          <w:lang w:val="en-US"/>
        </w:rPr>
        <w:instrText xml:space="preserve"> GOTOBUTTON ZEqnNum724634  \* MERGEFORMAT </w:instrText>
      </w:r>
      <w:r w:rsidR="00354F38" w:rsidRPr="00354F38">
        <w:rPr>
          <w:lang w:val="en-US"/>
        </w:rPr>
        <w:instrText>(50)</w:instrText>
      </w:r>
      <w:r w:rsidRPr="000B10F8">
        <w:rPr>
          <w:lang w:val="en-US"/>
        </w:rPr>
        <w:fldChar w:fldCharType="end"/>
      </w:r>
      <w:r w:rsidRPr="006E0813">
        <w:rPr>
          <w:lang w:val="en-US"/>
        </w:rPr>
        <w:t>.</w:t>
      </w:r>
    </w:p>
    <w:p w14:paraId="7BE2B23F" w14:textId="47ED0302" w:rsidR="00C430F0" w:rsidRPr="000B10F8" w:rsidRDefault="00C430F0" w:rsidP="00C430F0">
      <w:pPr>
        <w:numPr>
          <w:ilvl w:val="0"/>
          <w:numId w:val="8"/>
        </w:numPr>
        <w:ind w:left="522" w:hanging="522"/>
      </w:pPr>
      <w:r w:rsidRPr="00CF7ED1">
        <w:rPr>
          <w:lang w:val="en-US"/>
        </w:rPr>
        <w:t xml:space="preserve">The government consumes its desired commodities, and its budget is balanced as per </w:t>
      </w:r>
      <w:r w:rsidRPr="000B10F8">
        <w:rPr>
          <w:lang w:val="en-US"/>
        </w:rPr>
        <w:t>equation </w:t>
      </w:r>
      <w:r w:rsidRPr="000B10F8">
        <w:rPr>
          <w:lang w:val="en-US"/>
        </w:rPr>
        <w:fldChar w:fldCharType="begin"/>
      </w:r>
      <w:r w:rsidRPr="000B10F8">
        <w:rPr>
          <w:lang w:val="en-US"/>
        </w:rPr>
        <w:instrText xml:space="preserve"> GOTOBUTTON ZEqnNum485037  \* MERGEFORMAT </w:instrText>
      </w:r>
      <w:r w:rsidR="00354F38" w:rsidRPr="00354F38">
        <w:rPr>
          <w:lang w:val="en-US"/>
        </w:rPr>
        <w:instrText>(47)</w:instrText>
      </w:r>
      <w:r w:rsidRPr="000B10F8">
        <w:rPr>
          <w:lang w:val="en-US"/>
        </w:rPr>
        <w:fldChar w:fldCharType="end"/>
      </w:r>
      <w:r w:rsidRPr="000B10F8">
        <w:rPr>
          <w:lang w:val="en-US"/>
        </w:rPr>
        <w:t>.</w:t>
      </w:r>
    </w:p>
    <w:p w14:paraId="42DD0E6D" w14:textId="77777777" w:rsidR="00C430F0" w:rsidRDefault="00C430F0" w:rsidP="00C430F0">
      <w:pPr>
        <w:pStyle w:val="Heading3"/>
      </w:pPr>
      <w:r>
        <w:t>Solution method</w:t>
      </w:r>
    </w:p>
    <w:p w14:paraId="357F4909" w14:textId="77777777" w:rsidR="00C430F0" w:rsidRDefault="00C430F0" w:rsidP="00C430F0">
      <w:r>
        <w:t xml:space="preserve">The algorithm used to solve for the above equilibrium conditions in TIM can be described as a Walrasian auction system that ensures that all markets clear and all agents behave in such a way that they achieve their objectives as defined above. </w:t>
      </w:r>
    </w:p>
    <w:p w14:paraId="673558D7" w14:textId="6C3EF515" w:rsidR="008E7D79" w:rsidRDefault="00C430F0" w:rsidP="00C430F0">
      <w:r w:rsidRPr="00477683">
        <w:t xml:space="preserve">The auctioneer in this system has no control over the interest rate or </w:t>
      </w:r>
      <w:r>
        <w:t xml:space="preserve">commodity </w:t>
      </w:r>
      <w:r w:rsidRPr="00477683">
        <w:t>prices</w:t>
      </w:r>
      <w:r>
        <w:t xml:space="preserve"> for goods and services produced by the ROW</w:t>
      </w:r>
      <w:r w:rsidRPr="00477683">
        <w:t xml:space="preserve">, </w:t>
      </w:r>
      <w:r>
        <w:t>as</w:t>
      </w:r>
      <w:r w:rsidRPr="00477683">
        <w:t xml:space="preserve"> Australia is </w:t>
      </w:r>
      <w:r>
        <w:t xml:space="preserve">assumed to be </w:t>
      </w:r>
      <w:r w:rsidRPr="00477683">
        <w:t>a small</w:t>
      </w:r>
      <w:r>
        <w:t xml:space="preserve"> </w:t>
      </w:r>
      <w:r w:rsidRPr="00477683">
        <w:t xml:space="preserve">open economy. </w:t>
      </w:r>
      <w:r>
        <w:t>However,</w:t>
      </w:r>
      <w:r w:rsidRPr="00477683">
        <w:t xml:space="preserve"> the auctioneer does set the price of </w:t>
      </w:r>
      <w:r>
        <w:t xml:space="preserve">Australian commodities and the nominal </w:t>
      </w:r>
      <w:r w:rsidRPr="00477683">
        <w:t xml:space="preserve">wage, announcing each to a crowd of agents comprising firms, households, the </w:t>
      </w:r>
      <w:r>
        <w:t>rest of the world,</w:t>
      </w:r>
      <w:r w:rsidRPr="00477683">
        <w:t xml:space="preserve"> and the government.</w:t>
      </w:r>
    </w:p>
    <w:p w14:paraId="78C99C8F" w14:textId="77777777" w:rsidR="00C430F0" w:rsidRDefault="00C430F0" w:rsidP="00C430F0">
      <w:r w:rsidRPr="00477683">
        <w:t>Based on this announcement, each agent proposes its own response</w:t>
      </w:r>
      <w:r>
        <w:t>:</w:t>
      </w:r>
    </w:p>
    <w:p w14:paraId="69882098" w14:textId="77777777" w:rsidR="00C430F0" w:rsidRDefault="00C430F0" w:rsidP="00C430F0">
      <w:pPr>
        <w:pStyle w:val="Bullet"/>
        <w:spacing w:line="240" w:lineRule="auto"/>
        <w:ind w:left="284" w:hanging="284"/>
      </w:pPr>
      <w:r w:rsidRPr="00477683">
        <w:t>Firms in each sector determine the level of output and deman</w:t>
      </w:r>
      <w:r>
        <w:t>d for capital, la</w:t>
      </w:r>
      <w:r w:rsidRPr="00477683">
        <w:t>bour and intermediate goods that will maximise their market value.</w:t>
      </w:r>
    </w:p>
    <w:p w14:paraId="265750CB" w14:textId="77777777" w:rsidR="00C430F0" w:rsidRDefault="00C430F0" w:rsidP="00C430F0">
      <w:pPr>
        <w:pStyle w:val="Bullet"/>
        <w:spacing w:line="240" w:lineRule="auto"/>
        <w:ind w:left="284" w:hanging="284"/>
      </w:pPr>
      <w:r w:rsidRPr="00477683">
        <w:t>Households determine the labour supply and demand for consumption goods that will maximise their utility.</w:t>
      </w:r>
    </w:p>
    <w:p w14:paraId="7EC352F6" w14:textId="77777777" w:rsidR="00C430F0" w:rsidRDefault="00C430F0" w:rsidP="00C430F0">
      <w:pPr>
        <w:pStyle w:val="Bullet"/>
        <w:spacing w:line="240" w:lineRule="auto"/>
        <w:ind w:left="284" w:hanging="284"/>
      </w:pPr>
      <w:r>
        <w:t>T</w:t>
      </w:r>
      <w:r w:rsidRPr="00477683">
        <w:t>he government determines how to balance its budget</w:t>
      </w:r>
      <w:r>
        <w:t xml:space="preserve"> constraint</w:t>
      </w:r>
      <w:r w:rsidRPr="00477683">
        <w:t xml:space="preserve"> and allocate government spending.</w:t>
      </w:r>
    </w:p>
    <w:p w14:paraId="265291B1" w14:textId="77777777" w:rsidR="00C430F0" w:rsidRDefault="00C430F0" w:rsidP="00C430F0">
      <w:pPr>
        <w:pStyle w:val="Bullet"/>
        <w:spacing w:line="240" w:lineRule="auto"/>
        <w:ind w:left="284" w:hanging="284"/>
      </w:pPr>
      <w:r w:rsidRPr="00477683">
        <w:t xml:space="preserve">The </w:t>
      </w:r>
      <w:r>
        <w:t>ROW</w:t>
      </w:r>
      <w:r w:rsidRPr="00477683">
        <w:t xml:space="preserve"> determines a level of exports given their preferences and the announced prices.</w:t>
      </w:r>
    </w:p>
    <w:p w14:paraId="48AC038C" w14:textId="77777777" w:rsidR="00C430F0" w:rsidRDefault="00C430F0" w:rsidP="00C430F0">
      <w:r w:rsidRPr="00477683">
        <w:t>All agents – firms, households, government</w:t>
      </w:r>
      <w:r>
        <w:t xml:space="preserve">, and the ROW </w:t>
      </w:r>
      <w:r w:rsidRPr="00477683">
        <w:t>– submit their intended responses to the auctioneer. The auctioneer reviews these and continues to adjust prices</w:t>
      </w:r>
      <w:r>
        <w:t xml:space="preserve"> and the </w:t>
      </w:r>
      <w:r w:rsidRPr="00477683">
        <w:t>wage until the goods and labour markets have cleared. The system is competitive because neither the firms, households, government</w:t>
      </w:r>
      <w:r>
        <w:t>,</w:t>
      </w:r>
      <w:r w:rsidRPr="00477683">
        <w:t xml:space="preserve"> </w:t>
      </w:r>
      <w:r>
        <w:t xml:space="preserve">or the ROW </w:t>
      </w:r>
      <w:r w:rsidRPr="00477683">
        <w:t xml:space="preserve">can </w:t>
      </w:r>
      <w:r>
        <w:t>solely</w:t>
      </w:r>
      <w:r w:rsidRPr="00477683">
        <w:t xml:space="preserve"> determine the prices</w:t>
      </w:r>
      <w:r>
        <w:t xml:space="preserve"> and </w:t>
      </w:r>
      <w:r w:rsidRPr="00477683">
        <w:t>wage announced by the auctioneer. The auction therefore results in a competitive equilibrium.</w:t>
      </w:r>
    </w:p>
    <w:p w14:paraId="0A11004F" w14:textId="77777777" w:rsidR="00C430F0" w:rsidRDefault="00C430F0" w:rsidP="00C430F0">
      <w:pPr>
        <w:spacing w:before="0" w:after="200" w:line="276" w:lineRule="auto"/>
      </w:pPr>
    </w:p>
    <w:p w14:paraId="49458022" w14:textId="77777777" w:rsidR="00C430F0" w:rsidRPr="00EA6992" w:rsidRDefault="00C430F0" w:rsidP="00C430F0">
      <w:pPr>
        <w:spacing w:before="0" w:after="200" w:line="276" w:lineRule="auto"/>
        <w:sectPr w:rsidR="00C430F0" w:rsidRPr="00EA6992" w:rsidSect="00BE7417">
          <w:pgSz w:w="11906" w:h="16838" w:code="9"/>
          <w:pgMar w:top="1843" w:right="1418" w:bottom="1304" w:left="1418" w:header="709" w:footer="709" w:gutter="0"/>
          <w:cols w:space="708"/>
          <w:titlePg/>
          <w:docGrid w:linePitch="360"/>
        </w:sectPr>
      </w:pPr>
    </w:p>
    <w:p w14:paraId="0A51835A" w14:textId="77777777" w:rsidR="00C430F0" w:rsidRPr="004C787F" w:rsidRDefault="00C430F0" w:rsidP="00C430F0">
      <w:pPr>
        <w:pStyle w:val="Heading1"/>
        <w:numPr>
          <w:ilvl w:val="0"/>
          <w:numId w:val="42"/>
        </w:numPr>
      </w:pPr>
      <w:r w:rsidRPr="004C787F">
        <w:t>Calibration</w:t>
      </w:r>
    </w:p>
    <w:p w14:paraId="7428D5DB" w14:textId="77777777" w:rsidR="00C430F0" w:rsidRPr="004C787F" w:rsidRDefault="00C430F0" w:rsidP="00C430F0">
      <w:r w:rsidRPr="004C787F">
        <w:t xml:space="preserve">TIM is calibrated to match Australian economic data. Many of the model’s parameters, primarily </w:t>
      </w:r>
      <w:r>
        <w:t xml:space="preserve">weighting </w:t>
      </w:r>
      <w:r w:rsidRPr="004C787F">
        <w:t>parameters, are calibrated to directly match Australian data. Response parameters, such as elasticities, reflect consensus estimates in the macroeconomic literature. TIM is designed to approximate the Australian economy using data published in the ABS I</w:t>
      </w:r>
      <w:r w:rsidRPr="004C787F">
        <w:noBreakHyphen/>
        <w:t xml:space="preserve">O tables. </w:t>
      </w:r>
    </w:p>
    <w:p w14:paraId="5DA11B4F" w14:textId="77777777" w:rsidR="00C430F0" w:rsidRPr="004C787F" w:rsidRDefault="00C430F0" w:rsidP="00C430F0">
      <w:r w:rsidRPr="004C787F">
        <w:t>TIM Version 1.0 uses the 2018</w:t>
      </w:r>
      <w:r>
        <w:t>-</w:t>
      </w:r>
      <w:r w:rsidRPr="004C787F">
        <w:t>19 I</w:t>
      </w:r>
      <w:r w:rsidRPr="004C787F">
        <w:noBreakHyphen/>
        <w:t>O tables</w:t>
      </w:r>
      <w:r>
        <w:t xml:space="preserve"> </w:t>
      </w:r>
      <w:sdt>
        <w:sdtPr>
          <w:id w:val="-1554228664"/>
          <w:citation/>
        </w:sdtPr>
        <w:sdtEndPr/>
        <w:sdtContent>
          <w:r>
            <w:fldChar w:fldCharType="begin"/>
          </w:r>
          <w:r>
            <w:instrText xml:space="preserve"> CITATION ABSIO1819 \l 3081 </w:instrText>
          </w:r>
          <w:r>
            <w:fldChar w:fldCharType="separate"/>
          </w:r>
          <w:r>
            <w:rPr>
              <w:noProof/>
            </w:rPr>
            <w:t>(ABS, 2021b)</w:t>
          </w:r>
          <w:r>
            <w:fldChar w:fldCharType="end"/>
          </w:r>
        </w:sdtContent>
      </w:sdt>
      <w:r w:rsidRPr="004C787F">
        <w:t xml:space="preserve"> and assumes that the baseline economy is on its long</w:t>
      </w:r>
      <w:r w:rsidRPr="004C787F">
        <w:noBreakHyphen/>
        <w:t>run balanced growth path.</w:t>
      </w:r>
      <w:r w:rsidRPr="004C787F">
        <w:rPr>
          <w:sz w:val="18"/>
          <w:vertAlign w:val="superscript"/>
        </w:rPr>
        <w:footnoteReference w:id="21"/>
      </w:r>
      <w:r w:rsidRPr="004C787F">
        <w:t xml:space="preserve"> To that end, the growth rates of the model’s exogenous trends (population and labour</w:t>
      </w:r>
      <w:r w:rsidRPr="004C787F">
        <w:noBreakHyphen/>
        <w:t>augmenting technical progress) are constant.</w:t>
      </w:r>
    </w:p>
    <w:p w14:paraId="08A17D25" w14:textId="77777777" w:rsidR="00C430F0" w:rsidRPr="004C787F" w:rsidRDefault="00C430F0" w:rsidP="00C430F0">
      <w:r w:rsidRPr="004C787F">
        <w:t>TIM is an annual model with an annual trend output growth rate of 2.9 per cent, where population contributes 1.4 per cent and labour</w:t>
      </w:r>
      <w:r w:rsidRPr="004C787F">
        <w:noBreakHyphen/>
        <w:t>augmenting technical progress 1.5 per cent.</w:t>
      </w:r>
      <w:r w:rsidRPr="00E56E7B">
        <w:rPr>
          <w:rStyle w:val="FootnoteReference"/>
          <w:vertAlign w:val="superscript"/>
        </w:rPr>
        <w:footnoteReference w:id="22"/>
      </w:r>
    </w:p>
    <w:p w14:paraId="364AA6F2" w14:textId="4CD4825F" w:rsidR="00C430F0" w:rsidRPr="00D4372F" w:rsidRDefault="00C430F0" w:rsidP="00C430F0">
      <w:pPr>
        <w:jc w:val="center"/>
        <w:rPr>
          <w:b/>
          <w:bCs/>
        </w:rPr>
      </w:pPr>
      <w:r w:rsidRPr="00D4372F">
        <w:rPr>
          <w:b/>
          <w:bCs/>
        </w:rPr>
        <w:t xml:space="preserve">Table </w:t>
      </w:r>
      <w:r w:rsidRPr="00D4372F">
        <w:rPr>
          <w:b/>
          <w:bCs/>
          <w:noProof/>
        </w:rPr>
        <w:fldChar w:fldCharType="begin"/>
      </w:r>
      <w:r w:rsidRPr="00D4372F">
        <w:rPr>
          <w:b/>
          <w:bCs/>
          <w:noProof/>
        </w:rPr>
        <w:instrText xml:space="preserve"> SEQ Table \* ARABIC </w:instrText>
      </w:r>
      <w:r w:rsidRPr="00D4372F">
        <w:rPr>
          <w:b/>
          <w:bCs/>
          <w:noProof/>
        </w:rPr>
        <w:fldChar w:fldCharType="separate"/>
      </w:r>
      <w:r w:rsidR="00354F38">
        <w:rPr>
          <w:b/>
          <w:bCs/>
          <w:noProof/>
        </w:rPr>
        <w:t>1</w:t>
      </w:r>
      <w:r w:rsidRPr="00D4372F">
        <w:rPr>
          <w:b/>
          <w:bCs/>
          <w:noProof/>
        </w:rPr>
        <w:fldChar w:fldCharType="end"/>
      </w:r>
      <w:r w:rsidRPr="00D4372F">
        <w:rPr>
          <w:b/>
          <w:bCs/>
        </w:rPr>
        <w:t xml:space="preserve">: </w:t>
      </w:r>
      <w:r>
        <w:rPr>
          <w:b/>
          <w:bCs/>
        </w:rPr>
        <w:t>TIM’s g</w:t>
      </w:r>
      <w:r w:rsidRPr="00D4372F">
        <w:rPr>
          <w:b/>
          <w:bCs/>
        </w:rPr>
        <w:t>rowth parameters</w:t>
      </w:r>
    </w:p>
    <w:tbl>
      <w:tblPr>
        <w:tblW w:w="5000" w:type="pct"/>
        <w:tblLook w:val="0660" w:firstRow="1" w:lastRow="1" w:firstColumn="0" w:lastColumn="0" w:noHBand="1" w:noVBand="1"/>
      </w:tblPr>
      <w:tblGrid>
        <w:gridCol w:w="1360"/>
        <w:gridCol w:w="1361"/>
        <w:gridCol w:w="6349"/>
      </w:tblGrid>
      <w:tr w:rsidR="00C430F0" w:rsidRPr="004C787F" w14:paraId="218C02C2" w14:textId="77777777" w:rsidTr="00BD3921">
        <w:trPr>
          <w:trHeight w:val="20"/>
        </w:trPr>
        <w:tc>
          <w:tcPr>
            <w:tcW w:w="750" w:type="pct"/>
            <w:tcBorders>
              <w:top w:val="single" w:sz="4" w:space="0" w:color="auto"/>
              <w:bottom w:val="single" w:sz="4" w:space="0" w:color="auto"/>
            </w:tcBorders>
            <w:shd w:val="clear" w:color="auto" w:fill="EEEEEE" w:themeFill="background2"/>
          </w:tcPr>
          <w:p w14:paraId="68F355B9" w14:textId="77777777" w:rsidR="00C430F0" w:rsidRPr="006E202E" w:rsidRDefault="00C430F0" w:rsidP="00BD3921">
            <w:pPr>
              <w:pStyle w:val="TableColumnHeadingLeft"/>
            </w:pPr>
            <w:r w:rsidRPr="006E202E">
              <w:t>Parameter</w:t>
            </w:r>
          </w:p>
        </w:tc>
        <w:tc>
          <w:tcPr>
            <w:tcW w:w="750" w:type="pct"/>
            <w:tcBorders>
              <w:top w:val="single" w:sz="4" w:space="0" w:color="auto"/>
              <w:bottom w:val="single" w:sz="4" w:space="0" w:color="auto"/>
            </w:tcBorders>
            <w:shd w:val="clear" w:color="auto" w:fill="EEEEEE" w:themeFill="background2"/>
          </w:tcPr>
          <w:p w14:paraId="5A2C82CE" w14:textId="77777777" w:rsidR="00C430F0" w:rsidRPr="006E202E" w:rsidRDefault="00C430F0" w:rsidP="00BD3921">
            <w:pPr>
              <w:pStyle w:val="TableColumnHeadingLeft"/>
            </w:pPr>
            <w:r w:rsidRPr="006E202E">
              <w:t>Value</w:t>
            </w:r>
          </w:p>
        </w:tc>
        <w:tc>
          <w:tcPr>
            <w:tcW w:w="3500" w:type="pct"/>
            <w:tcBorders>
              <w:top w:val="single" w:sz="4" w:space="0" w:color="auto"/>
              <w:bottom w:val="single" w:sz="4" w:space="0" w:color="auto"/>
            </w:tcBorders>
            <w:shd w:val="clear" w:color="auto" w:fill="EEEEEE" w:themeFill="background2"/>
          </w:tcPr>
          <w:p w14:paraId="78A3088D" w14:textId="77777777" w:rsidR="00C430F0" w:rsidRPr="006E202E" w:rsidRDefault="00C430F0" w:rsidP="00BD3921">
            <w:pPr>
              <w:pStyle w:val="TableColumnHeadingLeft"/>
            </w:pPr>
            <w:r w:rsidRPr="006E202E">
              <w:t>Description</w:t>
            </w:r>
          </w:p>
        </w:tc>
      </w:tr>
      <w:tr w:rsidR="00C430F0" w:rsidRPr="004C787F" w14:paraId="30409C41" w14:textId="77777777" w:rsidTr="00BD3921">
        <w:trPr>
          <w:trHeight w:val="510"/>
        </w:trPr>
        <w:tc>
          <w:tcPr>
            <w:tcW w:w="750" w:type="pct"/>
            <w:tcBorders>
              <w:top w:val="single" w:sz="4" w:space="0" w:color="auto"/>
              <w:right w:val="single" w:sz="4" w:space="0" w:color="auto"/>
            </w:tcBorders>
            <w:shd w:val="clear" w:color="auto" w:fill="EEEEEE" w:themeFill="background2"/>
            <w:vAlign w:val="center"/>
          </w:tcPr>
          <w:p w14:paraId="135297EF" w14:textId="457BB3B6" w:rsidR="00C430F0" w:rsidRPr="004C787F" w:rsidRDefault="009205EE" w:rsidP="00BD3921">
            <w:pPr>
              <w:spacing w:before="40" w:after="40"/>
              <w:rPr>
                <w:color w:val="000000"/>
                <w:sz w:val="18"/>
              </w:rPr>
            </w:pPr>
            <w:r w:rsidRPr="009205EE">
              <w:rPr>
                <w:position w:val="-10"/>
              </w:rPr>
              <w:object w:dxaOrig="200" w:dyaOrig="260" w14:anchorId="2A3B8664">
                <v:shape id="_x0000_i1287" type="#_x0000_t75" style="width:9.6pt;height:13.2pt" o:ole="">
                  <v:imagedata r:id="rId550" o:title=""/>
                </v:shape>
                <o:OLEObject Type="Embed" ProgID="Equation.DSMT4" ShapeID="_x0000_i1287" DrawAspect="Content" ObjectID="_1755515741" r:id="rId551"/>
              </w:object>
            </w:r>
          </w:p>
        </w:tc>
        <w:tc>
          <w:tcPr>
            <w:tcW w:w="750" w:type="pct"/>
            <w:tcBorders>
              <w:top w:val="single" w:sz="4" w:space="0" w:color="auto"/>
              <w:left w:val="single" w:sz="4" w:space="0" w:color="auto"/>
            </w:tcBorders>
            <w:vAlign w:val="center"/>
          </w:tcPr>
          <w:p w14:paraId="629B5BED" w14:textId="77777777" w:rsidR="00C430F0" w:rsidRPr="004C787F" w:rsidRDefault="00C430F0" w:rsidP="00BD3921">
            <w:pPr>
              <w:spacing w:before="40" w:after="40"/>
              <w:rPr>
                <w:color w:val="000000"/>
                <w:sz w:val="18"/>
              </w:rPr>
            </w:pPr>
            <w:r w:rsidRPr="004C787F">
              <w:rPr>
                <w:color w:val="000000"/>
                <w:sz w:val="18"/>
              </w:rPr>
              <w:t>0.029</w:t>
            </w:r>
          </w:p>
        </w:tc>
        <w:tc>
          <w:tcPr>
            <w:tcW w:w="3500" w:type="pct"/>
            <w:tcBorders>
              <w:top w:val="single" w:sz="4" w:space="0" w:color="auto"/>
            </w:tcBorders>
            <w:vAlign w:val="center"/>
          </w:tcPr>
          <w:p w14:paraId="7D228476" w14:textId="77777777" w:rsidR="00C430F0" w:rsidRPr="004C787F" w:rsidRDefault="00C430F0" w:rsidP="00BD3921">
            <w:pPr>
              <w:pStyle w:val="TableTextLeft"/>
            </w:pPr>
            <w:r w:rsidRPr="004C787F">
              <w:t>Trend output growth rate</w:t>
            </w:r>
          </w:p>
        </w:tc>
      </w:tr>
      <w:tr w:rsidR="00C430F0" w:rsidRPr="004C787F" w14:paraId="46C91FD0" w14:textId="77777777" w:rsidTr="00BD3921">
        <w:trPr>
          <w:trHeight w:val="510"/>
        </w:trPr>
        <w:tc>
          <w:tcPr>
            <w:tcW w:w="750" w:type="pct"/>
            <w:tcBorders>
              <w:right w:val="single" w:sz="4" w:space="0" w:color="auto"/>
            </w:tcBorders>
            <w:shd w:val="clear" w:color="auto" w:fill="EEEEEE" w:themeFill="background2"/>
            <w:vAlign w:val="center"/>
          </w:tcPr>
          <w:p w14:paraId="39B726FB" w14:textId="58DC8080" w:rsidR="00C430F0" w:rsidRPr="004C787F" w:rsidRDefault="009205EE" w:rsidP="00BD3921">
            <w:pPr>
              <w:spacing w:before="40" w:after="40"/>
              <w:rPr>
                <w:color w:val="000000"/>
                <w:sz w:val="18"/>
              </w:rPr>
            </w:pPr>
            <w:r w:rsidRPr="009205EE">
              <w:rPr>
                <w:position w:val="-10"/>
              </w:rPr>
              <w:object w:dxaOrig="279" w:dyaOrig="360" w14:anchorId="3C52645B">
                <v:shape id="_x0000_i1288" type="#_x0000_t75" style="width:13.8pt;height:18pt" o:ole="">
                  <v:imagedata r:id="rId552" o:title=""/>
                </v:shape>
                <o:OLEObject Type="Embed" ProgID="Equation.DSMT4" ShapeID="_x0000_i1288" DrawAspect="Content" ObjectID="_1755515742" r:id="rId553"/>
              </w:object>
            </w:r>
          </w:p>
        </w:tc>
        <w:tc>
          <w:tcPr>
            <w:tcW w:w="750" w:type="pct"/>
            <w:tcBorders>
              <w:left w:val="single" w:sz="4" w:space="0" w:color="auto"/>
            </w:tcBorders>
            <w:vAlign w:val="center"/>
          </w:tcPr>
          <w:p w14:paraId="425F3BF5" w14:textId="77777777" w:rsidR="00C430F0" w:rsidRPr="004C787F" w:rsidRDefault="00C430F0" w:rsidP="00BD3921">
            <w:pPr>
              <w:spacing w:before="40" w:after="40"/>
              <w:rPr>
                <w:color w:val="000000"/>
                <w:sz w:val="18"/>
              </w:rPr>
            </w:pPr>
            <w:r w:rsidRPr="004C787F">
              <w:rPr>
                <w:color w:val="000000"/>
                <w:sz w:val="18"/>
              </w:rPr>
              <w:t>0.014</w:t>
            </w:r>
          </w:p>
        </w:tc>
        <w:tc>
          <w:tcPr>
            <w:tcW w:w="3500" w:type="pct"/>
            <w:vAlign w:val="center"/>
          </w:tcPr>
          <w:p w14:paraId="5A8BF880" w14:textId="77777777" w:rsidR="00C430F0" w:rsidRPr="004C787F" w:rsidRDefault="00C430F0" w:rsidP="00BD3921">
            <w:pPr>
              <w:pStyle w:val="TableTextLeft"/>
            </w:pPr>
            <w:r w:rsidRPr="004C787F">
              <w:t>Population growth rate</w:t>
            </w:r>
          </w:p>
        </w:tc>
      </w:tr>
      <w:tr w:rsidR="00C430F0" w:rsidRPr="004C787F" w14:paraId="0684D325" w14:textId="77777777" w:rsidTr="00BD3921">
        <w:trPr>
          <w:trHeight w:val="510"/>
        </w:trPr>
        <w:tc>
          <w:tcPr>
            <w:tcW w:w="750" w:type="pct"/>
            <w:tcBorders>
              <w:bottom w:val="single" w:sz="4" w:space="0" w:color="auto"/>
              <w:right w:val="single" w:sz="4" w:space="0" w:color="auto"/>
            </w:tcBorders>
            <w:shd w:val="clear" w:color="auto" w:fill="EEEEEE" w:themeFill="background2"/>
            <w:vAlign w:val="center"/>
          </w:tcPr>
          <w:p w14:paraId="2CD65C2F" w14:textId="5410F8F8" w:rsidR="00C430F0" w:rsidRPr="004C787F" w:rsidRDefault="009205EE" w:rsidP="00BD3921">
            <w:pPr>
              <w:spacing w:before="40" w:after="40"/>
              <w:rPr>
                <w:color w:val="000000"/>
                <w:sz w:val="18"/>
              </w:rPr>
            </w:pPr>
            <w:r w:rsidRPr="009205EE">
              <w:rPr>
                <w:position w:val="-10"/>
              </w:rPr>
              <w:object w:dxaOrig="300" w:dyaOrig="360" w14:anchorId="725A5444">
                <v:shape id="_x0000_i1289" type="#_x0000_t75" style="width:15pt;height:18pt" o:ole="">
                  <v:imagedata r:id="rId554" o:title=""/>
                </v:shape>
                <o:OLEObject Type="Embed" ProgID="Equation.DSMT4" ShapeID="_x0000_i1289" DrawAspect="Content" ObjectID="_1755515743" r:id="rId555"/>
              </w:object>
            </w:r>
          </w:p>
        </w:tc>
        <w:tc>
          <w:tcPr>
            <w:tcW w:w="750" w:type="pct"/>
            <w:tcBorders>
              <w:left w:val="single" w:sz="4" w:space="0" w:color="auto"/>
              <w:bottom w:val="single" w:sz="4" w:space="0" w:color="auto"/>
            </w:tcBorders>
            <w:vAlign w:val="center"/>
          </w:tcPr>
          <w:p w14:paraId="369B46F3" w14:textId="77777777" w:rsidR="00C430F0" w:rsidRPr="004C787F" w:rsidRDefault="00C430F0" w:rsidP="00BD3921">
            <w:pPr>
              <w:spacing w:before="40" w:after="40"/>
              <w:rPr>
                <w:color w:val="000000"/>
                <w:sz w:val="18"/>
              </w:rPr>
            </w:pPr>
            <w:r w:rsidRPr="004C787F">
              <w:rPr>
                <w:color w:val="000000"/>
                <w:sz w:val="18"/>
              </w:rPr>
              <w:t>0.015</w:t>
            </w:r>
          </w:p>
        </w:tc>
        <w:tc>
          <w:tcPr>
            <w:tcW w:w="3500" w:type="pct"/>
            <w:tcBorders>
              <w:bottom w:val="single" w:sz="4" w:space="0" w:color="auto"/>
            </w:tcBorders>
            <w:vAlign w:val="center"/>
          </w:tcPr>
          <w:p w14:paraId="7DFDA3E0" w14:textId="77777777" w:rsidR="00C430F0" w:rsidRPr="004C787F" w:rsidRDefault="00C430F0" w:rsidP="00BD3921">
            <w:pPr>
              <w:pStyle w:val="TableTextLeft"/>
            </w:pPr>
            <w:r w:rsidRPr="004C787F">
              <w:t>Growth rate of labour augmenting technical progress</w:t>
            </w:r>
          </w:p>
        </w:tc>
      </w:tr>
    </w:tbl>
    <w:p w14:paraId="30A4F534" w14:textId="77777777" w:rsidR="00C430F0" w:rsidRPr="004C787F" w:rsidRDefault="00C430F0" w:rsidP="00C430F0">
      <w:pPr>
        <w:spacing w:before="220"/>
      </w:pPr>
      <w:r w:rsidRPr="004C787F">
        <w:t>The baseline scenario deviates from the I</w:t>
      </w:r>
      <w:r w:rsidRPr="004C787F">
        <w:noBreakHyphen/>
        <w:t>O table data along three dimensions. First, the household’s consumption and income are consistent with a steady state balanced household budget. Second, investment is consistent with investment along the trend growth path. Finally, goods are produced and used in the same period, precluding any change in inventories.</w:t>
      </w:r>
    </w:p>
    <w:p w14:paraId="435F9FA9" w14:textId="77777777" w:rsidR="00C430F0" w:rsidRPr="004C787F" w:rsidRDefault="00C430F0" w:rsidP="00C430F0">
      <w:pPr>
        <w:pStyle w:val="Heading3"/>
      </w:pPr>
      <w:r w:rsidRPr="004C787F">
        <w:t>Household</w:t>
      </w:r>
    </w:p>
    <w:p w14:paraId="467CF315" w14:textId="44C3DB72" w:rsidR="00C430F0" w:rsidRPr="004C787F" w:rsidRDefault="00C430F0" w:rsidP="00C430F0">
      <w:pPr>
        <w:spacing w:after="200" w:line="276" w:lineRule="auto"/>
      </w:pPr>
      <w:r w:rsidRPr="004C787F">
        <w:t xml:space="preserve">Following the dynamic stochastic general equilibrium (DSGE) literature, the coefficient of relative risk aversion is set at </w:t>
      </w:r>
      <w:r w:rsidR="009205EE" w:rsidRPr="009205EE">
        <w:rPr>
          <w:position w:val="-6"/>
        </w:rPr>
        <w:object w:dxaOrig="600" w:dyaOrig="279" w14:anchorId="48523D85">
          <v:shape id="_x0000_i1290" type="#_x0000_t75" style="width:30pt;height:13.8pt" o:ole="">
            <v:imagedata r:id="rId556" o:title=""/>
          </v:shape>
          <o:OLEObject Type="Embed" ProgID="Equation.DSMT4" ShapeID="_x0000_i1290" DrawAspect="Content" ObjectID="_1755515744" r:id="rId557"/>
        </w:object>
      </w:r>
      <w:r w:rsidRPr="004C787F">
        <w:t xml:space="preserve"> for the household</w:t>
      </w:r>
      <w:r>
        <w:t xml:space="preserve"> </w:t>
      </w:r>
      <w:sdt>
        <w:sdtPr>
          <w:id w:val="-557164998"/>
          <w:citation/>
        </w:sdtPr>
        <w:sdtEndPr/>
        <w:sdtContent>
          <w:r>
            <w:fldChar w:fldCharType="begin"/>
          </w:r>
          <w:r>
            <w:instrText xml:space="preserve"> CITATION Kin87 \l 3081 </w:instrText>
          </w:r>
          <w:r>
            <w:fldChar w:fldCharType="separate"/>
          </w:r>
          <w:r>
            <w:rPr>
              <w:noProof/>
            </w:rPr>
            <w:t>(King, Plosser, &amp; Rebelo, 1987)</w:t>
          </w:r>
          <w:r>
            <w:fldChar w:fldCharType="end"/>
          </w:r>
        </w:sdtContent>
      </w:sdt>
      <w:r w:rsidRPr="004C787F">
        <w:t>. This implies an intertemporal elasticity of substitution of 0.5.</w:t>
      </w:r>
    </w:p>
    <w:p w14:paraId="42863A8E" w14:textId="7B710F1F" w:rsidR="00C430F0" w:rsidRPr="004C787F" w:rsidRDefault="00C430F0" w:rsidP="00C430F0">
      <w:r w:rsidRPr="004C787F">
        <w:rPr>
          <w:lang w:val="en-US"/>
        </w:rPr>
        <w:t>The share of the household’s time devoted to working,</w:t>
      </w:r>
      <w:r w:rsidRPr="000301B2">
        <w:t xml:space="preserve"> </w:t>
      </w:r>
      <w:r w:rsidR="009205EE" w:rsidRPr="009205EE">
        <w:rPr>
          <w:position w:val="-6"/>
        </w:rPr>
        <w:object w:dxaOrig="200" w:dyaOrig="220" w14:anchorId="171E2B2B">
          <v:shape id="_x0000_i1291" type="#_x0000_t75" style="width:9.6pt;height:11.4pt" o:ole="">
            <v:imagedata r:id="rId558" o:title=""/>
          </v:shape>
          <o:OLEObject Type="Embed" ProgID="Equation.DSMT4" ShapeID="_x0000_i1291" DrawAspect="Content" ObjectID="_1755515745" r:id="rId559"/>
        </w:object>
      </w:r>
      <w:r w:rsidRPr="004C787F">
        <w:t xml:space="preserve">, </w:t>
      </w:r>
      <w:r w:rsidRPr="004C787F">
        <w:rPr>
          <w:lang w:val="en-US"/>
        </w:rPr>
        <w:t xml:space="preserve">is conditional on the Frisch elasticity of labour supply and </w:t>
      </w:r>
      <w:r w:rsidRPr="004C787F">
        <w:t xml:space="preserve">the </w:t>
      </w:r>
      <w:r w:rsidRPr="004C787F">
        <w:rPr>
          <w:lang w:val="en-US"/>
        </w:rPr>
        <w:t xml:space="preserve">consumption share of utility, </w:t>
      </w:r>
      <w:r w:rsidR="009205EE" w:rsidRPr="009205EE">
        <w:rPr>
          <w:position w:val="-6"/>
        </w:rPr>
        <w:object w:dxaOrig="240" w:dyaOrig="220" w14:anchorId="494B631B">
          <v:shape id="_x0000_i1292" type="#_x0000_t75" style="width:12pt;height:11.4pt" o:ole="">
            <v:imagedata r:id="rId560" o:title=""/>
          </v:shape>
          <o:OLEObject Type="Embed" ProgID="Equation.DSMT4" ShapeID="_x0000_i1292" DrawAspect="Content" ObjectID="_1755515746" r:id="rId561"/>
        </w:object>
      </w:r>
      <w:r w:rsidRPr="004C787F">
        <w:t>:</w:t>
      </w:r>
    </w:p>
    <w:p w14:paraId="32812FD4" w14:textId="571883DE" w:rsidR="00C430F0" w:rsidRPr="004C787F" w:rsidRDefault="00C430F0" w:rsidP="00C430F0">
      <w:pPr>
        <w:pStyle w:val="MTDisplayEquation"/>
      </w:pPr>
      <w:r w:rsidRPr="004C787F">
        <w:tab/>
      </w:r>
      <w:r w:rsidR="009205EE" w:rsidRPr="009205EE">
        <w:rPr>
          <w:position w:val="-28"/>
        </w:rPr>
        <w:object w:dxaOrig="3680" w:dyaOrig="680" w14:anchorId="27729B0B">
          <v:shape id="_x0000_i1293" type="#_x0000_t75" style="width:183.6pt;height:33.6pt" o:ole="">
            <v:imagedata r:id="rId562" o:title=""/>
          </v:shape>
          <o:OLEObject Type="Embed" ProgID="Equation.DSMT4" ShapeID="_x0000_i1293" DrawAspect="Content" ObjectID="_1755515747" r:id="rId563"/>
        </w:object>
      </w:r>
    </w:p>
    <w:p w14:paraId="2114B47B" w14:textId="77777777" w:rsidR="00C430F0" w:rsidRPr="004C787F" w:rsidRDefault="00C430F0" w:rsidP="00C430F0">
      <w:pPr>
        <w:spacing w:before="0" w:after="0"/>
        <w:rPr>
          <w:lang w:val="en-US"/>
        </w:rPr>
      </w:pPr>
    </w:p>
    <w:p w14:paraId="325C8BB5" w14:textId="1974C4AE" w:rsidR="00C430F0" w:rsidRPr="004C787F" w:rsidRDefault="00C430F0" w:rsidP="00C430F0">
      <w:r w:rsidRPr="004C787F">
        <w:t>Consistent with the micro</w:t>
      </w:r>
      <w:r w:rsidRPr="004C787F">
        <w:noBreakHyphen/>
        <w:t xml:space="preserve">econometric literature, as surveyed by Keane </w:t>
      </w:r>
      <w:sdt>
        <w:sdtPr>
          <w:id w:val="-321579620"/>
          <w:citation/>
        </w:sdtPr>
        <w:sdtEndPr/>
        <w:sdtContent>
          <w:r w:rsidRPr="004C787F">
            <w:fldChar w:fldCharType="begin"/>
          </w:r>
          <w:r w:rsidRPr="004C787F">
            <w:instrText xml:space="preserve">CITATION Kea11 \n  \t  \l 3081 </w:instrText>
          </w:r>
          <w:r w:rsidRPr="004C787F">
            <w:fldChar w:fldCharType="separate"/>
          </w:r>
          <w:r>
            <w:rPr>
              <w:noProof/>
            </w:rPr>
            <w:t>(2011)</w:t>
          </w:r>
          <w:r w:rsidRPr="004C787F">
            <w:fldChar w:fldCharType="end"/>
          </w:r>
        </w:sdtContent>
      </w:sdt>
      <w:r w:rsidRPr="004C787F">
        <w:rPr>
          <w:lang w:val="en-US"/>
        </w:rPr>
        <w:t xml:space="preserve">, the Frisch elasticity of labour supply is </w:t>
      </w:r>
      <w:r w:rsidRPr="004C787F">
        <w:t>assumed</w:t>
      </w:r>
      <w:r w:rsidRPr="004C787F">
        <w:rPr>
          <w:lang w:val="en-US"/>
        </w:rPr>
        <w:t xml:space="preserve"> to be 0.46, which is also consistent with the weighted</w:t>
      </w:r>
      <w:r w:rsidRPr="004C787F">
        <w:rPr>
          <w:lang w:val="en-US"/>
        </w:rPr>
        <w:noBreakHyphen/>
        <w:t xml:space="preserve">average calibrated Frisch elasticity used in Treasury’s OLGA </w:t>
      </w:r>
      <w:sdt>
        <w:sdtPr>
          <w:rPr>
            <w:lang w:val="en-US"/>
          </w:rPr>
          <w:id w:val="102233612"/>
          <w:citation/>
        </w:sdtPr>
        <w:sdtEndPr/>
        <w:sdtContent>
          <w:r>
            <w:rPr>
              <w:lang w:val="en-US"/>
            </w:rPr>
            <w:fldChar w:fldCharType="begin"/>
          </w:r>
          <w:r w:rsidR="00EA057D">
            <w:instrText xml:space="preserve">CITATION Cai19 \l 3081 </w:instrText>
          </w:r>
          <w:r>
            <w:rPr>
              <w:lang w:val="en-US"/>
            </w:rPr>
            <w:fldChar w:fldCharType="separate"/>
          </w:r>
          <w:r w:rsidR="00EA057D">
            <w:rPr>
              <w:noProof/>
            </w:rPr>
            <w:t>(Cai, Gustafsson, Kouparitsas, Smith, &amp; Zhang, 2023)</w:t>
          </w:r>
          <w:r>
            <w:rPr>
              <w:lang w:val="en-US"/>
            </w:rPr>
            <w:fldChar w:fldCharType="end"/>
          </w:r>
        </w:sdtContent>
      </w:sdt>
      <w:r w:rsidRPr="004C787F">
        <w:rPr>
          <w:lang w:val="en-US"/>
        </w:rPr>
        <w:t>.</w:t>
      </w:r>
      <w:r w:rsidRPr="004C787F">
        <w:t xml:space="preserve"> The </w:t>
      </w:r>
      <w:r w:rsidRPr="004C787F">
        <w:rPr>
          <w:lang w:val="en-US"/>
        </w:rPr>
        <w:t>consumption share of utility is estimated using labour’s share of income and the household consumption share of expenditure implied by the I</w:t>
      </w:r>
      <w:r w:rsidRPr="004C787F">
        <w:rPr>
          <w:lang w:val="en-US"/>
        </w:rPr>
        <w:noBreakHyphen/>
        <w:t>O tables.</w:t>
      </w:r>
    </w:p>
    <w:p w14:paraId="23685B00" w14:textId="41ECC0EE" w:rsidR="00C430F0" w:rsidRPr="004C787F" w:rsidRDefault="00C430F0" w:rsidP="00C430F0">
      <w:pPr>
        <w:rPr>
          <w:lang w:val="en-US"/>
        </w:rPr>
      </w:pPr>
      <w:r w:rsidRPr="004C787F">
        <w:rPr>
          <w:lang w:val="en-US"/>
        </w:rPr>
        <w:t>Based on these inputs</w:t>
      </w:r>
      <w:r>
        <w:rPr>
          <w:lang w:val="en-US"/>
        </w:rPr>
        <w:t>,</w:t>
      </w:r>
      <w:r w:rsidRPr="004C787F">
        <w:rPr>
          <w:lang w:val="en-US"/>
        </w:rPr>
        <w:t xml:space="preserve"> the share of time devoted to working,</w:t>
      </w:r>
      <w:r w:rsidR="009205EE" w:rsidRPr="009205EE">
        <w:rPr>
          <w:position w:val="-6"/>
        </w:rPr>
        <w:object w:dxaOrig="200" w:dyaOrig="220" w14:anchorId="0B147E75">
          <v:shape id="_x0000_i1294" type="#_x0000_t75" style="width:9.6pt;height:11.4pt" o:ole="">
            <v:imagedata r:id="rId564" o:title=""/>
          </v:shape>
          <o:OLEObject Type="Embed" ProgID="Equation.DSMT4" ShapeID="_x0000_i1294" DrawAspect="Content" ObjectID="_1755515748" r:id="rId565"/>
        </w:object>
      </w:r>
      <w:r w:rsidRPr="004C787F">
        <w:t>, is calibrated to 0.65. This is higher than the time devoted to working typically assumed in macroeconomic models focused on the study of business cycles (see</w:t>
      </w:r>
      <w:r>
        <w:t xml:space="preserve">, for example, </w:t>
      </w:r>
      <w:r w:rsidRPr="004C787F">
        <w:t>Peterman</w:t>
      </w:r>
      <w:r>
        <w:t xml:space="preserve"> </w:t>
      </w:r>
      <w:sdt>
        <w:sdtPr>
          <w:id w:val="1839111145"/>
          <w:citation/>
        </w:sdtPr>
        <w:sdtEndPr/>
        <w:sdtContent>
          <w:r>
            <w:fldChar w:fldCharType="begin"/>
          </w:r>
          <w:r>
            <w:instrText xml:space="preserve">CITATION Pet15 \n  \t  \l 3081 </w:instrText>
          </w:r>
          <w:r>
            <w:fldChar w:fldCharType="separate"/>
          </w:r>
          <w:r>
            <w:rPr>
              <w:noProof/>
            </w:rPr>
            <w:t>(2015)</w:t>
          </w:r>
          <w:r>
            <w:fldChar w:fldCharType="end"/>
          </w:r>
        </w:sdtContent>
      </w:sdt>
      <w:r w:rsidRPr="004C787F">
        <w:t>).</w:t>
      </w:r>
    </w:p>
    <w:p w14:paraId="7577C3F9" w14:textId="0FB3C492" w:rsidR="00C430F0" w:rsidRPr="004C787F" w:rsidRDefault="00C430F0" w:rsidP="00C430F0">
      <w:pPr>
        <w:rPr>
          <w:lang w:val="en-US"/>
        </w:rPr>
      </w:pPr>
      <w:r w:rsidRPr="004C787F">
        <w:rPr>
          <w:lang w:val="en-US"/>
        </w:rPr>
        <w:t>The household’s discount rate,</w:t>
      </w:r>
      <w:r>
        <w:rPr>
          <w:lang w:val="en-US"/>
        </w:rPr>
        <w:t xml:space="preserve"> </w:t>
      </w:r>
      <w:bookmarkStart w:id="40" w:name="MTBlankEqn"/>
      <w:r w:rsidR="009205EE" w:rsidRPr="009205EE">
        <w:rPr>
          <w:position w:val="-10"/>
        </w:rPr>
        <w:object w:dxaOrig="240" w:dyaOrig="320" w14:anchorId="5A218D91">
          <v:shape id="_x0000_i1295" type="#_x0000_t75" style="width:12pt;height:16.2pt" o:ole="">
            <v:imagedata r:id="rId566" o:title=""/>
          </v:shape>
          <o:OLEObject Type="Embed" ProgID="Equation.DSMT4" ShapeID="_x0000_i1295" DrawAspect="Content" ObjectID="_1755515749" r:id="rId567"/>
        </w:object>
      </w:r>
      <w:bookmarkEnd w:id="40"/>
      <w:r w:rsidRPr="004C787F">
        <w:t xml:space="preserve">, </w:t>
      </w:r>
      <w:r w:rsidRPr="004C787F">
        <w:rPr>
          <w:lang w:val="en-US"/>
        </w:rPr>
        <w:t>is calibrated to be consistent with the assumed trend growth rate output and the required rate of return on capital:</w:t>
      </w:r>
    </w:p>
    <w:p w14:paraId="0EA61169" w14:textId="4D4E51E2" w:rsidR="00C430F0" w:rsidRPr="004C787F" w:rsidRDefault="00C430F0" w:rsidP="00C430F0">
      <w:pPr>
        <w:pStyle w:val="MTDisplayEquation"/>
      </w:pPr>
      <w:r w:rsidRPr="004C787F">
        <w:tab/>
      </w:r>
      <w:r w:rsidR="009205EE" w:rsidRPr="009205EE">
        <w:rPr>
          <w:position w:val="-28"/>
        </w:rPr>
        <w:object w:dxaOrig="1180" w:dyaOrig="660" w14:anchorId="2B6C3B37">
          <v:shape id="_x0000_i1296" type="#_x0000_t75" style="width:58.8pt;height:33pt" o:ole="">
            <v:imagedata r:id="rId568" o:title=""/>
          </v:shape>
          <o:OLEObject Type="Embed" ProgID="Equation.DSMT4" ShapeID="_x0000_i1296" DrawAspect="Content" ObjectID="_1755515750" r:id="rId569"/>
        </w:object>
      </w:r>
    </w:p>
    <w:p w14:paraId="13F696A1" w14:textId="77777777" w:rsidR="00C430F0" w:rsidRPr="004C787F" w:rsidRDefault="00C430F0" w:rsidP="00C430F0">
      <w:pPr>
        <w:pStyle w:val="Heading4"/>
        <w:rPr>
          <w:lang w:val="en-US"/>
        </w:rPr>
      </w:pPr>
      <w:r w:rsidRPr="004C787F">
        <w:rPr>
          <w:lang w:val="en-US"/>
        </w:rPr>
        <w:t xml:space="preserve">Consumption </w:t>
      </w:r>
      <w:r w:rsidRPr="004C787F">
        <w:t>of</w:t>
      </w:r>
      <w:r w:rsidRPr="004C787F">
        <w:rPr>
          <w:lang w:val="en-US"/>
        </w:rPr>
        <w:t xml:space="preserve"> commodities</w:t>
      </w:r>
    </w:p>
    <w:p w14:paraId="75FD5BC7" w14:textId="3B2D1980" w:rsidR="00C430F0" w:rsidRPr="004C787F" w:rsidRDefault="00C430F0" w:rsidP="00C430F0">
      <w:r w:rsidRPr="004C787F">
        <w:rPr>
          <w:lang w:val="en-US"/>
        </w:rPr>
        <w:t>The</w:t>
      </w:r>
      <w:r w:rsidRPr="004C787F">
        <w:t xml:space="preserve"> consumption shares, </w:t>
      </w:r>
      <w:r w:rsidR="009205EE" w:rsidRPr="009205EE">
        <w:rPr>
          <w:position w:val="-14"/>
        </w:rPr>
        <w:object w:dxaOrig="279" w:dyaOrig="400" w14:anchorId="0D59C571">
          <v:shape id="_x0000_i1297" type="#_x0000_t75" style="width:13.8pt;height:20.4pt" o:ole="">
            <v:imagedata r:id="rId570" o:title=""/>
          </v:shape>
          <o:OLEObject Type="Embed" ProgID="Equation.DSMT4" ShapeID="_x0000_i1297" DrawAspect="Content" ObjectID="_1755515751" r:id="rId571"/>
        </w:object>
      </w:r>
      <w:r w:rsidRPr="004C787F">
        <w:t xml:space="preserve">, are calibrated to match the </w:t>
      </w:r>
      <w:r w:rsidRPr="004C787F">
        <w:rPr>
          <w:lang w:val="en-US"/>
        </w:rPr>
        <w:t>I</w:t>
      </w:r>
      <w:r w:rsidRPr="004C787F">
        <w:rPr>
          <w:lang w:val="en-US"/>
        </w:rPr>
        <w:noBreakHyphen/>
        <w:t>O</w:t>
      </w:r>
      <w:r w:rsidRPr="004C787F">
        <w:t xml:space="preserve"> table data. The consumption commodity elasticity, </w:t>
      </w:r>
      <w:r w:rsidR="009205EE" w:rsidRPr="009205EE">
        <w:rPr>
          <w:position w:val="-10"/>
        </w:rPr>
        <w:object w:dxaOrig="279" w:dyaOrig="360" w14:anchorId="0238F97E">
          <v:shape id="_x0000_i1298" type="#_x0000_t75" style="width:13.8pt;height:18pt" o:ole="">
            <v:imagedata r:id="rId572" o:title=""/>
          </v:shape>
          <o:OLEObject Type="Embed" ProgID="Equation.DSMT4" ShapeID="_x0000_i1298" DrawAspect="Content" ObjectID="_1755515752" r:id="rId573"/>
        </w:object>
      </w:r>
      <w:r w:rsidRPr="004C787F">
        <w:t xml:space="preserve">, is set to 0.5. This value is consistent with OLGA </w:t>
      </w:r>
      <w:sdt>
        <w:sdtPr>
          <w:id w:val="1791542244"/>
          <w:citation/>
        </w:sdtPr>
        <w:sdtEndPr/>
        <w:sdtContent>
          <w:r>
            <w:fldChar w:fldCharType="begin"/>
          </w:r>
          <w:r w:rsidR="00EA057D">
            <w:instrText xml:space="preserve">CITATION Cai19 \l 3081 </w:instrText>
          </w:r>
          <w:r>
            <w:fldChar w:fldCharType="separate"/>
          </w:r>
          <w:r w:rsidR="00EA057D">
            <w:rPr>
              <w:noProof/>
            </w:rPr>
            <w:t>(Cai, Gustafsson, Kouparitsas, Smith, &amp; Zhang, 2023)</w:t>
          </w:r>
          <w:r>
            <w:fldChar w:fldCharType="end"/>
          </w:r>
        </w:sdtContent>
      </w:sdt>
      <w:r w:rsidRPr="004C787F">
        <w:t>.</w:t>
      </w:r>
    </w:p>
    <w:p w14:paraId="13B6D177" w14:textId="712B8AAF" w:rsidR="00C430F0" w:rsidRPr="00D4372F" w:rsidRDefault="00C430F0" w:rsidP="00C430F0">
      <w:pPr>
        <w:jc w:val="center"/>
        <w:rPr>
          <w:b/>
          <w:bCs/>
        </w:rPr>
      </w:pPr>
      <w:r w:rsidRPr="00D4372F">
        <w:rPr>
          <w:b/>
          <w:bCs/>
        </w:rPr>
        <w:t xml:space="preserve">Table </w:t>
      </w:r>
      <w:r w:rsidRPr="00D4372F">
        <w:rPr>
          <w:b/>
          <w:bCs/>
        </w:rPr>
        <w:fldChar w:fldCharType="begin"/>
      </w:r>
      <w:r w:rsidRPr="00D4372F">
        <w:rPr>
          <w:b/>
          <w:bCs/>
        </w:rPr>
        <w:instrText xml:space="preserve"> SEQ Table \* ARABIC </w:instrText>
      </w:r>
      <w:r w:rsidRPr="00D4372F">
        <w:rPr>
          <w:b/>
          <w:bCs/>
        </w:rPr>
        <w:fldChar w:fldCharType="separate"/>
      </w:r>
      <w:r w:rsidR="00354F38">
        <w:rPr>
          <w:b/>
          <w:bCs/>
          <w:noProof/>
        </w:rPr>
        <w:t>2</w:t>
      </w:r>
      <w:r w:rsidRPr="00D4372F">
        <w:rPr>
          <w:b/>
          <w:bCs/>
        </w:rPr>
        <w:fldChar w:fldCharType="end"/>
      </w:r>
      <w:r w:rsidRPr="00D4372F">
        <w:rPr>
          <w:b/>
          <w:bCs/>
        </w:rPr>
        <w:t xml:space="preserve">: </w:t>
      </w:r>
      <w:r>
        <w:rPr>
          <w:b/>
          <w:bCs/>
        </w:rPr>
        <w:t>TIM’s h</w:t>
      </w:r>
      <w:r w:rsidRPr="00D4372F">
        <w:rPr>
          <w:b/>
          <w:bCs/>
        </w:rPr>
        <w:t>ousehold parameters</w:t>
      </w:r>
    </w:p>
    <w:tbl>
      <w:tblPr>
        <w:tblW w:w="5000" w:type="pct"/>
        <w:tblLook w:val="0660" w:firstRow="1" w:lastRow="1" w:firstColumn="0" w:lastColumn="0" w:noHBand="1" w:noVBand="1"/>
      </w:tblPr>
      <w:tblGrid>
        <w:gridCol w:w="1360"/>
        <w:gridCol w:w="1361"/>
        <w:gridCol w:w="6349"/>
      </w:tblGrid>
      <w:tr w:rsidR="00C430F0" w:rsidRPr="004C787F" w14:paraId="1D94C79F" w14:textId="77777777" w:rsidTr="00BD3921">
        <w:trPr>
          <w:trHeight w:val="20"/>
        </w:trPr>
        <w:tc>
          <w:tcPr>
            <w:tcW w:w="750" w:type="pct"/>
            <w:tcBorders>
              <w:top w:val="single" w:sz="4" w:space="0" w:color="auto"/>
              <w:bottom w:val="single" w:sz="4" w:space="0" w:color="auto"/>
            </w:tcBorders>
            <w:shd w:val="clear" w:color="auto" w:fill="EEEEEE" w:themeFill="background2"/>
          </w:tcPr>
          <w:p w14:paraId="678E728F" w14:textId="77777777" w:rsidR="00C430F0" w:rsidRPr="004C787F" w:rsidRDefault="00C430F0" w:rsidP="00BD3921">
            <w:pPr>
              <w:spacing w:before="40" w:after="40"/>
              <w:rPr>
                <w:b/>
                <w:color w:val="004A7F"/>
                <w:sz w:val="20"/>
              </w:rPr>
            </w:pPr>
            <w:r w:rsidRPr="004C787F">
              <w:rPr>
                <w:b/>
                <w:color w:val="004A7F"/>
                <w:sz w:val="20"/>
              </w:rPr>
              <w:t>Parameter</w:t>
            </w:r>
          </w:p>
        </w:tc>
        <w:tc>
          <w:tcPr>
            <w:tcW w:w="750" w:type="pct"/>
            <w:tcBorders>
              <w:top w:val="single" w:sz="4" w:space="0" w:color="auto"/>
              <w:bottom w:val="single" w:sz="4" w:space="0" w:color="auto"/>
            </w:tcBorders>
            <w:shd w:val="clear" w:color="auto" w:fill="EEEEEE" w:themeFill="background2"/>
          </w:tcPr>
          <w:p w14:paraId="5ECDB7DB" w14:textId="77777777" w:rsidR="00C430F0" w:rsidRPr="004C787F" w:rsidRDefault="00C430F0" w:rsidP="00BD3921">
            <w:pPr>
              <w:spacing w:before="40" w:after="40"/>
              <w:rPr>
                <w:b/>
                <w:color w:val="004A7F"/>
                <w:sz w:val="20"/>
              </w:rPr>
            </w:pPr>
            <w:r w:rsidRPr="004C787F">
              <w:rPr>
                <w:b/>
                <w:color w:val="004A7F"/>
                <w:sz w:val="20"/>
              </w:rPr>
              <w:t>Value</w:t>
            </w:r>
          </w:p>
        </w:tc>
        <w:tc>
          <w:tcPr>
            <w:tcW w:w="3500" w:type="pct"/>
            <w:tcBorders>
              <w:top w:val="single" w:sz="4" w:space="0" w:color="auto"/>
              <w:bottom w:val="single" w:sz="4" w:space="0" w:color="auto"/>
            </w:tcBorders>
            <w:shd w:val="clear" w:color="auto" w:fill="EEEEEE" w:themeFill="background2"/>
          </w:tcPr>
          <w:p w14:paraId="15133995" w14:textId="77777777" w:rsidR="00C430F0" w:rsidRPr="004C787F" w:rsidRDefault="00C430F0" w:rsidP="00BD3921">
            <w:pPr>
              <w:spacing w:before="40" w:after="40"/>
              <w:rPr>
                <w:b/>
                <w:color w:val="004A7F"/>
                <w:sz w:val="20"/>
              </w:rPr>
            </w:pPr>
            <w:r w:rsidRPr="004C787F">
              <w:rPr>
                <w:b/>
                <w:color w:val="004A7F"/>
                <w:sz w:val="20"/>
              </w:rPr>
              <w:t>Description</w:t>
            </w:r>
          </w:p>
        </w:tc>
      </w:tr>
      <w:tr w:rsidR="00C430F0" w:rsidRPr="004C787F" w14:paraId="55E0518F" w14:textId="77777777" w:rsidTr="00BD3921">
        <w:trPr>
          <w:trHeight w:val="510"/>
        </w:trPr>
        <w:tc>
          <w:tcPr>
            <w:tcW w:w="750" w:type="pct"/>
            <w:tcBorders>
              <w:top w:val="single" w:sz="4" w:space="0" w:color="auto"/>
              <w:right w:val="single" w:sz="4" w:space="0" w:color="auto"/>
            </w:tcBorders>
            <w:shd w:val="clear" w:color="auto" w:fill="EEEEEE" w:themeFill="background2"/>
            <w:vAlign w:val="center"/>
          </w:tcPr>
          <w:p w14:paraId="6FBAE4F8" w14:textId="3C8889FD" w:rsidR="00C430F0" w:rsidRPr="004C787F" w:rsidRDefault="009205EE" w:rsidP="00BD3921">
            <w:pPr>
              <w:spacing w:before="40" w:after="40"/>
              <w:rPr>
                <w:color w:val="000000"/>
                <w:sz w:val="18"/>
              </w:rPr>
            </w:pPr>
            <w:r w:rsidRPr="009205EE">
              <w:rPr>
                <w:position w:val="-6"/>
              </w:rPr>
              <w:object w:dxaOrig="240" w:dyaOrig="220" w14:anchorId="7A818731">
                <v:shape id="_x0000_i1299" type="#_x0000_t75" style="width:12pt;height:11.4pt" o:ole="">
                  <v:imagedata r:id="rId574" o:title=""/>
                </v:shape>
                <o:OLEObject Type="Embed" ProgID="Equation.DSMT4" ShapeID="_x0000_i1299" DrawAspect="Content" ObjectID="_1755515753" r:id="rId575"/>
              </w:object>
            </w:r>
          </w:p>
        </w:tc>
        <w:tc>
          <w:tcPr>
            <w:tcW w:w="750" w:type="pct"/>
            <w:tcBorders>
              <w:top w:val="single" w:sz="4" w:space="0" w:color="auto"/>
              <w:left w:val="single" w:sz="4" w:space="0" w:color="auto"/>
            </w:tcBorders>
            <w:vAlign w:val="center"/>
          </w:tcPr>
          <w:p w14:paraId="6FEEDF7F" w14:textId="77777777" w:rsidR="00C430F0" w:rsidRPr="00906BCF" w:rsidRDefault="00C430F0" w:rsidP="00BD3921">
            <w:pPr>
              <w:pStyle w:val="TableTextLeft"/>
            </w:pPr>
            <w:r w:rsidRPr="00906BCF">
              <w:t>2</w:t>
            </w:r>
          </w:p>
        </w:tc>
        <w:tc>
          <w:tcPr>
            <w:tcW w:w="3500" w:type="pct"/>
            <w:tcBorders>
              <w:top w:val="single" w:sz="4" w:space="0" w:color="auto"/>
            </w:tcBorders>
            <w:vAlign w:val="center"/>
          </w:tcPr>
          <w:p w14:paraId="3A01106F" w14:textId="77777777" w:rsidR="00C430F0" w:rsidRPr="00906BCF" w:rsidRDefault="00C430F0" w:rsidP="00BD3921">
            <w:pPr>
              <w:pStyle w:val="TableTextLeft"/>
            </w:pPr>
            <w:r w:rsidRPr="00906BCF">
              <w:t>Coefficient of relative risk aversion</w:t>
            </w:r>
          </w:p>
        </w:tc>
      </w:tr>
      <w:tr w:rsidR="00C430F0" w:rsidRPr="004C787F" w14:paraId="6293F58E" w14:textId="77777777" w:rsidTr="00BD3921">
        <w:trPr>
          <w:trHeight w:val="510"/>
        </w:trPr>
        <w:tc>
          <w:tcPr>
            <w:tcW w:w="750" w:type="pct"/>
            <w:tcBorders>
              <w:right w:val="single" w:sz="4" w:space="0" w:color="auto"/>
            </w:tcBorders>
            <w:shd w:val="clear" w:color="auto" w:fill="EEEEEE" w:themeFill="background2"/>
            <w:vAlign w:val="center"/>
          </w:tcPr>
          <w:p w14:paraId="19A5AF9F" w14:textId="2D53BC8E" w:rsidR="00C430F0" w:rsidRPr="004C787F" w:rsidRDefault="009205EE" w:rsidP="00BD3921">
            <w:pPr>
              <w:spacing w:before="40" w:after="40"/>
              <w:rPr>
                <w:color w:val="000000"/>
                <w:sz w:val="18"/>
              </w:rPr>
            </w:pPr>
            <w:r w:rsidRPr="009205EE">
              <w:rPr>
                <w:position w:val="-10"/>
              </w:rPr>
              <w:object w:dxaOrig="300" w:dyaOrig="360" w14:anchorId="538A26CA">
                <v:shape id="_x0000_i1300" type="#_x0000_t75" style="width:15pt;height:18pt" o:ole="">
                  <v:imagedata r:id="rId576" o:title=""/>
                </v:shape>
                <o:OLEObject Type="Embed" ProgID="Equation.DSMT4" ShapeID="_x0000_i1300" DrawAspect="Content" ObjectID="_1755515754" r:id="rId577"/>
              </w:object>
            </w:r>
          </w:p>
        </w:tc>
        <w:tc>
          <w:tcPr>
            <w:tcW w:w="750" w:type="pct"/>
            <w:tcBorders>
              <w:left w:val="single" w:sz="4" w:space="0" w:color="auto"/>
            </w:tcBorders>
            <w:vAlign w:val="center"/>
          </w:tcPr>
          <w:p w14:paraId="044F23FB" w14:textId="77777777" w:rsidR="00C430F0" w:rsidRPr="00906BCF" w:rsidRDefault="00C430F0" w:rsidP="00BD3921">
            <w:pPr>
              <w:pStyle w:val="TableTextLeft"/>
            </w:pPr>
            <w:r w:rsidRPr="00906BCF">
              <w:t>0.46</w:t>
            </w:r>
          </w:p>
        </w:tc>
        <w:tc>
          <w:tcPr>
            <w:tcW w:w="3500" w:type="pct"/>
            <w:vAlign w:val="center"/>
          </w:tcPr>
          <w:p w14:paraId="6B241704" w14:textId="77777777" w:rsidR="00C430F0" w:rsidRPr="00906BCF" w:rsidRDefault="00C430F0" w:rsidP="00BD3921">
            <w:pPr>
              <w:pStyle w:val="TableTextLeft"/>
            </w:pPr>
            <w:r w:rsidRPr="00906BCF">
              <w:t>Frisch elasticity of labour supply</w:t>
            </w:r>
          </w:p>
        </w:tc>
      </w:tr>
      <w:tr w:rsidR="00C430F0" w:rsidRPr="004C787F" w14:paraId="1E650C90" w14:textId="77777777" w:rsidTr="00BD3921">
        <w:trPr>
          <w:trHeight w:val="510"/>
        </w:trPr>
        <w:tc>
          <w:tcPr>
            <w:tcW w:w="750" w:type="pct"/>
            <w:tcBorders>
              <w:right w:val="single" w:sz="4" w:space="0" w:color="auto"/>
            </w:tcBorders>
            <w:shd w:val="clear" w:color="auto" w:fill="EEEEEE" w:themeFill="background2"/>
            <w:vAlign w:val="center"/>
          </w:tcPr>
          <w:p w14:paraId="61402139" w14:textId="631A71AE" w:rsidR="00C430F0" w:rsidRPr="004C787F" w:rsidRDefault="009205EE" w:rsidP="00BD3921">
            <w:pPr>
              <w:spacing w:before="40" w:after="40"/>
              <w:rPr>
                <w:color w:val="000000"/>
                <w:sz w:val="18"/>
              </w:rPr>
            </w:pPr>
            <w:r w:rsidRPr="009205EE">
              <w:rPr>
                <w:position w:val="-6"/>
              </w:rPr>
              <w:object w:dxaOrig="200" w:dyaOrig="220" w14:anchorId="28008595">
                <v:shape id="_x0000_i1301" type="#_x0000_t75" style="width:9.6pt;height:11.4pt" o:ole="">
                  <v:imagedata r:id="rId578" o:title=""/>
                </v:shape>
                <o:OLEObject Type="Embed" ProgID="Equation.DSMT4" ShapeID="_x0000_i1301" DrawAspect="Content" ObjectID="_1755515755" r:id="rId579"/>
              </w:object>
            </w:r>
          </w:p>
        </w:tc>
        <w:tc>
          <w:tcPr>
            <w:tcW w:w="750" w:type="pct"/>
            <w:tcBorders>
              <w:left w:val="single" w:sz="4" w:space="0" w:color="auto"/>
            </w:tcBorders>
            <w:vAlign w:val="center"/>
          </w:tcPr>
          <w:p w14:paraId="74478356" w14:textId="77777777" w:rsidR="00C430F0" w:rsidRPr="00906BCF" w:rsidRDefault="00C430F0" w:rsidP="00BD3921">
            <w:pPr>
              <w:pStyle w:val="TableTextLeft"/>
            </w:pPr>
            <w:r w:rsidRPr="00906BCF">
              <w:t>0.65</w:t>
            </w:r>
          </w:p>
        </w:tc>
        <w:tc>
          <w:tcPr>
            <w:tcW w:w="3500" w:type="pct"/>
            <w:vAlign w:val="center"/>
          </w:tcPr>
          <w:p w14:paraId="76866F34" w14:textId="77777777" w:rsidR="00C430F0" w:rsidRPr="00906BCF" w:rsidRDefault="00C430F0" w:rsidP="00BD3921">
            <w:pPr>
              <w:pStyle w:val="TableTextLeft"/>
            </w:pPr>
            <w:r w:rsidRPr="00906BCF">
              <w:t>Household’s share of time devoted to work</w:t>
            </w:r>
          </w:p>
        </w:tc>
      </w:tr>
      <w:tr w:rsidR="00C430F0" w:rsidRPr="004C787F" w14:paraId="2344FC3A" w14:textId="77777777" w:rsidTr="00BD3921">
        <w:trPr>
          <w:trHeight w:val="510"/>
        </w:trPr>
        <w:tc>
          <w:tcPr>
            <w:tcW w:w="750" w:type="pct"/>
            <w:tcBorders>
              <w:right w:val="single" w:sz="4" w:space="0" w:color="auto"/>
            </w:tcBorders>
            <w:shd w:val="clear" w:color="auto" w:fill="EEEEEE" w:themeFill="background2"/>
            <w:vAlign w:val="center"/>
          </w:tcPr>
          <w:p w14:paraId="259FAEBB" w14:textId="1F7C11C3" w:rsidR="00C430F0" w:rsidRPr="004C787F" w:rsidRDefault="009205EE" w:rsidP="00BD3921">
            <w:pPr>
              <w:spacing w:before="40" w:after="40"/>
              <w:rPr>
                <w:color w:val="000000"/>
                <w:sz w:val="18"/>
              </w:rPr>
            </w:pPr>
            <w:r w:rsidRPr="009205EE">
              <w:rPr>
                <w:position w:val="-6"/>
              </w:rPr>
              <w:object w:dxaOrig="240" w:dyaOrig="220" w14:anchorId="60EF7B23">
                <v:shape id="_x0000_i1302" type="#_x0000_t75" style="width:12pt;height:11.4pt" o:ole="">
                  <v:imagedata r:id="rId580" o:title=""/>
                </v:shape>
                <o:OLEObject Type="Embed" ProgID="Equation.DSMT4" ShapeID="_x0000_i1302" DrawAspect="Content" ObjectID="_1755515756" r:id="rId581"/>
              </w:object>
            </w:r>
          </w:p>
        </w:tc>
        <w:tc>
          <w:tcPr>
            <w:tcW w:w="750" w:type="pct"/>
            <w:tcBorders>
              <w:left w:val="single" w:sz="4" w:space="0" w:color="auto"/>
            </w:tcBorders>
            <w:vAlign w:val="center"/>
          </w:tcPr>
          <w:p w14:paraId="79FEFB2B" w14:textId="77777777" w:rsidR="00C430F0" w:rsidRPr="00906BCF" w:rsidRDefault="00C430F0" w:rsidP="00BD3921">
            <w:pPr>
              <w:pStyle w:val="TableTextLeft"/>
            </w:pPr>
            <w:r w:rsidRPr="00906BCF">
              <w:t>0.7145</w:t>
            </w:r>
          </w:p>
        </w:tc>
        <w:tc>
          <w:tcPr>
            <w:tcW w:w="3500" w:type="pct"/>
            <w:vAlign w:val="center"/>
          </w:tcPr>
          <w:p w14:paraId="45F6AC83" w14:textId="77777777" w:rsidR="00C430F0" w:rsidRPr="00906BCF" w:rsidRDefault="00C430F0" w:rsidP="00BD3921">
            <w:pPr>
              <w:pStyle w:val="TableTextLeft"/>
            </w:pPr>
            <w:r w:rsidRPr="00906BCF">
              <w:t>Consumption’s share of utility</w:t>
            </w:r>
          </w:p>
        </w:tc>
      </w:tr>
      <w:tr w:rsidR="00C430F0" w:rsidRPr="004C787F" w14:paraId="4825691E" w14:textId="77777777" w:rsidTr="00BD3921">
        <w:trPr>
          <w:trHeight w:val="510"/>
        </w:trPr>
        <w:tc>
          <w:tcPr>
            <w:tcW w:w="750" w:type="pct"/>
            <w:tcBorders>
              <w:right w:val="single" w:sz="4" w:space="0" w:color="auto"/>
            </w:tcBorders>
            <w:shd w:val="clear" w:color="auto" w:fill="EEEEEE" w:themeFill="background2"/>
            <w:vAlign w:val="center"/>
          </w:tcPr>
          <w:p w14:paraId="288D005C" w14:textId="1279BA4C" w:rsidR="00C430F0" w:rsidRPr="004C787F" w:rsidRDefault="009205EE" w:rsidP="00BD3921">
            <w:pPr>
              <w:spacing w:before="40" w:after="40"/>
              <w:rPr>
                <w:color w:val="000000"/>
                <w:sz w:val="18"/>
              </w:rPr>
            </w:pPr>
            <w:r w:rsidRPr="009205EE">
              <w:rPr>
                <w:position w:val="-10"/>
              </w:rPr>
              <w:object w:dxaOrig="240" w:dyaOrig="320" w14:anchorId="0EDBE597">
                <v:shape id="_x0000_i1303" type="#_x0000_t75" style="width:12pt;height:16.2pt" o:ole="">
                  <v:imagedata r:id="rId582" o:title=""/>
                </v:shape>
                <o:OLEObject Type="Embed" ProgID="Equation.DSMT4" ShapeID="_x0000_i1303" DrawAspect="Content" ObjectID="_1755515757" r:id="rId583"/>
              </w:object>
            </w:r>
          </w:p>
        </w:tc>
        <w:tc>
          <w:tcPr>
            <w:tcW w:w="750" w:type="pct"/>
            <w:tcBorders>
              <w:left w:val="single" w:sz="4" w:space="0" w:color="auto"/>
            </w:tcBorders>
            <w:vAlign w:val="center"/>
          </w:tcPr>
          <w:p w14:paraId="4453813E" w14:textId="77777777" w:rsidR="00C430F0" w:rsidRPr="00906BCF" w:rsidRDefault="00C430F0" w:rsidP="00BD3921">
            <w:pPr>
              <w:pStyle w:val="TableTextLeft"/>
            </w:pPr>
            <w:r w:rsidRPr="00906BCF">
              <w:t>0.9821</w:t>
            </w:r>
          </w:p>
        </w:tc>
        <w:tc>
          <w:tcPr>
            <w:tcW w:w="3500" w:type="pct"/>
            <w:vAlign w:val="center"/>
          </w:tcPr>
          <w:p w14:paraId="52920DBA" w14:textId="77777777" w:rsidR="00C430F0" w:rsidRPr="00906BCF" w:rsidRDefault="00C430F0" w:rsidP="00BD3921">
            <w:pPr>
              <w:pStyle w:val="TableTextLeft"/>
            </w:pPr>
            <w:r w:rsidRPr="00906BCF">
              <w:t>Household’s discount rate</w:t>
            </w:r>
          </w:p>
        </w:tc>
      </w:tr>
      <w:tr w:rsidR="00C430F0" w:rsidRPr="004C787F" w14:paraId="3BA6A3AA" w14:textId="77777777" w:rsidTr="00BD3921">
        <w:trPr>
          <w:trHeight w:val="510"/>
        </w:trPr>
        <w:tc>
          <w:tcPr>
            <w:tcW w:w="750" w:type="pct"/>
            <w:tcBorders>
              <w:bottom w:val="single" w:sz="4" w:space="0" w:color="auto"/>
              <w:right w:val="single" w:sz="4" w:space="0" w:color="auto"/>
            </w:tcBorders>
            <w:shd w:val="clear" w:color="auto" w:fill="EEEEEE" w:themeFill="background2"/>
            <w:vAlign w:val="center"/>
          </w:tcPr>
          <w:p w14:paraId="5E3E87DA" w14:textId="7FCDB733" w:rsidR="00C430F0" w:rsidRPr="004C787F" w:rsidRDefault="009205EE" w:rsidP="00BD3921">
            <w:pPr>
              <w:spacing w:before="40" w:after="40"/>
              <w:rPr>
                <w:color w:val="000000"/>
                <w:sz w:val="18"/>
              </w:rPr>
            </w:pPr>
            <w:r w:rsidRPr="009205EE">
              <w:rPr>
                <w:position w:val="-10"/>
              </w:rPr>
              <w:object w:dxaOrig="279" w:dyaOrig="360" w14:anchorId="17EA16C1">
                <v:shape id="_x0000_i1304" type="#_x0000_t75" style="width:13.8pt;height:18pt" o:ole="">
                  <v:imagedata r:id="rId584" o:title=""/>
                </v:shape>
                <o:OLEObject Type="Embed" ProgID="Equation.DSMT4" ShapeID="_x0000_i1304" DrawAspect="Content" ObjectID="_1755515758" r:id="rId585"/>
              </w:object>
            </w:r>
          </w:p>
        </w:tc>
        <w:tc>
          <w:tcPr>
            <w:tcW w:w="750" w:type="pct"/>
            <w:tcBorders>
              <w:left w:val="single" w:sz="4" w:space="0" w:color="auto"/>
              <w:bottom w:val="single" w:sz="4" w:space="0" w:color="auto"/>
            </w:tcBorders>
            <w:vAlign w:val="center"/>
          </w:tcPr>
          <w:p w14:paraId="1FEE9BE0" w14:textId="77777777" w:rsidR="00C430F0" w:rsidRPr="00906BCF" w:rsidRDefault="00C430F0" w:rsidP="00BD3921">
            <w:pPr>
              <w:pStyle w:val="TableTextLeft"/>
            </w:pPr>
            <w:r w:rsidRPr="00906BCF">
              <w:t>0.5</w:t>
            </w:r>
          </w:p>
        </w:tc>
        <w:tc>
          <w:tcPr>
            <w:tcW w:w="3500" w:type="pct"/>
            <w:tcBorders>
              <w:bottom w:val="single" w:sz="4" w:space="0" w:color="auto"/>
            </w:tcBorders>
            <w:vAlign w:val="center"/>
          </w:tcPr>
          <w:p w14:paraId="1FDEA683" w14:textId="77777777" w:rsidR="00C430F0" w:rsidRPr="00906BCF" w:rsidRDefault="00C430F0" w:rsidP="00BD3921">
            <w:pPr>
              <w:pStyle w:val="TableTextLeft"/>
            </w:pPr>
            <w:r w:rsidRPr="00906BCF">
              <w:t>Elasticity of substitution between different consumption commodities.</w:t>
            </w:r>
          </w:p>
        </w:tc>
      </w:tr>
    </w:tbl>
    <w:p w14:paraId="02E193D1" w14:textId="77777777" w:rsidR="00C430F0" w:rsidRPr="004C787F" w:rsidRDefault="00C430F0" w:rsidP="00C430F0">
      <w:pPr>
        <w:pStyle w:val="Heading3"/>
      </w:pPr>
      <w:r w:rsidRPr="004C787F">
        <w:t>Firms</w:t>
      </w:r>
      <w:r>
        <w:t xml:space="preserve">: </w:t>
      </w:r>
      <w:r w:rsidRPr="004C787F">
        <w:t xml:space="preserve">Production </w:t>
      </w:r>
      <w:r>
        <w:t>s</w:t>
      </w:r>
      <w:r w:rsidRPr="004C787F">
        <w:t>ector</w:t>
      </w:r>
    </w:p>
    <w:p w14:paraId="22F07159" w14:textId="77777777" w:rsidR="00C430F0" w:rsidRPr="004C787F" w:rsidRDefault="00C430F0" w:rsidP="00C430F0">
      <w:pPr>
        <w:pStyle w:val="Heading4"/>
      </w:pPr>
      <w:r w:rsidRPr="004C787F">
        <w:t>Primary factor and intermediate input shares</w:t>
      </w:r>
    </w:p>
    <w:p w14:paraId="7D39348E" w14:textId="4EA5404F" w:rsidR="00C430F0" w:rsidRPr="004C787F" w:rsidRDefault="00C430F0" w:rsidP="00C430F0">
      <w:r w:rsidRPr="004C787F">
        <w:t xml:space="preserve">The factor shares of production </w:t>
      </w:r>
      <w:r w:rsidR="009205EE" w:rsidRPr="009205EE">
        <w:rPr>
          <w:position w:val="-12"/>
        </w:rPr>
        <w:object w:dxaOrig="300" w:dyaOrig="380" w14:anchorId="6B44BE43">
          <v:shape id="_x0000_i1305" type="#_x0000_t75" style="width:15pt;height:18.6pt" o:ole="">
            <v:imagedata r:id="rId586" o:title=""/>
          </v:shape>
          <o:OLEObject Type="Embed" ProgID="Equation.DSMT4" ShapeID="_x0000_i1305" DrawAspect="Content" ObjectID="_1755515759" r:id="rId587"/>
        </w:object>
      </w:r>
      <w:r w:rsidRPr="004C787F">
        <w:t xml:space="preserve">, </w:t>
      </w:r>
      <w:r w:rsidR="009205EE" w:rsidRPr="009205EE">
        <w:rPr>
          <w:position w:val="-12"/>
        </w:rPr>
        <w:object w:dxaOrig="300" w:dyaOrig="380" w14:anchorId="0D78C41B">
          <v:shape id="_x0000_i1306" type="#_x0000_t75" style="width:15pt;height:18.6pt" o:ole="">
            <v:imagedata r:id="rId588" o:title=""/>
          </v:shape>
          <o:OLEObject Type="Embed" ProgID="Equation.DSMT4" ShapeID="_x0000_i1306" DrawAspect="Content" ObjectID="_1755515760" r:id="rId589"/>
        </w:object>
      </w:r>
      <w:r w:rsidRPr="004C787F">
        <w:t xml:space="preserve">, </w:t>
      </w:r>
      <w:r w:rsidR="009205EE" w:rsidRPr="009205EE">
        <w:rPr>
          <w:position w:val="-12"/>
        </w:rPr>
        <w:object w:dxaOrig="340" w:dyaOrig="380" w14:anchorId="0F7BDEA6">
          <v:shape id="_x0000_i1307" type="#_x0000_t75" style="width:17.4pt;height:18.6pt" o:ole="">
            <v:imagedata r:id="rId590" o:title=""/>
          </v:shape>
          <o:OLEObject Type="Embed" ProgID="Equation.DSMT4" ShapeID="_x0000_i1307" DrawAspect="Content" ObjectID="_1755515761" r:id="rId591"/>
        </w:object>
      </w:r>
      <w:r w:rsidRPr="004C787F">
        <w:t xml:space="preserve"> and </w:t>
      </w:r>
      <w:r w:rsidR="009205EE" w:rsidRPr="009205EE">
        <w:rPr>
          <w:position w:val="-12"/>
        </w:rPr>
        <w:object w:dxaOrig="320" w:dyaOrig="380" w14:anchorId="0C6CD26E">
          <v:shape id="_x0000_i1308" type="#_x0000_t75" style="width:16.2pt;height:18.6pt" o:ole="">
            <v:imagedata r:id="rId592" o:title=""/>
          </v:shape>
          <o:OLEObject Type="Embed" ProgID="Equation.DSMT4" ShapeID="_x0000_i1308" DrawAspect="Content" ObjectID="_1755515762" r:id="rId593"/>
        </w:object>
      </w:r>
      <w:r w:rsidRPr="004C787F">
        <w:t xml:space="preserve"> are calibrated using the shares of compensation of employees (COE), gross operating surplus (GOS), gross mixed income (GMI) </w:t>
      </w:r>
      <w:r w:rsidRPr="004C787F" w:rsidDel="004041C9">
        <w:t xml:space="preserve">and </w:t>
      </w:r>
      <w:r w:rsidRPr="004C787F">
        <w:t>intermediate inputs from the I</w:t>
      </w:r>
      <w:r w:rsidRPr="004C787F">
        <w:noBreakHyphen/>
        <w:t xml:space="preserve">O tables. As Version 1.0 of TIM contains 114 industries, there are 114 factor shares for each of </w:t>
      </w:r>
      <w:r w:rsidR="009205EE" w:rsidRPr="009205EE">
        <w:rPr>
          <w:position w:val="-12"/>
        </w:rPr>
        <w:object w:dxaOrig="300" w:dyaOrig="380" w14:anchorId="123B1CC7">
          <v:shape id="_x0000_i1309" type="#_x0000_t75" style="width:15pt;height:18.6pt" o:ole="">
            <v:imagedata r:id="rId594" o:title=""/>
          </v:shape>
          <o:OLEObject Type="Embed" ProgID="Equation.DSMT4" ShapeID="_x0000_i1309" DrawAspect="Content" ObjectID="_1755515763" r:id="rId595"/>
        </w:object>
      </w:r>
      <w:r w:rsidRPr="004C787F">
        <w:t xml:space="preserve">, </w:t>
      </w:r>
      <w:r w:rsidR="009205EE" w:rsidRPr="009205EE">
        <w:rPr>
          <w:position w:val="-12"/>
        </w:rPr>
        <w:object w:dxaOrig="300" w:dyaOrig="380" w14:anchorId="47F43AD2">
          <v:shape id="_x0000_i1310" type="#_x0000_t75" style="width:15pt;height:18.6pt" o:ole="">
            <v:imagedata r:id="rId596" o:title=""/>
          </v:shape>
          <o:OLEObject Type="Embed" ProgID="Equation.DSMT4" ShapeID="_x0000_i1310" DrawAspect="Content" ObjectID="_1755515764" r:id="rId597"/>
        </w:object>
      </w:r>
      <w:r w:rsidRPr="004C787F">
        <w:t xml:space="preserve">, </w:t>
      </w:r>
      <w:r w:rsidR="009205EE" w:rsidRPr="009205EE">
        <w:rPr>
          <w:position w:val="-12"/>
        </w:rPr>
        <w:object w:dxaOrig="340" w:dyaOrig="380" w14:anchorId="3BD5D66F">
          <v:shape id="_x0000_i1311" type="#_x0000_t75" style="width:17.4pt;height:18.6pt" o:ole="">
            <v:imagedata r:id="rId598" o:title=""/>
          </v:shape>
          <o:OLEObject Type="Embed" ProgID="Equation.DSMT4" ShapeID="_x0000_i1311" DrawAspect="Content" ObjectID="_1755515765" r:id="rId599"/>
        </w:object>
      </w:r>
      <w:r w:rsidRPr="004C787F">
        <w:t xml:space="preserve"> and </w:t>
      </w:r>
      <w:r w:rsidR="009205EE" w:rsidRPr="009205EE">
        <w:rPr>
          <w:position w:val="-12"/>
        </w:rPr>
        <w:object w:dxaOrig="320" w:dyaOrig="380" w14:anchorId="43034543">
          <v:shape id="_x0000_i1312" type="#_x0000_t75" style="width:16.2pt;height:18.6pt" o:ole="">
            <v:imagedata r:id="rId600" o:title=""/>
          </v:shape>
          <o:OLEObject Type="Embed" ProgID="Equation.DSMT4" ShapeID="_x0000_i1312" DrawAspect="Content" ObjectID="_1755515766" r:id="rId601"/>
        </w:object>
      </w:r>
      <w:r>
        <w:t>.</w:t>
      </w:r>
    </w:p>
    <w:p w14:paraId="16A21889" w14:textId="23D95EF2" w:rsidR="00C430F0" w:rsidRPr="004C787F" w:rsidRDefault="00C430F0" w:rsidP="00C430F0">
      <w:pPr>
        <w:keepLines/>
      </w:pPr>
      <w:r w:rsidRPr="004C787F">
        <w:t>The values for COE</w:t>
      </w:r>
      <w:r>
        <w:t xml:space="preserve"> </w:t>
      </w:r>
      <w:r w:rsidRPr="004C787F">
        <w:t>include the labour portion of GMI. The values for GOS include the capital portion of GMI. It is assumed t</w:t>
      </w:r>
      <w:r>
        <w:t>hat t</w:t>
      </w:r>
      <w:r w:rsidRPr="004C787F">
        <w:t xml:space="preserve">he ratio of labour to capital income in GMI is the same as the ratio of COE to GOS. Labour’s share of sectoral income, </w:t>
      </w:r>
      <w:r w:rsidR="009205EE" w:rsidRPr="009205EE">
        <w:rPr>
          <w:position w:val="-12"/>
        </w:rPr>
        <w:object w:dxaOrig="300" w:dyaOrig="380" w14:anchorId="41E176AA">
          <v:shape id="_x0000_i1313" type="#_x0000_t75" style="width:15pt;height:18.6pt" o:ole="">
            <v:imagedata r:id="rId602" o:title=""/>
          </v:shape>
          <o:OLEObject Type="Embed" ProgID="Equation.DSMT4" ShapeID="_x0000_i1313" DrawAspect="Content" ObjectID="_1755515767" r:id="rId603"/>
        </w:object>
      </w:r>
      <w:r w:rsidRPr="004C787F">
        <w:t xml:space="preserve">, is calculated using this adjusted COE. The fixed factor share of output, </w:t>
      </w:r>
      <w:r w:rsidR="009205EE" w:rsidRPr="009205EE">
        <w:rPr>
          <w:position w:val="-12"/>
        </w:rPr>
        <w:object w:dxaOrig="320" w:dyaOrig="380" w14:anchorId="3CDA51F1">
          <v:shape id="_x0000_i1314" type="#_x0000_t75" style="width:16.2pt;height:18.6pt" o:ole="">
            <v:imagedata r:id="rId604" o:title=""/>
          </v:shape>
          <o:OLEObject Type="Embed" ProgID="Equation.DSMT4" ShapeID="_x0000_i1314" DrawAspect="Content" ObjectID="_1755515768" r:id="rId605"/>
        </w:object>
      </w:r>
      <w:r w:rsidRPr="004C787F">
        <w:t>, is calculated using a combination of the System of National Accounts, ABS Multifactor Productivity data and the I</w:t>
      </w:r>
      <w:r w:rsidRPr="004C787F">
        <w:noBreakHyphen/>
        <w:t>O tables</w:t>
      </w:r>
      <w:r>
        <w:t xml:space="preserve"> (ABS </w:t>
      </w:r>
      <w:sdt>
        <w:sdtPr>
          <w:id w:val="662202364"/>
          <w:citation/>
        </w:sdtPr>
        <w:sdtEndPr/>
        <w:sdtContent>
          <w:r>
            <w:fldChar w:fldCharType="begin"/>
          </w:r>
          <w:r>
            <w:instrText xml:space="preserve">CITATION ABSNA1920 \n  \t  \l 3081 </w:instrText>
          </w:r>
          <w:r>
            <w:fldChar w:fldCharType="separate"/>
          </w:r>
          <w:r>
            <w:rPr>
              <w:noProof/>
            </w:rPr>
            <w:t>(2020a)</w:t>
          </w:r>
          <w:r>
            <w:fldChar w:fldCharType="end"/>
          </w:r>
        </w:sdtContent>
      </w:sdt>
      <w:r>
        <w:t xml:space="preserve">, ABS </w:t>
      </w:r>
      <w:sdt>
        <w:sdtPr>
          <w:id w:val="-923954029"/>
          <w:citation/>
        </w:sdtPr>
        <w:sdtEndPr/>
        <w:sdtContent>
          <w:r>
            <w:fldChar w:fldCharType="begin"/>
          </w:r>
          <w:r>
            <w:instrText xml:space="preserve">CITATION Aus20 \n  \t  \l 3081 </w:instrText>
          </w:r>
          <w:r>
            <w:fldChar w:fldCharType="separate"/>
          </w:r>
          <w:r>
            <w:rPr>
              <w:noProof/>
            </w:rPr>
            <w:t>(2020b)</w:t>
          </w:r>
          <w:r>
            <w:fldChar w:fldCharType="end"/>
          </w:r>
        </w:sdtContent>
      </w:sdt>
      <w:r>
        <w:t xml:space="preserve"> and ABS </w:t>
      </w:r>
      <w:sdt>
        <w:sdtPr>
          <w:id w:val="2072535237"/>
          <w:citation/>
        </w:sdtPr>
        <w:sdtEndPr/>
        <w:sdtContent>
          <w:r>
            <w:fldChar w:fldCharType="begin"/>
          </w:r>
          <w:r>
            <w:instrText xml:space="preserve">CITATION ABSIO1819 \n  \t  \l 3081 </w:instrText>
          </w:r>
          <w:r>
            <w:fldChar w:fldCharType="separate"/>
          </w:r>
          <w:r>
            <w:rPr>
              <w:noProof/>
            </w:rPr>
            <w:t>(2021b)</w:t>
          </w:r>
          <w:r>
            <w:fldChar w:fldCharType="end"/>
          </w:r>
        </w:sdtContent>
      </w:sdt>
      <w:r>
        <w:t>)</w:t>
      </w:r>
      <w:r w:rsidRPr="004C787F">
        <w:t>. Similarly, capital’s share of income, </w:t>
      </w:r>
      <w:r w:rsidR="009205EE" w:rsidRPr="009205EE">
        <w:rPr>
          <w:position w:val="-12"/>
        </w:rPr>
        <w:object w:dxaOrig="300" w:dyaOrig="380" w14:anchorId="59AD8C9B">
          <v:shape id="_x0000_i1315" type="#_x0000_t75" style="width:15pt;height:18.6pt" o:ole="">
            <v:imagedata r:id="rId606" o:title=""/>
          </v:shape>
          <o:OLEObject Type="Embed" ProgID="Equation.DSMT4" ShapeID="_x0000_i1315" DrawAspect="Content" ObjectID="_1755515769" r:id="rId607"/>
        </w:object>
      </w:r>
      <w:r w:rsidRPr="004C787F">
        <w:t>, is calculated using the adjusted GOS value from the ABS</w:t>
      </w:r>
      <w:r>
        <w:t xml:space="preserve"> </w:t>
      </w:r>
      <w:sdt>
        <w:sdtPr>
          <w:id w:val="-1721125858"/>
          <w:citation/>
        </w:sdtPr>
        <w:sdtEndPr/>
        <w:sdtContent>
          <w:r>
            <w:fldChar w:fldCharType="begin"/>
          </w:r>
          <w:r>
            <w:instrText xml:space="preserve">CITATION ABSIO1819 \n  \t  \l 3081 </w:instrText>
          </w:r>
          <w:r>
            <w:fldChar w:fldCharType="separate"/>
          </w:r>
          <w:r>
            <w:rPr>
              <w:noProof/>
            </w:rPr>
            <w:t>(2021b)</w:t>
          </w:r>
          <w:r>
            <w:fldChar w:fldCharType="end"/>
          </w:r>
        </w:sdtContent>
      </w:sdt>
      <w:r w:rsidRPr="004C787F">
        <w:t xml:space="preserve">, net the adjustment to COE and fixed factor income. The aggregate intermediate input share, </w:t>
      </w:r>
      <w:r w:rsidR="009205EE" w:rsidRPr="009205EE">
        <w:rPr>
          <w:position w:val="-12"/>
        </w:rPr>
        <w:object w:dxaOrig="340" w:dyaOrig="380" w14:anchorId="6DDB10EC">
          <v:shape id="_x0000_i1316" type="#_x0000_t75" style="width:17.4pt;height:18.6pt" o:ole="">
            <v:imagedata r:id="rId608" o:title=""/>
          </v:shape>
          <o:OLEObject Type="Embed" ProgID="Equation.DSMT4" ShapeID="_x0000_i1316" DrawAspect="Content" ObjectID="_1755515770" r:id="rId609"/>
        </w:object>
      </w:r>
      <w:r w:rsidRPr="004C787F">
        <w:t>, is obtained as a residual of the other three primary factor shares.</w:t>
      </w:r>
    </w:p>
    <w:p w14:paraId="6393F770" w14:textId="77777777" w:rsidR="00C430F0" w:rsidRPr="004C787F" w:rsidRDefault="00C430F0" w:rsidP="00C430F0">
      <w:pPr>
        <w:pStyle w:val="Heading4"/>
      </w:pPr>
      <w:r w:rsidRPr="004C787F">
        <w:t>Factor substitution</w:t>
      </w:r>
    </w:p>
    <w:p w14:paraId="3E888251" w14:textId="53A6E986" w:rsidR="00C430F0" w:rsidRPr="004C787F" w:rsidRDefault="00C430F0" w:rsidP="00C430F0">
      <w:r w:rsidRPr="004C787F">
        <w:t xml:space="preserve">The elasticity of substitution between capital, labour, the fixed factor and intermediate inputs, </w:t>
      </w:r>
      <w:r w:rsidR="009205EE" w:rsidRPr="009205EE">
        <w:rPr>
          <w:position w:val="-10"/>
        </w:rPr>
        <w:object w:dxaOrig="300" w:dyaOrig="360" w14:anchorId="3E949585">
          <v:shape id="_x0000_i1317" type="#_x0000_t75" style="width:15pt;height:18pt" o:ole="">
            <v:imagedata r:id="rId610" o:title=""/>
          </v:shape>
          <o:OLEObject Type="Embed" ProgID="Equation.DSMT4" ShapeID="_x0000_i1317" DrawAspect="Content" ObjectID="_1755515771" r:id="rId611"/>
        </w:object>
      </w:r>
      <w:r w:rsidRPr="004C787F">
        <w:t>, is set to 0.5. This is consistent with estimates of the elasticity of substitution between capital and labour reported by Hutchings and Kouparitsas</w:t>
      </w:r>
      <w:sdt>
        <w:sdtPr>
          <w:id w:val="1893075665"/>
          <w:citation/>
        </w:sdtPr>
        <w:sdtEndPr/>
        <w:sdtContent>
          <w:r w:rsidRPr="004C787F">
            <w:fldChar w:fldCharType="begin"/>
          </w:r>
          <w:r>
            <w:instrText xml:space="preserve">CITATION Kou12 \n  \t  \l 3081 </w:instrText>
          </w:r>
          <w:r w:rsidRPr="004C787F">
            <w:fldChar w:fldCharType="separate"/>
          </w:r>
          <w:r>
            <w:rPr>
              <w:noProof/>
            </w:rPr>
            <w:t xml:space="preserve"> (2012)</w:t>
          </w:r>
          <w:r w:rsidRPr="004C787F">
            <w:fldChar w:fldCharType="end"/>
          </w:r>
        </w:sdtContent>
      </w:sdt>
      <w:r w:rsidRPr="004C787F">
        <w:t>.</w:t>
      </w:r>
    </w:p>
    <w:p w14:paraId="15FC3638" w14:textId="77777777" w:rsidR="00C430F0" w:rsidRPr="004C787F" w:rsidRDefault="00C430F0" w:rsidP="00C430F0">
      <w:pPr>
        <w:pStyle w:val="Heading4"/>
      </w:pPr>
      <w:r w:rsidRPr="004C787F">
        <w:t>Input substitution</w:t>
      </w:r>
    </w:p>
    <w:p w14:paraId="07B8BF30" w14:textId="5B1E6694" w:rsidR="00C430F0" w:rsidRPr="004C787F" w:rsidRDefault="00C430F0" w:rsidP="00C430F0">
      <w:r w:rsidRPr="004C787F">
        <w:t xml:space="preserve">The investment input elasticity of substitution, </w:t>
      </w:r>
      <w:r w:rsidR="009205EE" w:rsidRPr="009205EE">
        <w:rPr>
          <w:position w:val="-10"/>
        </w:rPr>
        <w:object w:dxaOrig="320" w:dyaOrig="360" w14:anchorId="77E042DE">
          <v:shape id="_x0000_i1318" type="#_x0000_t75" style="width:16.2pt;height:18pt" o:ole="">
            <v:imagedata r:id="rId612" o:title=""/>
          </v:shape>
          <o:OLEObject Type="Embed" ProgID="Equation.DSMT4" ShapeID="_x0000_i1318" DrawAspect="Content" ObjectID="_1755515772" r:id="rId613"/>
        </w:object>
      </w:r>
      <w:r w:rsidRPr="004C787F">
        <w:t xml:space="preserve">, and the intermediate input elasticity of substitution, </w:t>
      </w:r>
      <w:r w:rsidR="009205EE" w:rsidRPr="009205EE">
        <w:rPr>
          <w:position w:val="-10"/>
        </w:rPr>
        <w:object w:dxaOrig="340" w:dyaOrig="360" w14:anchorId="2C7E792E">
          <v:shape id="_x0000_i1319" type="#_x0000_t75" style="width:17.4pt;height:18pt" o:ole="">
            <v:imagedata r:id="rId614" o:title=""/>
          </v:shape>
          <o:OLEObject Type="Embed" ProgID="Equation.DSMT4" ShapeID="_x0000_i1319" DrawAspect="Content" ObjectID="_1755515773" r:id="rId615"/>
        </w:object>
      </w:r>
      <w:r w:rsidRPr="004C787F">
        <w:t xml:space="preserve">, are set to 0.5. This is consistent with OLGA </w:t>
      </w:r>
      <w:sdt>
        <w:sdtPr>
          <w:id w:val="-4516112"/>
          <w:citation/>
        </w:sdtPr>
        <w:sdtEndPr/>
        <w:sdtContent>
          <w:r>
            <w:fldChar w:fldCharType="begin"/>
          </w:r>
          <w:r w:rsidR="00EA057D">
            <w:instrText xml:space="preserve">CITATION Cai19 \l 3081 </w:instrText>
          </w:r>
          <w:r>
            <w:fldChar w:fldCharType="separate"/>
          </w:r>
          <w:r w:rsidR="00EA057D">
            <w:rPr>
              <w:noProof/>
            </w:rPr>
            <w:t>(Cai, Gustafsson, Kouparitsas, Smith, &amp; Zhang, 2023)</w:t>
          </w:r>
          <w:r>
            <w:fldChar w:fldCharType="end"/>
          </w:r>
        </w:sdtContent>
      </w:sdt>
      <w:r w:rsidRPr="004C787F">
        <w:rPr>
          <w:lang w:val="en-US"/>
        </w:rPr>
        <w:t xml:space="preserve">. </w:t>
      </w:r>
    </w:p>
    <w:p w14:paraId="558B5ACB" w14:textId="77777777" w:rsidR="00C430F0" w:rsidRPr="004C787F" w:rsidRDefault="00C430F0" w:rsidP="00C430F0">
      <w:pPr>
        <w:pStyle w:val="Heading4"/>
      </w:pPr>
      <w:r w:rsidRPr="004C787F">
        <w:t>Investment and adjustment cost parameters</w:t>
      </w:r>
    </w:p>
    <w:p w14:paraId="5E270D17" w14:textId="04393708" w:rsidR="00C430F0" w:rsidRPr="004C787F" w:rsidRDefault="00C430F0" w:rsidP="00C430F0">
      <w:r w:rsidRPr="004C787F">
        <w:t xml:space="preserve">The industry capital depreciation rate, </w:t>
      </w:r>
      <w:r w:rsidR="009205EE" w:rsidRPr="009205EE">
        <w:rPr>
          <w:position w:val="-6"/>
        </w:rPr>
        <w:object w:dxaOrig="220" w:dyaOrig="279" w14:anchorId="5D8E8BDF">
          <v:shape id="_x0000_i1320" type="#_x0000_t75" style="width:11.4pt;height:13.8pt" o:ole="">
            <v:imagedata r:id="rId616" o:title=""/>
          </v:shape>
          <o:OLEObject Type="Embed" ProgID="Equation.DSMT4" ShapeID="_x0000_i1320" DrawAspect="Content" ObjectID="_1755515774" r:id="rId617"/>
        </w:object>
      </w:r>
      <w:r w:rsidRPr="004C787F">
        <w:t xml:space="preserve">, of 0.053 is estimated from the ABS </w:t>
      </w:r>
      <w:r>
        <w:t xml:space="preserve">System of </w:t>
      </w:r>
      <w:r w:rsidRPr="004C787F">
        <w:t>National Accounts 5204.0 Table 65</w:t>
      </w:r>
      <w:r>
        <w:t xml:space="preserve"> </w:t>
      </w:r>
      <w:sdt>
        <w:sdtPr>
          <w:id w:val="1564829783"/>
          <w:citation/>
        </w:sdtPr>
        <w:sdtEndPr/>
        <w:sdtContent>
          <w:r>
            <w:fldChar w:fldCharType="begin"/>
          </w:r>
          <w:r>
            <w:instrText xml:space="preserve"> CITATION ABSNA1920 \l 3081 </w:instrText>
          </w:r>
          <w:r>
            <w:fldChar w:fldCharType="separate"/>
          </w:r>
          <w:r>
            <w:rPr>
              <w:noProof/>
            </w:rPr>
            <w:t>(ABS, 2020a)</w:t>
          </w:r>
          <w:r>
            <w:fldChar w:fldCharType="end"/>
          </w:r>
        </w:sdtContent>
      </w:sdt>
      <w:r w:rsidRPr="004C787F">
        <w:t>.</w:t>
      </w:r>
    </w:p>
    <w:p w14:paraId="1B2E020D" w14:textId="1CE9BF92" w:rsidR="00C430F0" w:rsidRPr="004C787F" w:rsidRDefault="00C430F0" w:rsidP="00C430F0">
      <w:r w:rsidRPr="004C787F">
        <w:t>Consistent with the methodology followed by</w:t>
      </w:r>
      <w:r w:rsidRPr="004C787F">
        <w:rPr>
          <w:lang w:val="en-US"/>
        </w:rPr>
        <w:t xml:space="preserve"> Cai, et al., </w:t>
      </w:r>
      <w:sdt>
        <w:sdtPr>
          <w:id w:val="2024741525"/>
          <w:citation/>
        </w:sdtPr>
        <w:sdtEndPr/>
        <w:sdtContent>
          <w:r w:rsidRPr="004C787F">
            <w:fldChar w:fldCharType="begin"/>
          </w:r>
          <w:r w:rsidR="00EA057D">
            <w:instrText xml:space="preserve">CITATION Cai19 \n  \t  \l 3081 </w:instrText>
          </w:r>
          <w:r w:rsidRPr="004C787F">
            <w:fldChar w:fldCharType="separate"/>
          </w:r>
          <w:r w:rsidR="00EA057D">
            <w:rPr>
              <w:noProof/>
            </w:rPr>
            <w:t>(2023)</w:t>
          </w:r>
          <w:r w:rsidRPr="004C787F">
            <w:fldChar w:fldCharType="end"/>
          </w:r>
        </w:sdtContent>
      </w:sdt>
      <w:r w:rsidRPr="004C787F">
        <w:t>, an annual capital adjustment cost,</w:t>
      </w:r>
      <w:r>
        <w:t xml:space="preserve">  </w:t>
      </w:r>
      <w:r w:rsidR="009205EE" w:rsidRPr="009205EE">
        <w:rPr>
          <w:position w:val="-10"/>
        </w:rPr>
        <w:object w:dxaOrig="320" w:dyaOrig="360" w14:anchorId="4EB02596">
          <v:shape id="_x0000_i1321" type="#_x0000_t75" style="width:16.2pt;height:18pt" o:ole="">
            <v:imagedata r:id="rId618" o:title=""/>
          </v:shape>
          <o:OLEObject Type="Embed" ProgID="Equation.DSMT4" ShapeID="_x0000_i1321" DrawAspect="Content" ObjectID="_1755515775" r:id="rId619"/>
        </w:object>
      </w:r>
      <w:r w:rsidRPr="004C787F">
        <w:t>, of 2.5 is used. This parameter is consistent with D’Erasmo</w:t>
      </w:r>
      <w:r>
        <w:t>,</w:t>
      </w:r>
      <w:r w:rsidRPr="004C787F">
        <w:t xml:space="preserve"> et al</w:t>
      </w:r>
      <w:r>
        <w:t>.,</w:t>
      </w:r>
      <w:r w:rsidRPr="004C787F">
        <w:t xml:space="preserve"> </w:t>
      </w:r>
      <w:sdt>
        <w:sdtPr>
          <w:id w:val="-1803139717"/>
          <w:citation/>
        </w:sdtPr>
        <w:sdtEndPr/>
        <w:sdtContent>
          <w:r w:rsidRPr="004C787F">
            <w:fldChar w:fldCharType="begin"/>
          </w:r>
          <w:r w:rsidRPr="004C787F">
            <w:instrText xml:space="preserve">CITATION DEr16 \n  \t  \l 3081 </w:instrText>
          </w:r>
          <w:r w:rsidRPr="004C787F">
            <w:fldChar w:fldCharType="separate"/>
          </w:r>
          <w:r>
            <w:rPr>
              <w:noProof/>
            </w:rPr>
            <w:t>(2016)</w:t>
          </w:r>
          <w:r w:rsidRPr="004C787F">
            <w:fldChar w:fldCharType="end"/>
          </w:r>
        </w:sdtContent>
      </w:sdt>
      <w:r w:rsidRPr="004C787F">
        <w:t>, who use the elasticity of the capital tax base as the basis of their calibration.</w:t>
      </w:r>
    </w:p>
    <w:p w14:paraId="4F116644" w14:textId="7616FA11" w:rsidR="00C430F0" w:rsidRPr="004C787F" w:rsidRDefault="00C430F0" w:rsidP="00C430F0">
      <w:r w:rsidRPr="004C787F">
        <w:t>The labour adjustment cost</w:t>
      </w:r>
      <w:r>
        <w:t>,</w:t>
      </w:r>
      <w:r w:rsidRPr="004C787F">
        <w:t xml:space="preserve"> </w:t>
      </w:r>
      <w:r w:rsidR="009205EE" w:rsidRPr="009205EE">
        <w:rPr>
          <w:position w:val="-10"/>
        </w:rPr>
        <w:object w:dxaOrig="320" w:dyaOrig="360" w14:anchorId="24B02368">
          <v:shape id="_x0000_i1322" type="#_x0000_t75" style="width:16.2pt;height:18pt" o:ole="">
            <v:imagedata r:id="rId620" o:title=""/>
          </v:shape>
          <o:OLEObject Type="Embed" ProgID="Equation.DSMT4" ShapeID="_x0000_i1322" DrawAspect="Content" ObjectID="_1755515776" r:id="rId621"/>
        </w:object>
      </w:r>
      <w:r w:rsidRPr="004C787F">
        <w:t xml:space="preserve">, is set to 2, consistent with </w:t>
      </w:r>
      <w:r w:rsidRPr="004C787F">
        <w:rPr>
          <w:noProof/>
        </w:rPr>
        <w:t>Jaimovich and Rebelo</w:t>
      </w:r>
      <w:r w:rsidRPr="004C787F">
        <w:t xml:space="preserve"> </w:t>
      </w:r>
      <w:sdt>
        <w:sdtPr>
          <w:id w:val="103855792"/>
          <w:citation/>
        </w:sdtPr>
        <w:sdtEndPr/>
        <w:sdtContent>
          <w:r w:rsidRPr="004C787F">
            <w:fldChar w:fldCharType="begin"/>
          </w:r>
          <w:r>
            <w:instrText xml:space="preserve">CITATION Jai08 \n  \t  \l 3081 </w:instrText>
          </w:r>
          <w:r w:rsidRPr="004C787F">
            <w:fldChar w:fldCharType="separate"/>
          </w:r>
          <w:r>
            <w:rPr>
              <w:noProof/>
            </w:rPr>
            <w:t>(2008)</w:t>
          </w:r>
          <w:r w:rsidRPr="004C787F">
            <w:fldChar w:fldCharType="end"/>
          </w:r>
        </w:sdtContent>
      </w:sdt>
      <w:r w:rsidRPr="004C787F">
        <w:t>.</w:t>
      </w:r>
    </w:p>
    <w:p w14:paraId="698D2BB9" w14:textId="1DF6D900" w:rsidR="00C430F0" w:rsidRPr="004C787F" w:rsidRDefault="00C430F0" w:rsidP="00C430F0">
      <w:r w:rsidRPr="004C787F">
        <w:t xml:space="preserve">The firm’s investment shares, </w:t>
      </w:r>
      <w:r w:rsidR="009205EE" w:rsidRPr="009205EE">
        <w:rPr>
          <w:position w:val="-14"/>
        </w:rPr>
        <w:object w:dxaOrig="340" w:dyaOrig="400" w14:anchorId="4E95F5FA">
          <v:shape id="_x0000_i1323" type="#_x0000_t75" style="width:17.4pt;height:20.4pt" o:ole="">
            <v:imagedata r:id="rId622" o:title=""/>
          </v:shape>
          <o:OLEObject Type="Embed" ProgID="Equation.DSMT4" ShapeID="_x0000_i1323" DrawAspect="Content" ObjectID="_1755515777" r:id="rId623"/>
        </w:object>
      </w:r>
      <w:r w:rsidRPr="004C787F">
        <w:t xml:space="preserve">, are calibrated using the ABS National Accounts and </w:t>
      </w:r>
      <w:r w:rsidRPr="004C787F">
        <w:rPr>
          <w:lang w:val="en-US"/>
        </w:rPr>
        <w:t>I</w:t>
      </w:r>
      <w:r w:rsidRPr="004C787F">
        <w:rPr>
          <w:lang w:val="en-US"/>
        </w:rPr>
        <w:noBreakHyphen/>
        <w:t>O</w:t>
      </w:r>
      <w:r w:rsidRPr="004C787F">
        <w:t xml:space="preserve"> tables. The ABS </w:t>
      </w:r>
      <w:r>
        <w:t xml:space="preserve">System of </w:t>
      </w:r>
      <w:r w:rsidRPr="004C787F">
        <w:t>National Accounts 5204.0 Table 64</w:t>
      </w:r>
      <w:r>
        <w:t xml:space="preserve"> </w:t>
      </w:r>
      <w:sdt>
        <w:sdtPr>
          <w:id w:val="-1385012074"/>
          <w:citation/>
        </w:sdtPr>
        <w:sdtEndPr/>
        <w:sdtContent>
          <w:r>
            <w:fldChar w:fldCharType="begin"/>
          </w:r>
          <w:r>
            <w:instrText xml:space="preserve"> CITATION ABSNA1920 \l 3081 </w:instrText>
          </w:r>
          <w:r>
            <w:fldChar w:fldCharType="separate"/>
          </w:r>
          <w:r>
            <w:rPr>
              <w:noProof/>
            </w:rPr>
            <w:t>(ABS, 2020a)</w:t>
          </w:r>
          <w:r>
            <w:fldChar w:fldCharType="end"/>
          </w:r>
        </w:sdtContent>
      </w:sdt>
      <w:r w:rsidRPr="004C787F">
        <w:t xml:space="preserve"> provides private investment by capital type and two</w:t>
      </w:r>
      <w:r w:rsidRPr="004C787F">
        <w:noBreakHyphen/>
        <w:t xml:space="preserve">digit industry, and the </w:t>
      </w:r>
      <w:r w:rsidRPr="004C787F">
        <w:rPr>
          <w:lang w:val="en-US"/>
        </w:rPr>
        <w:t>I</w:t>
      </w:r>
      <w:r w:rsidRPr="004C787F">
        <w:rPr>
          <w:lang w:val="en-US"/>
        </w:rPr>
        <w:noBreakHyphen/>
        <w:t>O</w:t>
      </w:r>
      <w:r w:rsidRPr="004C787F">
        <w:t xml:space="preserve"> tables provide commodity use and taxation for private investment. </w:t>
      </w:r>
    </w:p>
    <w:p w14:paraId="67D33D0F" w14:textId="77777777" w:rsidR="00C430F0" w:rsidRPr="004C787F" w:rsidRDefault="00C430F0" w:rsidP="00C430F0">
      <w:pPr>
        <w:spacing w:before="0" w:after="200" w:line="276" w:lineRule="auto"/>
        <w:rPr>
          <w:rFonts w:ascii="Calibri" w:hAnsi="Calibri" w:cs="Arial"/>
          <w:color w:val="4D7861" w:themeColor="accent2"/>
          <w:kern w:val="32"/>
          <w:sz w:val="26"/>
          <w:szCs w:val="26"/>
        </w:rPr>
      </w:pPr>
      <w:r w:rsidRPr="004C787F">
        <w:br w:type="page"/>
      </w:r>
    </w:p>
    <w:p w14:paraId="2DDA5506" w14:textId="33EC08F0" w:rsidR="00C430F0" w:rsidRPr="00D4372F" w:rsidRDefault="00C430F0" w:rsidP="00C430F0">
      <w:pPr>
        <w:jc w:val="center"/>
        <w:rPr>
          <w:b/>
          <w:bCs/>
        </w:rPr>
      </w:pPr>
      <w:r w:rsidRPr="00D4372F">
        <w:rPr>
          <w:b/>
          <w:bCs/>
        </w:rPr>
        <w:t xml:space="preserve">Table </w:t>
      </w:r>
      <w:r w:rsidRPr="00D4372F">
        <w:rPr>
          <w:b/>
          <w:bCs/>
        </w:rPr>
        <w:fldChar w:fldCharType="begin"/>
      </w:r>
      <w:r w:rsidRPr="00D4372F">
        <w:rPr>
          <w:b/>
          <w:bCs/>
        </w:rPr>
        <w:instrText xml:space="preserve"> SEQ Table \* ARABIC </w:instrText>
      </w:r>
      <w:r w:rsidRPr="00D4372F">
        <w:rPr>
          <w:b/>
          <w:bCs/>
        </w:rPr>
        <w:fldChar w:fldCharType="separate"/>
      </w:r>
      <w:r w:rsidR="00354F38">
        <w:rPr>
          <w:b/>
          <w:bCs/>
          <w:noProof/>
        </w:rPr>
        <w:t>3</w:t>
      </w:r>
      <w:r w:rsidRPr="00D4372F">
        <w:rPr>
          <w:b/>
          <w:bCs/>
        </w:rPr>
        <w:fldChar w:fldCharType="end"/>
      </w:r>
      <w:r w:rsidRPr="00D4372F">
        <w:rPr>
          <w:b/>
          <w:bCs/>
        </w:rPr>
        <w:t xml:space="preserve">: </w:t>
      </w:r>
      <w:r>
        <w:rPr>
          <w:b/>
          <w:bCs/>
        </w:rPr>
        <w:t>TIM’s p</w:t>
      </w:r>
      <w:r w:rsidRPr="00D4372F">
        <w:rPr>
          <w:b/>
          <w:bCs/>
        </w:rPr>
        <w:t>roduction parameters</w:t>
      </w:r>
    </w:p>
    <w:tbl>
      <w:tblPr>
        <w:tblW w:w="5000" w:type="pct"/>
        <w:tblLook w:val="0460" w:firstRow="1" w:lastRow="1" w:firstColumn="0" w:lastColumn="0" w:noHBand="0" w:noVBand="1"/>
      </w:tblPr>
      <w:tblGrid>
        <w:gridCol w:w="1361"/>
        <w:gridCol w:w="1050"/>
        <w:gridCol w:w="6659"/>
      </w:tblGrid>
      <w:tr w:rsidR="00C430F0" w:rsidRPr="004C787F" w14:paraId="3782855D" w14:textId="77777777" w:rsidTr="00BD3921">
        <w:trPr>
          <w:trHeight w:val="170"/>
        </w:trPr>
        <w:tc>
          <w:tcPr>
            <w:tcW w:w="750" w:type="pct"/>
            <w:tcBorders>
              <w:top w:val="single" w:sz="4" w:space="0" w:color="auto"/>
              <w:bottom w:val="single" w:sz="4" w:space="0" w:color="auto"/>
            </w:tcBorders>
            <w:shd w:val="clear" w:color="auto" w:fill="EEEEEE" w:themeFill="background2"/>
          </w:tcPr>
          <w:p w14:paraId="2BFC823A" w14:textId="77777777" w:rsidR="00C430F0" w:rsidRPr="004C787F" w:rsidRDefault="00C430F0" w:rsidP="00BD3921">
            <w:pPr>
              <w:spacing w:before="40" w:after="40"/>
              <w:rPr>
                <w:b/>
                <w:color w:val="004A7F"/>
                <w:sz w:val="20"/>
              </w:rPr>
            </w:pPr>
            <w:r w:rsidRPr="004C787F">
              <w:rPr>
                <w:b/>
                <w:color w:val="004A7F"/>
                <w:sz w:val="20"/>
              </w:rPr>
              <w:t>Parameter</w:t>
            </w:r>
          </w:p>
        </w:tc>
        <w:tc>
          <w:tcPr>
            <w:tcW w:w="579" w:type="pct"/>
            <w:tcBorders>
              <w:top w:val="single" w:sz="4" w:space="0" w:color="auto"/>
              <w:bottom w:val="single" w:sz="4" w:space="0" w:color="auto"/>
            </w:tcBorders>
            <w:shd w:val="clear" w:color="auto" w:fill="EEEEEE" w:themeFill="background2"/>
          </w:tcPr>
          <w:p w14:paraId="111CA3A5" w14:textId="77777777" w:rsidR="00C430F0" w:rsidRPr="004C787F" w:rsidRDefault="00C430F0" w:rsidP="00BD3921">
            <w:pPr>
              <w:spacing w:before="40" w:after="40"/>
              <w:rPr>
                <w:b/>
                <w:color w:val="004A7F"/>
                <w:sz w:val="20"/>
              </w:rPr>
            </w:pPr>
            <w:r w:rsidRPr="004C787F">
              <w:rPr>
                <w:b/>
                <w:color w:val="004A7F"/>
                <w:sz w:val="20"/>
              </w:rPr>
              <w:t>Value</w:t>
            </w:r>
          </w:p>
        </w:tc>
        <w:tc>
          <w:tcPr>
            <w:tcW w:w="3671" w:type="pct"/>
            <w:tcBorders>
              <w:top w:val="single" w:sz="4" w:space="0" w:color="auto"/>
              <w:bottom w:val="single" w:sz="4" w:space="0" w:color="auto"/>
            </w:tcBorders>
            <w:shd w:val="clear" w:color="auto" w:fill="EEEEEE" w:themeFill="background2"/>
          </w:tcPr>
          <w:p w14:paraId="12BEA9BD" w14:textId="77777777" w:rsidR="00C430F0" w:rsidRPr="004C787F" w:rsidRDefault="00C430F0" w:rsidP="00BD3921">
            <w:pPr>
              <w:spacing w:before="40" w:after="40"/>
              <w:rPr>
                <w:b/>
                <w:color w:val="004A7F"/>
                <w:sz w:val="20"/>
              </w:rPr>
            </w:pPr>
            <w:r w:rsidRPr="004C787F">
              <w:rPr>
                <w:b/>
                <w:color w:val="004A7F"/>
                <w:sz w:val="20"/>
              </w:rPr>
              <w:t>Description</w:t>
            </w:r>
          </w:p>
        </w:tc>
      </w:tr>
      <w:tr w:rsidR="00C430F0" w:rsidRPr="004C787F" w14:paraId="38AF4E6C" w14:textId="77777777" w:rsidTr="00BD3921">
        <w:trPr>
          <w:trHeight w:val="510"/>
        </w:trPr>
        <w:tc>
          <w:tcPr>
            <w:tcW w:w="750" w:type="pct"/>
            <w:tcBorders>
              <w:top w:val="single" w:sz="4" w:space="0" w:color="auto"/>
              <w:right w:val="single" w:sz="4" w:space="0" w:color="auto"/>
            </w:tcBorders>
            <w:shd w:val="clear" w:color="auto" w:fill="EEEEEE" w:themeFill="background2"/>
            <w:vAlign w:val="center"/>
          </w:tcPr>
          <w:p w14:paraId="25430220" w14:textId="359CAF81" w:rsidR="00C430F0" w:rsidRPr="004C787F" w:rsidRDefault="009205EE" w:rsidP="00BD3921">
            <w:pPr>
              <w:spacing w:before="40" w:after="40"/>
              <w:rPr>
                <w:color w:val="000000"/>
                <w:sz w:val="18"/>
              </w:rPr>
            </w:pPr>
            <w:r w:rsidRPr="009205EE">
              <w:rPr>
                <w:position w:val="-10"/>
              </w:rPr>
              <w:object w:dxaOrig="300" w:dyaOrig="360" w14:anchorId="2F7385D2">
                <v:shape id="_x0000_i1324" type="#_x0000_t75" style="width:15pt;height:18pt" o:ole="">
                  <v:imagedata r:id="rId624" o:title=""/>
                </v:shape>
                <o:OLEObject Type="Embed" ProgID="Equation.DSMT4" ShapeID="_x0000_i1324" DrawAspect="Content" ObjectID="_1755515778" r:id="rId625"/>
              </w:object>
            </w:r>
          </w:p>
        </w:tc>
        <w:tc>
          <w:tcPr>
            <w:tcW w:w="579" w:type="pct"/>
            <w:tcBorders>
              <w:top w:val="single" w:sz="4" w:space="0" w:color="auto"/>
              <w:left w:val="single" w:sz="4" w:space="0" w:color="auto"/>
            </w:tcBorders>
            <w:vAlign w:val="center"/>
          </w:tcPr>
          <w:p w14:paraId="16B54817" w14:textId="77777777" w:rsidR="00C430F0" w:rsidRPr="004C787F" w:rsidRDefault="00C430F0" w:rsidP="00BD3921">
            <w:pPr>
              <w:spacing w:before="40" w:after="40"/>
              <w:rPr>
                <w:color w:val="000000"/>
                <w:sz w:val="18"/>
              </w:rPr>
            </w:pPr>
            <w:r w:rsidRPr="004C787F">
              <w:rPr>
                <w:color w:val="000000"/>
                <w:sz w:val="18"/>
              </w:rPr>
              <w:t>0.5</w:t>
            </w:r>
          </w:p>
        </w:tc>
        <w:tc>
          <w:tcPr>
            <w:tcW w:w="3671" w:type="pct"/>
            <w:tcBorders>
              <w:top w:val="single" w:sz="4" w:space="0" w:color="auto"/>
            </w:tcBorders>
            <w:vAlign w:val="center"/>
          </w:tcPr>
          <w:p w14:paraId="439B5241" w14:textId="77777777" w:rsidR="00C430F0" w:rsidRPr="004C787F" w:rsidRDefault="00C430F0" w:rsidP="00BD3921">
            <w:pPr>
              <w:spacing w:before="40" w:after="40"/>
              <w:rPr>
                <w:color w:val="000000"/>
                <w:sz w:val="18"/>
              </w:rPr>
            </w:pPr>
            <w:r w:rsidRPr="004C787F">
              <w:rPr>
                <w:color w:val="000000"/>
                <w:sz w:val="18"/>
              </w:rPr>
              <w:t>Elasticity of substitution between the fixed factor, labour, capital, and intermediate input</w:t>
            </w:r>
          </w:p>
        </w:tc>
      </w:tr>
      <w:tr w:rsidR="00C430F0" w:rsidRPr="004C787F" w14:paraId="2CA2DAAD" w14:textId="77777777" w:rsidTr="00BD3921">
        <w:trPr>
          <w:trHeight w:val="510"/>
        </w:trPr>
        <w:tc>
          <w:tcPr>
            <w:tcW w:w="750" w:type="pct"/>
            <w:tcBorders>
              <w:right w:val="single" w:sz="4" w:space="0" w:color="auto"/>
            </w:tcBorders>
            <w:shd w:val="clear" w:color="auto" w:fill="EEEEEE" w:themeFill="background2"/>
            <w:vAlign w:val="center"/>
          </w:tcPr>
          <w:p w14:paraId="386051A9" w14:textId="16B97473" w:rsidR="00C430F0" w:rsidRPr="004C787F" w:rsidRDefault="009205EE" w:rsidP="00BD3921">
            <w:pPr>
              <w:spacing w:before="40" w:after="40"/>
              <w:rPr>
                <w:color w:val="000000"/>
                <w:sz w:val="18"/>
              </w:rPr>
            </w:pPr>
            <w:r w:rsidRPr="009205EE">
              <w:rPr>
                <w:position w:val="-10"/>
              </w:rPr>
              <w:object w:dxaOrig="340" w:dyaOrig="360" w14:anchorId="0F113578">
                <v:shape id="_x0000_i1325" type="#_x0000_t75" style="width:17.4pt;height:18pt" o:ole="">
                  <v:imagedata r:id="rId626" o:title=""/>
                </v:shape>
                <o:OLEObject Type="Embed" ProgID="Equation.DSMT4" ShapeID="_x0000_i1325" DrawAspect="Content" ObjectID="_1755515779" r:id="rId627"/>
              </w:object>
            </w:r>
          </w:p>
        </w:tc>
        <w:tc>
          <w:tcPr>
            <w:tcW w:w="579" w:type="pct"/>
            <w:tcBorders>
              <w:left w:val="single" w:sz="4" w:space="0" w:color="auto"/>
            </w:tcBorders>
            <w:vAlign w:val="center"/>
          </w:tcPr>
          <w:p w14:paraId="6229A4B9" w14:textId="77777777" w:rsidR="00C430F0" w:rsidRPr="004C787F" w:rsidRDefault="00C430F0" w:rsidP="00BD3921">
            <w:pPr>
              <w:spacing w:before="40" w:after="40"/>
              <w:rPr>
                <w:color w:val="000000"/>
                <w:sz w:val="18"/>
              </w:rPr>
            </w:pPr>
            <w:r w:rsidRPr="004C787F">
              <w:rPr>
                <w:color w:val="000000"/>
                <w:sz w:val="18"/>
              </w:rPr>
              <w:t>0.5</w:t>
            </w:r>
          </w:p>
        </w:tc>
        <w:tc>
          <w:tcPr>
            <w:tcW w:w="3671" w:type="pct"/>
            <w:vAlign w:val="center"/>
          </w:tcPr>
          <w:p w14:paraId="72A12F5C" w14:textId="77777777" w:rsidR="00C430F0" w:rsidRPr="004C787F" w:rsidRDefault="00C430F0" w:rsidP="00BD3921">
            <w:pPr>
              <w:spacing w:before="40" w:after="40"/>
              <w:rPr>
                <w:color w:val="000000"/>
                <w:sz w:val="18"/>
              </w:rPr>
            </w:pPr>
            <w:r w:rsidRPr="004C787F">
              <w:rPr>
                <w:color w:val="000000"/>
                <w:sz w:val="18"/>
              </w:rPr>
              <w:t>Elasticity of substitution between different intermediate input commodities</w:t>
            </w:r>
          </w:p>
        </w:tc>
      </w:tr>
      <w:tr w:rsidR="00C430F0" w:rsidRPr="004C787F" w14:paraId="53053DEE" w14:textId="77777777" w:rsidTr="00BD3921">
        <w:trPr>
          <w:trHeight w:val="510"/>
        </w:trPr>
        <w:tc>
          <w:tcPr>
            <w:tcW w:w="750" w:type="pct"/>
            <w:tcBorders>
              <w:right w:val="single" w:sz="4" w:space="0" w:color="auto"/>
            </w:tcBorders>
            <w:shd w:val="clear" w:color="auto" w:fill="EEEEEE" w:themeFill="background2"/>
            <w:vAlign w:val="center"/>
          </w:tcPr>
          <w:p w14:paraId="7EABFB3B" w14:textId="559DCEB7" w:rsidR="00C430F0" w:rsidRPr="004C787F" w:rsidRDefault="009205EE" w:rsidP="00BD3921">
            <w:pPr>
              <w:spacing w:before="40" w:after="40"/>
              <w:rPr>
                <w:color w:val="000000"/>
                <w:sz w:val="18"/>
              </w:rPr>
            </w:pPr>
            <w:r w:rsidRPr="009205EE">
              <w:rPr>
                <w:position w:val="-10"/>
              </w:rPr>
              <w:object w:dxaOrig="320" w:dyaOrig="360" w14:anchorId="76828DB6">
                <v:shape id="_x0000_i1326" type="#_x0000_t75" style="width:16.2pt;height:18pt" o:ole="">
                  <v:imagedata r:id="rId628" o:title=""/>
                </v:shape>
                <o:OLEObject Type="Embed" ProgID="Equation.DSMT4" ShapeID="_x0000_i1326" DrawAspect="Content" ObjectID="_1755515780" r:id="rId629"/>
              </w:object>
            </w:r>
          </w:p>
        </w:tc>
        <w:tc>
          <w:tcPr>
            <w:tcW w:w="579" w:type="pct"/>
            <w:tcBorders>
              <w:left w:val="single" w:sz="4" w:space="0" w:color="auto"/>
            </w:tcBorders>
            <w:vAlign w:val="center"/>
          </w:tcPr>
          <w:p w14:paraId="26D20537" w14:textId="77777777" w:rsidR="00C430F0" w:rsidRPr="004C787F" w:rsidRDefault="00C430F0" w:rsidP="00BD3921">
            <w:pPr>
              <w:spacing w:before="40" w:after="40"/>
              <w:rPr>
                <w:color w:val="000000"/>
                <w:sz w:val="18"/>
              </w:rPr>
            </w:pPr>
            <w:r w:rsidRPr="004C787F">
              <w:rPr>
                <w:color w:val="000000"/>
                <w:sz w:val="18"/>
              </w:rPr>
              <w:t>0.5</w:t>
            </w:r>
          </w:p>
        </w:tc>
        <w:tc>
          <w:tcPr>
            <w:tcW w:w="3671" w:type="pct"/>
            <w:vAlign w:val="center"/>
          </w:tcPr>
          <w:p w14:paraId="621ECF58" w14:textId="77777777" w:rsidR="00C430F0" w:rsidRPr="004C787F" w:rsidRDefault="00C430F0" w:rsidP="00BD3921">
            <w:pPr>
              <w:spacing w:before="40" w:after="40"/>
              <w:rPr>
                <w:color w:val="000000"/>
                <w:sz w:val="18"/>
              </w:rPr>
            </w:pPr>
            <w:r w:rsidRPr="004C787F">
              <w:rPr>
                <w:color w:val="000000"/>
                <w:sz w:val="18"/>
              </w:rPr>
              <w:t>Elasticity of substitution between different investment commodities</w:t>
            </w:r>
          </w:p>
        </w:tc>
      </w:tr>
      <w:tr w:rsidR="00C430F0" w:rsidRPr="004C787F" w14:paraId="4FDEDB3A" w14:textId="77777777" w:rsidTr="00BD3921">
        <w:trPr>
          <w:trHeight w:val="510"/>
        </w:trPr>
        <w:tc>
          <w:tcPr>
            <w:tcW w:w="750" w:type="pct"/>
            <w:tcBorders>
              <w:right w:val="single" w:sz="4" w:space="0" w:color="auto"/>
            </w:tcBorders>
            <w:shd w:val="clear" w:color="auto" w:fill="EEEEEE" w:themeFill="background2"/>
            <w:vAlign w:val="center"/>
          </w:tcPr>
          <w:p w14:paraId="0B25C0EF" w14:textId="3D7FC336" w:rsidR="00C430F0" w:rsidRPr="004C787F" w:rsidRDefault="009205EE" w:rsidP="00BD3921">
            <w:pPr>
              <w:spacing w:before="40" w:after="40"/>
              <w:rPr>
                <w:color w:val="000000"/>
                <w:sz w:val="18"/>
              </w:rPr>
            </w:pPr>
            <w:r w:rsidRPr="009205EE">
              <w:rPr>
                <w:position w:val="-10"/>
              </w:rPr>
              <w:object w:dxaOrig="320" w:dyaOrig="360" w14:anchorId="2787D48B">
                <v:shape id="_x0000_i1327" type="#_x0000_t75" style="width:16.2pt;height:18pt" o:ole="">
                  <v:imagedata r:id="rId630" o:title=""/>
                </v:shape>
                <o:OLEObject Type="Embed" ProgID="Equation.DSMT4" ShapeID="_x0000_i1327" DrawAspect="Content" ObjectID="_1755515781" r:id="rId631"/>
              </w:object>
            </w:r>
          </w:p>
        </w:tc>
        <w:tc>
          <w:tcPr>
            <w:tcW w:w="579" w:type="pct"/>
            <w:tcBorders>
              <w:left w:val="single" w:sz="4" w:space="0" w:color="auto"/>
            </w:tcBorders>
            <w:vAlign w:val="center"/>
          </w:tcPr>
          <w:p w14:paraId="426752C3" w14:textId="77777777" w:rsidR="00C430F0" w:rsidRPr="004C787F" w:rsidRDefault="00C430F0" w:rsidP="00BD3921">
            <w:pPr>
              <w:spacing w:before="40" w:after="40"/>
              <w:rPr>
                <w:color w:val="000000"/>
                <w:sz w:val="18"/>
              </w:rPr>
            </w:pPr>
            <w:r w:rsidRPr="004C787F">
              <w:rPr>
                <w:color w:val="000000"/>
                <w:sz w:val="18"/>
              </w:rPr>
              <w:t>2</w:t>
            </w:r>
          </w:p>
        </w:tc>
        <w:tc>
          <w:tcPr>
            <w:tcW w:w="3671" w:type="pct"/>
            <w:vAlign w:val="center"/>
          </w:tcPr>
          <w:p w14:paraId="10DED6B0" w14:textId="77777777" w:rsidR="00C430F0" w:rsidRPr="004C787F" w:rsidRDefault="00C430F0" w:rsidP="00BD3921">
            <w:pPr>
              <w:spacing w:before="40" w:after="40"/>
              <w:rPr>
                <w:color w:val="000000"/>
                <w:sz w:val="18"/>
              </w:rPr>
            </w:pPr>
            <w:r w:rsidRPr="004C787F">
              <w:rPr>
                <w:color w:val="000000"/>
                <w:sz w:val="18"/>
              </w:rPr>
              <w:t>Labour adjustment cost parameter</w:t>
            </w:r>
          </w:p>
        </w:tc>
      </w:tr>
      <w:tr w:rsidR="00C430F0" w:rsidRPr="004C787F" w14:paraId="320D2194" w14:textId="77777777" w:rsidTr="00BD3921">
        <w:trPr>
          <w:trHeight w:val="510"/>
        </w:trPr>
        <w:tc>
          <w:tcPr>
            <w:tcW w:w="750" w:type="pct"/>
            <w:tcBorders>
              <w:right w:val="single" w:sz="4" w:space="0" w:color="auto"/>
            </w:tcBorders>
            <w:shd w:val="clear" w:color="auto" w:fill="EEEEEE" w:themeFill="background2"/>
            <w:vAlign w:val="center"/>
          </w:tcPr>
          <w:p w14:paraId="338D303D" w14:textId="73D72B4B" w:rsidR="00C430F0" w:rsidRPr="004C787F" w:rsidRDefault="009205EE" w:rsidP="00BD3921">
            <w:pPr>
              <w:spacing w:before="40" w:after="40"/>
              <w:rPr>
                <w:color w:val="000000"/>
                <w:sz w:val="18"/>
              </w:rPr>
            </w:pPr>
            <w:r w:rsidRPr="009205EE">
              <w:rPr>
                <w:position w:val="-10"/>
              </w:rPr>
              <w:object w:dxaOrig="320" w:dyaOrig="360" w14:anchorId="0EA1F5A3">
                <v:shape id="_x0000_i1328" type="#_x0000_t75" style="width:16.2pt;height:18pt" o:ole="">
                  <v:imagedata r:id="rId632" o:title=""/>
                </v:shape>
                <o:OLEObject Type="Embed" ProgID="Equation.DSMT4" ShapeID="_x0000_i1328" DrawAspect="Content" ObjectID="_1755515782" r:id="rId633"/>
              </w:object>
            </w:r>
          </w:p>
        </w:tc>
        <w:tc>
          <w:tcPr>
            <w:tcW w:w="579" w:type="pct"/>
            <w:tcBorders>
              <w:left w:val="single" w:sz="4" w:space="0" w:color="auto"/>
            </w:tcBorders>
            <w:vAlign w:val="center"/>
          </w:tcPr>
          <w:p w14:paraId="4A806AC7" w14:textId="77777777" w:rsidR="00C430F0" w:rsidRPr="004C787F" w:rsidRDefault="00C430F0" w:rsidP="00BD3921">
            <w:pPr>
              <w:spacing w:before="40" w:after="40"/>
              <w:rPr>
                <w:color w:val="000000"/>
                <w:sz w:val="18"/>
              </w:rPr>
            </w:pPr>
            <w:r w:rsidRPr="004C787F">
              <w:rPr>
                <w:color w:val="000000"/>
                <w:sz w:val="18"/>
              </w:rPr>
              <w:t>2.5</w:t>
            </w:r>
          </w:p>
        </w:tc>
        <w:tc>
          <w:tcPr>
            <w:tcW w:w="3671" w:type="pct"/>
            <w:vAlign w:val="center"/>
          </w:tcPr>
          <w:p w14:paraId="3B8D2D3C" w14:textId="77777777" w:rsidR="00C430F0" w:rsidRPr="004C787F" w:rsidRDefault="00C430F0" w:rsidP="00BD3921">
            <w:pPr>
              <w:spacing w:before="40" w:after="40"/>
              <w:rPr>
                <w:color w:val="000000"/>
                <w:sz w:val="18"/>
              </w:rPr>
            </w:pPr>
            <w:r w:rsidRPr="004C787F">
              <w:rPr>
                <w:color w:val="000000"/>
                <w:sz w:val="18"/>
              </w:rPr>
              <w:t>Capital adjustment cost parameter</w:t>
            </w:r>
          </w:p>
        </w:tc>
      </w:tr>
      <w:tr w:rsidR="00C430F0" w:rsidRPr="004C787F" w14:paraId="45417F9B" w14:textId="77777777" w:rsidTr="00BD3921">
        <w:trPr>
          <w:trHeight w:val="510"/>
        </w:trPr>
        <w:tc>
          <w:tcPr>
            <w:tcW w:w="750" w:type="pct"/>
            <w:tcBorders>
              <w:bottom w:val="single" w:sz="4" w:space="0" w:color="auto"/>
              <w:right w:val="single" w:sz="4" w:space="0" w:color="auto"/>
            </w:tcBorders>
            <w:shd w:val="clear" w:color="auto" w:fill="EEEEEE" w:themeFill="background2"/>
            <w:vAlign w:val="center"/>
          </w:tcPr>
          <w:p w14:paraId="3CCDE8E2" w14:textId="0E4FF248" w:rsidR="00C430F0" w:rsidRPr="004C787F" w:rsidRDefault="009205EE" w:rsidP="00BD3921">
            <w:pPr>
              <w:spacing w:before="40" w:after="40"/>
              <w:rPr>
                <w:color w:val="000000"/>
                <w:sz w:val="18"/>
              </w:rPr>
            </w:pPr>
            <w:r w:rsidRPr="009205EE">
              <w:rPr>
                <w:position w:val="-6"/>
              </w:rPr>
              <w:object w:dxaOrig="220" w:dyaOrig="279" w14:anchorId="09D44177">
                <v:shape id="_x0000_i1329" type="#_x0000_t75" style="width:11.4pt;height:13.8pt" o:ole="">
                  <v:imagedata r:id="rId634" o:title=""/>
                </v:shape>
                <o:OLEObject Type="Embed" ProgID="Equation.DSMT4" ShapeID="_x0000_i1329" DrawAspect="Content" ObjectID="_1755515783" r:id="rId635"/>
              </w:object>
            </w:r>
          </w:p>
        </w:tc>
        <w:tc>
          <w:tcPr>
            <w:tcW w:w="579" w:type="pct"/>
            <w:tcBorders>
              <w:left w:val="single" w:sz="4" w:space="0" w:color="auto"/>
              <w:bottom w:val="single" w:sz="4" w:space="0" w:color="auto"/>
            </w:tcBorders>
            <w:vAlign w:val="center"/>
          </w:tcPr>
          <w:p w14:paraId="426BEFD5" w14:textId="77777777" w:rsidR="00C430F0" w:rsidRPr="004C787F" w:rsidRDefault="00C430F0" w:rsidP="00BD3921">
            <w:pPr>
              <w:spacing w:before="40" w:after="40"/>
              <w:rPr>
                <w:color w:val="000000"/>
                <w:sz w:val="18"/>
              </w:rPr>
            </w:pPr>
            <w:r w:rsidRPr="004C787F">
              <w:rPr>
                <w:color w:val="000000"/>
                <w:sz w:val="18"/>
              </w:rPr>
              <w:t>0.053</w:t>
            </w:r>
          </w:p>
        </w:tc>
        <w:tc>
          <w:tcPr>
            <w:tcW w:w="3671" w:type="pct"/>
            <w:tcBorders>
              <w:bottom w:val="single" w:sz="4" w:space="0" w:color="auto"/>
            </w:tcBorders>
            <w:vAlign w:val="center"/>
          </w:tcPr>
          <w:p w14:paraId="41DC8E07" w14:textId="77777777" w:rsidR="00C430F0" w:rsidRPr="004C787F" w:rsidRDefault="00C430F0" w:rsidP="00BD3921">
            <w:pPr>
              <w:spacing w:before="40" w:after="40"/>
              <w:rPr>
                <w:color w:val="000000"/>
                <w:sz w:val="18"/>
              </w:rPr>
            </w:pPr>
            <w:r w:rsidRPr="004C787F">
              <w:rPr>
                <w:color w:val="000000"/>
                <w:sz w:val="18"/>
              </w:rPr>
              <w:t>Capital depreciation rate</w:t>
            </w:r>
          </w:p>
        </w:tc>
      </w:tr>
    </w:tbl>
    <w:p w14:paraId="7CC927B6" w14:textId="77777777" w:rsidR="00C430F0" w:rsidRPr="004C787F" w:rsidRDefault="00C430F0" w:rsidP="00C430F0">
      <w:pPr>
        <w:pStyle w:val="Heading3"/>
      </w:pPr>
      <w:r w:rsidRPr="004C787F">
        <w:t>Firms</w:t>
      </w:r>
      <w:r>
        <w:t xml:space="preserve">: </w:t>
      </w:r>
      <w:r w:rsidRPr="004C787F">
        <w:t xml:space="preserve">Distribution </w:t>
      </w:r>
      <w:r>
        <w:t>s</w:t>
      </w:r>
      <w:r w:rsidRPr="004C787F">
        <w:t>ector</w:t>
      </w:r>
    </w:p>
    <w:p w14:paraId="4C05591E" w14:textId="77777777" w:rsidR="00C430F0" w:rsidRPr="004C787F" w:rsidDel="00FB6956" w:rsidRDefault="00C430F0" w:rsidP="00C430F0">
      <w:pPr>
        <w:pStyle w:val="Heading4"/>
      </w:pPr>
      <w:r w:rsidRPr="004C787F" w:rsidDel="00FB6956">
        <w:t>Margins</w:t>
      </w:r>
    </w:p>
    <w:p w14:paraId="0438B23D" w14:textId="5104419D" w:rsidR="00C430F0" w:rsidRPr="004C787F" w:rsidDel="00FB6956" w:rsidRDefault="00C430F0" w:rsidP="00C430F0">
      <w:r w:rsidRPr="004C787F" w:rsidDel="00FB6956">
        <w:rPr>
          <w:lang w:val="en-US"/>
        </w:rPr>
        <w:t>The margin use coefficients for each final use</w:t>
      </w:r>
      <w:r w:rsidRPr="004C787F">
        <w:rPr>
          <w:lang w:val="en-US"/>
        </w:rPr>
        <w:t xml:space="preserve">, </w:t>
      </w:r>
      <w:r w:rsidR="009205EE" w:rsidRPr="009205EE">
        <w:rPr>
          <w:position w:val="-14"/>
        </w:rPr>
        <w:object w:dxaOrig="400" w:dyaOrig="400" w14:anchorId="73E7F4B1">
          <v:shape id="_x0000_i1330" type="#_x0000_t75" style="width:20.4pt;height:20.4pt" o:ole="">
            <v:imagedata r:id="rId636" o:title=""/>
          </v:shape>
          <o:OLEObject Type="Embed" ProgID="Equation.DSMT4" ShapeID="_x0000_i1330" DrawAspect="Content" ObjectID="_1755515784" r:id="rId637"/>
        </w:object>
      </w:r>
      <w:r w:rsidRPr="004C787F" w:rsidDel="00FB6956">
        <w:t>, are based on the authors</w:t>
      </w:r>
      <w:r w:rsidRPr="004C787F">
        <w:t>’</w:t>
      </w:r>
      <w:r w:rsidRPr="004C787F" w:rsidDel="00FB6956">
        <w:t xml:space="preserve"> calculations using the ABS margin commodity </w:t>
      </w:r>
      <w:r w:rsidRPr="004C787F" w:rsidDel="00FB6956">
        <w:rPr>
          <w:lang w:val="en-US"/>
        </w:rPr>
        <w:t>I</w:t>
      </w:r>
      <w:r w:rsidRPr="004C787F">
        <w:rPr>
          <w:lang w:val="en-US"/>
        </w:rPr>
        <w:noBreakHyphen/>
      </w:r>
      <w:r w:rsidRPr="004C787F" w:rsidDel="00FB6956">
        <w:rPr>
          <w:lang w:val="en-US"/>
        </w:rPr>
        <w:t>O</w:t>
      </w:r>
      <w:r w:rsidRPr="004C787F" w:rsidDel="00FB6956">
        <w:t xml:space="preserve"> </w:t>
      </w:r>
      <w:r w:rsidRPr="004C787F">
        <w:t>t</w:t>
      </w:r>
      <w:r w:rsidRPr="004C787F" w:rsidDel="00FB6956">
        <w:t>ables 23</w:t>
      </w:r>
      <w:r w:rsidRPr="004C787F">
        <w:t>–</w:t>
      </w:r>
      <w:r w:rsidRPr="004C787F" w:rsidDel="00FB6956">
        <w:t>34</w:t>
      </w:r>
      <w:r>
        <w:t xml:space="preserve"> </w:t>
      </w:r>
      <w:sdt>
        <w:sdtPr>
          <w:id w:val="-1451934002"/>
          <w:citation/>
        </w:sdtPr>
        <w:sdtEndPr/>
        <w:sdtContent>
          <w:r>
            <w:fldChar w:fldCharType="begin"/>
          </w:r>
          <w:r>
            <w:instrText xml:space="preserve"> CITATION ABSIO1819 \l 3081 </w:instrText>
          </w:r>
          <w:r>
            <w:fldChar w:fldCharType="separate"/>
          </w:r>
          <w:r>
            <w:rPr>
              <w:noProof/>
            </w:rPr>
            <w:t>(ABS, 2021b)</w:t>
          </w:r>
          <w:r>
            <w:fldChar w:fldCharType="end"/>
          </w:r>
        </w:sdtContent>
      </w:sdt>
      <w:r w:rsidRPr="004C787F" w:rsidDel="00FB6956">
        <w:t xml:space="preserve">. These are calibrated by dividing the total basic price expenditure of each margin commodity paid to transfer </w:t>
      </w:r>
      <w:r w:rsidRPr="004C787F">
        <w:t>that</w:t>
      </w:r>
      <w:r w:rsidRPr="004C787F" w:rsidDel="00FB6956">
        <w:t xml:space="preserve"> commodity </w:t>
      </w:r>
      <w:r w:rsidRPr="004C787F">
        <w:t xml:space="preserve">for </w:t>
      </w:r>
      <w:r w:rsidRPr="004C787F" w:rsidDel="00FB6956">
        <w:t>use, by the total basic value of expenditure, plus the duties of each commodity for use.</w:t>
      </w:r>
    </w:p>
    <w:p w14:paraId="0E1A7593" w14:textId="77777777" w:rsidR="00C430F0" w:rsidRPr="004C787F" w:rsidRDefault="00C430F0" w:rsidP="00C430F0">
      <w:pPr>
        <w:pStyle w:val="Heading4"/>
      </w:pPr>
      <w:r w:rsidRPr="004C787F">
        <w:t>Total supply of commodities</w:t>
      </w:r>
    </w:p>
    <w:p w14:paraId="281D50B6" w14:textId="3AB31B9A" w:rsidR="00C430F0" w:rsidRPr="004C787F" w:rsidRDefault="00C430F0" w:rsidP="00C430F0">
      <w:pPr>
        <w:spacing w:after="200" w:line="276" w:lineRule="auto"/>
      </w:pPr>
      <w:r w:rsidRPr="004C787F">
        <w:t xml:space="preserve">The domestic share of use, </w:t>
      </w:r>
      <w:r w:rsidR="009205EE" w:rsidRPr="009205EE">
        <w:rPr>
          <w:position w:val="-14"/>
        </w:rPr>
        <w:object w:dxaOrig="320" w:dyaOrig="400" w14:anchorId="69B825D6">
          <v:shape id="_x0000_i1331" type="#_x0000_t75" style="width:16.2pt;height:20.4pt" o:ole="">
            <v:imagedata r:id="rId638" o:title=""/>
          </v:shape>
          <o:OLEObject Type="Embed" ProgID="Equation.DSMT4" ShapeID="_x0000_i1331" DrawAspect="Content" ObjectID="_1755515785" r:id="rId639"/>
        </w:object>
      </w:r>
      <w:r w:rsidRPr="004C787F">
        <w:t xml:space="preserve">, is calculated from the </w:t>
      </w:r>
      <w:r w:rsidRPr="004C787F">
        <w:rPr>
          <w:lang w:val="en-US"/>
        </w:rPr>
        <w:t>I</w:t>
      </w:r>
      <w:r w:rsidRPr="004C787F">
        <w:rPr>
          <w:lang w:val="en-US"/>
        </w:rPr>
        <w:noBreakHyphen/>
        <w:t>O</w:t>
      </w:r>
      <w:r w:rsidRPr="004C787F">
        <w:t xml:space="preserve"> tables</w:t>
      </w:r>
      <w:r>
        <w:t xml:space="preserve"> </w:t>
      </w:r>
      <w:sdt>
        <w:sdtPr>
          <w:id w:val="-2039802183"/>
          <w:citation/>
        </w:sdtPr>
        <w:sdtEndPr/>
        <w:sdtContent>
          <w:r>
            <w:fldChar w:fldCharType="begin"/>
          </w:r>
          <w:r>
            <w:instrText xml:space="preserve"> CITATION ABSIO1819 \l 3081 </w:instrText>
          </w:r>
          <w:r>
            <w:fldChar w:fldCharType="separate"/>
          </w:r>
          <w:r>
            <w:rPr>
              <w:noProof/>
            </w:rPr>
            <w:t>(ABS, 2021b)</w:t>
          </w:r>
          <w:r>
            <w:fldChar w:fldCharType="end"/>
          </w:r>
        </w:sdtContent>
      </w:sdt>
      <w:r w:rsidRPr="004C787F">
        <w:t>. The elasticity of substitution between domestic and imported varieties of commodity</w:t>
      </w:r>
      <w:r>
        <w:t xml:space="preserve"> </w:t>
      </w:r>
      <w:r w:rsidR="009205EE" w:rsidRPr="009205EE">
        <w:rPr>
          <w:position w:val="-10"/>
        </w:rPr>
        <w:object w:dxaOrig="200" w:dyaOrig="300" w14:anchorId="338BB87B">
          <v:shape id="_x0000_i1332" type="#_x0000_t75" style="width:9.6pt;height:15pt" o:ole="">
            <v:imagedata r:id="rId640" o:title=""/>
          </v:shape>
          <o:OLEObject Type="Embed" ProgID="Equation.DSMT4" ShapeID="_x0000_i1332" DrawAspect="Content" ObjectID="_1755515786" r:id="rId641"/>
        </w:object>
      </w:r>
      <w:r w:rsidRPr="004C787F">
        <w:t>,</w:t>
      </w:r>
      <w:r>
        <w:t xml:space="preserve"> </w:t>
      </w:r>
      <w:r w:rsidR="009205EE" w:rsidRPr="009205EE">
        <w:rPr>
          <w:position w:val="-10"/>
        </w:rPr>
        <w:object w:dxaOrig="320" w:dyaOrig="360" w14:anchorId="52D75D25">
          <v:shape id="_x0000_i1333" type="#_x0000_t75" style="width:16.2pt;height:18pt" o:ole="">
            <v:imagedata r:id="rId642" o:title=""/>
          </v:shape>
          <o:OLEObject Type="Embed" ProgID="Equation.DSMT4" ShapeID="_x0000_i1333" DrawAspect="Content" ObjectID="_1755515787" r:id="rId643"/>
        </w:object>
      </w:r>
      <w:r w:rsidRPr="004C787F">
        <w:t>, is set to 2.</w:t>
      </w:r>
    </w:p>
    <w:p w14:paraId="07AE1476" w14:textId="77777777" w:rsidR="00C430F0" w:rsidRPr="004C787F" w:rsidRDefault="00C430F0" w:rsidP="00C430F0">
      <w:pPr>
        <w:pStyle w:val="Heading3"/>
      </w:pPr>
      <w:r w:rsidRPr="004C787F">
        <w:t>Rest of the world</w:t>
      </w:r>
    </w:p>
    <w:p w14:paraId="3C53AB24" w14:textId="77777777" w:rsidR="00C430F0" w:rsidRPr="004C787F" w:rsidRDefault="00C430F0" w:rsidP="00C430F0">
      <w:pPr>
        <w:pStyle w:val="Heading4"/>
      </w:pPr>
      <w:r w:rsidRPr="004C787F">
        <w:t>Asset market</w:t>
      </w:r>
    </w:p>
    <w:p w14:paraId="70D9475C" w14:textId="77777777" w:rsidR="00C430F0" w:rsidRPr="004C787F" w:rsidRDefault="00C430F0" w:rsidP="00C430F0">
      <w:r w:rsidRPr="004C787F">
        <w:t>Initial asset holdings are calculated from the ABS Economic Activity of Foreign Owned Business Activity dataset</w:t>
      </w:r>
      <w:r>
        <w:t xml:space="preserve"> </w:t>
      </w:r>
      <w:sdt>
        <w:sdtPr>
          <w:id w:val="-170179680"/>
          <w:citation/>
        </w:sdtPr>
        <w:sdtEndPr/>
        <w:sdtContent>
          <w:r>
            <w:fldChar w:fldCharType="begin"/>
          </w:r>
          <w:r>
            <w:instrText xml:space="preserve"> CITATION FOBA \l 3081 </w:instrText>
          </w:r>
          <w:r>
            <w:fldChar w:fldCharType="separate"/>
          </w:r>
          <w:r>
            <w:rPr>
              <w:noProof/>
            </w:rPr>
            <w:t>(ABS, 2018)</w:t>
          </w:r>
          <w:r>
            <w:fldChar w:fldCharType="end"/>
          </w:r>
        </w:sdtContent>
      </w:sdt>
      <w:r w:rsidRPr="004C787F">
        <w:t xml:space="preserve">. </w:t>
      </w:r>
      <w:r>
        <w:t>This contains</w:t>
      </w:r>
      <w:r w:rsidRPr="004C787F">
        <w:t xml:space="preserve"> information on </w:t>
      </w:r>
      <w:r>
        <w:t xml:space="preserve">the </w:t>
      </w:r>
      <w:r w:rsidRPr="004C787F">
        <w:t>domestic and foreign ownership of assets, and the share of assets allocated to each industry. In the baseline, foreigners own around 20 per cent of assets.</w:t>
      </w:r>
    </w:p>
    <w:p w14:paraId="5A9398F8" w14:textId="14531922" w:rsidR="00C430F0" w:rsidRPr="004C787F" w:rsidRDefault="00C430F0" w:rsidP="00C430F0">
      <w:pPr>
        <w:rPr>
          <w:rFonts w:eastAsiaTheme="minorEastAsia"/>
        </w:rPr>
      </w:pPr>
      <w:r w:rsidRPr="004C787F">
        <w:t>The global required after</w:t>
      </w:r>
      <w:r>
        <w:t>-</w:t>
      </w:r>
      <w:r w:rsidRPr="004C787F">
        <w:t>tax rate of return (</w:t>
      </w:r>
      <w:r w:rsidR="009205EE" w:rsidRPr="009205EE">
        <w:rPr>
          <w:position w:val="-12"/>
        </w:rPr>
        <w:object w:dxaOrig="700" w:dyaOrig="380" w14:anchorId="3B245FC3">
          <v:shape id="_x0000_i1334" type="#_x0000_t75" style="width:35.4pt;height:18.6pt" o:ole="">
            <v:imagedata r:id="rId644" o:title=""/>
          </v:shape>
          <o:OLEObject Type="Embed" ProgID="Equation.DSMT4" ShapeID="_x0000_i1334" DrawAspect="Content" ObjectID="_1755515788" r:id="rId645"/>
        </w:object>
      </w:r>
      <w:r w:rsidRPr="004C787F">
        <w:t xml:space="preserve">) </w:t>
      </w:r>
      <w:r w:rsidRPr="004C787F">
        <w:rPr>
          <w:rFonts w:eastAsiaTheme="minorEastAsia"/>
        </w:rPr>
        <w:t>is calibrated to observed corporate GOS, corporate capital stock and depreciation. Specifically, the implied global required after</w:t>
      </w:r>
      <w:r w:rsidRPr="004C787F">
        <w:rPr>
          <w:rFonts w:eastAsiaTheme="minorEastAsia"/>
        </w:rPr>
        <w:noBreakHyphen/>
        <w:t xml:space="preserve">tax rate of return to equity is calibrated such that: </w:t>
      </w:r>
    </w:p>
    <w:p w14:paraId="6B60485E" w14:textId="65D09F0C" w:rsidR="00C430F0" w:rsidRPr="004C787F" w:rsidRDefault="00C430F0" w:rsidP="00C430F0">
      <w:pPr>
        <w:tabs>
          <w:tab w:val="center" w:pos="4640"/>
          <w:tab w:val="right" w:pos="9300"/>
        </w:tabs>
      </w:pPr>
      <w:r w:rsidRPr="004C787F">
        <w:tab/>
      </w:r>
      <w:r w:rsidR="009205EE" w:rsidRPr="009205EE">
        <w:rPr>
          <w:position w:val="-12"/>
        </w:rPr>
        <w:object w:dxaOrig="2400" w:dyaOrig="380" w14:anchorId="0953AEC4">
          <v:shape id="_x0000_i1335" type="#_x0000_t75" style="width:120pt;height:18.6pt" o:ole="">
            <v:imagedata r:id="rId646" o:title=""/>
          </v:shape>
          <o:OLEObject Type="Embed" ProgID="Equation.DSMT4" ShapeID="_x0000_i1335" DrawAspect="Content" ObjectID="_1755515789" r:id="rId647"/>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r w:rsidRPr="004C787F">
        <w:instrText>(</w:instrText>
      </w:r>
      <w:r w:rsidR="00697947">
        <w:fldChar w:fldCharType="begin"/>
      </w:r>
      <w:r w:rsidR="00697947">
        <w:instrText>SEQ MTEqn \c \* Arabic \* MERGEFORMAT</w:instrText>
      </w:r>
      <w:r w:rsidR="00697947">
        <w:fldChar w:fldCharType="separate"/>
      </w:r>
      <w:r w:rsidR="00354F38">
        <w:rPr>
          <w:noProof/>
        </w:rPr>
        <w:instrText>58</w:instrText>
      </w:r>
      <w:r w:rsidR="00697947">
        <w:rPr>
          <w:noProof/>
        </w:rPr>
        <w:fldChar w:fldCharType="end"/>
      </w:r>
      <w:r w:rsidRPr="004C787F">
        <w:instrText>)</w:instrText>
      </w:r>
      <w:r w:rsidRPr="004C787F">
        <w:fldChar w:fldCharType="end"/>
      </w:r>
    </w:p>
    <w:p w14:paraId="67C53C07" w14:textId="2A2715AD" w:rsidR="00C430F0" w:rsidRPr="004C787F" w:rsidRDefault="00C430F0" w:rsidP="00C430F0">
      <w:r w:rsidRPr="004C787F">
        <w:rPr>
          <w:rFonts w:eastAsiaTheme="minorEastAsia"/>
        </w:rPr>
        <w:t xml:space="preserve">where </w:t>
      </w:r>
      <w:r w:rsidRPr="004C787F">
        <w:t xml:space="preserve">the gross rental rate of capital, </w:t>
      </w:r>
      <w:r w:rsidR="009205EE" w:rsidRPr="009205EE">
        <w:rPr>
          <w:position w:val="-6"/>
        </w:rPr>
        <w:object w:dxaOrig="240" w:dyaOrig="220" w14:anchorId="6558B9CD">
          <v:shape id="_x0000_i1336" type="#_x0000_t75" style="width:12pt;height:11.4pt" o:ole="">
            <v:imagedata r:id="rId648" o:title=""/>
          </v:shape>
          <o:OLEObject Type="Embed" ProgID="Equation.DSMT4" ShapeID="_x0000_i1336" DrawAspect="Content" ObjectID="_1755515790" r:id="rId649"/>
        </w:object>
      </w:r>
      <w:r w:rsidRPr="004C787F">
        <w:t>, is calculated as the ratio of GOS to market value of the capital stock u</w:t>
      </w:r>
      <w:r w:rsidRPr="004C787F">
        <w:rPr>
          <w:rFonts w:eastAsiaTheme="minorEastAsia"/>
        </w:rPr>
        <w:t xml:space="preserve">sing data from the </w:t>
      </w:r>
      <w:r w:rsidRPr="004C787F">
        <w:t>ABS</w:t>
      </w:r>
      <w:sdt>
        <w:sdtPr>
          <w:id w:val="-1333218504"/>
          <w:citation/>
        </w:sdtPr>
        <w:sdtEndPr/>
        <w:sdtContent>
          <w:r w:rsidRPr="004C787F">
            <w:fldChar w:fldCharType="begin"/>
          </w:r>
          <w:r w:rsidRPr="004C787F">
            <w:instrText xml:space="preserve">CITATION ABSNA1920 \n  \t  \l 3081 </w:instrText>
          </w:r>
          <w:r w:rsidR="00697947">
            <w:fldChar w:fldCharType="separate"/>
          </w:r>
          <w:r w:rsidRPr="004C787F">
            <w:fldChar w:fldCharType="end"/>
          </w:r>
        </w:sdtContent>
      </w:sdt>
      <w:r w:rsidRPr="004C787F">
        <w:t>.</w:t>
      </w:r>
    </w:p>
    <w:p w14:paraId="149CB861" w14:textId="77777777" w:rsidR="00C430F0" w:rsidRPr="004C787F" w:rsidRDefault="00C430F0" w:rsidP="00C430F0">
      <w:pPr>
        <w:pStyle w:val="Heading4"/>
      </w:pPr>
      <w:r w:rsidRPr="004C787F">
        <w:t>Export demand</w:t>
      </w:r>
    </w:p>
    <w:p w14:paraId="5B5A20ED" w14:textId="7A760E7B" w:rsidR="00C430F0" w:rsidRPr="004C787F" w:rsidRDefault="00C430F0" w:rsidP="00C430F0">
      <w:r w:rsidRPr="004C787F">
        <w:t xml:space="preserve">The </w:t>
      </w:r>
      <w:r w:rsidRPr="004C787F">
        <w:rPr>
          <w:rFonts w:eastAsiaTheme="minorEastAsia"/>
        </w:rPr>
        <w:t xml:space="preserve">share of Australian exports relative to global exports, </w:t>
      </w:r>
      <w:r w:rsidR="009205EE" w:rsidRPr="009205EE">
        <w:rPr>
          <w:position w:val="-14"/>
        </w:rPr>
        <w:object w:dxaOrig="859" w:dyaOrig="400" w14:anchorId="4A787184">
          <v:shape id="_x0000_i1337" type="#_x0000_t75" style="width:43.8pt;height:20.4pt" o:ole="">
            <v:imagedata r:id="rId650" o:title=""/>
          </v:shape>
          <o:OLEObject Type="Embed" ProgID="Equation.DSMT4" ShapeID="_x0000_i1337" DrawAspect="Content" ObjectID="_1755515791" r:id="rId651"/>
        </w:object>
      </w:r>
      <w:r w:rsidRPr="004C787F">
        <w:rPr>
          <w:rFonts w:eastAsiaTheme="minorEastAsia"/>
        </w:rPr>
        <w:t>, is calibrated using a mapping between the GTAP database</w:t>
      </w:r>
      <w:r>
        <w:rPr>
          <w:rFonts w:eastAsiaTheme="minorEastAsia"/>
        </w:rPr>
        <w:t xml:space="preserve"> </w:t>
      </w:r>
      <w:sdt>
        <w:sdtPr>
          <w:rPr>
            <w:rFonts w:eastAsiaTheme="minorEastAsia"/>
          </w:rPr>
          <w:id w:val="-1190448300"/>
          <w:citation/>
        </w:sdtPr>
        <w:sdtEndPr/>
        <w:sdtContent>
          <w:r>
            <w:rPr>
              <w:rFonts w:eastAsiaTheme="minorEastAsia"/>
            </w:rPr>
            <w:fldChar w:fldCharType="begin"/>
          </w:r>
          <w:r>
            <w:rPr>
              <w:rFonts w:eastAsiaTheme="minorEastAsia"/>
            </w:rPr>
            <w:instrText xml:space="preserve"> CITATION Agu19 \l 3081 </w:instrText>
          </w:r>
          <w:r>
            <w:rPr>
              <w:rFonts w:eastAsiaTheme="minorEastAsia"/>
            </w:rPr>
            <w:fldChar w:fldCharType="separate"/>
          </w:r>
          <w:r w:rsidRPr="008C17B3">
            <w:rPr>
              <w:rFonts w:eastAsiaTheme="minorEastAsia"/>
              <w:noProof/>
            </w:rPr>
            <w:t>(Aguiar, Chepeliev, Corong, McDougall, &amp; Mensbrugghe, 2019)</w:t>
          </w:r>
          <w:r>
            <w:rPr>
              <w:rFonts w:eastAsiaTheme="minorEastAsia"/>
            </w:rPr>
            <w:fldChar w:fldCharType="end"/>
          </w:r>
        </w:sdtContent>
      </w:sdt>
      <w:r>
        <w:rPr>
          <w:rFonts w:eastAsiaTheme="minorEastAsia"/>
        </w:rPr>
        <w:t xml:space="preserve"> </w:t>
      </w:r>
      <w:r w:rsidRPr="004C787F">
        <w:rPr>
          <w:rFonts w:eastAsiaTheme="minorEastAsia"/>
        </w:rPr>
        <w:t>and the Australian I</w:t>
      </w:r>
      <w:r w:rsidRPr="004C787F">
        <w:rPr>
          <w:rFonts w:eastAsiaTheme="minorEastAsia"/>
        </w:rPr>
        <w:noBreakHyphen/>
        <w:t xml:space="preserve">O table industries. </w:t>
      </w:r>
      <w:r w:rsidRPr="004C787F">
        <w:t xml:space="preserve">A composite export demand parameter, </w:t>
      </w:r>
      <w:r w:rsidR="009205EE" w:rsidRPr="009205EE">
        <w:rPr>
          <w:position w:val="-14"/>
        </w:rPr>
        <w:object w:dxaOrig="520" w:dyaOrig="400" w14:anchorId="291C5176">
          <v:shape id="_x0000_i1338" type="#_x0000_t75" style="width:26.4pt;height:20.4pt" o:ole="">
            <v:imagedata r:id="rId652" o:title=""/>
          </v:shape>
          <o:OLEObject Type="Embed" ProgID="Equation.DSMT4" ShapeID="_x0000_i1338" DrawAspect="Content" ObjectID="_1755515792" r:id="rId653"/>
        </w:object>
      </w:r>
      <w:r w:rsidRPr="004C787F">
        <w:t>, is subsequently calibrated using the value of exports from the ABS I</w:t>
      </w:r>
      <w:r w:rsidRPr="004C787F">
        <w:noBreakHyphen/>
        <w:t>O tables</w:t>
      </w:r>
      <w:sdt>
        <w:sdtPr>
          <w:id w:val="1785919680"/>
          <w:citation/>
        </w:sdtPr>
        <w:sdtEndPr/>
        <w:sdtContent>
          <w:r>
            <w:fldChar w:fldCharType="begin"/>
          </w:r>
          <w:r>
            <w:instrText xml:space="preserve"> CITATION ABSIO1819 \l 3081 </w:instrText>
          </w:r>
          <w:r>
            <w:fldChar w:fldCharType="separate"/>
          </w:r>
          <w:r>
            <w:rPr>
              <w:noProof/>
            </w:rPr>
            <w:t xml:space="preserve"> (ABS, 2021b)</w:t>
          </w:r>
          <w:r>
            <w:fldChar w:fldCharType="end"/>
          </w:r>
        </w:sdtContent>
      </w:sdt>
      <w:r w:rsidRPr="004C787F">
        <w:t xml:space="preserve">. </w:t>
      </w:r>
    </w:p>
    <w:p w14:paraId="2BAE0D13" w14:textId="5C41764C" w:rsidR="00C430F0" w:rsidRPr="004C787F" w:rsidRDefault="00C430F0" w:rsidP="00C430F0">
      <w:r w:rsidRPr="004C787F">
        <w:t xml:space="preserve">The ROW’s elasticity of substitution between different types of commodities, </w:t>
      </w:r>
      <w:r w:rsidR="009205EE" w:rsidRPr="009205EE">
        <w:rPr>
          <w:position w:val="-10"/>
        </w:rPr>
        <w:object w:dxaOrig="279" w:dyaOrig="360" w14:anchorId="297009EB">
          <v:shape id="_x0000_i1339" type="#_x0000_t75" style="width:13.8pt;height:18pt" o:ole="">
            <v:imagedata r:id="rId654" o:title=""/>
          </v:shape>
          <o:OLEObject Type="Embed" ProgID="Equation.DSMT4" ShapeID="_x0000_i1339" DrawAspect="Content" ObjectID="_1755515793" r:id="rId655"/>
        </w:object>
      </w:r>
      <w:r w:rsidRPr="004C787F">
        <w:t xml:space="preserve">, is set to the same value as </w:t>
      </w:r>
      <w:r w:rsidR="009205EE" w:rsidRPr="009205EE">
        <w:rPr>
          <w:position w:val="-14"/>
        </w:rPr>
        <w:object w:dxaOrig="279" w:dyaOrig="400" w14:anchorId="532FFFFB">
          <v:shape id="_x0000_i1340" type="#_x0000_t75" style="width:13.8pt;height:20.4pt" o:ole="">
            <v:imagedata r:id="rId656" o:title=""/>
          </v:shape>
          <o:OLEObject Type="Embed" ProgID="Equation.DSMT4" ShapeID="_x0000_i1340" DrawAspect="Content" ObjectID="_1755515794" r:id="rId657"/>
        </w:object>
      </w:r>
      <w:r w:rsidRPr="004C787F">
        <w:t>and</w:t>
      </w:r>
      <w:r w:rsidR="009205EE" w:rsidRPr="009205EE">
        <w:rPr>
          <w:position w:val="-14"/>
        </w:rPr>
        <w:object w:dxaOrig="320" w:dyaOrig="400" w14:anchorId="1C147ACE">
          <v:shape id="_x0000_i1341" type="#_x0000_t75" style="width:16.2pt;height:20.4pt" o:ole="">
            <v:imagedata r:id="rId658" o:title=""/>
          </v:shape>
          <o:OLEObject Type="Embed" ProgID="Equation.DSMT4" ShapeID="_x0000_i1341" DrawAspect="Content" ObjectID="_1755515795" r:id="rId659"/>
        </w:object>
      </w:r>
      <w:r w:rsidRPr="004C787F">
        <w:t xml:space="preserve">of 0.5. The elasticity of substitution between Australian exports and ROW exports (for a given commodity </w:t>
      </w:r>
      <w:r w:rsidR="009205EE" w:rsidRPr="009205EE">
        <w:rPr>
          <w:position w:val="-14"/>
        </w:rPr>
        <w:object w:dxaOrig="380" w:dyaOrig="400" w14:anchorId="7260C2BE">
          <v:shape id="_x0000_i1342" type="#_x0000_t75" style="width:18.6pt;height:20.4pt" o:ole="">
            <v:imagedata r:id="rId660" o:title=""/>
          </v:shape>
          <o:OLEObject Type="Embed" ProgID="Equation.DSMT4" ShapeID="_x0000_i1342" DrawAspect="Content" ObjectID="_1755515796" r:id="rId661"/>
        </w:object>
      </w:r>
      <w:r w:rsidRPr="004C787F">
        <w:t xml:space="preserve">), </w:t>
      </w:r>
      <w:r>
        <w:t>is</w:t>
      </w:r>
      <w:r w:rsidRPr="004C787F">
        <w:t xml:space="preserve"> based on elasticities from the GTAP database </w:t>
      </w:r>
      <w:sdt>
        <w:sdtPr>
          <w:id w:val="502395793"/>
          <w:citation/>
        </w:sdtPr>
        <w:sdtEndPr/>
        <w:sdtContent>
          <w:r>
            <w:fldChar w:fldCharType="begin"/>
          </w:r>
          <w:r>
            <w:instrText xml:space="preserve"> CITATION Agu19 \l 3081 </w:instrText>
          </w:r>
          <w:r>
            <w:fldChar w:fldCharType="separate"/>
          </w:r>
          <w:r>
            <w:rPr>
              <w:noProof/>
            </w:rPr>
            <w:t>(Aguiar, Chepeliev, Corong, McDougall, &amp; Mensbrugghe, 2019)</w:t>
          </w:r>
          <w:r>
            <w:fldChar w:fldCharType="end"/>
          </w:r>
        </w:sdtContent>
      </w:sdt>
      <w:r w:rsidRPr="004C787F">
        <w:rPr>
          <w:rFonts w:eastAsiaTheme="minorEastAsia"/>
          <w:lang w:val="en-US"/>
        </w:rPr>
        <w:t>.</w:t>
      </w:r>
    </w:p>
    <w:p w14:paraId="4F3857BC" w14:textId="72CB65B9" w:rsidR="00C430F0" w:rsidRPr="00D4372F" w:rsidRDefault="00C430F0" w:rsidP="00C430F0">
      <w:pPr>
        <w:jc w:val="center"/>
        <w:rPr>
          <w:b/>
          <w:bCs/>
        </w:rPr>
      </w:pPr>
      <w:r w:rsidRPr="00D4372F">
        <w:rPr>
          <w:b/>
          <w:bCs/>
        </w:rPr>
        <w:t xml:space="preserve">Table </w:t>
      </w:r>
      <w:r w:rsidRPr="00D4372F">
        <w:rPr>
          <w:b/>
          <w:bCs/>
        </w:rPr>
        <w:fldChar w:fldCharType="begin"/>
      </w:r>
      <w:r w:rsidRPr="00D4372F">
        <w:rPr>
          <w:b/>
          <w:bCs/>
        </w:rPr>
        <w:instrText xml:space="preserve"> SEQ Table \* ARABIC </w:instrText>
      </w:r>
      <w:r w:rsidRPr="00D4372F">
        <w:rPr>
          <w:b/>
          <w:bCs/>
        </w:rPr>
        <w:fldChar w:fldCharType="separate"/>
      </w:r>
      <w:r w:rsidR="00354F38">
        <w:rPr>
          <w:b/>
          <w:bCs/>
          <w:noProof/>
        </w:rPr>
        <w:t>4</w:t>
      </w:r>
      <w:r w:rsidRPr="00D4372F">
        <w:rPr>
          <w:b/>
          <w:bCs/>
        </w:rPr>
        <w:fldChar w:fldCharType="end"/>
      </w:r>
      <w:r w:rsidRPr="00D4372F">
        <w:rPr>
          <w:b/>
          <w:bCs/>
        </w:rPr>
        <w:t xml:space="preserve">: </w:t>
      </w:r>
      <w:r>
        <w:rPr>
          <w:b/>
          <w:bCs/>
        </w:rPr>
        <w:t>TIM’s c</w:t>
      </w:r>
      <w:r w:rsidRPr="00D4372F">
        <w:rPr>
          <w:b/>
          <w:bCs/>
        </w:rPr>
        <w:t xml:space="preserve">ommodity supply and </w:t>
      </w:r>
      <w:r>
        <w:rPr>
          <w:b/>
          <w:bCs/>
        </w:rPr>
        <w:t>ROW</w:t>
      </w:r>
      <w:r w:rsidRPr="00D4372F">
        <w:rPr>
          <w:b/>
          <w:bCs/>
        </w:rPr>
        <w:t xml:space="preserve"> parameters</w:t>
      </w:r>
    </w:p>
    <w:tbl>
      <w:tblPr>
        <w:tblW w:w="5000" w:type="pct"/>
        <w:tblLook w:val="0660" w:firstRow="1" w:lastRow="1" w:firstColumn="0" w:lastColumn="0" w:noHBand="1" w:noVBand="1"/>
      </w:tblPr>
      <w:tblGrid>
        <w:gridCol w:w="1360"/>
        <w:gridCol w:w="2469"/>
        <w:gridCol w:w="5241"/>
      </w:tblGrid>
      <w:tr w:rsidR="00C430F0" w:rsidRPr="004C787F" w14:paraId="3DBD174B" w14:textId="77777777" w:rsidTr="00BD3921">
        <w:trPr>
          <w:trHeight w:val="227"/>
        </w:trPr>
        <w:tc>
          <w:tcPr>
            <w:tcW w:w="750" w:type="pct"/>
            <w:tcBorders>
              <w:top w:val="single" w:sz="4" w:space="0" w:color="auto"/>
              <w:bottom w:val="single" w:sz="4" w:space="0" w:color="auto"/>
            </w:tcBorders>
            <w:shd w:val="clear" w:color="auto" w:fill="EEEEEE" w:themeFill="background2"/>
          </w:tcPr>
          <w:p w14:paraId="3F8AAC3A" w14:textId="77777777" w:rsidR="00C430F0" w:rsidRPr="004C787F" w:rsidRDefault="00C430F0" w:rsidP="00BD3921">
            <w:pPr>
              <w:spacing w:before="40" w:after="40"/>
              <w:rPr>
                <w:b/>
                <w:color w:val="004A7F"/>
                <w:sz w:val="20"/>
              </w:rPr>
            </w:pPr>
            <w:r w:rsidRPr="004C787F">
              <w:rPr>
                <w:b/>
                <w:color w:val="004A7F"/>
                <w:sz w:val="20"/>
              </w:rPr>
              <w:t>Parameter</w:t>
            </w:r>
          </w:p>
        </w:tc>
        <w:tc>
          <w:tcPr>
            <w:tcW w:w="1361" w:type="pct"/>
            <w:tcBorders>
              <w:top w:val="single" w:sz="4" w:space="0" w:color="auto"/>
              <w:bottom w:val="single" w:sz="4" w:space="0" w:color="auto"/>
            </w:tcBorders>
            <w:shd w:val="clear" w:color="auto" w:fill="EEEEEE" w:themeFill="background2"/>
          </w:tcPr>
          <w:p w14:paraId="45FDFA3F" w14:textId="77777777" w:rsidR="00C430F0" w:rsidRPr="004C787F" w:rsidRDefault="00C430F0" w:rsidP="00BD3921">
            <w:pPr>
              <w:spacing w:before="40" w:after="40"/>
              <w:rPr>
                <w:b/>
                <w:color w:val="004A7F"/>
                <w:sz w:val="20"/>
              </w:rPr>
            </w:pPr>
            <w:r w:rsidRPr="004C787F">
              <w:rPr>
                <w:b/>
                <w:color w:val="004A7F"/>
                <w:sz w:val="20"/>
              </w:rPr>
              <w:t>Value</w:t>
            </w:r>
          </w:p>
        </w:tc>
        <w:tc>
          <w:tcPr>
            <w:tcW w:w="2890" w:type="pct"/>
            <w:tcBorders>
              <w:top w:val="single" w:sz="4" w:space="0" w:color="auto"/>
              <w:bottom w:val="single" w:sz="4" w:space="0" w:color="auto"/>
            </w:tcBorders>
            <w:shd w:val="clear" w:color="auto" w:fill="EEEEEE" w:themeFill="background2"/>
          </w:tcPr>
          <w:p w14:paraId="3B76202C" w14:textId="77777777" w:rsidR="00C430F0" w:rsidRPr="004C787F" w:rsidRDefault="00C430F0" w:rsidP="00BD3921">
            <w:pPr>
              <w:spacing w:before="40" w:after="40"/>
              <w:rPr>
                <w:b/>
                <w:color w:val="004A7F"/>
                <w:sz w:val="20"/>
              </w:rPr>
            </w:pPr>
            <w:r w:rsidRPr="004C787F">
              <w:rPr>
                <w:b/>
                <w:color w:val="004A7F"/>
                <w:sz w:val="20"/>
              </w:rPr>
              <w:t>Description</w:t>
            </w:r>
          </w:p>
        </w:tc>
      </w:tr>
      <w:tr w:rsidR="00C430F0" w:rsidRPr="004C787F" w14:paraId="69992AE5" w14:textId="77777777" w:rsidTr="00BD3921">
        <w:trPr>
          <w:trHeight w:val="227"/>
        </w:trPr>
        <w:tc>
          <w:tcPr>
            <w:tcW w:w="750" w:type="pct"/>
            <w:tcBorders>
              <w:top w:val="single" w:sz="4" w:space="0" w:color="auto"/>
              <w:right w:val="single" w:sz="4" w:space="0" w:color="auto"/>
            </w:tcBorders>
            <w:shd w:val="clear" w:color="auto" w:fill="EEEEEE" w:themeFill="background2"/>
            <w:vAlign w:val="center"/>
          </w:tcPr>
          <w:p w14:paraId="1A3373E3" w14:textId="0CF2CC34" w:rsidR="00C430F0" w:rsidRPr="004C787F" w:rsidRDefault="009205EE" w:rsidP="00BD3921">
            <w:pPr>
              <w:tabs>
                <w:tab w:val="center" w:pos="570"/>
                <w:tab w:val="right" w:pos="1140"/>
              </w:tabs>
              <w:spacing w:before="40" w:after="40"/>
              <w:rPr>
                <w:color w:val="000000"/>
                <w:sz w:val="18"/>
              </w:rPr>
            </w:pPr>
            <w:r w:rsidRPr="009205EE">
              <w:rPr>
                <w:position w:val="-10"/>
              </w:rPr>
              <w:object w:dxaOrig="320" w:dyaOrig="360" w14:anchorId="4CCD5838">
                <v:shape id="_x0000_i1343" type="#_x0000_t75" style="width:16.2pt;height:18pt" o:ole="">
                  <v:imagedata r:id="rId662" o:title=""/>
                </v:shape>
                <o:OLEObject Type="Embed" ProgID="Equation.DSMT4" ShapeID="_x0000_i1343" DrawAspect="Content" ObjectID="_1755515797" r:id="rId663"/>
              </w:object>
            </w:r>
          </w:p>
        </w:tc>
        <w:tc>
          <w:tcPr>
            <w:tcW w:w="1361" w:type="pct"/>
            <w:tcBorders>
              <w:top w:val="single" w:sz="4" w:space="0" w:color="auto"/>
              <w:left w:val="single" w:sz="4" w:space="0" w:color="auto"/>
            </w:tcBorders>
            <w:vAlign w:val="center"/>
          </w:tcPr>
          <w:p w14:paraId="42F1848F" w14:textId="77777777" w:rsidR="00C430F0" w:rsidRPr="004C787F" w:rsidRDefault="00C430F0" w:rsidP="00BD3921">
            <w:pPr>
              <w:spacing w:before="40" w:after="40"/>
              <w:rPr>
                <w:color w:val="000000"/>
                <w:sz w:val="18"/>
              </w:rPr>
            </w:pPr>
            <w:r w:rsidRPr="004C787F">
              <w:rPr>
                <w:color w:val="000000"/>
                <w:sz w:val="18"/>
              </w:rPr>
              <w:t>2</w:t>
            </w:r>
          </w:p>
        </w:tc>
        <w:tc>
          <w:tcPr>
            <w:tcW w:w="2890" w:type="pct"/>
            <w:tcBorders>
              <w:top w:val="single" w:sz="4" w:space="0" w:color="auto"/>
            </w:tcBorders>
            <w:vAlign w:val="center"/>
          </w:tcPr>
          <w:p w14:paraId="46774B86" w14:textId="77777777" w:rsidR="00C430F0" w:rsidRPr="004C787F" w:rsidRDefault="00C430F0" w:rsidP="00BD3921">
            <w:pPr>
              <w:spacing w:before="40" w:after="40"/>
              <w:rPr>
                <w:color w:val="000000"/>
                <w:sz w:val="18"/>
              </w:rPr>
            </w:pPr>
            <w:r w:rsidRPr="004C787F">
              <w:rPr>
                <w:color w:val="000000"/>
                <w:sz w:val="18"/>
              </w:rPr>
              <w:t xml:space="preserve">Elasticity of substitution between domestic and imported varieties of commodity </w:t>
            </w:r>
            <m:oMath>
              <m:r>
                <w:rPr>
                  <w:rFonts w:ascii="Cambria Math" w:eastAsiaTheme="minorHAnsi"/>
                  <w:color w:val="000000"/>
                  <w:sz w:val="18"/>
                </w:rPr>
                <m:t>j</m:t>
              </m:r>
            </m:oMath>
          </w:p>
        </w:tc>
      </w:tr>
      <w:tr w:rsidR="00C430F0" w:rsidRPr="004C787F" w14:paraId="7AD5895D" w14:textId="77777777" w:rsidTr="00BD3921">
        <w:trPr>
          <w:trHeight w:val="227"/>
        </w:trPr>
        <w:tc>
          <w:tcPr>
            <w:tcW w:w="750" w:type="pct"/>
            <w:tcBorders>
              <w:right w:val="single" w:sz="4" w:space="0" w:color="auto"/>
            </w:tcBorders>
            <w:shd w:val="clear" w:color="auto" w:fill="EEEEEE" w:themeFill="background2"/>
            <w:vAlign w:val="center"/>
          </w:tcPr>
          <w:p w14:paraId="340F7D84" w14:textId="33C7881F" w:rsidR="00C430F0" w:rsidRPr="004C787F" w:rsidRDefault="009205EE" w:rsidP="00BD3921">
            <w:pPr>
              <w:spacing w:before="40" w:after="40"/>
              <w:rPr>
                <w:color w:val="000000"/>
                <w:sz w:val="18"/>
                <w:highlight w:val="yellow"/>
              </w:rPr>
            </w:pPr>
            <w:r w:rsidRPr="009205EE">
              <w:rPr>
                <w:position w:val="-10"/>
              </w:rPr>
              <w:object w:dxaOrig="279" w:dyaOrig="360" w14:anchorId="78219D7A">
                <v:shape id="_x0000_i1344" type="#_x0000_t75" style="width:13.8pt;height:18pt" o:ole="">
                  <v:imagedata r:id="rId664" o:title=""/>
                </v:shape>
                <o:OLEObject Type="Embed" ProgID="Equation.DSMT4" ShapeID="_x0000_i1344" DrawAspect="Content" ObjectID="_1755515798" r:id="rId665"/>
              </w:object>
            </w:r>
          </w:p>
        </w:tc>
        <w:tc>
          <w:tcPr>
            <w:tcW w:w="1361" w:type="pct"/>
            <w:tcBorders>
              <w:left w:val="single" w:sz="4" w:space="0" w:color="auto"/>
            </w:tcBorders>
            <w:vAlign w:val="center"/>
          </w:tcPr>
          <w:p w14:paraId="514F0120" w14:textId="77777777" w:rsidR="00C430F0" w:rsidRPr="004C787F" w:rsidRDefault="00C430F0" w:rsidP="00BD3921">
            <w:pPr>
              <w:spacing w:before="40" w:after="40"/>
              <w:rPr>
                <w:color w:val="000000"/>
                <w:sz w:val="18"/>
              </w:rPr>
            </w:pPr>
            <w:r w:rsidRPr="004C787F">
              <w:rPr>
                <w:color w:val="000000"/>
                <w:sz w:val="18"/>
              </w:rPr>
              <w:t>0.5</w:t>
            </w:r>
          </w:p>
        </w:tc>
        <w:tc>
          <w:tcPr>
            <w:tcW w:w="2890" w:type="pct"/>
            <w:vAlign w:val="center"/>
          </w:tcPr>
          <w:p w14:paraId="5EEB1019" w14:textId="77777777" w:rsidR="00C430F0" w:rsidRPr="004C787F" w:rsidRDefault="00C430F0" w:rsidP="00BD3921">
            <w:pPr>
              <w:spacing w:before="40" w:after="40"/>
              <w:rPr>
                <w:color w:val="000000"/>
                <w:sz w:val="18"/>
              </w:rPr>
            </w:pPr>
            <w:r w:rsidRPr="004C787F">
              <w:rPr>
                <w:color w:val="000000"/>
                <w:sz w:val="18"/>
              </w:rPr>
              <w:t>ROW’s elasticity of substitution between different commodities</w:t>
            </w:r>
          </w:p>
        </w:tc>
      </w:tr>
      <w:tr w:rsidR="00C430F0" w:rsidRPr="004C787F" w14:paraId="1D9B7BE9" w14:textId="77777777" w:rsidTr="00BD3921">
        <w:trPr>
          <w:trHeight w:val="227"/>
        </w:trPr>
        <w:tc>
          <w:tcPr>
            <w:tcW w:w="750" w:type="pct"/>
            <w:tcBorders>
              <w:right w:val="single" w:sz="4" w:space="0" w:color="auto"/>
            </w:tcBorders>
            <w:shd w:val="clear" w:color="auto" w:fill="EEEEEE" w:themeFill="background2"/>
            <w:vAlign w:val="center"/>
          </w:tcPr>
          <w:p w14:paraId="6D039F68" w14:textId="6B3F976F" w:rsidR="00C430F0" w:rsidRPr="004C787F" w:rsidRDefault="009205EE" w:rsidP="00BD3921">
            <w:pPr>
              <w:spacing w:before="40" w:after="40"/>
              <w:rPr>
                <w:rFonts w:eastAsiaTheme="minorHAnsi"/>
                <w:color w:val="000000"/>
                <w:sz w:val="18"/>
                <w:highlight w:val="yellow"/>
                <w:lang w:eastAsia="en-US"/>
              </w:rPr>
            </w:pPr>
            <w:r w:rsidRPr="009205EE">
              <w:rPr>
                <w:position w:val="-14"/>
              </w:rPr>
              <w:object w:dxaOrig="380" w:dyaOrig="400" w14:anchorId="4731E8FB">
                <v:shape id="_x0000_i1345" type="#_x0000_t75" style="width:18.6pt;height:20.4pt" o:ole="">
                  <v:imagedata r:id="rId666" o:title=""/>
                </v:shape>
                <o:OLEObject Type="Embed" ProgID="Equation.DSMT4" ShapeID="_x0000_i1345" DrawAspect="Content" ObjectID="_1755515799" r:id="rId667"/>
              </w:object>
            </w:r>
          </w:p>
        </w:tc>
        <w:tc>
          <w:tcPr>
            <w:tcW w:w="1361" w:type="pct"/>
            <w:tcBorders>
              <w:left w:val="single" w:sz="4" w:space="0" w:color="auto"/>
            </w:tcBorders>
            <w:vAlign w:val="center"/>
          </w:tcPr>
          <w:p w14:paraId="3F0744E7" w14:textId="77777777" w:rsidR="00C430F0" w:rsidRPr="004C787F" w:rsidRDefault="00C430F0" w:rsidP="00BD3921">
            <w:pPr>
              <w:spacing w:before="40" w:after="40"/>
              <w:rPr>
                <w:color w:val="000000"/>
                <w:sz w:val="18"/>
              </w:rPr>
            </w:pPr>
            <w:r w:rsidRPr="004C787F">
              <w:rPr>
                <w:color w:val="000000"/>
                <w:sz w:val="18"/>
              </w:rPr>
              <w:t>Ranges from 1.8 to 28.8, with an average elasticity of 5.3</w:t>
            </w:r>
          </w:p>
        </w:tc>
        <w:tc>
          <w:tcPr>
            <w:tcW w:w="2890" w:type="pct"/>
            <w:vAlign w:val="center"/>
          </w:tcPr>
          <w:p w14:paraId="14EB2FF5" w14:textId="77777777" w:rsidR="00C430F0" w:rsidRPr="004C787F" w:rsidRDefault="00C430F0" w:rsidP="00BD3921">
            <w:pPr>
              <w:spacing w:before="40" w:after="40"/>
              <w:rPr>
                <w:color w:val="000000"/>
                <w:sz w:val="18"/>
              </w:rPr>
            </w:pPr>
            <w:r w:rsidRPr="004C787F">
              <w:rPr>
                <w:color w:val="000000"/>
                <w:sz w:val="18"/>
              </w:rPr>
              <w:t xml:space="preserve">Elasticity of substitution between Australian and ROW varieties of commodity </w:t>
            </w:r>
            <m:oMath>
              <m:r>
                <w:rPr>
                  <w:rFonts w:ascii="Cambria Math" w:eastAsiaTheme="minorHAnsi"/>
                  <w:color w:val="000000"/>
                  <w:sz w:val="18"/>
                </w:rPr>
                <m:t>j</m:t>
              </m:r>
            </m:oMath>
          </w:p>
        </w:tc>
      </w:tr>
      <w:tr w:rsidR="00C430F0" w:rsidRPr="004C787F" w14:paraId="4570925E" w14:textId="77777777" w:rsidTr="00BD3921">
        <w:trPr>
          <w:trHeight w:val="227"/>
        </w:trPr>
        <w:tc>
          <w:tcPr>
            <w:tcW w:w="750" w:type="pct"/>
            <w:tcBorders>
              <w:bottom w:val="single" w:sz="4" w:space="0" w:color="auto"/>
              <w:right w:val="single" w:sz="4" w:space="0" w:color="auto"/>
            </w:tcBorders>
            <w:shd w:val="clear" w:color="auto" w:fill="EEEEEE" w:themeFill="background2"/>
            <w:vAlign w:val="center"/>
          </w:tcPr>
          <w:p w14:paraId="70ED4C12" w14:textId="3B2073A5" w:rsidR="00C430F0" w:rsidRPr="004C787F" w:rsidRDefault="009205EE" w:rsidP="00BD3921">
            <w:pPr>
              <w:spacing w:before="40" w:after="40"/>
              <w:rPr>
                <w:color w:val="000000"/>
                <w:sz w:val="18"/>
              </w:rPr>
            </w:pPr>
            <w:r w:rsidRPr="009205EE">
              <w:rPr>
                <w:position w:val="-12"/>
              </w:rPr>
              <w:object w:dxaOrig="240" w:dyaOrig="380" w14:anchorId="77EE8BFC">
                <v:shape id="_x0000_i1346" type="#_x0000_t75" style="width:12pt;height:18.6pt" o:ole="">
                  <v:imagedata r:id="rId668" o:title=""/>
                </v:shape>
                <o:OLEObject Type="Embed" ProgID="Equation.DSMT4" ShapeID="_x0000_i1346" DrawAspect="Content" ObjectID="_1755515800" r:id="rId669"/>
              </w:object>
            </w:r>
          </w:p>
        </w:tc>
        <w:tc>
          <w:tcPr>
            <w:tcW w:w="1361" w:type="pct"/>
            <w:tcBorders>
              <w:left w:val="single" w:sz="4" w:space="0" w:color="auto"/>
              <w:bottom w:val="single" w:sz="4" w:space="0" w:color="auto"/>
            </w:tcBorders>
            <w:vAlign w:val="center"/>
          </w:tcPr>
          <w:p w14:paraId="5A8C31BE" w14:textId="77777777" w:rsidR="00C430F0" w:rsidRPr="004C787F" w:rsidRDefault="00C430F0" w:rsidP="00BD3921">
            <w:pPr>
              <w:spacing w:before="40" w:after="40"/>
              <w:rPr>
                <w:color w:val="000000"/>
                <w:sz w:val="18"/>
              </w:rPr>
            </w:pPr>
            <w:r w:rsidRPr="004C787F">
              <w:rPr>
                <w:color w:val="000000"/>
                <w:sz w:val="18"/>
              </w:rPr>
              <w:t>0.0479</w:t>
            </w:r>
          </w:p>
        </w:tc>
        <w:tc>
          <w:tcPr>
            <w:tcW w:w="2890" w:type="pct"/>
            <w:tcBorders>
              <w:bottom w:val="single" w:sz="4" w:space="0" w:color="auto"/>
            </w:tcBorders>
            <w:vAlign w:val="center"/>
          </w:tcPr>
          <w:p w14:paraId="4F5D32BE" w14:textId="77777777" w:rsidR="00C430F0" w:rsidRPr="004C787F" w:rsidRDefault="00C430F0" w:rsidP="00BD3921">
            <w:pPr>
              <w:spacing w:before="40" w:after="40"/>
              <w:rPr>
                <w:color w:val="000000"/>
                <w:sz w:val="18"/>
              </w:rPr>
            </w:pPr>
            <w:r w:rsidRPr="004C787F">
              <w:rPr>
                <w:color w:val="000000"/>
                <w:sz w:val="18"/>
              </w:rPr>
              <w:t>Global required after</w:t>
            </w:r>
            <w:r w:rsidRPr="004C787F">
              <w:rPr>
                <w:color w:val="000000"/>
                <w:sz w:val="18"/>
              </w:rPr>
              <w:noBreakHyphen/>
              <w:t>tax rate of return</w:t>
            </w:r>
          </w:p>
        </w:tc>
      </w:tr>
    </w:tbl>
    <w:p w14:paraId="0AABF6D8" w14:textId="77777777" w:rsidR="00C430F0" w:rsidRPr="004C787F" w:rsidRDefault="00C430F0" w:rsidP="00C430F0">
      <w:pPr>
        <w:pStyle w:val="Heading3"/>
      </w:pPr>
      <w:r w:rsidRPr="004C787F">
        <w:t>Government</w:t>
      </w:r>
    </w:p>
    <w:p w14:paraId="02297605" w14:textId="77777777" w:rsidR="00C430F0" w:rsidRPr="004C787F" w:rsidRDefault="00C430F0" w:rsidP="00C430F0">
      <w:pPr>
        <w:pStyle w:val="Heading4"/>
      </w:pPr>
      <w:r w:rsidRPr="004C787F">
        <w:t>Revenue</w:t>
      </w:r>
    </w:p>
    <w:p w14:paraId="0BA13E1D" w14:textId="77777777" w:rsidR="00C430F0" w:rsidRPr="004C787F" w:rsidRDefault="00C430F0" w:rsidP="00C430F0">
      <w:pPr>
        <w:pStyle w:val="Heading5"/>
      </w:pPr>
      <w:r w:rsidRPr="004C787F">
        <w:t>Income taxes</w:t>
      </w:r>
    </w:p>
    <w:p w14:paraId="43D89D07" w14:textId="62845F22" w:rsidR="00C430F0" w:rsidRPr="004C787F" w:rsidRDefault="00C430F0" w:rsidP="00C430F0">
      <w:r w:rsidRPr="004C787F">
        <w:t>Total company income taxes are obtained from the ABS Taxation Revenue 2019–20 Table 1</w:t>
      </w:r>
      <w:r>
        <w:t xml:space="preserve"> </w:t>
      </w:r>
      <w:sdt>
        <w:sdtPr>
          <w:id w:val="-2033795197"/>
          <w:citation/>
        </w:sdtPr>
        <w:sdtEndPr/>
        <w:sdtContent>
          <w:r>
            <w:fldChar w:fldCharType="begin"/>
          </w:r>
          <w:r>
            <w:instrText xml:space="preserve"> CITATION ABSTR1920 \l 3081 </w:instrText>
          </w:r>
          <w:r>
            <w:fldChar w:fldCharType="separate"/>
          </w:r>
          <w:r>
            <w:rPr>
              <w:noProof/>
            </w:rPr>
            <w:t>(ABS, 2021a)</w:t>
          </w:r>
          <w:r>
            <w:fldChar w:fldCharType="end"/>
          </w:r>
        </w:sdtContent>
      </w:sdt>
      <w:r w:rsidRPr="004C787F">
        <w:t xml:space="preserve">. The tax rate on capital, </w:t>
      </w:r>
      <w:r w:rsidR="009205EE" w:rsidRPr="009205EE">
        <w:rPr>
          <w:position w:val="-12"/>
        </w:rPr>
        <w:object w:dxaOrig="279" w:dyaOrig="380" w14:anchorId="0DDC82C8">
          <v:shape id="_x0000_i1347" type="#_x0000_t75" style="width:13.8pt;height:18.6pt" o:ole="">
            <v:imagedata r:id="rId670" o:title=""/>
          </v:shape>
          <o:OLEObject Type="Embed" ProgID="Equation.DSMT4" ShapeID="_x0000_i1347" DrawAspect="Content" ObjectID="_1755515801" r:id="rId671"/>
        </w:object>
      </w:r>
      <w:r w:rsidRPr="004C787F">
        <w:t>, is calculated as company income tax paid</w:t>
      </w:r>
      <w:r>
        <w:t>,</w:t>
      </w:r>
      <w:r w:rsidRPr="004C787F">
        <w:t xml:space="preserve"> divided by the sum of GOS and land value</w:t>
      </w:r>
      <w:r w:rsidRPr="004C787F">
        <w:noBreakHyphen/>
        <w:t>added, less the depreciation on private capital obtained from the ABS Australian System of National Accounts</w:t>
      </w:r>
      <w:r>
        <w:t xml:space="preserve"> </w:t>
      </w:r>
      <w:sdt>
        <w:sdtPr>
          <w:id w:val="742144743"/>
          <w:citation/>
        </w:sdtPr>
        <w:sdtEndPr/>
        <w:sdtContent>
          <w:r>
            <w:fldChar w:fldCharType="begin"/>
          </w:r>
          <w:r>
            <w:instrText xml:space="preserve"> CITATION ABSNA1920 \l 3081 </w:instrText>
          </w:r>
          <w:r>
            <w:fldChar w:fldCharType="separate"/>
          </w:r>
          <w:r>
            <w:rPr>
              <w:noProof/>
            </w:rPr>
            <w:t>(ABS, 2020a)</w:t>
          </w:r>
          <w:r>
            <w:fldChar w:fldCharType="end"/>
          </w:r>
        </w:sdtContent>
      </w:sdt>
      <w:r w:rsidRPr="004C787F">
        <w:t>.</w:t>
      </w:r>
    </w:p>
    <w:p w14:paraId="680CF2BE" w14:textId="4A633FF1" w:rsidR="00C430F0" w:rsidRPr="004C787F" w:rsidRDefault="00C430F0" w:rsidP="00C430F0">
      <w:r w:rsidRPr="004C787F">
        <w:t>Labour income taxes for 2018–19 are obtained from the ABS Taxation Revenue 2019–20 Table 1</w:t>
      </w:r>
      <w:r>
        <w:t xml:space="preserve"> </w:t>
      </w:r>
      <w:sdt>
        <w:sdtPr>
          <w:id w:val="1006179647"/>
          <w:citation/>
        </w:sdtPr>
        <w:sdtEndPr/>
        <w:sdtContent>
          <w:r>
            <w:fldChar w:fldCharType="begin"/>
          </w:r>
          <w:r>
            <w:instrText xml:space="preserve"> CITATION ABSTR1920 \l 3081 </w:instrText>
          </w:r>
          <w:r>
            <w:fldChar w:fldCharType="separate"/>
          </w:r>
          <w:r>
            <w:rPr>
              <w:noProof/>
            </w:rPr>
            <w:t>(ABS, 2021a)</w:t>
          </w:r>
          <w:r>
            <w:fldChar w:fldCharType="end"/>
          </w:r>
        </w:sdtContent>
      </w:sdt>
      <w:r w:rsidRPr="004C787F">
        <w:t xml:space="preserve">. The labour tax rate, </w:t>
      </w:r>
      <w:r w:rsidR="009205EE" w:rsidRPr="009205EE">
        <w:rPr>
          <w:position w:val="-12"/>
        </w:rPr>
        <w:object w:dxaOrig="279" w:dyaOrig="380" w14:anchorId="109D7B3C">
          <v:shape id="_x0000_i1348" type="#_x0000_t75" style="width:13.8pt;height:18.6pt" o:ole="">
            <v:imagedata r:id="rId672" o:title=""/>
          </v:shape>
          <o:OLEObject Type="Embed" ProgID="Equation.DSMT4" ShapeID="_x0000_i1348" DrawAspect="Content" ObjectID="_1755515802" r:id="rId673"/>
        </w:object>
      </w:r>
      <w:r w:rsidRPr="004C787F">
        <w:t>, is calculated as labour income tax paid divided by COE (which is sourced from the I</w:t>
      </w:r>
      <w:r w:rsidRPr="004C787F">
        <w:noBreakHyphen/>
        <w:t>O tables).</w:t>
      </w:r>
    </w:p>
    <w:p w14:paraId="53C95271" w14:textId="77777777" w:rsidR="00C430F0" w:rsidRPr="004C787F" w:rsidRDefault="00C430F0" w:rsidP="00C430F0">
      <w:pPr>
        <w:pStyle w:val="Heading5"/>
      </w:pPr>
      <w:r w:rsidRPr="004C787F">
        <w:t>Taxes on production</w:t>
      </w:r>
    </w:p>
    <w:p w14:paraId="6D6C96B5" w14:textId="77777777" w:rsidR="00C430F0" w:rsidRPr="004C787F" w:rsidRDefault="00C430F0" w:rsidP="00C430F0">
      <w:r w:rsidRPr="004C787F">
        <w:t xml:space="preserve">Payroll tax, the tax on the return to fixed factors, the tax on variable </w:t>
      </w:r>
      <w:r>
        <w:t>capital,</w:t>
      </w:r>
      <w:r w:rsidRPr="004C787F">
        <w:t xml:space="preserve"> and production subsidies are calculated from taxes on production obtained from the 2018–19 </w:t>
      </w:r>
      <w:r w:rsidRPr="004C787F">
        <w:rPr>
          <w:lang w:val="en-US"/>
        </w:rPr>
        <w:t>I</w:t>
      </w:r>
      <w:r w:rsidRPr="004C787F">
        <w:rPr>
          <w:lang w:val="en-US"/>
        </w:rPr>
        <w:noBreakHyphen/>
        <w:t>O</w:t>
      </w:r>
      <w:r w:rsidRPr="004C787F">
        <w:t xml:space="preserve"> </w:t>
      </w:r>
      <w:r>
        <w:t>t</w:t>
      </w:r>
      <w:r w:rsidRPr="004C787F">
        <w:t>able</w:t>
      </w:r>
      <w:r>
        <w:t>s Table</w:t>
      </w:r>
      <w:r w:rsidRPr="004C787F">
        <w:t xml:space="preserve"> 2</w:t>
      </w:r>
      <w:r>
        <w:t xml:space="preserve"> </w:t>
      </w:r>
      <w:sdt>
        <w:sdtPr>
          <w:id w:val="2118022808"/>
          <w:citation/>
        </w:sdtPr>
        <w:sdtEndPr/>
        <w:sdtContent>
          <w:r>
            <w:fldChar w:fldCharType="begin"/>
          </w:r>
          <w:r>
            <w:instrText xml:space="preserve"> CITATION ABSIO1819 \l 3081 </w:instrText>
          </w:r>
          <w:r>
            <w:fldChar w:fldCharType="separate"/>
          </w:r>
          <w:r>
            <w:rPr>
              <w:noProof/>
            </w:rPr>
            <w:t>(ABS, 2021b)</w:t>
          </w:r>
          <w:r>
            <w:fldChar w:fldCharType="end"/>
          </w:r>
        </w:sdtContent>
      </w:sdt>
      <w:r w:rsidRPr="004C787F">
        <w:t xml:space="preserve">. </w:t>
      </w:r>
    </w:p>
    <w:p w14:paraId="79DE9FE7" w14:textId="77777777" w:rsidR="00C430F0" w:rsidRPr="004C787F" w:rsidRDefault="00C430F0" w:rsidP="00C430F0">
      <w:r w:rsidRPr="004C787F">
        <w:t>These taxes are allocated to industries consistent with aggregate taxes on production and industry data from the ABS industry dataset</w:t>
      </w:r>
      <w:r>
        <w:t xml:space="preserve"> </w:t>
      </w:r>
      <w:sdt>
        <w:sdtPr>
          <w:id w:val="-735007085"/>
          <w:citation/>
        </w:sdtPr>
        <w:sdtEndPr/>
        <w:sdtContent>
          <w:r>
            <w:fldChar w:fldCharType="begin"/>
          </w:r>
          <w:r>
            <w:instrText xml:space="preserve"> CITATION ABS21c \l 3081 </w:instrText>
          </w:r>
          <w:r>
            <w:fldChar w:fldCharType="separate"/>
          </w:r>
          <w:r>
            <w:rPr>
              <w:noProof/>
            </w:rPr>
            <w:t>(ABS, 2021c)</w:t>
          </w:r>
          <w:r>
            <w:fldChar w:fldCharType="end"/>
          </w:r>
        </w:sdtContent>
      </w:sdt>
      <w:r w:rsidRPr="004C787F">
        <w:t>, as well as government revenue data and the labour account.</w:t>
      </w:r>
    </w:p>
    <w:p w14:paraId="6CA94E63" w14:textId="77777777" w:rsidR="00C430F0" w:rsidRPr="004C787F" w:rsidRDefault="00C430F0" w:rsidP="00C430F0">
      <w:pPr>
        <w:pStyle w:val="Heading5"/>
      </w:pPr>
      <w:r w:rsidRPr="004C787F">
        <w:t>Taxes on products</w:t>
      </w:r>
    </w:p>
    <w:p w14:paraId="36311457" w14:textId="77777777" w:rsidR="00C430F0" w:rsidRPr="004C787F" w:rsidRDefault="00C430F0" w:rsidP="00C430F0">
      <w:r w:rsidRPr="004C787F">
        <w:t xml:space="preserve">Taxes on products are obtained from Tables 35–40 of the ABS </w:t>
      </w:r>
      <w:r w:rsidRPr="004C787F">
        <w:rPr>
          <w:lang w:val="en-US"/>
        </w:rPr>
        <w:t>I</w:t>
      </w:r>
      <w:r w:rsidRPr="004C787F">
        <w:rPr>
          <w:lang w:val="en-US"/>
        </w:rPr>
        <w:noBreakHyphen/>
        <w:t>O tables</w:t>
      </w:r>
      <w:r>
        <w:rPr>
          <w:lang w:val="en-US"/>
        </w:rPr>
        <w:t xml:space="preserve"> </w:t>
      </w:r>
      <w:sdt>
        <w:sdtPr>
          <w:rPr>
            <w:lang w:val="en-US"/>
          </w:rPr>
          <w:id w:val="-541598600"/>
          <w:citation/>
        </w:sdtPr>
        <w:sdtEndPr/>
        <w:sdtContent>
          <w:r>
            <w:rPr>
              <w:lang w:val="en-US"/>
            </w:rPr>
            <w:fldChar w:fldCharType="begin"/>
          </w:r>
          <w:r>
            <w:instrText xml:space="preserve"> CITATION ABSIO1819 \l 3081 </w:instrText>
          </w:r>
          <w:r>
            <w:rPr>
              <w:lang w:val="en-US"/>
            </w:rPr>
            <w:fldChar w:fldCharType="separate"/>
          </w:r>
          <w:r>
            <w:rPr>
              <w:noProof/>
            </w:rPr>
            <w:t>(ABS, 2021b)</w:t>
          </w:r>
          <w:r>
            <w:rPr>
              <w:lang w:val="en-US"/>
            </w:rPr>
            <w:fldChar w:fldCharType="end"/>
          </w:r>
        </w:sdtContent>
      </w:sdt>
      <w:r w:rsidRPr="004C787F">
        <w:t>. These tables provide information on duties, GST, subsidies, excise, and other taxes collected on intermediate inputs, consumption, investment, government expenditure and exports.</w:t>
      </w:r>
    </w:p>
    <w:p w14:paraId="13E6287F" w14:textId="77777777" w:rsidR="00C430F0" w:rsidRPr="00EA31F4" w:rsidRDefault="00C430F0" w:rsidP="00C430F0">
      <w:pPr>
        <w:jc w:val="center"/>
        <w:rPr>
          <w:b/>
          <w:bCs/>
        </w:rPr>
      </w:pPr>
      <w:r w:rsidRPr="00EA31F4">
        <w:rPr>
          <w:b/>
          <w:bCs/>
        </w:rPr>
        <w:t xml:space="preserve">Table 5: </w:t>
      </w:r>
      <w:r>
        <w:rPr>
          <w:b/>
          <w:bCs/>
        </w:rPr>
        <w:t>TIM’s i</w:t>
      </w:r>
      <w:r w:rsidRPr="00EA31F4">
        <w:rPr>
          <w:b/>
          <w:bCs/>
        </w:rPr>
        <w:t>mplied tax rates</w:t>
      </w:r>
    </w:p>
    <w:tbl>
      <w:tblPr>
        <w:tblW w:w="5000" w:type="pct"/>
        <w:tblLook w:val="0660" w:firstRow="1" w:lastRow="1" w:firstColumn="0" w:lastColumn="0" w:noHBand="1" w:noVBand="1"/>
      </w:tblPr>
      <w:tblGrid>
        <w:gridCol w:w="2267"/>
        <w:gridCol w:w="6803"/>
      </w:tblGrid>
      <w:tr w:rsidR="00C430F0" w:rsidRPr="004C787F" w14:paraId="119F73BE" w14:textId="77777777" w:rsidTr="00BD3921">
        <w:trPr>
          <w:trHeight w:val="227"/>
        </w:trPr>
        <w:tc>
          <w:tcPr>
            <w:tcW w:w="1250" w:type="pct"/>
            <w:tcBorders>
              <w:top w:val="single" w:sz="4" w:space="0" w:color="auto"/>
              <w:bottom w:val="single" w:sz="4" w:space="0" w:color="auto"/>
              <w:right w:val="single" w:sz="4" w:space="0" w:color="auto"/>
            </w:tcBorders>
            <w:shd w:val="clear" w:color="auto" w:fill="EEEEEE" w:themeFill="background2"/>
          </w:tcPr>
          <w:p w14:paraId="7FAC5046" w14:textId="77777777" w:rsidR="00C430F0" w:rsidRPr="004C787F" w:rsidRDefault="00C430F0" w:rsidP="00BD3921">
            <w:pPr>
              <w:spacing w:before="40" w:after="40"/>
              <w:rPr>
                <w:b/>
                <w:color w:val="004A7F"/>
                <w:sz w:val="20"/>
              </w:rPr>
            </w:pPr>
            <w:r w:rsidRPr="004C787F">
              <w:rPr>
                <w:b/>
                <w:color w:val="004A7F"/>
                <w:sz w:val="20"/>
              </w:rPr>
              <w:t>Implied tax rate</w:t>
            </w:r>
          </w:p>
        </w:tc>
        <w:tc>
          <w:tcPr>
            <w:tcW w:w="3750" w:type="pct"/>
            <w:tcBorders>
              <w:top w:val="single" w:sz="4" w:space="0" w:color="auto"/>
              <w:left w:val="single" w:sz="4" w:space="0" w:color="auto"/>
              <w:bottom w:val="single" w:sz="4" w:space="0" w:color="auto"/>
            </w:tcBorders>
            <w:shd w:val="clear" w:color="auto" w:fill="EEEEEE" w:themeFill="background2"/>
          </w:tcPr>
          <w:p w14:paraId="109079DB" w14:textId="77777777" w:rsidR="00C430F0" w:rsidRPr="004C787F" w:rsidRDefault="00C430F0" w:rsidP="00BD3921">
            <w:pPr>
              <w:spacing w:before="40" w:after="40"/>
              <w:rPr>
                <w:b/>
                <w:color w:val="004A7F"/>
                <w:sz w:val="20"/>
              </w:rPr>
            </w:pPr>
            <w:r w:rsidRPr="004C787F">
              <w:rPr>
                <w:b/>
                <w:color w:val="004A7F"/>
                <w:sz w:val="20"/>
              </w:rPr>
              <w:t>Calculations</w:t>
            </w:r>
          </w:p>
        </w:tc>
      </w:tr>
      <w:tr w:rsidR="00C430F0" w:rsidRPr="004C787F" w14:paraId="320254BF" w14:textId="77777777" w:rsidTr="00BD3921">
        <w:trPr>
          <w:trHeight w:val="510"/>
        </w:trPr>
        <w:tc>
          <w:tcPr>
            <w:tcW w:w="1250" w:type="pct"/>
            <w:tcBorders>
              <w:top w:val="single" w:sz="4" w:space="0" w:color="auto"/>
              <w:right w:val="single" w:sz="4" w:space="0" w:color="auto"/>
            </w:tcBorders>
            <w:shd w:val="clear" w:color="auto" w:fill="EEEEEE" w:themeFill="background2"/>
            <w:vAlign w:val="center"/>
          </w:tcPr>
          <w:p w14:paraId="2D2807CE" w14:textId="250B654B" w:rsidR="00C430F0" w:rsidRPr="004C787F" w:rsidRDefault="00C430F0" w:rsidP="00BD3921">
            <w:pPr>
              <w:spacing w:before="40" w:after="40"/>
              <w:rPr>
                <w:color w:val="000000"/>
                <w:sz w:val="14"/>
                <w:szCs w:val="14"/>
              </w:rPr>
            </w:pPr>
            <w:r w:rsidRPr="004C787F">
              <w:rPr>
                <w:color w:val="000000"/>
                <w:sz w:val="18"/>
              </w:rPr>
              <w:t xml:space="preserve">Import duties </w:t>
            </w:r>
            <w:r w:rsidR="009205EE" w:rsidRPr="009205EE">
              <w:rPr>
                <w:position w:val="-14"/>
              </w:rPr>
              <w:object w:dxaOrig="520" w:dyaOrig="400" w14:anchorId="3A3EB265">
                <v:shape id="_x0000_i1349" type="#_x0000_t75" style="width:26.4pt;height:20.4pt" o:ole="">
                  <v:imagedata r:id="rId674" o:title=""/>
                </v:shape>
                <o:OLEObject Type="Embed" ProgID="Equation.DSMT4" ShapeID="_x0000_i1349" DrawAspect="Content" ObjectID="_1755515803" r:id="rId675"/>
              </w:object>
            </w:r>
          </w:p>
        </w:tc>
        <w:tc>
          <w:tcPr>
            <w:tcW w:w="3750" w:type="pct"/>
            <w:tcBorders>
              <w:top w:val="single" w:sz="4" w:space="0" w:color="auto"/>
              <w:left w:val="single" w:sz="4" w:space="0" w:color="auto"/>
            </w:tcBorders>
            <w:vAlign w:val="center"/>
          </w:tcPr>
          <w:p w14:paraId="73C0441F" w14:textId="77777777" w:rsidR="00C430F0" w:rsidRPr="004C787F" w:rsidRDefault="00C430F0" w:rsidP="00BD3921">
            <w:pPr>
              <w:spacing w:before="40" w:after="40"/>
              <w:rPr>
                <w:color w:val="000000"/>
                <w:sz w:val="18"/>
              </w:rPr>
            </w:pPr>
            <w:r w:rsidRPr="004C787F">
              <w:rPr>
                <w:color w:val="000000"/>
                <w:sz w:val="18"/>
              </w:rPr>
              <w:t>Duty revenue divided by competing imports</w:t>
            </w:r>
          </w:p>
        </w:tc>
      </w:tr>
      <w:tr w:rsidR="00C430F0" w:rsidRPr="004C787F" w14:paraId="276B3627" w14:textId="77777777" w:rsidTr="00BD3921">
        <w:trPr>
          <w:trHeight w:val="510"/>
        </w:trPr>
        <w:tc>
          <w:tcPr>
            <w:tcW w:w="1250" w:type="pct"/>
            <w:tcBorders>
              <w:right w:val="single" w:sz="4" w:space="0" w:color="auto"/>
            </w:tcBorders>
            <w:shd w:val="clear" w:color="auto" w:fill="EEEEEE" w:themeFill="background2"/>
            <w:vAlign w:val="center"/>
          </w:tcPr>
          <w:p w14:paraId="1E79E40D" w14:textId="33295571" w:rsidR="00C430F0" w:rsidRPr="004C787F" w:rsidRDefault="00C430F0" w:rsidP="00BD3921">
            <w:pPr>
              <w:spacing w:before="40" w:after="40"/>
              <w:rPr>
                <w:color w:val="000000"/>
                <w:sz w:val="14"/>
                <w:szCs w:val="14"/>
              </w:rPr>
            </w:pPr>
            <w:r w:rsidRPr="004C787F">
              <w:rPr>
                <w:color w:val="000000"/>
                <w:sz w:val="18"/>
              </w:rPr>
              <w:t xml:space="preserve">Excise </w:t>
            </w:r>
            <w:r w:rsidR="009205EE" w:rsidRPr="009205EE">
              <w:rPr>
                <w:position w:val="-14"/>
              </w:rPr>
              <w:object w:dxaOrig="440" w:dyaOrig="400" w14:anchorId="71DE57CF">
                <v:shape id="_x0000_i1350" type="#_x0000_t75" style="width:21.6pt;height:20.4pt" o:ole="">
                  <v:imagedata r:id="rId676" o:title=""/>
                </v:shape>
                <o:OLEObject Type="Embed" ProgID="Equation.DSMT4" ShapeID="_x0000_i1350" DrawAspect="Content" ObjectID="_1755515804" r:id="rId677"/>
              </w:object>
            </w:r>
          </w:p>
        </w:tc>
        <w:tc>
          <w:tcPr>
            <w:tcW w:w="3750" w:type="pct"/>
            <w:tcBorders>
              <w:left w:val="single" w:sz="4" w:space="0" w:color="auto"/>
            </w:tcBorders>
            <w:vAlign w:val="center"/>
          </w:tcPr>
          <w:p w14:paraId="452E9732" w14:textId="77777777" w:rsidR="00C430F0" w:rsidRPr="004C787F" w:rsidRDefault="00C430F0" w:rsidP="00BD3921">
            <w:pPr>
              <w:spacing w:before="40" w:after="40"/>
              <w:rPr>
                <w:color w:val="000000"/>
                <w:sz w:val="18"/>
              </w:rPr>
            </w:pPr>
            <w:r w:rsidRPr="004C787F">
              <w:rPr>
                <w:color w:val="000000"/>
                <w:sz w:val="18"/>
              </w:rPr>
              <w:t>Excise revenue divided by the basic value of use including duties</w:t>
            </w:r>
          </w:p>
        </w:tc>
      </w:tr>
      <w:tr w:rsidR="00C430F0" w:rsidRPr="004C787F" w14:paraId="7B762B22" w14:textId="77777777" w:rsidTr="00BD3921">
        <w:trPr>
          <w:trHeight w:val="510"/>
        </w:trPr>
        <w:tc>
          <w:tcPr>
            <w:tcW w:w="1250" w:type="pct"/>
            <w:tcBorders>
              <w:bottom w:val="single" w:sz="4" w:space="0" w:color="auto"/>
              <w:right w:val="single" w:sz="4" w:space="0" w:color="auto"/>
            </w:tcBorders>
            <w:shd w:val="clear" w:color="auto" w:fill="EEEEEE" w:themeFill="background2"/>
            <w:vAlign w:val="center"/>
          </w:tcPr>
          <w:p w14:paraId="5709399A" w14:textId="16DF4C73" w:rsidR="00C430F0" w:rsidRPr="004C787F" w:rsidRDefault="00C430F0" w:rsidP="00BD3921">
            <w:pPr>
              <w:spacing w:before="40" w:after="40"/>
              <w:rPr>
                <w:color w:val="000000"/>
                <w:sz w:val="18"/>
              </w:rPr>
            </w:pPr>
            <w:r w:rsidRPr="004C787F">
              <w:rPr>
                <w:color w:val="000000"/>
                <w:sz w:val="18"/>
              </w:rPr>
              <w:t xml:space="preserve">Sales tax </w:t>
            </w:r>
            <w:r w:rsidR="009205EE" w:rsidRPr="009205EE">
              <w:rPr>
                <w:position w:val="-14"/>
              </w:rPr>
              <w:object w:dxaOrig="440" w:dyaOrig="400" w14:anchorId="6E5C1497">
                <v:shape id="_x0000_i1351" type="#_x0000_t75" style="width:21.6pt;height:20.4pt" o:ole="">
                  <v:imagedata r:id="rId678" o:title=""/>
                </v:shape>
                <o:OLEObject Type="Embed" ProgID="Equation.DSMT4" ShapeID="_x0000_i1351" DrawAspect="Content" ObjectID="_1755515805" r:id="rId679"/>
              </w:object>
            </w:r>
          </w:p>
        </w:tc>
        <w:tc>
          <w:tcPr>
            <w:tcW w:w="3750" w:type="pct"/>
            <w:tcBorders>
              <w:left w:val="single" w:sz="4" w:space="0" w:color="auto"/>
              <w:bottom w:val="single" w:sz="4" w:space="0" w:color="auto"/>
            </w:tcBorders>
            <w:vAlign w:val="center"/>
          </w:tcPr>
          <w:p w14:paraId="17F3B512" w14:textId="77777777" w:rsidR="00C430F0" w:rsidRPr="004C787F" w:rsidRDefault="00C430F0" w:rsidP="00BD3921">
            <w:pPr>
              <w:spacing w:before="40" w:after="40"/>
              <w:rPr>
                <w:color w:val="000000"/>
                <w:sz w:val="18"/>
              </w:rPr>
            </w:pPr>
            <w:r w:rsidRPr="004C787F">
              <w:rPr>
                <w:color w:val="000000"/>
                <w:sz w:val="18"/>
              </w:rPr>
              <w:t>Sales tax revenue divided by the sum of basic value of use plus duty revenue, excise revenue and margins</w:t>
            </w:r>
          </w:p>
        </w:tc>
      </w:tr>
    </w:tbl>
    <w:p w14:paraId="7F61AF02" w14:textId="77777777" w:rsidR="00C430F0" w:rsidRPr="004C787F" w:rsidRDefault="00C430F0" w:rsidP="00C430F0">
      <w:pPr>
        <w:pStyle w:val="Heading4"/>
      </w:pPr>
      <w:r w:rsidRPr="004C787F">
        <w:t>Expenditure</w:t>
      </w:r>
    </w:p>
    <w:p w14:paraId="6183E313" w14:textId="77777777" w:rsidR="00C430F0" w:rsidRPr="004C787F" w:rsidRDefault="00C430F0" w:rsidP="00C430F0">
      <w:r w:rsidRPr="004C787F">
        <w:t>Government expenditure is obtained from Table 4 of the ABS I</w:t>
      </w:r>
      <w:r w:rsidRPr="004C787F">
        <w:noBreakHyphen/>
        <w:t>O</w:t>
      </w:r>
      <w:r w:rsidRPr="004C787F">
        <w:rPr>
          <w:lang w:val="en-US"/>
        </w:rPr>
        <w:t xml:space="preserve"> </w:t>
      </w:r>
      <w:r w:rsidRPr="004C787F">
        <w:t>tables</w:t>
      </w:r>
      <w:r>
        <w:t xml:space="preserve"> </w:t>
      </w:r>
      <w:sdt>
        <w:sdtPr>
          <w:id w:val="143403088"/>
          <w:citation/>
        </w:sdtPr>
        <w:sdtEndPr/>
        <w:sdtContent>
          <w:r>
            <w:fldChar w:fldCharType="begin"/>
          </w:r>
          <w:r>
            <w:instrText xml:space="preserve"> CITATION ABSIO1819 \l 3081 </w:instrText>
          </w:r>
          <w:r>
            <w:fldChar w:fldCharType="separate"/>
          </w:r>
          <w:r>
            <w:rPr>
              <w:noProof/>
            </w:rPr>
            <w:t>(ABS, 2021b)</w:t>
          </w:r>
          <w:r>
            <w:fldChar w:fldCharType="end"/>
          </w:r>
        </w:sdtContent>
      </w:sdt>
      <w:r w:rsidRPr="004C787F">
        <w:t>.</w:t>
      </w:r>
    </w:p>
    <w:p w14:paraId="1BAB39C7" w14:textId="77777777" w:rsidR="00C430F0" w:rsidRDefault="00C430F0" w:rsidP="00C430F0"/>
    <w:p w14:paraId="12D45406" w14:textId="77777777" w:rsidR="00C430F0" w:rsidRPr="004C787F" w:rsidRDefault="00C430F0" w:rsidP="00C430F0">
      <w:pPr>
        <w:sectPr w:rsidR="00C430F0" w:rsidRPr="004C787F">
          <w:pgSz w:w="11906" w:h="16838" w:code="9"/>
          <w:pgMar w:top="1843" w:right="1418" w:bottom="1418" w:left="1418" w:header="709" w:footer="709" w:gutter="0"/>
          <w:cols w:space="708"/>
          <w:titlePg/>
          <w:docGrid w:linePitch="360"/>
        </w:sectPr>
      </w:pPr>
    </w:p>
    <w:p w14:paraId="76A81DA7" w14:textId="77777777" w:rsidR="00C430F0" w:rsidRPr="004C787F" w:rsidRDefault="00C430F0" w:rsidP="00C430F0">
      <w:pPr>
        <w:pStyle w:val="Heading1"/>
        <w:numPr>
          <w:ilvl w:val="0"/>
          <w:numId w:val="42"/>
        </w:numPr>
      </w:pPr>
      <w:r w:rsidRPr="004C787F">
        <w:t>Welfare criterion for policy analysis</w:t>
      </w:r>
    </w:p>
    <w:p w14:paraId="2A8687B4" w14:textId="77777777" w:rsidR="00C430F0" w:rsidRPr="004C787F" w:rsidRDefault="00C430F0" w:rsidP="00C430F0">
      <w:r w:rsidRPr="004C787F">
        <w:t>TIM measures welfare gains and losses for the representative household associated with a policy change using a dynamic version of the Hicksian Equivalent Variation (HEV) approach. This approach essentially measures the change in lifetime utility (measured in terms of initial consumption, labour hours, prices</w:t>
      </w:r>
      <w:r>
        <w:t>,</w:t>
      </w:r>
      <w:r w:rsidRPr="004C787F">
        <w:t xml:space="preserve"> and wages) that would leave the household indifferent to the change in policy. If the policy change increases lifetime utility, the HEV estimate will be positive, and the household will be deemed to be better off.</w:t>
      </w:r>
    </w:p>
    <w:p w14:paraId="0610DDEF" w14:textId="67C24927" w:rsidR="00C430F0" w:rsidRPr="004C787F" w:rsidRDefault="00C430F0" w:rsidP="00C430F0">
      <w:r w:rsidRPr="004C787F">
        <w:t>Assum</w:t>
      </w:r>
      <w:r>
        <w:t>ing</w:t>
      </w:r>
      <w:r w:rsidRPr="004C787F">
        <w:t xml:space="preserve"> the policy change is announced at time </w:t>
      </w:r>
      <w:r w:rsidR="009205EE" w:rsidRPr="009205EE">
        <w:rPr>
          <w:position w:val="-6"/>
        </w:rPr>
        <w:object w:dxaOrig="139" w:dyaOrig="240" w14:anchorId="311B432D">
          <v:shape id="_x0000_i1352" type="#_x0000_t75" style="width:6.6pt;height:12pt" o:ole="">
            <v:imagedata r:id="rId680" o:title=""/>
          </v:shape>
          <o:OLEObject Type="Embed" ProgID="Equation.DSMT4" ShapeID="_x0000_i1352" DrawAspect="Content" ObjectID="_1755515806" r:id="rId681"/>
        </w:object>
      </w:r>
      <w:r>
        <w:t xml:space="preserve">, </w:t>
      </w:r>
      <w:r w:rsidR="009205EE" w:rsidRPr="009205EE">
        <w:rPr>
          <w:position w:val="-18"/>
        </w:rPr>
        <w:object w:dxaOrig="1020" w:dyaOrig="520" w14:anchorId="451B9A90">
          <v:shape id="_x0000_i1353" type="#_x0000_t75" style="width:51pt;height:26.4pt" o:ole="">
            <v:imagedata r:id="rId682" o:title=""/>
          </v:shape>
          <o:OLEObject Type="Embed" ProgID="Equation.DSMT4" ShapeID="_x0000_i1353" DrawAspect="Content" ObjectID="_1755515807" r:id="rId683"/>
        </w:object>
      </w:r>
      <w:r>
        <w:t xml:space="preserve"> </w:t>
      </w:r>
      <w:r w:rsidRPr="004C787F">
        <w:t>is the household’s level of consumption and leisure assuming no policy change (which is typically the steady state path) for their remaining life</w:t>
      </w:r>
      <w:r>
        <w:t>,</w:t>
      </w:r>
      <w:r w:rsidRPr="004C787F">
        <w:t xml:space="preserve"> and </w:t>
      </w:r>
      <w:r w:rsidR="009205EE" w:rsidRPr="009205EE">
        <w:rPr>
          <w:position w:val="-18"/>
        </w:rPr>
        <w:object w:dxaOrig="900" w:dyaOrig="520" w14:anchorId="49122349">
          <v:shape id="_x0000_i1354" type="#_x0000_t75" style="width:45pt;height:26.4pt" o:ole="">
            <v:imagedata r:id="rId684" o:title=""/>
          </v:shape>
          <o:OLEObject Type="Embed" ProgID="Equation.DSMT4" ShapeID="_x0000_i1354" DrawAspect="Content" ObjectID="_1755515808" r:id="rId685"/>
        </w:object>
      </w:r>
      <w:r>
        <w:t xml:space="preserve"> </w:t>
      </w:r>
      <w:r w:rsidRPr="004C787F">
        <w:t xml:space="preserve">is the household’s level of consumption and leisure under the policy change for their remaining life. The HEV is estimated via </w:t>
      </w:r>
      <w:r w:rsidR="009205EE" w:rsidRPr="00025957">
        <w:rPr>
          <w:position w:val="-4"/>
        </w:rPr>
        <w:object w:dxaOrig="220" w:dyaOrig="260" w14:anchorId="1B541FE5">
          <v:shape id="_x0000_i1355" type="#_x0000_t75" style="width:11.4pt;height:13.2pt" o:ole="">
            <v:imagedata r:id="rId686" o:title=""/>
          </v:shape>
          <o:OLEObject Type="Embed" ProgID="Equation.DSMT4" ShapeID="_x0000_i1355" DrawAspect="Content" ObjectID="_1755515809" r:id="rId687"/>
        </w:object>
      </w:r>
      <w:r w:rsidRPr="004C787F">
        <w:t>, which is the permanent per cent change in the household’s consumption and leisure over their remaining lifetime sufficient to yield the same utility as under the policy change:</w:t>
      </w:r>
    </w:p>
    <w:p w14:paraId="501ECF9F" w14:textId="6B1259A7" w:rsidR="00C430F0" w:rsidRPr="004C787F" w:rsidRDefault="00C430F0" w:rsidP="00C430F0">
      <w:pPr>
        <w:pStyle w:val="MTDisplayEquation"/>
      </w:pPr>
      <w:r>
        <w:tab/>
      </w:r>
      <w:r w:rsidR="009205EE" w:rsidRPr="009205EE">
        <w:rPr>
          <w:position w:val="-28"/>
        </w:rPr>
        <w:object w:dxaOrig="4720" w:dyaOrig="680" w14:anchorId="451B95FC">
          <v:shape id="_x0000_i1356" type="#_x0000_t75" style="width:236.4pt;height:33.6pt" o:ole="">
            <v:imagedata r:id="rId688" o:title=""/>
          </v:shape>
          <o:OLEObject Type="Embed" ProgID="Equation.DSMT4" ShapeID="_x0000_i1356" DrawAspect="Content" ObjectID="_1755515810" r:id="rId689"/>
        </w:object>
      </w:r>
      <w:r w:rsidRPr="004C787F">
        <w:tab/>
      </w:r>
      <w:r w:rsidRPr="004C787F">
        <w:fldChar w:fldCharType="begin"/>
      </w:r>
      <w:r w:rsidRPr="004C787F">
        <w:instrText xml:space="preserve"> MACROBUTTON MTPlaceRef \* MERGEFORMAT </w:instrText>
      </w:r>
      <w:r w:rsidRPr="004C787F">
        <w:fldChar w:fldCharType="begin"/>
      </w:r>
      <w:r w:rsidRPr="004C787F">
        <w:instrText xml:space="preserve"> SEQ MTEqn \h \* MERGEFORMAT </w:instrText>
      </w:r>
      <w:r w:rsidRPr="004C787F">
        <w:fldChar w:fldCharType="end"/>
      </w:r>
      <w:r w:rsidRPr="004C787F">
        <w:instrText>(</w:instrText>
      </w:r>
      <w:r w:rsidR="00697947">
        <w:fldChar w:fldCharType="begin"/>
      </w:r>
      <w:r w:rsidR="00697947">
        <w:instrText>SEQ MTEqn \c \* Arabic \* MERGEFORMAT</w:instrText>
      </w:r>
      <w:r w:rsidR="00697947">
        <w:fldChar w:fldCharType="separate"/>
      </w:r>
      <w:r w:rsidR="00354F38">
        <w:rPr>
          <w:noProof/>
        </w:rPr>
        <w:instrText>59</w:instrText>
      </w:r>
      <w:r w:rsidR="00697947">
        <w:rPr>
          <w:noProof/>
        </w:rPr>
        <w:fldChar w:fldCharType="end"/>
      </w:r>
      <w:r w:rsidRPr="004C787F">
        <w:instrText>)</w:instrText>
      </w:r>
      <w:r w:rsidRPr="004C787F">
        <w:fldChar w:fldCharType="end"/>
      </w:r>
    </w:p>
    <w:p w14:paraId="490FF0A3" w14:textId="39FDD7C9" w:rsidR="00C430F0" w:rsidRPr="004C787F" w:rsidRDefault="00C430F0" w:rsidP="00C430F0">
      <w:r w:rsidRPr="004C787F">
        <w:t>If</w:t>
      </w:r>
      <w:r>
        <w:t xml:space="preserve"> </w:t>
      </w:r>
      <w:r w:rsidR="009205EE" w:rsidRPr="00025957">
        <w:rPr>
          <w:position w:val="-4"/>
        </w:rPr>
        <w:object w:dxaOrig="220" w:dyaOrig="260" w14:anchorId="71456357">
          <v:shape id="_x0000_i1357" type="#_x0000_t75" style="width:11.4pt;height:13.2pt" o:ole="">
            <v:imagedata r:id="rId690" o:title=""/>
          </v:shape>
          <o:OLEObject Type="Embed" ProgID="Equation.DSMT4" ShapeID="_x0000_i1357" DrawAspect="Content" ObjectID="_1755515811" r:id="rId691"/>
        </w:object>
      </w:r>
      <w:r>
        <w:t xml:space="preserve"> </w:t>
      </w:r>
      <w:r w:rsidRPr="004C787F">
        <w:t>is positive the household is better off under the policy change. Alternatively, if</w:t>
      </w:r>
      <w:r>
        <w:t xml:space="preserve"> </w:t>
      </w:r>
      <w:r w:rsidR="009205EE" w:rsidRPr="00025957">
        <w:rPr>
          <w:position w:val="-4"/>
        </w:rPr>
        <w:object w:dxaOrig="220" w:dyaOrig="260" w14:anchorId="48D5D60A">
          <v:shape id="_x0000_i1358" type="#_x0000_t75" style="width:11.4pt;height:13.2pt" o:ole="">
            <v:imagedata r:id="rId692" o:title=""/>
          </v:shape>
          <o:OLEObject Type="Embed" ProgID="Equation.DSMT4" ShapeID="_x0000_i1358" DrawAspect="Content" ObjectID="_1755515812" r:id="rId693"/>
        </w:object>
      </w:r>
      <w:r>
        <w:t xml:space="preserve"> </w:t>
      </w:r>
      <w:r w:rsidRPr="004C787F">
        <w:t>is negative the household is worse off under the policy change.</w:t>
      </w:r>
    </w:p>
    <w:p w14:paraId="038F69F2" w14:textId="77777777" w:rsidR="00C430F0" w:rsidRPr="004C787F" w:rsidRDefault="00C430F0" w:rsidP="00C430F0">
      <w:r w:rsidRPr="004C787F">
        <w:t>This proportional HEV measure can be converted to a dollar or value estimate by noting that:</w:t>
      </w:r>
    </w:p>
    <w:p w14:paraId="2FE01C64" w14:textId="62F4632C" w:rsidR="00C430F0" w:rsidRPr="004C787F" w:rsidRDefault="00C430F0" w:rsidP="00C430F0">
      <w:pPr>
        <w:pStyle w:val="MTDisplayEquation"/>
      </w:pPr>
      <w:r>
        <w:tab/>
      </w:r>
      <w:r w:rsidR="009205EE" w:rsidRPr="009205EE">
        <w:rPr>
          <w:position w:val="-30"/>
        </w:rPr>
        <w:object w:dxaOrig="2439" w:dyaOrig="680" w14:anchorId="3CEACA5C">
          <v:shape id="_x0000_i1359" type="#_x0000_t75" style="width:122.4pt;height:33.6pt" o:ole="">
            <v:imagedata r:id="rId694" o:title=""/>
          </v:shape>
          <o:OLEObject Type="Embed" ProgID="Equation.DSMT4" ShapeID="_x0000_i1359" DrawAspect="Content" ObjectID="_1755515813" r:id="rId695"/>
        </w:object>
      </w:r>
    </w:p>
    <w:p w14:paraId="43ADFA00" w14:textId="523AA666" w:rsidR="00C430F0" w:rsidRPr="004C787F" w:rsidRDefault="00C430F0" w:rsidP="00C430F0">
      <w:r w:rsidRPr="004C787F">
        <w:t xml:space="preserve">where </w:t>
      </w:r>
      <w:r w:rsidR="009205EE" w:rsidRPr="009205EE">
        <w:rPr>
          <w:position w:val="-10"/>
        </w:rPr>
        <w:object w:dxaOrig="780" w:dyaOrig="320" w14:anchorId="3994CF1B">
          <v:shape id="_x0000_i1360" type="#_x0000_t75" style="width:39pt;height:16.2pt" o:ole="">
            <v:imagedata r:id="rId696" o:title=""/>
          </v:shape>
          <o:OLEObject Type="Embed" ProgID="Equation.DSMT4" ShapeID="_x0000_i1360" DrawAspect="Content" ObjectID="_1755515814" r:id="rId697"/>
        </w:object>
      </w:r>
      <w:r w:rsidRPr="004C787F">
        <w:t xml:space="preserve"> is the household’s lifetime expenditure function evaluated at the prices/wage vector, </w:t>
      </w:r>
      <w:r w:rsidR="009205EE" w:rsidRPr="009205EE">
        <w:rPr>
          <w:position w:val="-10"/>
        </w:rPr>
        <w:object w:dxaOrig="240" w:dyaOrig="260" w14:anchorId="3E0ED936">
          <v:shape id="_x0000_i1361" type="#_x0000_t75" style="width:12pt;height:13.2pt" o:ole="">
            <v:imagedata r:id="rId698" o:title=""/>
          </v:shape>
          <o:OLEObject Type="Embed" ProgID="Equation.DSMT4" ShapeID="_x0000_i1361" DrawAspect="Content" ObjectID="_1755515815" r:id="rId699"/>
        </w:object>
      </w:r>
      <w:r>
        <w:t xml:space="preserve">, </w:t>
      </w:r>
      <w:r w:rsidRPr="004C787F">
        <w:t>and utility,</w:t>
      </w:r>
      <w:r>
        <w:t xml:space="preserve"> </w:t>
      </w:r>
      <w:r w:rsidR="009205EE" w:rsidRPr="009205EE">
        <w:rPr>
          <w:position w:val="-6"/>
        </w:rPr>
        <w:object w:dxaOrig="200" w:dyaOrig="220" w14:anchorId="68FFEA12">
          <v:shape id="_x0000_i1362" type="#_x0000_t75" style="width:9.6pt;height:11.4pt" o:ole="">
            <v:imagedata r:id="rId700" o:title=""/>
          </v:shape>
          <o:OLEObject Type="Embed" ProgID="Equation.DSMT4" ShapeID="_x0000_i1362" DrawAspect="Content" ObjectID="_1755515816" r:id="rId701"/>
        </w:object>
      </w:r>
      <w:r w:rsidRPr="004C787F">
        <w:t xml:space="preserve">, with prices/wages before the policy change denoted by </w:t>
      </w:r>
      <w:r w:rsidR="009205EE" w:rsidRPr="009205EE">
        <w:rPr>
          <w:position w:val="-12"/>
        </w:rPr>
        <w:object w:dxaOrig="300" w:dyaOrig="360" w14:anchorId="5EBA8B3C">
          <v:shape id="_x0000_i1363" type="#_x0000_t75" style="width:15pt;height:18pt" o:ole="">
            <v:imagedata r:id="rId702" o:title=""/>
          </v:shape>
          <o:OLEObject Type="Embed" ProgID="Equation.DSMT4" ShapeID="_x0000_i1363" DrawAspect="Content" ObjectID="_1755515817" r:id="rId703"/>
        </w:object>
      </w:r>
      <w:r w:rsidRPr="004C787F">
        <w:t xml:space="preserve"> and the level of utility before and after the policy change denoted by </w:t>
      </w:r>
      <w:r w:rsidR="009205EE" w:rsidRPr="009205EE">
        <w:rPr>
          <w:position w:val="-12"/>
        </w:rPr>
        <w:object w:dxaOrig="260" w:dyaOrig="360" w14:anchorId="4F7A35FD">
          <v:shape id="_x0000_i1364" type="#_x0000_t75" style="width:13.2pt;height:18pt" o:ole="">
            <v:imagedata r:id="rId704" o:title=""/>
          </v:shape>
          <o:OLEObject Type="Embed" ProgID="Equation.DSMT4" ShapeID="_x0000_i1364" DrawAspect="Content" ObjectID="_1755515818" r:id="rId705"/>
        </w:object>
      </w:r>
      <w:r w:rsidRPr="004C787F">
        <w:t xml:space="preserve"> and </w:t>
      </w:r>
      <w:r w:rsidR="009205EE" w:rsidRPr="009205EE">
        <w:rPr>
          <w:position w:val="-12"/>
        </w:rPr>
        <w:object w:dxaOrig="240" w:dyaOrig="360" w14:anchorId="37663FC9">
          <v:shape id="_x0000_i1365" type="#_x0000_t75" style="width:12pt;height:18pt" o:ole="">
            <v:imagedata r:id="rId706" o:title=""/>
          </v:shape>
          <o:OLEObject Type="Embed" ProgID="Equation.DSMT4" ShapeID="_x0000_i1365" DrawAspect="Content" ObjectID="_1755515819" r:id="rId707"/>
        </w:object>
      </w:r>
      <w:r w:rsidRPr="004C787F">
        <w:t xml:space="preserve">, respectively. </w:t>
      </w:r>
    </w:p>
    <w:p w14:paraId="045CAB65" w14:textId="77777777" w:rsidR="00C430F0" w:rsidRPr="004C787F" w:rsidRDefault="00C430F0" w:rsidP="00C430F0"/>
    <w:p w14:paraId="7227E98D" w14:textId="77777777" w:rsidR="00C430F0" w:rsidRPr="004C787F" w:rsidRDefault="00C430F0" w:rsidP="00C430F0">
      <w:pPr>
        <w:sectPr w:rsidR="00C430F0" w:rsidRPr="004C787F">
          <w:pgSz w:w="11906" w:h="16838" w:code="9"/>
          <w:pgMar w:top="1843" w:right="1418" w:bottom="1418" w:left="1418" w:header="709" w:footer="709" w:gutter="0"/>
          <w:cols w:space="708"/>
          <w:titlePg/>
          <w:docGrid w:linePitch="360"/>
        </w:sectPr>
      </w:pPr>
    </w:p>
    <w:p w14:paraId="0037B858" w14:textId="77777777" w:rsidR="00C430F0" w:rsidRPr="004C787F" w:rsidRDefault="00C430F0" w:rsidP="00C430F0">
      <w:pPr>
        <w:pStyle w:val="Heading1"/>
        <w:numPr>
          <w:ilvl w:val="0"/>
          <w:numId w:val="42"/>
        </w:numPr>
        <w:spacing w:line="240" w:lineRule="auto"/>
        <w:ind w:left="714" w:hanging="357"/>
      </w:pPr>
      <w:r w:rsidRPr="004C787F">
        <w:t>Conclusion</w:t>
      </w:r>
    </w:p>
    <w:p w14:paraId="74A7ADA8" w14:textId="77777777" w:rsidR="00C430F0" w:rsidRDefault="00C430F0" w:rsidP="00C430F0">
      <w:r w:rsidRPr="004C787F">
        <w:t>TIM serve</w:t>
      </w:r>
      <w:r>
        <w:t>s</w:t>
      </w:r>
      <w:r w:rsidRPr="004C787F">
        <w:t xml:space="preserve"> as a bridge to Treasury’s previous industry policy models and modelling. It extends existing Australian models with many industries by incorporating the latest mainstream economic theory into a multi</w:t>
      </w:r>
      <w:r w:rsidRPr="004C787F">
        <w:noBreakHyphen/>
        <w:t>sector dynamic general equilibrium framework useful for policy analysis. With forward</w:t>
      </w:r>
      <w:r w:rsidRPr="004C787F">
        <w:noBreakHyphen/>
        <w:t>looking agents and a well</w:t>
      </w:r>
      <w:r w:rsidRPr="004C787F">
        <w:noBreakHyphen/>
        <w:t xml:space="preserve">defined balanced growth path, TIM overcomes many of the limitations of previous </w:t>
      </w:r>
      <w:r>
        <w:t>Australian multi</w:t>
      </w:r>
      <w:r>
        <w:noBreakHyphen/>
        <w:t xml:space="preserve">sector </w:t>
      </w:r>
      <w:r w:rsidRPr="004C787F">
        <w:t>models</w:t>
      </w:r>
      <w:r>
        <w:t xml:space="preserve"> through three main channels: first, variables which have a significant bearing on modelling results are now determined endogenously; second, forward-looking agents more-realistically respond to anticipated policy and technology changes; and third, as decisions are derived from well-defined optimisation problems, TIM provides a model-consistent welfare measure. </w:t>
      </w:r>
    </w:p>
    <w:p w14:paraId="5FBDEDE2" w14:textId="77777777" w:rsidR="00C430F0" w:rsidRPr="004C787F" w:rsidRDefault="00C430F0" w:rsidP="00C430F0">
      <w:r>
        <w:t>These elements, combined with TIM’s significant production and industry detail, position the model well for informing advice on a range of industry- and trade-related policy questions. This includes understanding the potential impact of changes in domestic or foreign demand, the introduction of new technologies, changes in the costs of imports used in production, or anticipated changes in policy.</w:t>
      </w:r>
    </w:p>
    <w:p w14:paraId="145BD5E4" w14:textId="77777777" w:rsidR="00C430F0" w:rsidRPr="00A054CD" w:rsidRDefault="00C430F0" w:rsidP="00C430F0">
      <w:r w:rsidRPr="00A054CD">
        <w:t xml:space="preserve">Noting these strengths, the model does, however remain a representation of the Australian economy, not a replication. We therefore acknowledge the following limitations. First, TIM’s welfare measure, while internally consistent, is only for the representative household. It does not directly provide information on the </w:t>
      </w:r>
      <w:r w:rsidRPr="00163F49">
        <w:t xml:space="preserve">household </w:t>
      </w:r>
      <w:r w:rsidRPr="00A054CD">
        <w:t>distributional effects of policy (although the labour market and firm effects by industry provide a guide for the effects on households involved with different industries). Other frameworks in Treasury’s broad suite of policy models, such as OLGA, can be used to complement TIM’s industry analysis.</w:t>
      </w:r>
    </w:p>
    <w:p w14:paraId="222936B0" w14:textId="77777777" w:rsidR="00C430F0" w:rsidRPr="00A054CD" w:rsidRDefault="00C430F0" w:rsidP="00C430F0">
      <w:r w:rsidRPr="00163F49">
        <w:t xml:space="preserve">Additionally, </w:t>
      </w:r>
      <w:r w:rsidRPr="00A054CD">
        <w:t>TIM does not explicitly model unemployment. Multi</w:t>
      </w:r>
      <w:r w:rsidRPr="00A054CD">
        <w:noBreakHyphen/>
        <w:t>sector models that include unemployment typically do so through reduced form expressions, which map unemployment to changes in industry labour demand.</w:t>
      </w:r>
      <w:r w:rsidRPr="00A054CD">
        <w:rPr>
          <w:sz w:val="18"/>
          <w:vertAlign w:val="superscript"/>
        </w:rPr>
        <w:footnoteReference w:id="23"/>
      </w:r>
      <w:r w:rsidRPr="00A054CD">
        <w:t xml:space="preserve"> Explicitly modelling employment in a micro</w:t>
      </w:r>
      <w:r w:rsidRPr="00A054CD">
        <w:noBreakHyphen/>
        <w:t>founded way, for example by modelling the matching between employers and employees, would add significant complexity to an already</w:t>
      </w:r>
      <w:r w:rsidRPr="00A054CD">
        <w:noBreakHyphen/>
        <w:t>large model whose primary focus is not labour market dynamics. TIM does, however, capture</w:t>
      </w:r>
      <w:r w:rsidRPr="00A054CD" w:rsidDel="0022385F">
        <w:t xml:space="preserve"> </w:t>
      </w:r>
      <w:r w:rsidRPr="00A054CD">
        <w:t>labour market frictions through its inclusion of labour adjustment costs.</w:t>
      </w:r>
    </w:p>
    <w:p w14:paraId="2223D3E2" w14:textId="77777777" w:rsidR="00C430F0" w:rsidRDefault="00C430F0" w:rsidP="00C430F0">
      <w:bookmarkStart w:id="41" w:name="_Hlk70429619"/>
      <w:r w:rsidRPr="00A054CD">
        <w:t xml:space="preserve">The version of TIM presented in this paper is referred to as TIM Version 1.0. </w:t>
      </w:r>
      <w:bookmarkEnd w:id="41"/>
      <w:r w:rsidRPr="00A054CD">
        <w:t xml:space="preserve">In line with Treasury’s macroeconomic modelling development programme, it has been designed to be enhanced through future development of discrete modules, which may revisit some of the assumptions included with this core version of TIM. This approach ensures the model continues to meet the evolving needs of our stakeholders, remaining fit for purpose for each policy analysis exercise, current and future. </w:t>
      </w:r>
    </w:p>
    <w:p w14:paraId="538445B0" w14:textId="77777777" w:rsidR="00C430F0" w:rsidRPr="004C787F" w:rsidRDefault="00C430F0" w:rsidP="00C430F0">
      <w:pPr>
        <w:sectPr w:rsidR="00C430F0" w:rsidRPr="004C787F">
          <w:pgSz w:w="11906" w:h="16838" w:code="9"/>
          <w:pgMar w:top="1843" w:right="1418" w:bottom="1418" w:left="1418" w:header="709" w:footer="709" w:gutter="0"/>
          <w:cols w:space="708"/>
          <w:titlePg/>
          <w:docGrid w:linePitch="360"/>
        </w:sectPr>
      </w:pPr>
    </w:p>
    <w:p w14:paraId="147260CF" w14:textId="77777777" w:rsidR="00C430F0" w:rsidRPr="004C787F" w:rsidRDefault="00C430F0" w:rsidP="00C430F0">
      <w:pPr>
        <w:pStyle w:val="Heading1"/>
      </w:pPr>
      <w:r w:rsidRPr="004C787F">
        <w:t>References</w:t>
      </w:r>
    </w:p>
    <w:sdt>
      <w:sdtPr>
        <w:rPr>
          <w:rFonts w:ascii="Calibri Light" w:eastAsia="Times New Roman" w:hAnsi="Calibri Light" w:cs="Times New Roman"/>
          <w:color w:val="auto"/>
          <w:szCs w:val="20"/>
          <w:lang w:eastAsia="en-AU"/>
        </w:rPr>
        <w:id w:val="111145805"/>
        <w:bibliography/>
      </w:sdtPr>
      <w:sdtEndPr/>
      <w:sdtContent>
        <w:p w14:paraId="7F435125" w14:textId="77777777" w:rsidR="00EA057D" w:rsidRPr="00EA057D" w:rsidRDefault="00C430F0" w:rsidP="00EA057D">
          <w:pPr>
            <w:pStyle w:val="Bibliography"/>
            <w:ind w:left="720" w:hanging="720"/>
            <w:rPr>
              <w:rFonts w:ascii="Calibri Light" w:hAnsi="Calibri Light" w:cs="Calibri Light"/>
              <w:noProof/>
              <w:sz w:val="24"/>
              <w:szCs w:val="24"/>
            </w:rPr>
          </w:pPr>
          <w:r w:rsidRPr="00EA057D">
            <w:rPr>
              <w:rFonts w:ascii="Calibri Light" w:hAnsi="Calibri Light" w:cs="Calibri Light"/>
            </w:rPr>
            <w:fldChar w:fldCharType="begin"/>
          </w:r>
          <w:r w:rsidRPr="00EA057D">
            <w:rPr>
              <w:rFonts w:ascii="Calibri Light" w:hAnsi="Calibri Light" w:cs="Calibri Light"/>
            </w:rPr>
            <w:instrText xml:space="preserve"> BIBLIOGRAPHY </w:instrText>
          </w:r>
          <w:r w:rsidRPr="00EA057D">
            <w:rPr>
              <w:rFonts w:ascii="Calibri Light" w:hAnsi="Calibri Light" w:cs="Calibri Light"/>
            </w:rPr>
            <w:fldChar w:fldCharType="separate"/>
          </w:r>
          <w:r w:rsidR="00EA057D" w:rsidRPr="00EA057D">
            <w:rPr>
              <w:rFonts w:ascii="Calibri Light" w:hAnsi="Calibri Light" w:cs="Calibri Light"/>
              <w:noProof/>
            </w:rPr>
            <w:t xml:space="preserve">ABS. (2018). </w:t>
          </w:r>
          <w:r w:rsidR="00EA057D" w:rsidRPr="00EA057D">
            <w:rPr>
              <w:rFonts w:ascii="Calibri Light" w:hAnsi="Calibri Light" w:cs="Calibri Light"/>
              <w:i/>
              <w:iCs/>
              <w:noProof/>
            </w:rPr>
            <w:t>5494.0 - Economic Activity of Foreign Owned Businesses in Australia, 2014-15.</w:t>
          </w:r>
          <w:r w:rsidR="00EA057D" w:rsidRPr="00EA057D">
            <w:rPr>
              <w:rFonts w:ascii="Calibri Light" w:hAnsi="Calibri Light" w:cs="Calibri Light"/>
              <w:noProof/>
            </w:rPr>
            <w:t xml:space="preserve"> Retrieved from Australian Bureau of Statistics: https://www.abs.gov.au/ausstats/abs@.nsf/mf/5494.0</w:t>
          </w:r>
        </w:p>
        <w:p w14:paraId="548D0202" w14:textId="77777777" w:rsidR="00EA057D" w:rsidRPr="00EA057D" w:rsidRDefault="00EA057D" w:rsidP="00EA057D">
          <w:pPr>
            <w:pStyle w:val="Bibliography"/>
            <w:ind w:left="720" w:hanging="720"/>
            <w:rPr>
              <w:rFonts w:ascii="Calibri Light" w:hAnsi="Calibri Light" w:cs="Calibri Light"/>
              <w:noProof/>
            </w:rPr>
          </w:pPr>
          <w:r w:rsidRPr="00EA057D">
            <w:rPr>
              <w:rFonts w:ascii="Calibri Light" w:hAnsi="Calibri Light" w:cs="Calibri Light"/>
              <w:noProof/>
            </w:rPr>
            <w:t xml:space="preserve">ABS. (2020a). </w:t>
          </w:r>
          <w:r w:rsidRPr="00EA057D">
            <w:rPr>
              <w:rFonts w:ascii="Calibri Light" w:hAnsi="Calibri Light" w:cs="Calibri Light"/>
              <w:i/>
              <w:iCs/>
              <w:noProof/>
            </w:rPr>
            <w:t>Australian System of National Accounts, 2019-20.</w:t>
          </w:r>
          <w:r w:rsidRPr="00EA057D">
            <w:rPr>
              <w:rFonts w:ascii="Calibri Light" w:hAnsi="Calibri Light" w:cs="Calibri Light"/>
              <w:noProof/>
            </w:rPr>
            <w:t xml:space="preserve"> Retrieved from Australian Bureau of Statistics: https://www.abs.gov.au/statistics/economy/national-accounts/australian-system-national-accounts/2019-20</w:t>
          </w:r>
        </w:p>
        <w:p w14:paraId="4092F373" w14:textId="77777777" w:rsidR="00EA057D" w:rsidRPr="00EA057D" w:rsidRDefault="00EA057D" w:rsidP="00EA057D">
          <w:pPr>
            <w:pStyle w:val="Bibliography"/>
            <w:ind w:left="720" w:hanging="720"/>
            <w:rPr>
              <w:rFonts w:ascii="Calibri Light" w:hAnsi="Calibri Light" w:cs="Calibri Light"/>
              <w:noProof/>
            </w:rPr>
          </w:pPr>
          <w:r w:rsidRPr="00EA057D">
            <w:rPr>
              <w:rFonts w:ascii="Calibri Light" w:hAnsi="Calibri Light" w:cs="Calibri Light"/>
              <w:noProof/>
            </w:rPr>
            <w:t xml:space="preserve">ABS. (2020b). </w:t>
          </w:r>
          <w:r w:rsidRPr="00EA057D">
            <w:rPr>
              <w:rFonts w:ascii="Calibri Light" w:hAnsi="Calibri Light" w:cs="Calibri Light"/>
              <w:i/>
              <w:iCs/>
              <w:noProof/>
            </w:rPr>
            <w:t>Estimates of Industry Multifactor Productivity, 2019-20.</w:t>
          </w:r>
          <w:r w:rsidRPr="00EA057D">
            <w:rPr>
              <w:rFonts w:ascii="Calibri Light" w:hAnsi="Calibri Light" w:cs="Calibri Light"/>
              <w:noProof/>
            </w:rPr>
            <w:t xml:space="preserve"> Retrieved from Australian Bureau of Statistics: https://www.abs.gov.au/statistics/industry/industry-overview/estimates-industry-multifactor-productivity/2019-20</w:t>
          </w:r>
        </w:p>
        <w:p w14:paraId="60924BC1" w14:textId="77777777" w:rsidR="00EA057D" w:rsidRPr="00EA057D" w:rsidRDefault="00EA057D" w:rsidP="00EA057D">
          <w:pPr>
            <w:pStyle w:val="Bibliography"/>
            <w:ind w:left="720" w:hanging="720"/>
            <w:rPr>
              <w:rFonts w:ascii="Calibri Light" w:hAnsi="Calibri Light" w:cs="Calibri Light"/>
              <w:noProof/>
            </w:rPr>
          </w:pPr>
          <w:r w:rsidRPr="00EA057D">
            <w:rPr>
              <w:rFonts w:ascii="Calibri Light" w:hAnsi="Calibri Light" w:cs="Calibri Light"/>
              <w:noProof/>
            </w:rPr>
            <w:t xml:space="preserve">ABS. (2021a). </w:t>
          </w:r>
          <w:r w:rsidRPr="00EA057D">
            <w:rPr>
              <w:rFonts w:ascii="Calibri Light" w:hAnsi="Calibri Light" w:cs="Calibri Light"/>
              <w:i/>
              <w:iCs/>
              <w:noProof/>
            </w:rPr>
            <w:t>Taxation Revenue, Australia, 2019-20.</w:t>
          </w:r>
          <w:r w:rsidRPr="00EA057D">
            <w:rPr>
              <w:rFonts w:ascii="Calibri Light" w:hAnsi="Calibri Light" w:cs="Calibri Light"/>
              <w:noProof/>
            </w:rPr>
            <w:t xml:space="preserve"> Retrieved from Australian Bureau of Statistics: https://www.abs.gov.au/statistics/economy/government/taxation-revenue-australia/2019-20</w:t>
          </w:r>
        </w:p>
        <w:p w14:paraId="6771282B" w14:textId="77777777" w:rsidR="00EA057D" w:rsidRPr="00EA057D" w:rsidRDefault="00EA057D" w:rsidP="00EA057D">
          <w:pPr>
            <w:pStyle w:val="Bibliography"/>
            <w:ind w:left="720" w:hanging="720"/>
            <w:rPr>
              <w:rFonts w:ascii="Calibri Light" w:hAnsi="Calibri Light" w:cs="Calibri Light"/>
              <w:noProof/>
            </w:rPr>
          </w:pPr>
          <w:r w:rsidRPr="00EA057D">
            <w:rPr>
              <w:rFonts w:ascii="Calibri Light" w:hAnsi="Calibri Light" w:cs="Calibri Light"/>
              <w:noProof/>
            </w:rPr>
            <w:t xml:space="preserve">ABS. (2021b). </w:t>
          </w:r>
          <w:r w:rsidRPr="00EA057D">
            <w:rPr>
              <w:rFonts w:ascii="Calibri Light" w:hAnsi="Calibri Light" w:cs="Calibri Light"/>
              <w:i/>
              <w:iCs/>
              <w:noProof/>
            </w:rPr>
            <w:t>Australian National Accounts: Input-Output Tables, 2018-19.</w:t>
          </w:r>
          <w:r w:rsidRPr="00EA057D">
            <w:rPr>
              <w:rFonts w:ascii="Calibri Light" w:hAnsi="Calibri Light" w:cs="Calibri Light"/>
              <w:noProof/>
            </w:rPr>
            <w:t xml:space="preserve"> Retrieved from Australian Bureau of Statistics: https://www.abs.gov.au/statistics/economy/national-accounts/australian-national-accounts-input-output-tables/2018-19</w:t>
          </w:r>
        </w:p>
        <w:p w14:paraId="7B1ED987" w14:textId="77777777" w:rsidR="00EA057D" w:rsidRPr="00EA057D" w:rsidRDefault="00EA057D" w:rsidP="00EA057D">
          <w:pPr>
            <w:pStyle w:val="Bibliography"/>
            <w:ind w:left="720" w:hanging="720"/>
            <w:rPr>
              <w:rFonts w:ascii="Calibri Light" w:hAnsi="Calibri Light" w:cs="Calibri Light"/>
              <w:noProof/>
            </w:rPr>
          </w:pPr>
          <w:r w:rsidRPr="00EA057D">
            <w:rPr>
              <w:rFonts w:ascii="Calibri Light" w:hAnsi="Calibri Light" w:cs="Calibri Light"/>
              <w:noProof/>
            </w:rPr>
            <w:t xml:space="preserve">ABS. (2021c). </w:t>
          </w:r>
          <w:r w:rsidRPr="00EA057D">
            <w:rPr>
              <w:rFonts w:ascii="Calibri Light" w:hAnsi="Calibri Light" w:cs="Calibri Light"/>
              <w:i/>
              <w:iCs/>
              <w:noProof/>
            </w:rPr>
            <w:t>Australian Industry</w:t>
          </w:r>
          <w:r w:rsidRPr="00EA057D">
            <w:rPr>
              <w:rFonts w:ascii="Calibri Light" w:hAnsi="Calibri Light" w:cs="Calibri Light"/>
              <w:noProof/>
            </w:rPr>
            <w:t>. Retrieved from Australian Bureau of Statistics: https://www.abs.gov.au/statistics/industry/industry-overview/australian-industry/2019-20</w:t>
          </w:r>
        </w:p>
        <w:p w14:paraId="698BFD10" w14:textId="77777777" w:rsidR="00EA057D" w:rsidRPr="00EA057D" w:rsidRDefault="00EA057D" w:rsidP="00EA057D">
          <w:pPr>
            <w:pStyle w:val="Bibliography"/>
            <w:ind w:left="720" w:hanging="720"/>
            <w:rPr>
              <w:rFonts w:ascii="Calibri Light" w:hAnsi="Calibri Light" w:cs="Calibri Light"/>
              <w:noProof/>
            </w:rPr>
          </w:pPr>
          <w:r w:rsidRPr="00EA057D">
            <w:rPr>
              <w:rFonts w:ascii="Calibri Light" w:hAnsi="Calibri Light" w:cs="Calibri Light"/>
              <w:noProof/>
            </w:rPr>
            <w:t xml:space="preserve">Adams, P., Dixon, J., &amp; Horridge, M. (2015). The Victoria University Regional Model (VURM): Technical Documentation, Version 1.0. </w:t>
          </w:r>
          <w:r w:rsidRPr="00EA057D">
            <w:rPr>
              <w:rFonts w:ascii="Calibri Light" w:hAnsi="Calibri Light" w:cs="Calibri Light"/>
              <w:i/>
              <w:iCs/>
              <w:noProof/>
            </w:rPr>
            <w:t>CoPS/IMPACT Working Paper</w:t>
          </w:r>
          <w:r w:rsidRPr="00EA057D">
            <w:rPr>
              <w:rFonts w:ascii="Calibri Light" w:hAnsi="Calibri Light" w:cs="Calibri Light"/>
              <w:noProof/>
            </w:rPr>
            <w:t>.</w:t>
          </w:r>
        </w:p>
        <w:p w14:paraId="3A7833BE" w14:textId="77777777" w:rsidR="00EA057D" w:rsidRPr="00EA057D" w:rsidRDefault="00EA057D" w:rsidP="00EA057D">
          <w:pPr>
            <w:pStyle w:val="Bibliography"/>
            <w:ind w:left="720" w:hanging="720"/>
            <w:rPr>
              <w:rFonts w:ascii="Calibri Light" w:hAnsi="Calibri Light" w:cs="Calibri Light"/>
              <w:noProof/>
            </w:rPr>
          </w:pPr>
          <w:r w:rsidRPr="00EA057D">
            <w:rPr>
              <w:rFonts w:ascii="Calibri Light" w:hAnsi="Calibri Light" w:cs="Calibri Light"/>
              <w:noProof/>
            </w:rPr>
            <w:t xml:space="preserve">Aguiar, A., Chepeliev, M., Corong, E. L., McDougall, R., &amp; Mensbrugghe, D. v. (2019). The GTAP Data Base: Version 10. </w:t>
          </w:r>
          <w:r w:rsidRPr="00EA057D">
            <w:rPr>
              <w:rFonts w:ascii="Calibri Light" w:hAnsi="Calibri Light" w:cs="Calibri Light"/>
              <w:i/>
              <w:iCs/>
              <w:noProof/>
            </w:rPr>
            <w:t>Journal of Global Economic Analysis</w:t>
          </w:r>
          <w:r w:rsidRPr="00EA057D">
            <w:rPr>
              <w:rFonts w:ascii="Calibri Light" w:hAnsi="Calibri Light" w:cs="Calibri Light"/>
              <w:noProof/>
            </w:rPr>
            <w:t>.</w:t>
          </w:r>
        </w:p>
        <w:p w14:paraId="3065CD33" w14:textId="77777777" w:rsidR="00EA057D" w:rsidRPr="00EA057D" w:rsidRDefault="00EA057D" w:rsidP="00EA057D">
          <w:pPr>
            <w:pStyle w:val="Bibliography"/>
            <w:ind w:left="720" w:hanging="720"/>
            <w:rPr>
              <w:rFonts w:ascii="Calibri Light" w:hAnsi="Calibri Light" w:cs="Calibri Light"/>
              <w:noProof/>
            </w:rPr>
          </w:pPr>
          <w:r w:rsidRPr="00EA057D">
            <w:rPr>
              <w:rFonts w:ascii="Calibri Light" w:hAnsi="Calibri Light" w:cs="Calibri Light"/>
              <w:noProof/>
            </w:rPr>
            <w:t xml:space="preserve">Arezki, R., Ramey, V. A., &amp; Sheng, L. (2015, January). </w:t>
          </w:r>
          <w:r w:rsidRPr="00EA057D">
            <w:rPr>
              <w:rFonts w:ascii="Calibri Light" w:hAnsi="Calibri Light" w:cs="Calibri Light"/>
              <w:i/>
              <w:iCs/>
              <w:noProof/>
            </w:rPr>
            <w:t>News Shocks in Open Economies: Evidence from Giant Oil Discoveries.</w:t>
          </w:r>
          <w:r w:rsidRPr="00EA057D">
            <w:rPr>
              <w:rFonts w:ascii="Calibri Light" w:hAnsi="Calibri Light" w:cs="Calibri Light"/>
              <w:noProof/>
            </w:rPr>
            <w:t xml:space="preserve"> Retrieved from The National Bureau of Economic Research (NBER): https://www.nber.org/papers/w20857</w:t>
          </w:r>
        </w:p>
        <w:p w14:paraId="4C7DFAD0" w14:textId="77777777" w:rsidR="00EA057D" w:rsidRPr="00EA057D" w:rsidRDefault="00EA057D" w:rsidP="00EA057D">
          <w:pPr>
            <w:pStyle w:val="Bibliography"/>
            <w:ind w:left="720" w:hanging="720"/>
            <w:rPr>
              <w:rFonts w:ascii="Calibri Light" w:hAnsi="Calibri Light" w:cs="Calibri Light"/>
              <w:noProof/>
            </w:rPr>
          </w:pPr>
          <w:r w:rsidRPr="00EA057D">
            <w:rPr>
              <w:rFonts w:ascii="Calibri Light" w:hAnsi="Calibri Light" w:cs="Calibri Light"/>
              <w:noProof/>
            </w:rPr>
            <w:t xml:space="preserve">Bullen, J., Conigrave, B., Elderfield, A., Karmel, C., Lucas, L., Murphy, C., . . . Yao, H. (2021). </w:t>
          </w:r>
          <w:r w:rsidRPr="00EA057D">
            <w:rPr>
              <w:rFonts w:ascii="Calibri Light" w:hAnsi="Calibri Light" w:cs="Calibri Light"/>
              <w:i/>
              <w:iCs/>
              <w:noProof/>
            </w:rPr>
            <w:t>The Treasury Macroeconometric Model of Australia: Modelling Approach.</w:t>
          </w:r>
          <w:r w:rsidRPr="00EA057D">
            <w:rPr>
              <w:rFonts w:ascii="Calibri Light" w:hAnsi="Calibri Light" w:cs="Calibri Light"/>
              <w:noProof/>
            </w:rPr>
            <w:t xml:space="preserve"> Canberra: The Treasury.</w:t>
          </w:r>
        </w:p>
        <w:p w14:paraId="180BDCE0" w14:textId="77777777" w:rsidR="00EA057D" w:rsidRPr="00EA057D" w:rsidRDefault="00EA057D" w:rsidP="00EA057D">
          <w:pPr>
            <w:pStyle w:val="Bibliography"/>
            <w:ind w:left="720" w:hanging="720"/>
            <w:rPr>
              <w:rFonts w:ascii="Calibri Light" w:hAnsi="Calibri Light" w:cs="Calibri Light"/>
              <w:noProof/>
            </w:rPr>
          </w:pPr>
          <w:r w:rsidRPr="00EA057D">
            <w:rPr>
              <w:rFonts w:ascii="Calibri Light" w:hAnsi="Calibri Light" w:cs="Calibri Light"/>
              <w:noProof/>
            </w:rPr>
            <w:t xml:space="preserve">Cai, Y., Gustafsson, L., Kouparitsas, M., Smith, J., &amp; Zhang, J. (2023). </w:t>
          </w:r>
          <w:r w:rsidRPr="00EA057D">
            <w:rPr>
              <w:rFonts w:ascii="Calibri Light" w:hAnsi="Calibri Light" w:cs="Calibri Light"/>
              <w:i/>
              <w:iCs/>
              <w:noProof/>
            </w:rPr>
            <w:t>Modelling Fiscal Policy with OLGA - Treasury's OverLapping Generations model of the Australian Economy.</w:t>
          </w:r>
          <w:r w:rsidRPr="00EA057D">
            <w:rPr>
              <w:rFonts w:ascii="Calibri Light" w:hAnsi="Calibri Light" w:cs="Calibri Light"/>
              <w:noProof/>
            </w:rPr>
            <w:t xml:space="preserve"> Canberra: Treasury Working Paper.</w:t>
          </w:r>
        </w:p>
        <w:p w14:paraId="1A2532A7" w14:textId="77777777" w:rsidR="00EA057D" w:rsidRPr="00EA057D" w:rsidRDefault="00EA057D" w:rsidP="00EA057D">
          <w:pPr>
            <w:pStyle w:val="Bibliography"/>
            <w:ind w:left="720" w:hanging="720"/>
            <w:rPr>
              <w:rFonts w:ascii="Calibri Light" w:hAnsi="Calibri Light" w:cs="Calibri Light"/>
              <w:noProof/>
            </w:rPr>
          </w:pPr>
          <w:r w:rsidRPr="00EA057D">
            <w:rPr>
              <w:rFonts w:ascii="Calibri Light" w:hAnsi="Calibri Light" w:cs="Calibri Light"/>
              <w:noProof/>
            </w:rPr>
            <w:t xml:space="preserve">Correia, I., Neves, C. J., &amp; Rebelo, S. (1995). Business cycles in a small open economy. </w:t>
          </w:r>
          <w:r w:rsidRPr="00EA057D">
            <w:rPr>
              <w:rFonts w:ascii="Calibri Light" w:hAnsi="Calibri Light" w:cs="Calibri Light"/>
              <w:i/>
              <w:iCs/>
              <w:noProof/>
            </w:rPr>
            <w:t>European Economic Review, 39</w:t>
          </w:r>
          <w:r w:rsidRPr="00EA057D">
            <w:rPr>
              <w:rFonts w:ascii="Calibri Light" w:hAnsi="Calibri Light" w:cs="Calibri Light"/>
              <w:noProof/>
            </w:rPr>
            <w:t>, 1089-113.</w:t>
          </w:r>
        </w:p>
        <w:p w14:paraId="2014E9C4" w14:textId="77777777" w:rsidR="00EA057D" w:rsidRPr="00EA057D" w:rsidRDefault="00EA057D" w:rsidP="00EA057D">
          <w:pPr>
            <w:pStyle w:val="Bibliography"/>
            <w:ind w:left="720" w:hanging="720"/>
            <w:rPr>
              <w:rFonts w:ascii="Calibri Light" w:hAnsi="Calibri Light" w:cs="Calibri Light"/>
              <w:noProof/>
            </w:rPr>
          </w:pPr>
          <w:r w:rsidRPr="00EA057D">
            <w:rPr>
              <w:rFonts w:ascii="Calibri Light" w:hAnsi="Calibri Light" w:cs="Calibri Light"/>
              <w:noProof/>
            </w:rPr>
            <w:t xml:space="preserve">D'Erasmo, P., Mendoza, E. G., &amp; Zhang, J. (2016). What is Sustainable Public Debt. In J. Taylor, &amp; H. Ulrich, </w:t>
          </w:r>
          <w:r w:rsidRPr="00EA057D">
            <w:rPr>
              <w:rFonts w:ascii="Calibri Light" w:hAnsi="Calibri Light" w:cs="Calibri Light"/>
              <w:i/>
              <w:iCs/>
              <w:noProof/>
            </w:rPr>
            <w:t>Handbook of Macroeconomics</w:t>
          </w:r>
          <w:r w:rsidRPr="00EA057D">
            <w:rPr>
              <w:rFonts w:ascii="Calibri Light" w:hAnsi="Calibri Light" w:cs="Calibri Light"/>
              <w:noProof/>
            </w:rPr>
            <w:t xml:space="preserve"> (1 ed., Vol. 2, pp. 2493-2597). Elsevier. Retrieved from https://doi.org/10.1016/bs.hesmac.2016.03.013</w:t>
          </w:r>
        </w:p>
        <w:p w14:paraId="5D58C76A" w14:textId="77777777" w:rsidR="00EA057D" w:rsidRPr="00EA057D" w:rsidRDefault="00EA057D" w:rsidP="00EA057D">
          <w:pPr>
            <w:pStyle w:val="Bibliography"/>
            <w:ind w:left="720" w:hanging="720"/>
            <w:rPr>
              <w:rFonts w:ascii="Calibri Light" w:hAnsi="Calibri Light" w:cs="Calibri Light"/>
              <w:noProof/>
            </w:rPr>
          </w:pPr>
          <w:r w:rsidRPr="00EA057D">
            <w:rPr>
              <w:rFonts w:ascii="Calibri Light" w:hAnsi="Calibri Light" w:cs="Calibri Light"/>
              <w:noProof/>
            </w:rPr>
            <w:t xml:space="preserve">Dixon, P. B., Parmenter, B. R., Sutton, J., &amp; Vincent, D. P. (1982). </w:t>
          </w:r>
          <w:r w:rsidRPr="00EA057D">
            <w:rPr>
              <w:rFonts w:ascii="Calibri Light" w:hAnsi="Calibri Light" w:cs="Calibri Light"/>
              <w:i/>
              <w:iCs/>
              <w:noProof/>
            </w:rPr>
            <w:t>ORANI: A Multisectoral Model of the Australian Economy ORANI.</w:t>
          </w:r>
          <w:r w:rsidRPr="00EA057D">
            <w:rPr>
              <w:rFonts w:ascii="Calibri Light" w:hAnsi="Calibri Light" w:cs="Calibri Light"/>
              <w:noProof/>
            </w:rPr>
            <w:t xml:space="preserve"> North-Holland.</w:t>
          </w:r>
        </w:p>
        <w:p w14:paraId="31E704BA" w14:textId="77777777" w:rsidR="00EA057D" w:rsidRPr="00EA057D" w:rsidRDefault="00EA057D" w:rsidP="00EA057D">
          <w:pPr>
            <w:pStyle w:val="Bibliography"/>
            <w:ind w:left="720" w:hanging="720"/>
            <w:rPr>
              <w:rFonts w:ascii="Calibri Light" w:hAnsi="Calibri Light" w:cs="Calibri Light"/>
              <w:noProof/>
            </w:rPr>
          </w:pPr>
          <w:r w:rsidRPr="00EA057D">
            <w:rPr>
              <w:rFonts w:ascii="Calibri Light" w:hAnsi="Calibri Light" w:cs="Calibri Light"/>
              <w:noProof/>
            </w:rPr>
            <w:t xml:space="preserve">Hornstein, A. (2000). The Business Cycle and Industry Comovement. </w:t>
          </w:r>
          <w:r w:rsidRPr="00EA057D">
            <w:rPr>
              <w:rFonts w:ascii="Calibri Light" w:hAnsi="Calibri Light" w:cs="Calibri Light"/>
              <w:i/>
              <w:iCs/>
              <w:noProof/>
            </w:rPr>
            <w:t>Federal Reserve Bank of Richmod Economic Quarterly, 86</w:t>
          </w:r>
          <w:r w:rsidRPr="00EA057D">
            <w:rPr>
              <w:rFonts w:ascii="Calibri Light" w:hAnsi="Calibri Light" w:cs="Calibri Light"/>
              <w:noProof/>
            </w:rPr>
            <w:t>(1).</w:t>
          </w:r>
        </w:p>
        <w:p w14:paraId="06AD1789" w14:textId="77777777" w:rsidR="00EA057D" w:rsidRPr="00EA057D" w:rsidRDefault="00EA057D" w:rsidP="00EA057D">
          <w:pPr>
            <w:pStyle w:val="Bibliography"/>
            <w:ind w:left="720" w:hanging="720"/>
            <w:rPr>
              <w:rFonts w:ascii="Calibri Light" w:hAnsi="Calibri Light" w:cs="Calibri Light"/>
              <w:noProof/>
            </w:rPr>
          </w:pPr>
          <w:r w:rsidRPr="00EA057D">
            <w:rPr>
              <w:rFonts w:ascii="Calibri Light" w:hAnsi="Calibri Light" w:cs="Calibri Light"/>
              <w:noProof/>
            </w:rPr>
            <w:t xml:space="preserve">Hornstein, A., &amp; Praschnik, J. (1997). Intermediate Inputs and Sectoral Comovement in the Business Cycle. </w:t>
          </w:r>
          <w:r w:rsidRPr="00EA057D">
            <w:rPr>
              <w:rFonts w:ascii="Calibri Light" w:hAnsi="Calibri Light" w:cs="Calibri Light"/>
              <w:i/>
              <w:iCs/>
              <w:noProof/>
            </w:rPr>
            <w:t>Jornal of Monetary Economics, 40</w:t>
          </w:r>
          <w:r w:rsidRPr="00EA057D">
            <w:rPr>
              <w:rFonts w:ascii="Calibri Light" w:hAnsi="Calibri Light" w:cs="Calibri Light"/>
              <w:noProof/>
            </w:rPr>
            <w:t>, 573-595.</w:t>
          </w:r>
        </w:p>
        <w:p w14:paraId="396C8C95" w14:textId="77777777" w:rsidR="00EA057D" w:rsidRPr="00EA057D" w:rsidRDefault="00EA057D" w:rsidP="00EA057D">
          <w:pPr>
            <w:pStyle w:val="Bibliography"/>
            <w:ind w:left="720" w:hanging="720"/>
            <w:rPr>
              <w:rFonts w:ascii="Calibri Light" w:hAnsi="Calibri Light" w:cs="Calibri Light"/>
              <w:noProof/>
            </w:rPr>
          </w:pPr>
          <w:r w:rsidRPr="00EA057D">
            <w:rPr>
              <w:rFonts w:ascii="Calibri Light" w:hAnsi="Calibri Light" w:cs="Calibri Light"/>
              <w:noProof/>
            </w:rPr>
            <w:t xml:space="preserve">Horvath, M. (2000). Sectoral Shocks and Aggregate Fluctioations. </w:t>
          </w:r>
          <w:r w:rsidRPr="00EA057D">
            <w:rPr>
              <w:rFonts w:ascii="Calibri Light" w:hAnsi="Calibri Light" w:cs="Calibri Light"/>
              <w:i/>
              <w:iCs/>
              <w:noProof/>
            </w:rPr>
            <w:t>Journal of Monetary Economics, 45</w:t>
          </w:r>
          <w:r w:rsidRPr="00EA057D">
            <w:rPr>
              <w:rFonts w:ascii="Calibri Light" w:hAnsi="Calibri Light" w:cs="Calibri Light"/>
              <w:noProof/>
            </w:rPr>
            <w:t>, 69-106.</w:t>
          </w:r>
        </w:p>
        <w:p w14:paraId="1459F13F" w14:textId="77777777" w:rsidR="00EA057D" w:rsidRPr="00EA057D" w:rsidRDefault="00EA057D" w:rsidP="00EA057D">
          <w:pPr>
            <w:pStyle w:val="Bibliography"/>
            <w:ind w:left="720" w:hanging="720"/>
            <w:rPr>
              <w:rFonts w:ascii="Calibri Light" w:hAnsi="Calibri Light" w:cs="Calibri Light"/>
              <w:noProof/>
            </w:rPr>
          </w:pPr>
          <w:r w:rsidRPr="00EA057D">
            <w:rPr>
              <w:rFonts w:ascii="Calibri Light" w:hAnsi="Calibri Light" w:cs="Calibri Light"/>
              <w:noProof/>
            </w:rPr>
            <w:t xml:space="preserve">Hutchings, R., &amp; Kouparitsas, M. (2012). </w:t>
          </w:r>
          <w:r w:rsidRPr="00EA057D">
            <w:rPr>
              <w:rFonts w:ascii="Calibri Light" w:hAnsi="Calibri Light" w:cs="Calibri Light"/>
              <w:i/>
              <w:iCs/>
              <w:noProof/>
            </w:rPr>
            <w:t>Modelling Aggregate Labour Demand.</w:t>
          </w:r>
          <w:r w:rsidRPr="00EA057D">
            <w:rPr>
              <w:rFonts w:ascii="Calibri Light" w:hAnsi="Calibri Light" w:cs="Calibri Light"/>
              <w:noProof/>
            </w:rPr>
            <w:t xml:space="preserve"> Canberra: Treasury Working Paper.</w:t>
          </w:r>
        </w:p>
        <w:p w14:paraId="5988AB71" w14:textId="77777777" w:rsidR="00EA057D" w:rsidRPr="00EA057D" w:rsidRDefault="00EA057D" w:rsidP="00EA057D">
          <w:pPr>
            <w:pStyle w:val="Bibliography"/>
            <w:ind w:left="720" w:hanging="720"/>
            <w:rPr>
              <w:rFonts w:ascii="Calibri Light" w:hAnsi="Calibri Light" w:cs="Calibri Light"/>
              <w:noProof/>
            </w:rPr>
          </w:pPr>
          <w:r w:rsidRPr="00EA057D">
            <w:rPr>
              <w:rFonts w:ascii="Calibri Light" w:hAnsi="Calibri Light" w:cs="Calibri Light"/>
              <w:noProof/>
            </w:rPr>
            <w:t xml:space="preserve">Jaimovich, N., &amp; Rebelo, S. (2008, December). News and Business Cycles in Open Economies. </w:t>
          </w:r>
          <w:r w:rsidRPr="00EA057D">
            <w:rPr>
              <w:rFonts w:ascii="Calibri Light" w:hAnsi="Calibri Light" w:cs="Calibri Light"/>
              <w:i/>
              <w:iCs/>
              <w:noProof/>
            </w:rPr>
            <w:t>Journal of Money, Credit and Banking, 40</w:t>
          </w:r>
          <w:r w:rsidRPr="00EA057D">
            <w:rPr>
              <w:rFonts w:ascii="Calibri Light" w:hAnsi="Calibri Light" w:cs="Calibri Light"/>
              <w:noProof/>
            </w:rPr>
            <w:t>(8), 1699-1711.</w:t>
          </w:r>
        </w:p>
        <w:p w14:paraId="6B25F8AC" w14:textId="77777777" w:rsidR="00EA057D" w:rsidRPr="00EA057D" w:rsidRDefault="00EA057D" w:rsidP="00EA057D">
          <w:pPr>
            <w:pStyle w:val="Bibliography"/>
            <w:ind w:left="720" w:hanging="720"/>
            <w:rPr>
              <w:rFonts w:ascii="Calibri Light" w:hAnsi="Calibri Light" w:cs="Calibri Light"/>
              <w:noProof/>
            </w:rPr>
          </w:pPr>
          <w:r w:rsidRPr="00EA057D">
            <w:rPr>
              <w:rFonts w:ascii="Calibri Light" w:hAnsi="Calibri Light" w:cs="Calibri Light"/>
              <w:noProof/>
            </w:rPr>
            <w:t xml:space="preserve">Keane, M. P. (2011). Labor supply and taxes: A survey. </w:t>
          </w:r>
          <w:r w:rsidRPr="00EA057D">
            <w:rPr>
              <w:rFonts w:ascii="Calibri Light" w:hAnsi="Calibri Light" w:cs="Calibri Light"/>
              <w:i/>
              <w:iCs/>
              <w:noProof/>
            </w:rPr>
            <w:t>Journal of Economic Literature 49(4)</w:t>
          </w:r>
          <w:r w:rsidRPr="00EA057D">
            <w:rPr>
              <w:rFonts w:ascii="Calibri Light" w:hAnsi="Calibri Light" w:cs="Calibri Light"/>
              <w:noProof/>
            </w:rPr>
            <w:t>, 961-1075.</w:t>
          </w:r>
        </w:p>
        <w:p w14:paraId="2AC1CA88" w14:textId="77777777" w:rsidR="00EA057D" w:rsidRPr="00EA057D" w:rsidRDefault="00EA057D" w:rsidP="00EA057D">
          <w:pPr>
            <w:pStyle w:val="Bibliography"/>
            <w:ind w:left="720" w:hanging="720"/>
            <w:rPr>
              <w:rFonts w:ascii="Calibri Light" w:hAnsi="Calibri Light" w:cs="Calibri Light"/>
              <w:noProof/>
            </w:rPr>
          </w:pPr>
          <w:r w:rsidRPr="00EA057D">
            <w:rPr>
              <w:rFonts w:ascii="Calibri Light" w:hAnsi="Calibri Light" w:cs="Calibri Light"/>
              <w:noProof/>
            </w:rPr>
            <w:t xml:space="preserve">King, R. G., Plosser, C. I., &amp; Rebelo, T. S. (1987). Production, Growth and Business Cycles. </w:t>
          </w:r>
          <w:r w:rsidRPr="00EA057D">
            <w:rPr>
              <w:rFonts w:ascii="Calibri Light" w:hAnsi="Calibri Light" w:cs="Calibri Light"/>
              <w:i/>
              <w:iCs/>
              <w:noProof/>
            </w:rPr>
            <w:t>Journal of Monetary Economics</w:t>
          </w:r>
          <w:r w:rsidRPr="00EA057D">
            <w:rPr>
              <w:rFonts w:ascii="Calibri Light" w:hAnsi="Calibri Light" w:cs="Calibri Light"/>
              <w:noProof/>
            </w:rPr>
            <w:t>.</w:t>
          </w:r>
        </w:p>
        <w:p w14:paraId="67839A8C" w14:textId="77777777" w:rsidR="00EA057D" w:rsidRPr="00EA057D" w:rsidRDefault="00EA057D" w:rsidP="00EA057D">
          <w:pPr>
            <w:pStyle w:val="Bibliography"/>
            <w:ind w:left="720" w:hanging="720"/>
            <w:rPr>
              <w:rFonts w:ascii="Calibri Light" w:hAnsi="Calibri Light" w:cs="Calibri Light"/>
              <w:noProof/>
            </w:rPr>
          </w:pPr>
          <w:r w:rsidRPr="00EA057D">
            <w:rPr>
              <w:rFonts w:ascii="Calibri Light" w:hAnsi="Calibri Light" w:cs="Calibri Light"/>
              <w:noProof/>
            </w:rPr>
            <w:t xml:space="preserve">Kulish, M., &amp; Rees, D. (2017). Unprecedented Changes in the Terms of Trade. (Elsevier, Ed.) </w:t>
          </w:r>
          <w:r w:rsidRPr="00EA057D">
            <w:rPr>
              <w:rFonts w:ascii="Calibri Light" w:hAnsi="Calibri Light" w:cs="Calibri Light"/>
              <w:i/>
              <w:iCs/>
              <w:noProof/>
            </w:rPr>
            <w:t>Journal of International Economics</w:t>
          </w:r>
          <w:r w:rsidRPr="00EA057D">
            <w:rPr>
              <w:rFonts w:ascii="Calibri Light" w:hAnsi="Calibri Light" w:cs="Calibri Light"/>
              <w:noProof/>
            </w:rPr>
            <w:t>, 351-367.</w:t>
          </w:r>
        </w:p>
        <w:p w14:paraId="3ECCD037" w14:textId="77777777" w:rsidR="00EA057D" w:rsidRPr="00EA057D" w:rsidRDefault="00EA057D" w:rsidP="00EA057D">
          <w:pPr>
            <w:pStyle w:val="Bibliography"/>
            <w:ind w:left="720" w:hanging="720"/>
            <w:rPr>
              <w:rFonts w:ascii="Calibri Light" w:hAnsi="Calibri Light" w:cs="Calibri Light"/>
              <w:noProof/>
            </w:rPr>
          </w:pPr>
          <w:r w:rsidRPr="00EA057D">
            <w:rPr>
              <w:rFonts w:ascii="Calibri Light" w:hAnsi="Calibri Light" w:cs="Calibri Light"/>
              <w:noProof/>
            </w:rPr>
            <w:t xml:space="preserve">Lucas, R. (1976). Econometric Policy Evaluation. In K. Brunner, &amp; A. Meltzer, </w:t>
          </w:r>
          <w:r w:rsidRPr="00EA057D">
            <w:rPr>
              <w:rFonts w:ascii="Calibri Light" w:hAnsi="Calibri Light" w:cs="Calibri Light"/>
              <w:i/>
              <w:iCs/>
              <w:noProof/>
            </w:rPr>
            <w:t>The Phillips Curve and Labor Markets</w:t>
          </w:r>
          <w:r w:rsidRPr="00EA057D">
            <w:rPr>
              <w:rFonts w:ascii="Calibri Light" w:hAnsi="Calibri Light" w:cs="Calibri Light"/>
              <w:noProof/>
            </w:rPr>
            <w:t xml:space="preserve"> (pp. 19-46). New York: AMerical Elsevier.</w:t>
          </w:r>
        </w:p>
        <w:p w14:paraId="525CA246" w14:textId="77777777" w:rsidR="00EA057D" w:rsidRPr="00EA057D" w:rsidRDefault="00EA057D" w:rsidP="00EA057D">
          <w:pPr>
            <w:pStyle w:val="Bibliography"/>
            <w:ind w:left="720" w:hanging="720"/>
            <w:rPr>
              <w:rFonts w:ascii="Calibri Light" w:hAnsi="Calibri Light" w:cs="Calibri Light"/>
              <w:noProof/>
            </w:rPr>
          </w:pPr>
          <w:r w:rsidRPr="00EA057D">
            <w:rPr>
              <w:rFonts w:ascii="Calibri Light" w:hAnsi="Calibri Light" w:cs="Calibri Light"/>
              <w:noProof/>
            </w:rPr>
            <w:t xml:space="preserve">Malakellis, M. (2000). </w:t>
          </w:r>
          <w:r w:rsidRPr="00EA057D">
            <w:rPr>
              <w:rFonts w:ascii="Calibri Light" w:hAnsi="Calibri Light" w:cs="Calibri Light"/>
              <w:i/>
              <w:iCs/>
              <w:noProof/>
            </w:rPr>
            <w:t>Integrated Macro-Micro-Modelling Under Rational Expectations With an Application to Tariff Reform in Australia.</w:t>
          </w:r>
          <w:r w:rsidRPr="00EA057D">
            <w:rPr>
              <w:rFonts w:ascii="Calibri Light" w:hAnsi="Calibri Light" w:cs="Calibri Light"/>
              <w:noProof/>
            </w:rPr>
            <w:t xml:space="preserve"> Physica-Verlag Heidelberg.</w:t>
          </w:r>
        </w:p>
        <w:p w14:paraId="46CA3E88" w14:textId="77777777" w:rsidR="00EA057D" w:rsidRPr="00EA057D" w:rsidRDefault="00EA057D" w:rsidP="00EA057D">
          <w:pPr>
            <w:pStyle w:val="Bibliography"/>
            <w:ind w:left="720" w:hanging="720"/>
            <w:rPr>
              <w:rFonts w:ascii="Calibri Light" w:hAnsi="Calibri Light" w:cs="Calibri Light"/>
              <w:noProof/>
            </w:rPr>
          </w:pPr>
          <w:r w:rsidRPr="00EA057D">
            <w:rPr>
              <w:rFonts w:ascii="Calibri Light" w:hAnsi="Calibri Light" w:cs="Calibri Light"/>
              <w:noProof/>
            </w:rPr>
            <w:t xml:space="preserve">Peterman, W. B. (2015). Reconciling Micro and Macro Estimates of the Frisch Labor Supply Elasticity. </w:t>
          </w:r>
          <w:r w:rsidRPr="00EA057D">
            <w:rPr>
              <w:rFonts w:ascii="Calibri Light" w:hAnsi="Calibri Light" w:cs="Calibri Light"/>
              <w:i/>
              <w:iCs/>
              <w:noProof/>
            </w:rPr>
            <w:t>Federal Reserve Board of Governors</w:t>
          </w:r>
          <w:r w:rsidRPr="00EA057D">
            <w:rPr>
              <w:rFonts w:ascii="Calibri Light" w:hAnsi="Calibri Light" w:cs="Calibri Light"/>
              <w:noProof/>
            </w:rPr>
            <w:t>.</w:t>
          </w:r>
        </w:p>
        <w:p w14:paraId="57CDBED9" w14:textId="77777777" w:rsidR="00EA057D" w:rsidRPr="00EA057D" w:rsidRDefault="00EA057D" w:rsidP="00EA057D">
          <w:pPr>
            <w:pStyle w:val="Bibliography"/>
            <w:ind w:left="720" w:hanging="720"/>
            <w:rPr>
              <w:rFonts w:ascii="Calibri Light" w:hAnsi="Calibri Light" w:cs="Calibri Light"/>
              <w:noProof/>
            </w:rPr>
          </w:pPr>
          <w:r w:rsidRPr="00EA057D">
            <w:rPr>
              <w:rFonts w:ascii="Calibri Light" w:hAnsi="Calibri Light" w:cs="Calibri Light"/>
              <w:noProof/>
            </w:rPr>
            <w:t xml:space="preserve">Rees, D. M., Smith, P., &amp; Hall, J. (2016). A Multi-sector Model of the Australian Economy. </w:t>
          </w:r>
          <w:r w:rsidRPr="00EA057D">
            <w:rPr>
              <w:rFonts w:ascii="Calibri Light" w:hAnsi="Calibri Light" w:cs="Calibri Light"/>
              <w:i/>
              <w:iCs/>
              <w:noProof/>
            </w:rPr>
            <w:t>Econonomic Record, 92</w:t>
          </w:r>
          <w:r w:rsidRPr="00EA057D">
            <w:rPr>
              <w:rFonts w:ascii="Calibri Light" w:hAnsi="Calibri Light" w:cs="Calibri Light"/>
              <w:noProof/>
            </w:rPr>
            <w:t>, 374-408.</w:t>
          </w:r>
        </w:p>
        <w:p w14:paraId="0B1F63B3" w14:textId="77777777" w:rsidR="00EA057D" w:rsidRPr="00EA057D" w:rsidRDefault="00EA057D" w:rsidP="00EA057D">
          <w:pPr>
            <w:pStyle w:val="Bibliography"/>
            <w:ind w:left="720" w:hanging="720"/>
            <w:rPr>
              <w:rFonts w:ascii="Calibri Light" w:hAnsi="Calibri Light" w:cs="Calibri Light"/>
              <w:noProof/>
            </w:rPr>
          </w:pPr>
          <w:r w:rsidRPr="00EA057D">
            <w:rPr>
              <w:rFonts w:ascii="Calibri Light" w:hAnsi="Calibri Light" w:cs="Calibri Light"/>
              <w:noProof/>
            </w:rPr>
            <w:t xml:space="preserve">Schmitt-Grohe, S., &amp; Uribe, M. (2003). Closing Small Open Economy Models. </w:t>
          </w:r>
          <w:r w:rsidRPr="00EA057D">
            <w:rPr>
              <w:rFonts w:ascii="Calibri Light" w:hAnsi="Calibri Light" w:cs="Calibri Light"/>
              <w:i/>
              <w:iCs/>
              <w:noProof/>
            </w:rPr>
            <w:t>Journal of International Economics, 61</w:t>
          </w:r>
          <w:r w:rsidRPr="00EA057D">
            <w:rPr>
              <w:rFonts w:ascii="Calibri Light" w:hAnsi="Calibri Light" w:cs="Calibri Light"/>
              <w:noProof/>
            </w:rPr>
            <w:t>(1), 163-185.</w:t>
          </w:r>
        </w:p>
        <w:p w14:paraId="4E408DD6" w14:textId="77777777" w:rsidR="00EA057D" w:rsidRPr="00EA057D" w:rsidRDefault="00EA057D" w:rsidP="00EA057D">
          <w:pPr>
            <w:pStyle w:val="Bibliography"/>
            <w:ind w:left="720" w:hanging="720"/>
            <w:rPr>
              <w:rFonts w:ascii="Calibri Light" w:hAnsi="Calibri Light" w:cs="Calibri Light"/>
              <w:noProof/>
            </w:rPr>
          </w:pPr>
          <w:r w:rsidRPr="00EA057D">
            <w:rPr>
              <w:rFonts w:ascii="Calibri Light" w:hAnsi="Calibri Light" w:cs="Calibri Light"/>
              <w:noProof/>
            </w:rPr>
            <w:t xml:space="preserve">Uzawa, H. (1969). Time preference and the Penrose effect in a two-class model of economic growth. </w:t>
          </w:r>
          <w:r w:rsidRPr="00EA057D">
            <w:rPr>
              <w:rFonts w:ascii="Calibri Light" w:hAnsi="Calibri Light" w:cs="Calibri Light"/>
              <w:i/>
              <w:iCs/>
              <w:noProof/>
            </w:rPr>
            <w:t>Journal of Political Economy, 77(4, Part 2)</w:t>
          </w:r>
          <w:r w:rsidRPr="00EA057D">
            <w:rPr>
              <w:rFonts w:ascii="Calibri Light" w:hAnsi="Calibri Light" w:cs="Calibri Light"/>
              <w:noProof/>
            </w:rPr>
            <w:t>, 628-652.</w:t>
          </w:r>
        </w:p>
        <w:p w14:paraId="1D8E3358" w14:textId="77777777" w:rsidR="00EA057D" w:rsidRPr="00EA057D" w:rsidRDefault="00EA057D" w:rsidP="00EA057D">
          <w:pPr>
            <w:pStyle w:val="Bibliography"/>
            <w:ind w:left="720" w:hanging="720"/>
            <w:rPr>
              <w:rFonts w:ascii="Calibri Light" w:hAnsi="Calibri Light" w:cs="Calibri Light"/>
              <w:noProof/>
            </w:rPr>
          </w:pPr>
          <w:r w:rsidRPr="00EA057D">
            <w:rPr>
              <w:rFonts w:ascii="Calibri Light" w:hAnsi="Calibri Light" w:cs="Calibri Light"/>
              <w:noProof/>
            </w:rPr>
            <w:t xml:space="preserve">van der Mensbrugghe, D., &amp; Peters, J. C. (2016). Volume preserving CES and CET formulations. </w:t>
          </w:r>
          <w:r w:rsidRPr="00EA057D">
            <w:rPr>
              <w:rFonts w:ascii="Calibri Light" w:hAnsi="Calibri Light" w:cs="Calibri Light"/>
              <w:i/>
              <w:iCs/>
              <w:noProof/>
            </w:rPr>
            <w:t>19th Annual Conference on Global Economic Analysis.</w:t>
          </w:r>
          <w:r w:rsidRPr="00EA057D">
            <w:rPr>
              <w:rFonts w:ascii="Calibri Light" w:hAnsi="Calibri Light" w:cs="Calibri Light"/>
              <w:noProof/>
            </w:rPr>
            <w:t xml:space="preserve"> Purdue University.</w:t>
          </w:r>
        </w:p>
        <w:p w14:paraId="5840DD9B" w14:textId="273A481B" w:rsidR="00C430F0" w:rsidRDefault="00C430F0" w:rsidP="00EA057D">
          <w:pPr>
            <w:keepLines/>
            <w:widowControl w:val="0"/>
            <w:adjustRightInd w:val="0"/>
            <w:textAlignment w:val="baseline"/>
          </w:pPr>
          <w:r w:rsidRPr="00EA057D">
            <w:rPr>
              <w:rFonts w:cs="Calibri Light"/>
              <w:b/>
              <w:bCs/>
              <w:noProof/>
            </w:rPr>
            <w:fldChar w:fldCharType="end"/>
          </w:r>
        </w:p>
      </w:sdtContent>
    </w:sdt>
    <w:sectPr w:rsidR="00C430F0" w:rsidSect="00B7535E">
      <w:pgSz w:w="11906" w:h="16838" w:code="9"/>
      <w:pgMar w:top="1843" w:right="1418" w:bottom="1418"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1EAB4" w14:textId="77777777" w:rsidR="00454767" w:rsidRDefault="00454767" w:rsidP="005F100C">
      <w:pPr>
        <w:spacing w:after="0"/>
      </w:pPr>
      <w:r>
        <w:separator/>
      </w:r>
    </w:p>
  </w:endnote>
  <w:endnote w:type="continuationSeparator" w:id="0">
    <w:p w14:paraId="6DEE4207" w14:textId="77777777" w:rsidR="00454767" w:rsidRDefault="00454767" w:rsidP="005F100C">
      <w:pPr>
        <w:spacing w:after="0"/>
      </w:pPr>
      <w:r>
        <w:continuationSeparator/>
      </w:r>
    </w:p>
  </w:endnote>
  <w:endnote w:type="continuationNotice" w:id="1">
    <w:p w14:paraId="790B883D" w14:textId="77777777" w:rsidR="00454767" w:rsidRDefault="004547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wiss 721 BT">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6400" w14:textId="77777777" w:rsidR="00F012EA" w:rsidRDefault="00365C6D" w:rsidP="00365C6D">
    <w:pPr>
      <w:pStyle w:val="Footer"/>
      <w:rPr>
        <w:rStyle w:val="PageNumber"/>
      </w:rPr>
    </w:pPr>
    <w:r w:rsidRPr="00365C6D">
      <w:rPr>
        <w:rStyle w:val="PageNumber"/>
      </w:rPr>
      <w:fldChar w:fldCharType="begin"/>
    </w:r>
    <w:r w:rsidRPr="00365C6D">
      <w:rPr>
        <w:rStyle w:val="PageNumber"/>
      </w:rPr>
      <w:instrText xml:space="preserve"> PAGE   \* MERGEFORMAT </w:instrText>
    </w:r>
    <w:r w:rsidRPr="00365C6D">
      <w:rPr>
        <w:rStyle w:val="PageNumber"/>
      </w:rPr>
      <w:fldChar w:fldCharType="separate"/>
    </w:r>
    <w:r>
      <w:rPr>
        <w:rStyle w:val="PageNumber"/>
        <w:noProof/>
      </w:rPr>
      <w:t>2</w:t>
    </w:r>
    <w:r w:rsidRPr="00365C6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62081" w14:textId="0F8679A4" w:rsidR="00365C6D" w:rsidRPr="00B7535E" w:rsidRDefault="00B7535E" w:rsidP="00B7535E">
    <w:pPr>
      <w:pStyle w:val="FooterEven"/>
      <w:jc w:val="right"/>
      <w:rPr>
        <w:rStyle w:val="PageNumber"/>
        <w:rFonts w:ascii="Calibri Light" w:hAnsi="Calibri Light"/>
        <w:color w:val="2C384A" w:themeColor="accent1"/>
        <w:sz w:val="20"/>
      </w:rPr>
    </w:pPr>
    <w:r w:rsidRPr="00742366">
      <w:drawing>
        <wp:anchor distT="0" distB="0" distL="114300" distR="114300" simplePos="0" relativeHeight="251656192" behindDoc="1" locked="1" layoutInCell="1" allowOverlap="1" wp14:anchorId="4803D121" wp14:editId="3A0F2A71">
          <wp:simplePos x="0" y="0"/>
          <wp:positionH relativeFrom="margin">
            <wp:posOffset>5459095</wp:posOffset>
          </wp:positionH>
          <wp:positionV relativeFrom="page">
            <wp:posOffset>3280410</wp:posOffset>
          </wp:positionV>
          <wp:extent cx="7574280" cy="1043940"/>
          <wp:effectExtent l="762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55168" behindDoc="1" locked="0" layoutInCell="1" allowOverlap="0" wp14:anchorId="60286DA7" wp14:editId="5A6043A0">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48" name="Picture 4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R="00697947">
      <w:fldChar w:fldCharType="begin"/>
    </w:r>
    <w:r w:rsidR="00697947">
      <w:instrText xml:space="preserve"> STYLEREF  "Heading 1"  \* MERGEFORMAT </w:instrText>
    </w:r>
    <w:r w:rsidR="00697947">
      <w:fldChar w:fldCharType="separate"/>
    </w:r>
    <w:r w:rsidR="00697947">
      <w:t>References</w:t>
    </w:r>
    <w:r w:rsidR="00697947">
      <w:fldChar w:fldCharType="end"/>
    </w:r>
    <w:r>
      <w:t xml:space="preserve"> | </w:t>
    </w:r>
    <w:r>
      <w:rPr>
        <w:noProof w:val="0"/>
      </w:rPr>
      <w:fldChar w:fldCharType="begin"/>
    </w:r>
    <w:r>
      <w:instrText xml:space="preserve"> PAGE   \* MERGEFORMAT </w:instrText>
    </w:r>
    <w:r>
      <w:rPr>
        <w:noProof w:val="0"/>
      </w:rP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A05D1" w14:textId="214916C6" w:rsidR="00C430F0" w:rsidRPr="00B7535E" w:rsidRDefault="00C430F0" w:rsidP="00B7535E">
    <w:pPr>
      <w:pStyle w:val="FooterEven"/>
      <w:jc w:val="right"/>
      <w:rPr>
        <w:rStyle w:val="PageNumber"/>
        <w:rFonts w:ascii="Calibri Light" w:hAnsi="Calibri Light"/>
        <w:color w:val="2C384A" w:themeColor="accent1"/>
        <w:sz w:val="20"/>
      </w:rPr>
    </w:pPr>
    <w:r>
      <w:drawing>
        <wp:anchor distT="0" distB="0" distL="114300" distR="114300" simplePos="0" relativeHeight="251660288" behindDoc="1" locked="0" layoutInCell="1" allowOverlap="0" wp14:anchorId="0D4C41C9" wp14:editId="418474D1">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R="00697947">
      <w:fldChar w:fldCharType="begin"/>
    </w:r>
    <w:r w:rsidR="00697947">
      <w:instrText>STYLEREF  "Heading 1"  \* MERGEFORMAT</w:instrText>
    </w:r>
    <w:r w:rsidR="00697947">
      <w:fldChar w:fldCharType="separate"/>
    </w:r>
    <w:r w:rsidR="00697947">
      <w:t>References</w:t>
    </w:r>
    <w:r w:rsidR="00697947">
      <w:fldChar w:fldCharType="end"/>
    </w:r>
    <w:r>
      <w:t xml:space="preserve"> | </w:t>
    </w:r>
    <w:r>
      <w:rPr>
        <w:noProof w:val="0"/>
      </w:rPr>
      <w:fldChar w:fldCharType="begin"/>
    </w:r>
    <w:r>
      <w:instrText xml:space="preserve"> PAGE   \* MERGEFORMAT </w:instrText>
    </w:r>
    <w:r>
      <w:rPr>
        <w:noProof w:val="0"/>
      </w:rP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0DD89" w14:textId="77777777" w:rsidR="00454767" w:rsidRDefault="00454767" w:rsidP="005F100C">
      <w:pPr>
        <w:spacing w:after="0"/>
      </w:pPr>
      <w:r>
        <w:separator/>
      </w:r>
    </w:p>
  </w:footnote>
  <w:footnote w:type="continuationSeparator" w:id="0">
    <w:p w14:paraId="237A2D31" w14:textId="77777777" w:rsidR="00454767" w:rsidRDefault="00454767" w:rsidP="005F100C">
      <w:pPr>
        <w:spacing w:after="0"/>
      </w:pPr>
      <w:r>
        <w:continuationSeparator/>
      </w:r>
    </w:p>
  </w:footnote>
  <w:footnote w:type="continuationNotice" w:id="1">
    <w:p w14:paraId="10AE355A" w14:textId="77777777" w:rsidR="00454767" w:rsidRDefault="00454767">
      <w:pPr>
        <w:spacing w:before="0" w:after="0"/>
      </w:pPr>
    </w:p>
  </w:footnote>
  <w:footnote w:id="2">
    <w:p w14:paraId="6BA05CAD" w14:textId="1D4C6F6E" w:rsidR="00F012EA" w:rsidRPr="00614F35" w:rsidRDefault="00F012EA" w:rsidP="00F012EA">
      <w:pPr>
        <w:pStyle w:val="FootnoteText"/>
      </w:pPr>
      <w:r w:rsidRPr="000464B6">
        <w:rPr>
          <w:rStyle w:val="FootnoteReference"/>
        </w:rPr>
        <w:footnoteRef/>
      </w:r>
      <w:r w:rsidRPr="000464B6">
        <w:t xml:space="preserve"> </w:t>
      </w:r>
      <w:r>
        <w:tab/>
      </w:r>
      <w:r w:rsidR="0095372F">
        <w:t>Macroeconomic Analysis and Policy Division</w:t>
      </w:r>
      <w:r>
        <w:t xml:space="preserve">, The Treasury, Langton Crescent, Parkes ACT 2600, </w:t>
      </w:r>
      <w:r w:rsidRPr="006B4A87">
        <w:t xml:space="preserve">Australia. </w:t>
      </w:r>
      <w:r w:rsidR="0095372F" w:rsidRPr="0095372F">
        <w:t>We thank Daniel Rees, Mariano Kulish, Damian Mullaly, Paul Cotterill, Louise Lilley, John Bruesch, Jacob Smith, and Daniel Silva Withmory for their valuable feedback on earlier drafts, as well as participants at the 2022 Australian Conference of Economists, ANU-RSE Seminar to QuantEcon, Victoria University – Centre of Policy Studies, 2020 Global Trade Analysis Project Conference, and Macroeconomic Group Expert Panel.</w:t>
      </w:r>
    </w:p>
  </w:footnote>
  <w:footnote w:id="3">
    <w:p w14:paraId="02103D7B" w14:textId="77777777" w:rsidR="00F012EA" w:rsidRDefault="00F012EA" w:rsidP="00F012EA">
      <w:pPr>
        <w:pStyle w:val="FootnoteText"/>
      </w:pPr>
      <w:r w:rsidRPr="000464B6">
        <w:rPr>
          <w:rStyle w:val="FootnoteReference"/>
        </w:rPr>
        <w:footnoteRef/>
      </w:r>
      <w:r w:rsidRPr="000464B6">
        <w:t xml:space="preserve"> </w:t>
      </w:r>
      <w:r>
        <w:tab/>
        <w:t>The views expressed in this paper are those of the authors and do not necessarily reflect those of The Australian Treasury or the Australian Government.</w:t>
      </w:r>
    </w:p>
    <w:p w14:paraId="44134910" w14:textId="77777777" w:rsidR="000464B6" w:rsidRDefault="000464B6" w:rsidP="0095372F">
      <w:pPr>
        <w:pStyle w:val="FootnoteText"/>
        <w:ind w:left="0" w:firstLine="0"/>
      </w:pPr>
    </w:p>
  </w:footnote>
  <w:footnote w:id="4">
    <w:p w14:paraId="1BF0CD9A" w14:textId="77777777" w:rsidR="00C430F0" w:rsidRPr="00767E19" w:rsidRDefault="00C430F0" w:rsidP="00C430F0">
      <w:pPr>
        <w:pStyle w:val="FootnoteText"/>
      </w:pPr>
      <w:r w:rsidRPr="00B3134A">
        <w:rPr>
          <w:rStyle w:val="FootnoteReference"/>
          <w:szCs w:val="18"/>
        </w:rPr>
        <w:footnoteRef/>
      </w:r>
      <w:r w:rsidRPr="00B3134A">
        <w:rPr>
          <w:sz w:val="18"/>
          <w:szCs w:val="18"/>
        </w:rPr>
        <w:t xml:space="preserve"> </w:t>
      </w:r>
      <w:r>
        <w:tab/>
      </w:r>
      <w:r w:rsidRPr="00767E19">
        <w:rPr>
          <w:rStyle w:val="FootnoteseperatorChar"/>
        </w:rPr>
        <w:t>See, for example, Hornstein and Praschnik</w:t>
      </w:r>
      <w:sdt>
        <w:sdtPr>
          <w:rPr>
            <w:rStyle w:val="FootnoteseperatorChar"/>
          </w:rPr>
          <w:id w:val="-6836792"/>
          <w:citation/>
        </w:sdtPr>
        <w:sdtEndPr>
          <w:rPr>
            <w:rStyle w:val="FootnoteseperatorChar"/>
          </w:rPr>
        </w:sdtEndPr>
        <w:sdtContent>
          <w:r w:rsidRPr="00767E19">
            <w:rPr>
              <w:rStyle w:val="FootnoteseperatorChar"/>
            </w:rPr>
            <w:fldChar w:fldCharType="begin"/>
          </w:r>
          <w:r w:rsidRPr="00767E19">
            <w:rPr>
              <w:rStyle w:val="FootnoteseperatorChar"/>
            </w:rPr>
            <w:instrText xml:space="preserve">CITATION Hor97 \n  \t  \l 3081 </w:instrText>
          </w:r>
          <w:r w:rsidRPr="00767E19">
            <w:rPr>
              <w:rStyle w:val="FootnoteseperatorChar"/>
            </w:rPr>
            <w:fldChar w:fldCharType="separate"/>
          </w:r>
          <w:r>
            <w:rPr>
              <w:rStyle w:val="FootnoteseperatorChar"/>
              <w:noProof/>
            </w:rPr>
            <w:t xml:space="preserve"> </w:t>
          </w:r>
          <w:r>
            <w:rPr>
              <w:noProof/>
            </w:rPr>
            <w:t>(1997)</w:t>
          </w:r>
          <w:r w:rsidRPr="00767E19">
            <w:rPr>
              <w:rStyle w:val="FootnoteseperatorChar"/>
            </w:rPr>
            <w:fldChar w:fldCharType="end"/>
          </w:r>
        </w:sdtContent>
      </w:sdt>
      <w:r w:rsidRPr="00767E19">
        <w:rPr>
          <w:rStyle w:val="FootnoteseperatorChar"/>
        </w:rPr>
        <w:t>, Hornstein</w:t>
      </w:r>
      <w:sdt>
        <w:sdtPr>
          <w:rPr>
            <w:rStyle w:val="FootnoteseperatorChar"/>
          </w:rPr>
          <w:id w:val="646706359"/>
          <w:citation/>
        </w:sdtPr>
        <w:sdtEndPr>
          <w:rPr>
            <w:rStyle w:val="FootnoteseperatorChar"/>
          </w:rPr>
        </w:sdtEndPr>
        <w:sdtContent>
          <w:r w:rsidRPr="00767E19">
            <w:rPr>
              <w:rStyle w:val="FootnoteseperatorChar"/>
            </w:rPr>
            <w:fldChar w:fldCharType="begin"/>
          </w:r>
          <w:r w:rsidRPr="00767E19">
            <w:rPr>
              <w:rStyle w:val="FootnoteseperatorChar"/>
            </w:rPr>
            <w:instrText xml:space="preserve">CITATION Hor00 \n  \t  \l 3081 </w:instrText>
          </w:r>
          <w:r w:rsidRPr="00767E19">
            <w:rPr>
              <w:rStyle w:val="FootnoteseperatorChar"/>
            </w:rPr>
            <w:fldChar w:fldCharType="separate"/>
          </w:r>
          <w:r>
            <w:rPr>
              <w:rStyle w:val="FootnoteseperatorChar"/>
              <w:noProof/>
            </w:rPr>
            <w:t xml:space="preserve"> </w:t>
          </w:r>
          <w:r>
            <w:rPr>
              <w:noProof/>
            </w:rPr>
            <w:t>(2000)</w:t>
          </w:r>
          <w:r w:rsidRPr="00767E19">
            <w:rPr>
              <w:rStyle w:val="FootnoteseperatorChar"/>
            </w:rPr>
            <w:fldChar w:fldCharType="end"/>
          </w:r>
        </w:sdtContent>
      </w:sdt>
      <w:r w:rsidRPr="00767E19">
        <w:rPr>
          <w:rStyle w:val="FootnoteseperatorChar"/>
        </w:rPr>
        <w:t xml:space="preserve"> and Horvath</w:t>
      </w:r>
      <w:sdt>
        <w:sdtPr>
          <w:rPr>
            <w:rStyle w:val="FootnoteseperatorChar"/>
          </w:rPr>
          <w:id w:val="-711574811"/>
          <w:citation/>
        </w:sdtPr>
        <w:sdtEndPr>
          <w:rPr>
            <w:rStyle w:val="FootnoteseperatorChar"/>
          </w:rPr>
        </w:sdtEndPr>
        <w:sdtContent>
          <w:r w:rsidRPr="00767E19">
            <w:rPr>
              <w:rStyle w:val="FootnoteseperatorChar"/>
            </w:rPr>
            <w:fldChar w:fldCharType="begin"/>
          </w:r>
          <w:r w:rsidRPr="00767E19">
            <w:rPr>
              <w:rStyle w:val="FootnoteseperatorChar"/>
            </w:rPr>
            <w:instrText xml:space="preserve">CITATION Hor001 \n  \t  \l 3081 </w:instrText>
          </w:r>
          <w:r w:rsidRPr="00767E19">
            <w:rPr>
              <w:rStyle w:val="FootnoteseperatorChar"/>
            </w:rPr>
            <w:fldChar w:fldCharType="separate"/>
          </w:r>
          <w:r>
            <w:rPr>
              <w:rStyle w:val="FootnoteseperatorChar"/>
              <w:noProof/>
            </w:rPr>
            <w:t xml:space="preserve"> </w:t>
          </w:r>
          <w:r>
            <w:rPr>
              <w:noProof/>
            </w:rPr>
            <w:t>(2000)</w:t>
          </w:r>
          <w:r w:rsidRPr="00767E19">
            <w:rPr>
              <w:rStyle w:val="FootnoteseperatorChar"/>
            </w:rPr>
            <w:fldChar w:fldCharType="end"/>
          </w:r>
        </w:sdtContent>
      </w:sdt>
      <w:r w:rsidRPr="00767E19">
        <w:rPr>
          <w:rStyle w:val="FootnoteseperatorChar"/>
        </w:rPr>
        <w:t xml:space="preserve">. Readers interested in </w:t>
      </w:r>
      <w:r w:rsidRPr="00B23AE9">
        <w:rPr>
          <w:rStyle w:val="FootnoteseperatorChar"/>
        </w:rPr>
        <w:t>Australian</w:t>
      </w:r>
      <w:r w:rsidRPr="00767E19">
        <w:rPr>
          <w:rStyle w:val="FootnoteseperatorChar"/>
        </w:rPr>
        <w:t xml:space="preserve"> business cycle analysis are well served by multisector models, albeit with </w:t>
      </w:r>
      <w:r>
        <w:rPr>
          <w:rStyle w:val="FootnoteseperatorChar"/>
        </w:rPr>
        <w:t>fewer</w:t>
      </w:r>
      <w:r w:rsidRPr="00767E19">
        <w:rPr>
          <w:rStyle w:val="FootnoteseperatorChar"/>
        </w:rPr>
        <w:t xml:space="preserve"> sectors, </w:t>
      </w:r>
      <w:r>
        <w:rPr>
          <w:rStyle w:val="FootnoteseperatorChar"/>
        </w:rPr>
        <w:t xml:space="preserve">including those </w:t>
      </w:r>
      <w:r w:rsidRPr="00767E19">
        <w:rPr>
          <w:rStyle w:val="FootnoteseperatorChar"/>
        </w:rPr>
        <w:t>by Rees, Smith and Hall (2016), and Kulish and Rees (2017).</w:t>
      </w:r>
    </w:p>
  </w:footnote>
  <w:footnote w:id="5">
    <w:p w14:paraId="000C4D64" w14:textId="77777777" w:rsidR="00C430F0" w:rsidRPr="00600B77" w:rsidRDefault="00C430F0" w:rsidP="00C430F0">
      <w:pPr>
        <w:pStyle w:val="FootnoteText"/>
      </w:pPr>
      <w:r w:rsidRPr="00B23AE9">
        <w:rPr>
          <w:rStyle w:val="FootnoteReference"/>
        </w:rPr>
        <w:footnoteRef/>
      </w:r>
      <w:r w:rsidRPr="00383C36">
        <w:t xml:space="preserve"> </w:t>
      </w:r>
      <w:r>
        <w:tab/>
        <w:t>An example of a previous Australian model incorporating forward</w:t>
      </w:r>
      <w:r>
        <w:noBreakHyphen/>
        <w:t xml:space="preserve">looking agents is </w:t>
      </w:r>
      <w:r w:rsidRPr="009740B0">
        <w:t>Malakellis</w:t>
      </w:r>
      <w:sdt>
        <w:sdtPr>
          <w:id w:val="472651304"/>
          <w:citation/>
        </w:sdtPr>
        <w:sdtEndPr/>
        <w:sdtContent>
          <w:r>
            <w:fldChar w:fldCharType="begin"/>
          </w:r>
          <w:r>
            <w:instrText xml:space="preserve">CITATION Mic00 \n  \t  \l 3081 </w:instrText>
          </w:r>
          <w:r>
            <w:fldChar w:fldCharType="separate"/>
          </w:r>
          <w:r>
            <w:rPr>
              <w:noProof/>
            </w:rPr>
            <w:t xml:space="preserve"> (2000)</w:t>
          </w:r>
          <w:r>
            <w:fldChar w:fldCharType="end"/>
          </w:r>
        </w:sdtContent>
      </w:sdt>
      <w:r>
        <w:t xml:space="preserve"> which </w:t>
      </w:r>
      <w:r w:rsidRPr="00B23AE9">
        <w:t>extends</w:t>
      </w:r>
      <w:r>
        <w:t xml:space="preserve"> the traditional Australian CGE set</w:t>
      </w:r>
      <w:r>
        <w:noBreakHyphen/>
        <w:t xml:space="preserve">up to include intertemporal optimisation. One of the key differences between TIM and </w:t>
      </w:r>
      <w:r w:rsidRPr="009740B0">
        <w:t>Malakellis</w:t>
      </w:r>
      <w:sdt>
        <w:sdtPr>
          <w:id w:val="-516233354"/>
          <w:citation/>
        </w:sdtPr>
        <w:sdtEndPr/>
        <w:sdtContent>
          <w:r>
            <w:fldChar w:fldCharType="begin"/>
          </w:r>
          <w:r>
            <w:instrText xml:space="preserve">CITATION Mic00 \n  \t  \l 3081 </w:instrText>
          </w:r>
          <w:r>
            <w:fldChar w:fldCharType="separate"/>
          </w:r>
          <w:r>
            <w:rPr>
              <w:noProof/>
            </w:rPr>
            <w:t xml:space="preserve"> (2000)</w:t>
          </w:r>
          <w:r>
            <w:fldChar w:fldCharType="end"/>
          </w:r>
        </w:sdtContent>
      </w:sdt>
      <w:r>
        <w:t xml:space="preserve"> is that the household’s labour supply is endogenous in TIM, whereas it is assumed to be fixed in Malakellis</w:t>
      </w:r>
      <w:sdt>
        <w:sdtPr>
          <w:id w:val="1169986426"/>
          <w:citation/>
        </w:sdtPr>
        <w:sdtEndPr/>
        <w:sdtContent>
          <w:r>
            <w:fldChar w:fldCharType="begin"/>
          </w:r>
          <w:r>
            <w:instrText xml:space="preserve">CITATION Mic00 \n  \t  \l 3081 </w:instrText>
          </w:r>
          <w:r>
            <w:fldChar w:fldCharType="separate"/>
          </w:r>
          <w:r>
            <w:rPr>
              <w:noProof/>
            </w:rPr>
            <w:t xml:space="preserve"> (2000)</w:t>
          </w:r>
          <w:r>
            <w:fldChar w:fldCharType="end"/>
          </w:r>
        </w:sdtContent>
      </w:sdt>
      <w:r>
        <w:t>.</w:t>
      </w:r>
    </w:p>
  </w:footnote>
  <w:footnote w:id="6">
    <w:p w14:paraId="7301A188" w14:textId="293C2C03" w:rsidR="00C430F0" w:rsidRPr="00A12016" w:rsidRDefault="00C430F0" w:rsidP="00C430F0">
      <w:pPr>
        <w:pStyle w:val="FootnoteText"/>
      </w:pPr>
      <w:r w:rsidRPr="00B23AE9">
        <w:rPr>
          <w:rStyle w:val="FootnoteReference"/>
        </w:rPr>
        <w:footnoteRef/>
      </w:r>
      <w:r>
        <w:t xml:space="preserve"> </w:t>
      </w:r>
      <w:bookmarkStart w:id="1" w:name="_Hlk124413579"/>
      <w:bookmarkStart w:id="2" w:name="_Hlk124413545"/>
      <w:r>
        <w:tab/>
      </w:r>
      <w:r w:rsidRPr="00CB654C">
        <w:t xml:space="preserve">See for example RBA models Rees, </w:t>
      </w:r>
      <w:r>
        <w:t>et al.</w:t>
      </w:r>
      <w:r w:rsidRPr="00CB654C">
        <w:t xml:space="preserve"> </w:t>
      </w:r>
      <w:sdt>
        <w:sdtPr>
          <w:id w:val="26308063"/>
          <w:citation/>
        </w:sdtPr>
        <w:sdtEndPr/>
        <w:sdtContent>
          <w:r w:rsidRPr="00CB654C">
            <w:fldChar w:fldCharType="begin"/>
          </w:r>
          <w:r w:rsidRPr="00CB654C">
            <w:instrText xml:space="preserve">CITATION Ree161 \n  \t  \l 3081 </w:instrText>
          </w:r>
          <w:r w:rsidRPr="00CB654C">
            <w:fldChar w:fldCharType="separate"/>
          </w:r>
          <w:r>
            <w:rPr>
              <w:noProof/>
            </w:rPr>
            <w:t>(2016)</w:t>
          </w:r>
          <w:r w:rsidRPr="00CB654C">
            <w:fldChar w:fldCharType="end"/>
          </w:r>
        </w:sdtContent>
      </w:sdt>
      <w:r w:rsidRPr="00CB654C">
        <w:t xml:space="preserve"> and Kulish and Rees</w:t>
      </w:r>
      <w:bookmarkEnd w:id="1"/>
      <w:bookmarkEnd w:id="2"/>
      <w:r w:rsidRPr="00CB654C">
        <w:t xml:space="preserve"> </w:t>
      </w:r>
      <w:sdt>
        <w:sdtPr>
          <w:id w:val="529770003"/>
          <w:citation/>
        </w:sdtPr>
        <w:sdtEndPr/>
        <w:sdtContent>
          <w:r>
            <w:fldChar w:fldCharType="begin"/>
          </w:r>
          <w:r>
            <w:instrText xml:space="preserve">CITATION Kul171 \n  \t  \l 3081 </w:instrText>
          </w:r>
          <w:r>
            <w:fldChar w:fldCharType="separate"/>
          </w:r>
          <w:r>
            <w:rPr>
              <w:noProof/>
            </w:rPr>
            <w:t>(2017)</w:t>
          </w:r>
          <w:r>
            <w:fldChar w:fldCharType="end"/>
          </w:r>
        </w:sdtContent>
      </w:sdt>
      <w:r>
        <w:t xml:space="preserve">, </w:t>
      </w:r>
      <w:r w:rsidRPr="00CB654C">
        <w:t>and Treasury models</w:t>
      </w:r>
      <w:r>
        <w:t xml:space="preserve"> including</w:t>
      </w:r>
      <w:r w:rsidRPr="00CB654C">
        <w:t xml:space="preserve"> Bullen, </w:t>
      </w:r>
      <w:r>
        <w:t xml:space="preserve">et al., </w:t>
      </w:r>
      <w:sdt>
        <w:sdtPr>
          <w:id w:val="-557784654"/>
          <w:citation/>
        </w:sdtPr>
        <w:sdtEndPr/>
        <w:sdtContent>
          <w:r>
            <w:fldChar w:fldCharType="begin"/>
          </w:r>
          <w:r>
            <w:instrText xml:space="preserve">CITATION Bul21 \n  \t  \l 3081 </w:instrText>
          </w:r>
          <w:r>
            <w:fldChar w:fldCharType="separate"/>
          </w:r>
          <w:r>
            <w:rPr>
              <w:noProof/>
            </w:rPr>
            <w:t>(2021)</w:t>
          </w:r>
          <w:r>
            <w:fldChar w:fldCharType="end"/>
          </w:r>
        </w:sdtContent>
      </w:sdt>
      <w:r w:rsidRPr="00CB654C">
        <w:t xml:space="preserve"> and </w:t>
      </w:r>
      <w:r w:rsidRPr="009C6136">
        <w:t xml:space="preserve">Cai, </w:t>
      </w:r>
      <w:r>
        <w:t xml:space="preserve">et al., </w:t>
      </w:r>
      <w:sdt>
        <w:sdtPr>
          <w:id w:val="-1143799615"/>
          <w:citation/>
        </w:sdtPr>
        <w:sdtEndPr/>
        <w:sdtContent>
          <w:r>
            <w:fldChar w:fldCharType="begin"/>
          </w:r>
          <w:r w:rsidR="00EA057D">
            <w:instrText xml:space="preserve">CITATION Cai19 \n  \t  \l 3081 </w:instrText>
          </w:r>
          <w:r>
            <w:fldChar w:fldCharType="separate"/>
          </w:r>
          <w:r w:rsidR="00EA057D">
            <w:rPr>
              <w:noProof/>
            </w:rPr>
            <w:t>(2023)</w:t>
          </w:r>
          <w:r>
            <w:fldChar w:fldCharType="end"/>
          </w:r>
        </w:sdtContent>
      </w:sdt>
      <w:r>
        <w:t>.</w:t>
      </w:r>
    </w:p>
  </w:footnote>
  <w:footnote w:id="7">
    <w:p w14:paraId="209EE50E" w14:textId="70857E1D" w:rsidR="00C430F0" w:rsidRDefault="00C430F0" w:rsidP="00C430F0">
      <w:pPr>
        <w:pStyle w:val="FootnoteText"/>
      </w:pPr>
      <w:r w:rsidRPr="00B23AE9">
        <w:rPr>
          <w:rStyle w:val="FootnoteReference"/>
        </w:rPr>
        <w:footnoteRef/>
      </w:r>
      <w:r>
        <w:t xml:space="preserve"> </w:t>
      </w:r>
      <w:r>
        <w:tab/>
        <w:t xml:space="preserve">In </w:t>
      </w:r>
      <w:r w:rsidRPr="00843DD3">
        <w:t>addition</w:t>
      </w:r>
      <w:r>
        <w:t xml:space="preserve"> to TIM 1.0, Treasury’s current suite of macroeconomic models includes an overlapping generations model of the Australian Economy (OLGA) which is intended to be Treasury’s workhorse model for fiscal policy analysis </w:t>
      </w:r>
      <w:sdt>
        <w:sdtPr>
          <w:id w:val="-1227529356"/>
          <w:citation/>
        </w:sdtPr>
        <w:sdtEndPr/>
        <w:sdtContent>
          <w:r>
            <w:fldChar w:fldCharType="begin"/>
          </w:r>
          <w:r w:rsidR="00EA057D">
            <w:instrText xml:space="preserve">CITATION Cai19 \l 3081 </w:instrText>
          </w:r>
          <w:r>
            <w:fldChar w:fldCharType="separate"/>
          </w:r>
          <w:r w:rsidR="00EA057D">
            <w:rPr>
              <w:noProof/>
            </w:rPr>
            <w:t>(Cai, Gustafsson, Kouparitsas, Smith, &amp; Zhang, 2023)</w:t>
          </w:r>
          <w:r>
            <w:fldChar w:fldCharType="end"/>
          </w:r>
        </w:sdtContent>
      </w:sdt>
      <w:r>
        <w:t>. Treasury also has a Macro</w:t>
      </w:r>
      <w:r>
        <w:noBreakHyphen/>
        <w:t xml:space="preserve">econometric Model of Australia (EMMA), which is a framework to support macroeconomic forecasting </w:t>
      </w:r>
      <w:sdt>
        <w:sdtPr>
          <w:id w:val="399483814"/>
          <w:citation/>
        </w:sdtPr>
        <w:sdtEndPr/>
        <w:sdtContent>
          <w:r>
            <w:fldChar w:fldCharType="begin"/>
          </w:r>
          <w:r>
            <w:instrText xml:space="preserve"> CITATION Bul21 \l 3081 </w:instrText>
          </w:r>
          <w:r>
            <w:fldChar w:fldCharType="separate"/>
          </w:r>
          <w:r>
            <w:rPr>
              <w:noProof/>
            </w:rPr>
            <w:t>(Bullen, et al., 2021)</w:t>
          </w:r>
          <w:r>
            <w:fldChar w:fldCharType="end"/>
          </w:r>
        </w:sdtContent>
      </w:sdt>
      <w:r>
        <w:t>.</w:t>
      </w:r>
    </w:p>
  </w:footnote>
  <w:footnote w:id="8">
    <w:p w14:paraId="0AC61AF0" w14:textId="77777777" w:rsidR="00C430F0" w:rsidRDefault="00C430F0" w:rsidP="00C430F0">
      <w:pPr>
        <w:pStyle w:val="FootnoteText"/>
      </w:pPr>
      <w:r w:rsidRPr="00B23AE9">
        <w:rPr>
          <w:rStyle w:val="FootnoteReference"/>
        </w:rPr>
        <w:footnoteRef/>
      </w:r>
      <w:r>
        <w:t xml:space="preserve"> </w:t>
      </w:r>
      <w:r>
        <w:tab/>
      </w:r>
      <w:r w:rsidRPr="002838AF">
        <w:t xml:space="preserve">The only saving vehicle in the model </w:t>
      </w:r>
      <w:r>
        <w:t>is</w:t>
      </w:r>
      <w:r w:rsidRPr="002838AF">
        <w:t xml:space="preserve"> claims to the equity of domestic firms. While this may appear </w:t>
      </w:r>
      <w:r>
        <w:t>to be</w:t>
      </w:r>
      <w:r w:rsidRPr="002838AF">
        <w:t xml:space="preserve"> a major abstraction from reality</w:t>
      </w:r>
      <w:r>
        <w:t>,</w:t>
      </w:r>
      <w:r w:rsidRPr="002838AF">
        <w:t xml:space="preserve"> it is not when you consider that </w:t>
      </w:r>
      <w:r>
        <w:t>TIM</w:t>
      </w:r>
      <w:r w:rsidRPr="002838AF">
        <w:t xml:space="preserve"> assumes debt and equity are perfect substitutes and that all goods and services are produced by firms. For instance, firms in the </w:t>
      </w:r>
      <w:r w:rsidRPr="00E06137">
        <w:rPr>
          <w:i/>
          <w:iCs/>
        </w:rPr>
        <w:t xml:space="preserve">Ownership of </w:t>
      </w:r>
      <w:r>
        <w:rPr>
          <w:i/>
          <w:iCs/>
        </w:rPr>
        <w:t>d</w:t>
      </w:r>
      <w:r w:rsidRPr="00E06137">
        <w:rPr>
          <w:i/>
          <w:iCs/>
        </w:rPr>
        <w:t>welling</w:t>
      </w:r>
      <w:r w:rsidRPr="002838AF">
        <w:t xml:space="preserve"> industry produce rental services using capital and fixed factors</w:t>
      </w:r>
      <w:r>
        <w:t>.</w:t>
      </w:r>
      <w:r w:rsidRPr="002838AF">
        <w:t xml:space="preserve"> </w:t>
      </w:r>
      <w:r>
        <w:t>T</w:t>
      </w:r>
      <w:r w:rsidRPr="002838AF">
        <w:t>he household</w:t>
      </w:r>
      <w:r>
        <w:t>’</w:t>
      </w:r>
      <w:r w:rsidRPr="002838AF">
        <w:t>s claim to the equity of these firms</w:t>
      </w:r>
      <w:r>
        <w:t xml:space="preserve"> </w:t>
      </w:r>
      <w:r w:rsidRPr="002838AF">
        <w:t xml:space="preserve">is </w:t>
      </w:r>
      <w:r>
        <w:t>thus</w:t>
      </w:r>
      <w:r w:rsidRPr="0022123B">
        <w:t xml:space="preserve"> a claim to their capital </w:t>
      </w:r>
      <w:r>
        <w:t>(</w:t>
      </w:r>
      <w:r w:rsidRPr="0022123B">
        <w:t>houses</w:t>
      </w:r>
      <w:r>
        <w:t>)</w:t>
      </w:r>
      <w:r w:rsidRPr="0022123B">
        <w:t xml:space="preserve"> and their fixed factors </w:t>
      </w:r>
      <w:r>
        <w:t>(</w:t>
      </w:r>
      <w:r w:rsidRPr="0022123B">
        <w:t>land</w:t>
      </w:r>
      <w:r>
        <w:t>)</w:t>
      </w:r>
      <w:r w:rsidRPr="0022123B">
        <w:t xml:space="preserve">. In other words, </w:t>
      </w:r>
      <w:r>
        <w:t>TIM</w:t>
      </w:r>
      <w:r w:rsidRPr="0022123B">
        <w:t xml:space="preserve"> assumes </w:t>
      </w:r>
      <w:r>
        <w:t xml:space="preserve">the </w:t>
      </w:r>
      <w:r w:rsidRPr="0022123B">
        <w:t>household</w:t>
      </w:r>
      <w:r>
        <w:t xml:space="preserve"> </w:t>
      </w:r>
      <w:r w:rsidRPr="0022123B">
        <w:t>own</w:t>
      </w:r>
      <w:r>
        <w:t>s</w:t>
      </w:r>
      <w:r w:rsidRPr="0022123B">
        <w:t xml:space="preserve"> houses and land.</w:t>
      </w:r>
    </w:p>
  </w:footnote>
  <w:footnote w:id="9">
    <w:p w14:paraId="6D041C49" w14:textId="77777777" w:rsidR="00C430F0" w:rsidRDefault="00C430F0" w:rsidP="00C430F0">
      <w:pPr>
        <w:pStyle w:val="FootnoteText"/>
      </w:pPr>
      <w:r w:rsidRPr="00B23AE9">
        <w:rPr>
          <w:rStyle w:val="FootnoteReference"/>
        </w:rPr>
        <w:footnoteRef/>
      </w:r>
      <w:r>
        <w:t xml:space="preserve"> </w:t>
      </w:r>
      <w:r>
        <w:tab/>
      </w:r>
      <w:r w:rsidRPr="002838AF">
        <w:t>The representative household in TIM does not make savings decisions with an explicit goal</w:t>
      </w:r>
      <w:r>
        <w:t>,</w:t>
      </w:r>
      <w:r w:rsidRPr="002838AF">
        <w:t xml:space="preserve"> such as saving for </w:t>
      </w:r>
      <w:r w:rsidRPr="00843DD3">
        <w:t>retirement</w:t>
      </w:r>
      <w:r w:rsidRPr="002838AF">
        <w:t>. Instead</w:t>
      </w:r>
      <w:r>
        <w:t>,</w:t>
      </w:r>
      <w:r w:rsidRPr="002838AF">
        <w:t xml:space="preserve"> its saving</w:t>
      </w:r>
      <w:r>
        <w:t>s</w:t>
      </w:r>
      <w:r w:rsidRPr="002838AF">
        <w:t xml:space="preserve"> decision</w:t>
      </w:r>
      <w:r>
        <w:t>s</w:t>
      </w:r>
      <w:r w:rsidRPr="002838AF">
        <w:t xml:space="preserve"> reflect its desire to smooth income. As such, </w:t>
      </w:r>
      <w:r>
        <w:t>the household</w:t>
      </w:r>
      <w:r w:rsidRPr="002838AF">
        <w:t xml:space="preserve"> broadly maintains equity that grows with the economy. If it did not, it would reach a point where it would be forced to cut consumption or end up very wealthy</w:t>
      </w:r>
      <w:r>
        <w:t>,</w:t>
      </w:r>
      <w:r w:rsidRPr="002838AF">
        <w:t xml:space="preserve"> but with low consumption.</w:t>
      </w:r>
    </w:p>
  </w:footnote>
  <w:footnote w:id="10">
    <w:p w14:paraId="51BE1813" w14:textId="77777777" w:rsidR="00C430F0" w:rsidRDefault="00C430F0" w:rsidP="00C430F0">
      <w:pPr>
        <w:pStyle w:val="FootnoteText"/>
      </w:pPr>
      <w:r>
        <w:rPr>
          <w:rStyle w:val="FootnoteReference"/>
        </w:rPr>
        <w:footnoteRef/>
      </w:r>
      <w:r w:rsidRPr="006D1632">
        <w:rPr>
          <w:rStyle w:val="FootnoteReference"/>
        </w:rPr>
        <w:t xml:space="preserve"> </w:t>
      </w:r>
      <w:r>
        <w:tab/>
      </w:r>
      <w:r w:rsidRPr="00F45DAF">
        <w:t xml:space="preserve">Technically, this means that the model </w:t>
      </w:r>
      <w:r>
        <w:t>has a</w:t>
      </w:r>
      <w:r w:rsidRPr="00F45DAF">
        <w:t xml:space="preserve"> non-stationary long-</w:t>
      </w:r>
      <w:r>
        <w:t>run</w:t>
      </w:r>
      <w:r w:rsidRPr="00F45DAF">
        <w:t xml:space="preserve"> equilibrium. The business cycle literature emphasises that higher-order moments</w:t>
      </w:r>
      <w:r>
        <w:t>,</w:t>
      </w:r>
      <w:r w:rsidRPr="00F45DAF">
        <w:t xml:space="preserve"> such as the variance</w:t>
      </w:r>
      <w:r>
        <w:t>,</w:t>
      </w:r>
      <w:r w:rsidRPr="00F45DAF">
        <w:t xml:space="preserve"> </w:t>
      </w:r>
      <w:r>
        <w:t>are</w:t>
      </w:r>
      <w:r w:rsidRPr="00F45DAF">
        <w:t xml:space="preserve"> not well defined in this case. In that literature, it is therefore common to introduce additional elements to small open economy models to induce stationarity so that business cycle implications can be analysed.</w:t>
      </w:r>
    </w:p>
  </w:footnote>
  <w:footnote w:id="11">
    <w:p w14:paraId="04AE7EFA" w14:textId="2FD662E3" w:rsidR="00C430F0" w:rsidRPr="00F9718F" w:rsidRDefault="00C430F0" w:rsidP="00C430F0">
      <w:pPr>
        <w:pStyle w:val="FootnoteText"/>
      </w:pPr>
      <w:r w:rsidRPr="00B23AE9">
        <w:rPr>
          <w:rStyle w:val="FootnoteReference"/>
        </w:rPr>
        <w:footnoteRef/>
      </w:r>
      <w:r>
        <w:t xml:space="preserve"> </w:t>
      </w:r>
      <w:r>
        <w:tab/>
      </w:r>
      <w:r w:rsidRPr="002E1E25">
        <w:t>Th</w:t>
      </w:r>
      <w:r>
        <w:t>ese</w:t>
      </w:r>
      <w:r w:rsidRPr="002E1E25">
        <w:t xml:space="preserve"> modelling choice</w:t>
      </w:r>
      <w:r>
        <w:t>s</w:t>
      </w:r>
      <w:r w:rsidRPr="002E1E25">
        <w:t xml:space="preserve"> reflect the fact that Treasury</w:t>
      </w:r>
      <w:r>
        <w:t xml:space="preserve">’s suite of models includes </w:t>
      </w:r>
      <w:r w:rsidRPr="002E1E25">
        <w:t>OLGA</w:t>
      </w:r>
      <w:r>
        <w:t>,</w:t>
      </w:r>
      <w:r w:rsidRPr="002E1E25">
        <w:t xml:space="preserve"> which incorporates detailed modelling of Australia</w:t>
      </w:r>
      <w:r>
        <w:t>’</w:t>
      </w:r>
      <w:r w:rsidRPr="002E1E25">
        <w:t>s income tax system</w:t>
      </w:r>
      <w:r>
        <w:t>,</w:t>
      </w:r>
      <w:r w:rsidRPr="002E1E25">
        <w:t xml:space="preserve"> </w:t>
      </w:r>
      <w:r w:rsidRPr="001A20A0">
        <w:t xml:space="preserve">government expenditure, transfer, pension and means testing system, and allows for complex fiscal rules. </w:t>
      </w:r>
      <w:r>
        <w:t xml:space="preserve">See </w:t>
      </w:r>
      <w:r w:rsidRPr="001A20A0">
        <w:rPr>
          <w:lang w:val="en-US"/>
        </w:rPr>
        <w:t xml:space="preserve">Cai, et al., </w:t>
      </w:r>
      <w:sdt>
        <w:sdtPr>
          <w:rPr>
            <w:lang w:val="en-US"/>
          </w:rPr>
          <w:id w:val="-595099007"/>
          <w:citation/>
        </w:sdtPr>
        <w:sdtEndPr/>
        <w:sdtContent>
          <w:r>
            <w:rPr>
              <w:lang w:val="en-US"/>
            </w:rPr>
            <w:fldChar w:fldCharType="begin"/>
          </w:r>
          <w:r w:rsidR="00EA057D">
            <w:instrText xml:space="preserve">CITATION Cai19 \n  \t  \l 3081 </w:instrText>
          </w:r>
          <w:r>
            <w:rPr>
              <w:lang w:val="en-US"/>
            </w:rPr>
            <w:fldChar w:fldCharType="separate"/>
          </w:r>
          <w:r w:rsidR="00EA057D">
            <w:rPr>
              <w:noProof/>
            </w:rPr>
            <w:t>(2023)</w:t>
          </w:r>
          <w:r>
            <w:rPr>
              <w:lang w:val="en-US"/>
            </w:rPr>
            <w:fldChar w:fldCharType="end"/>
          </w:r>
        </w:sdtContent>
      </w:sdt>
      <w:r>
        <w:rPr>
          <w:lang w:val="en-US"/>
        </w:rPr>
        <w:t xml:space="preserve"> </w:t>
      </w:r>
      <w:r w:rsidRPr="001A20A0">
        <w:t>for further</w:t>
      </w:r>
      <w:r w:rsidRPr="002E1E25">
        <w:t xml:space="preserve"> detail</w:t>
      </w:r>
      <w:r>
        <w:t>s</w:t>
      </w:r>
      <w:r w:rsidRPr="002E1E25">
        <w:t>.</w:t>
      </w:r>
    </w:p>
  </w:footnote>
  <w:footnote w:id="12">
    <w:p w14:paraId="3549E9C7" w14:textId="77777777" w:rsidR="00C430F0" w:rsidRDefault="00C430F0" w:rsidP="00C430F0">
      <w:pPr>
        <w:pStyle w:val="FootnoteText"/>
      </w:pPr>
      <w:r w:rsidRPr="00B23AE9">
        <w:rPr>
          <w:rStyle w:val="FootnoteReference"/>
        </w:rPr>
        <w:footnoteRef/>
      </w:r>
      <w:r>
        <w:t xml:space="preserve"> </w:t>
      </w:r>
      <w:r>
        <w:tab/>
        <w:t xml:space="preserve">Other fiscal closures are available and </w:t>
      </w:r>
      <w:r w:rsidRPr="000F13BC">
        <w:t>can</w:t>
      </w:r>
      <w:r>
        <w:t xml:space="preserve"> be deployed depending on the policy being analysed. </w:t>
      </w:r>
    </w:p>
  </w:footnote>
  <w:footnote w:id="13">
    <w:p w14:paraId="6F9A5088" w14:textId="77777777" w:rsidR="00C430F0" w:rsidRPr="001B4767" w:rsidRDefault="00C430F0" w:rsidP="00C430F0">
      <w:pPr>
        <w:pStyle w:val="FootnoteText"/>
      </w:pPr>
      <w:r w:rsidRPr="00B23AE9">
        <w:rPr>
          <w:rStyle w:val="FootnoteReference"/>
        </w:rPr>
        <w:footnoteRef/>
      </w:r>
      <w:r>
        <w:t xml:space="preserve"> </w:t>
      </w:r>
      <w:r>
        <w:tab/>
      </w:r>
      <w:r w:rsidRPr="0090752F">
        <w:t>The</w:t>
      </w:r>
      <w:r w:rsidRPr="001B4767">
        <w:t xml:space="preserve"> </w:t>
      </w:r>
      <w:r>
        <w:t xml:space="preserve">shares are consistent with those </w:t>
      </w:r>
      <w:r w:rsidRPr="001B4767">
        <w:t>observed in the</w:t>
      </w:r>
      <w:r>
        <w:t xml:space="preserve"> ABS</w:t>
      </w:r>
      <w:r w:rsidRPr="001B4767">
        <w:t xml:space="preserve"> I</w:t>
      </w:r>
      <w:r>
        <w:noBreakHyphen/>
      </w:r>
      <w:r w:rsidRPr="001B4767">
        <w:t>O table data</w:t>
      </w:r>
      <w:r>
        <w:t>. The magnitude of the responses is consistent with the literature.</w:t>
      </w:r>
    </w:p>
  </w:footnote>
  <w:footnote w:id="14">
    <w:p w14:paraId="0E105810" w14:textId="77777777" w:rsidR="00C430F0" w:rsidRDefault="00C430F0" w:rsidP="00C430F0">
      <w:pPr>
        <w:pStyle w:val="FootnoteText"/>
      </w:pPr>
      <w:r>
        <w:rPr>
          <w:rStyle w:val="FootnoteReference"/>
        </w:rPr>
        <w:footnoteRef/>
      </w:r>
      <w:r>
        <w:t xml:space="preserve"> </w:t>
      </w:r>
      <w:r w:rsidRPr="0062335B">
        <w:t>TIM is implemented using Matlab, a commercial software package that is widely used across industry and academia.</w:t>
      </w:r>
    </w:p>
  </w:footnote>
  <w:footnote w:id="15">
    <w:p w14:paraId="240F0B99" w14:textId="77777777" w:rsidR="00C430F0" w:rsidRDefault="00C430F0" w:rsidP="00C430F0">
      <w:pPr>
        <w:pStyle w:val="FootnoteText"/>
      </w:pPr>
      <w:r w:rsidRPr="00B23AE9">
        <w:rPr>
          <w:rStyle w:val="FootnoteReference"/>
        </w:rPr>
        <w:footnoteRef/>
      </w:r>
      <w:r>
        <w:t xml:space="preserve"> </w:t>
      </w:r>
      <w:r>
        <w:tab/>
        <w:t>Labour</w:t>
      </w:r>
      <w:r w:rsidRPr="0022123B">
        <w:t xml:space="preserve"> variables</w:t>
      </w:r>
      <w:r>
        <w:t>,</w:t>
      </w:r>
      <w:r w:rsidRPr="0022123B">
        <w:t xml:space="preserve"> such as the </w:t>
      </w:r>
      <w:r>
        <w:t>hours worked</w:t>
      </w:r>
      <w:r w:rsidRPr="0022123B">
        <w:t xml:space="preserve"> and </w:t>
      </w:r>
      <w:r>
        <w:t>leisure time,</w:t>
      </w:r>
      <w:r w:rsidRPr="0022123B">
        <w:t xml:space="preserve"> are only normalised for </w:t>
      </w:r>
      <w:r>
        <w:t>total hours,</w:t>
      </w:r>
      <w:r w:rsidRPr="0022123B">
        <w:t xml:space="preserve"> not productivity.</w:t>
      </w:r>
    </w:p>
  </w:footnote>
  <w:footnote w:id="16">
    <w:p w14:paraId="703C9F61" w14:textId="77777777" w:rsidR="00C430F0" w:rsidRDefault="00C430F0" w:rsidP="00C430F0">
      <w:pPr>
        <w:pStyle w:val="FootnoteText"/>
      </w:pPr>
      <w:r w:rsidRPr="00B23AE9">
        <w:rPr>
          <w:rStyle w:val="FootnoteReference"/>
        </w:rPr>
        <w:footnoteRef/>
      </w:r>
      <w:r>
        <w:t xml:space="preserve"> </w:t>
      </w:r>
      <w:r>
        <w:tab/>
      </w:r>
      <w:r w:rsidRPr="008955EA">
        <w:t>Positive</w:t>
      </w:r>
      <w:r>
        <w:t xml:space="preserve"> transfers reflect payments to households, while negative transfers reflect taxes.</w:t>
      </w:r>
    </w:p>
  </w:footnote>
  <w:footnote w:id="17">
    <w:p w14:paraId="60BB5249" w14:textId="77777777" w:rsidR="00C430F0" w:rsidRPr="00FF039A" w:rsidRDefault="00C430F0" w:rsidP="00C430F0">
      <w:pPr>
        <w:pStyle w:val="FootnoteText"/>
      </w:pPr>
      <w:r w:rsidRPr="00B23AE9">
        <w:rPr>
          <w:rStyle w:val="FootnoteReference"/>
        </w:rPr>
        <w:footnoteRef/>
      </w:r>
      <w:r w:rsidRPr="00616155">
        <w:rPr>
          <w:sz w:val="18"/>
        </w:rPr>
        <w:t xml:space="preserve"> </w:t>
      </w:r>
      <w:r>
        <w:rPr>
          <w:sz w:val="18"/>
        </w:rPr>
        <w:tab/>
        <w:t>I</w:t>
      </w:r>
      <w:r>
        <w:t xml:space="preserve">t is not necessary to </w:t>
      </w:r>
      <w:r w:rsidRPr="00FF039A">
        <w:t xml:space="preserve">specify </w:t>
      </w:r>
      <w:r>
        <w:t xml:space="preserve">the </w:t>
      </w:r>
      <w:r w:rsidRPr="00FF039A">
        <w:t>stochastic processes for these productivity shifters</w:t>
      </w:r>
      <w:r>
        <w:t xml:space="preserve"> because the model is deterministic</w:t>
      </w:r>
      <w:r w:rsidRPr="00FF039A">
        <w:t>.</w:t>
      </w:r>
    </w:p>
  </w:footnote>
  <w:footnote w:id="18">
    <w:p w14:paraId="0D5092B7" w14:textId="77777777" w:rsidR="00C430F0" w:rsidRPr="00FF039A" w:rsidRDefault="00C430F0" w:rsidP="00C430F0">
      <w:pPr>
        <w:pStyle w:val="FootnoteText"/>
      </w:pPr>
      <w:r w:rsidRPr="00B23AE9">
        <w:rPr>
          <w:rStyle w:val="FootnoteReference"/>
        </w:rPr>
        <w:footnoteRef/>
      </w:r>
      <w:r>
        <w:t xml:space="preserve"> </w:t>
      </w:r>
      <w:r>
        <w:tab/>
      </w:r>
      <w:r w:rsidRPr="008955EA">
        <w:t>Labour</w:t>
      </w:r>
      <w:r w:rsidRPr="00FF039A">
        <w:rPr>
          <w:lang w:val="en-US"/>
        </w:rPr>
        <w:t xml:space="preserve"> is assumed </w:t>
      </w:r>
      <w:r w:rsidRPr="008358E0">
        <w:rPr>
          <w:lang w:val="en-US"/>
        </w:rPr>
        <w:t xml:space="preserve">to be </w:t>
      </w:r>
      <w:r w:rsidRPr="008955EA">
        <w:t>internationally</w:t>
      </w:r>
      <w:r w:rsidRPr="008358E0">
        <w:rPr>
          <w:lang w:val="en-US"/>
        </w:rPr>
        <w:t xml:space="preserve"> immobile implying that the household cannot migrate or supply labour to the ROW in response</w:t>
      </w:r>
      <w:r w:rsidRPr="00FF039A">
        <w:rPr>
          <w:lang w:val="en-US"/>
        </w:rPr>
        <w:t xml:space="preserve"> to economic conditions.</w:t>
      </w:r>
    </w:p>
  </w:footnote>
  <w:footnote w:id="19">
    <w:p w14:paraId="671921F0" w14:textId="77777777" w:rsidR="00C430F0" w:rsidRDefault="00C430F0" w:rsidP="00C430F0">
      <w:pPr>
        <w:pStyle w:val="FootnoteText"/>
      </w:pPr>
      <w:r w:rsidRPr="00B23AE9">
        <w:rPr>
          <w:rStyle w:val="FootnoteReference"/>
        </w:rPr>
        <w:footnoteRef/>
      </w:r>
      <w:r>
        <w:t xml:space="preserve"> </w:t>
      </w:r>
      <w:r>
        <w:tab/>
      </w:r>
      <w:r>
        <w:rPr>
          <w:lang w:val="en-US"/>
        </w:rPr>
        <w:t>S</w:t>
      </w:r>
      <w:r w:rsidRPr="005954B4">
        <w:rPr>
          <w:lang w:val="en-US"/>
        </w:rPr>
        <w:t>ee for example</w:t>
      </w:r>
      <w:r>
        <w:rPr>
          <w:lang w:val="en-US"/>
        </w:rPr>
        <w:t xml:space="preserve"> </w:t>
      </w:r>
      <w:r w:rsidRPr="00A42EB8">
        <w:rPr>
          <w:lang w:val="en-US"/>
        </w:rPr>
        <w:t xml:space="preserve">van der Mensbrugghe </w:t>
      </w:r>
      <w:r>
        <w:rPr>
          <w:lang w:val="en-US"/>
        </w:rPr>
        <w:t>and</w:t>
      </w:r>
      <w:r w:rsidRPr="00A42EB8">
        <w:rPr>
          <w:lang w:val="en-US"/>
        </w:rPr>
        <w:t xml:space="preserve"> Peters</w:t>
      </w:r>
      <w:sdt>
        <w:sdtPr>
          <w:rPr>
            <w:lang w:val="en-US"/>
          </w:rPr>
          <w:id w:val="-270245159"/>
          <w:citation/>
        </w:sdtPr>
        <w:sdtEndPr/>
        <w:sdtContent>
          <w:r>
            <w:rPr>
              <w:lang w:val="en-US"/>
            </w:rPr>
            <w:fldChar w:fldCharType="begin"/>
          </w:r>
          <w:r>
            <w:instrText xml:space="preserve">CITATION van16 \n  \t  \l 3081 </w:instrText>
          </w:r>
          <w:r>
            <w:rPr>
              <w:lang w:val="en-US"/>
            </w:rPr>
            <w:fldChar w:fldCharType="separate"/>
          </w:r>
          <w:r>
            <w:rPr>
              <w:noProof/>
            </w:rPr>
            <w:t xml:space="preserve"> (2016)</w:t>
          </w:r>
          <w:r>
            <w:rPr>
              <w:lang w:val="en-US"/>
            </w:rPr>
            <w:fldChar w:fldCharType="end"/>
          </w:r>
        </w:sdtContent>
      </w:sdt>
      <w:r>
        <w:rPr>
          <w:lang w:val="en-US"/>
        </w:rPr>
        <w:t>.</w:t>
      </w:r>
    </w:p>
  </w:footnote>
  <w:footnote w:id="20">
    <w:p w14:paraId="4A37DB83" w14:textId="77777777" w:rsidR="00C430F0" w:rsidRDefault="00C430F0" w:rsidP="00C430F0">
      <w:pPr>
        <w:pStyle w:val="FootnoteText"/>
      </w:pPr>
      <w:r w:rsidRPr="00B23AE9">
        <w:rPr>
          <w:rStyle w:val="FootnoteReference"/>
        </w:rPr>
        <w:footnoteRef/>
      </w:r>
      <w:r>
        <w:t xml:space="preserve"> </w:t>
      </w:r>
      <w:r>
        <w:tab/>
      </w:r>
      <w:r w:rsidRPr="008079F0">
        <w:t>TIM includes 11 margins: wholesale trade; retail trade; restaurants, hotels and clubs; road transport; rail transport; pipeline transport; water transport; air transport; port handling and marine insurance; gas distribution; and electricity distribution.</w:t>
      </w:r>
    </w:p>
  </w:footnote>
  <w:footnote w:id="21">
    <w:p w14:paraId="5BED1CEF" w14:textId="77777777" w:rsidR="00C430F0" w:rsidRDefault="00C430F0" w:rsidP="00C430F0">
      <w:pPr>
        <w:pStyle w:val="FootnoteText"/>
      </w:pPr>
      <w:r w:rsidRPr="00B23AE9">
        <w:rPr>
          <w:rStyle w:val="FootnoteReference"/>
        </w:rPr>
        <w:footnoteRef/>
      </w:r>
      <w:r>
        <w:t xml:space="preserve"> </w:t>
      </w:r>
      <w:r>
        <w:tab/>
      </w:r>
      <w:r w:rsidRPr="00893588">
        <w:t>The 2018</w:t>
      </w:r>
      <w:r>
        <w:noBreakHyphen/>
      </w:r>
      <w:r w:rsidRPr="00893588">
        <w:t>19 I</w:t>
      </w:r>
      <w:r>
        <w:noBreakHyphen/>
      </w:r>
      <w:r w:rsidRPr="00893588">
        <w:t xml:space="preserve">O tables were deliberately chosen rather than the latest release as </w:t>
      </w:r>
      <w:r>
        <w:t>they</w:t>
      </w:r>
      <w:r w:rsidRPr="00893588">
        <w:t xml:space="preserve"> better reflect the structure of the economy prior to the COVID</w:t>
      </w:r>
      <w:r>
        <w:noBreakHyphen/>
      </w:r>
      <w:r w:rsidRPr="00893588">
        <w:t>19 shutdowns.</w:t>
      </w:r>
      <w:r>
        <w:t xml:space="preserve"> </w:t>
      </w:r>
    </w:p>
  </w:footnote>
  <w:footnote w:id="22">
    <w:p w14:paraId="327BEFB1" w14:textId="77777777" w:rsidR="00C430F0" w:rsidRDefault="00C430F0" w:rsidP="00C430F0">
      <w:pPr>
        <w:pStyle w:val="FootnoteText"/>
      </w:pPr>
      <w:r>
        <w:rPr>
          <w:rStyle w:val="FootnoteReference"/>
        </w:rPr>
        <w:footnoteRef/>
      </w:r>
      <w:r>
        <w:t xml:space="preserve"> Version 2.0 of TIM will update the rate of labour-augmenting technical progress to reflect the current trend productivity growth assumption of 1.2 per cent.</w:t>
      </w:r>
    </w:p>
  </w:footnote>
  <w:footnote w:id="23">
    <w:p w14:paraId="57A71E3C" w14:textId="77777777" w:rsidR="00C430F0" w:rsidRDefault="00C430F0" w:rsidP="00C430F0">
      <w:pPr>
        <w:pStyle w:val="FootnoteText"/>
      </w:pPr>
      <w:r w:rsidRPr="00B23AE9">
        <w:rPr>
          <w:rStyle w:val="FootnoteReference"/>
        </w:rPr>
        <w:footnoteRef/>
      </w:r>
      <w:r>
        <w:t xml:space="preserve"> </w:t>
      </w:r>
      <w:r>
        <w:tab/>
        <w:t xml:space="preserve">See </w:t>
      </w:r>
      <w:r w:rsidRPr="00B7781A">
        <w:rPr>
          <w:noProof/>
        </w:rPr>
        <w:t xml:space="preserve">Adams, Dixon, </w:t>
      </w:r>
      <w:r>
        <w:rPr>
          <w:noProof/>
        </w:rPr>
        <w:t>and</w:t>
      </w:r>
      <w:r w:rsidRPr="00B7781A">
        <w:rPr>
          <w:noProof/>
        </w:rPr>
        <w:t xml:space="preserve"> Horridge</w:t>
      </w:r>
      <w:sdt>
        <w:sdtPr>
          <w:id w:val="-706948379"/>
          <w:citation/>
        </w:sdtPr>
        <w:sdtEndPr/>
        <w:sdtContent>
          <w:r>
            <w:fldChar w:fldCharType="begin"/>
          </w:r>
          <w:r>
            <w:instrText xml:space="preserve">CITATION Phi15 \n  \t  \l 3081 </w:instrText>
          </w:r>
          <w:r>
            <w:fldChar w:fldCharType="separate"/>
          </w:r>
          <w:r>
            <w:rPr>
              <w:noProof/>
            </w:rPr>
            <w:t xml:space="preserve"> (2015)</w:t>
          </w:r>
          <w:r>
            <w:fldChar w:fldCharType="end"/>
          </w:r>
        </w:sdtContent>
      </w:sdt>
      <w:r>
        <w:t xml:space="preserve"> for an example.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B1E89" w14:textId="5457131F" w:rsidR="00F012EA" w:rsidRPr="00F012EA" w:rsidRDefault="00B86A64" w:rsidP="00F012EA">
    <w:pPr>
      <w:pStyle w:val="Header"/>
    </w:pPr>
    <w:r>
      <w:rPr>
        <w:noProof/>
        <w:lang w:eastAsia="zh-CN"/>
      </w:rPr>
      <w:drawing>
        <wp:anchor distT="0" distB="0" distL="114300" distR="114300" simplePos="0" relativeHeight="251657216" behindDoc="1" locked="0" layoutInCell="1" allowOverlap="1" wp14:anchorId="4316F95D" wp14:editId="72DBF84E">
          <wp:simplePos x="0" y="0"/>
          <wp:positionH relativeFrom="page">
            <wp:align>center</wp:align>
          </wp:positionH>
          <wp:positionV relativeFrom="page">
            <wp:align>top</wp:align>
          </wp:positionV>
          <wp:extent cx="7578000" cy="1515600"/>
          <wp:effectExtent l="0" t="0" r="444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78000" cy="151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16B1F" w14:textId="6A018C85" w:rsidR="00B86A64" w:rsidRDefault="00B86A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99DE" w14:textId="5878C233" w:rsidR="00B86A64" w:rsidRDefault="00B86A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4B8D" w14:textId="50EB329D" w:rsidR="00F60530" w:rsidRPr="00F012EA" w:rsidRDefault="00F60530" w:rsidP="00F012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C1D5" w14:textId="77777777" w:rsidR="00C430F0" w:rsidRDefault="00C430F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F2BB" w14:textId="77777777" w:rsidR="00C430F0" w:rsidRDefault="00C430F0">
    <w:pPr>
      <w:pStyle w:val="Header"/>
    </w:pPr>
    <w:r>
      <w:rPr>
        <w:noProof/>
      </w:rPr>
      <w:drawing>
        <wp:anchor distT="0" distB="0" distL="114300" distR="114300" simplePos="0" relativeHeight="251659264" behindDoc="1" locked="1" layoutInCell="1" allowOverlap="1" wp14:anchorId="3E1FD49D" wp14:editId="3888D928">
          <wp:simplePos x="0" y="0"/>
          <wp:positionH relativeFrom="page">
            <wp:align>center</wp:align>
          </wp:positionH>
          <wp:positionV relativeFrom="page">
            <wp:align>top</wp:align>
          </wp:positionV>
          <wp:extent cx="7570800" cy="1044000"/>
          <wp:effectExtent l="0" t="0" r="0" b="381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9D26F" w14:textId="77777777" w:rsidR="00C430F0" w:rsidRPr="00B86A64" w:rsidRDefault="00C430F0" w:rsidP="00B86A64">
    <w:pPr>
      <w:pStyle w:val="Header"/>
    </w:pPr>
    <w:r>
      <w:rPr>
        <w:noProof/>
      </w:rPr>
      <w:drawing>
        <wp:anchor distT="0" distB="0" distL="114300" distR="114300" simplePos="0" relativeHeight="251658240" behindDoc="1" locked="1" layoutInCell="1" allowOverlap="1" wp14:anchorId="51CD4409" wp14:editId="7BD1BE92">
          <wp:simplePos x="0" y="0"/>
          <wp:positionH relativeFrom="page">
            <wp:align>center</wp:align>
          </wp:positionH>
          <wp:positionV relativeFrom="page">
            <wp:align>top</wp:align>
          </wp:positionV>
          <wp:extent cx="7570800" cy="1044000"/>
          <wp:effectExtent l="0" t="0" r="0" b="381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7E83"/>
    <w:multiLevelType w:val="multilevel"/>
    <w:tmpl w:val="2BF0F2B8"/>
    <w:name w:val="StandardBulletedList"/>
    <w:lvl w:ilvl="0">
      <w:start w:val="1"/>
      <w:numFmt w:val="bullet"/>
      <w:lvlText w:val="•"/>
      <w:lvlJc w:val="left"/>
      <w:pPr>
        <w:tabs>
          <w:tab w:val="num" w:pos="5263"/>
        </w:tabs>
        <w:ind w:left="5263" w:hanging="520"/>
      </w:pPr>
      <w:rPr>
        <w:rFonts w:ascii="Times New Roman" w:hAnsi="Times New Roman"/>
      </w:rPr>
    </w:lvl>
    <w:lvl w:ilvl="1">
      <w:start w:val="1"/>
      <w:numFmt w:val="bullet"/>
      <w:lvlText w:val="–"/>
      <w:lvlJc w:val="left"/>
      <w:pPr>
        <w:tabs>
          <w:tab w:val="num" w:pos="5783"/>
        </w:tabs>
        <w:ind w:left="5783" w:hanging="520"/>
      </w:pPr>
      <w:rPr>
        <w:rFonts w:ascii="Times New Roman" w:hAnsi="Times New Roman"/>
      </w:rPr>
    </w:lvl>
    <w:lvl w:ilvl="2">
      <w:start w:val="1"/>
      <w:numFmt w:val="bullet"/>
      <w:lvlText w:val=":"/>
      <w:lvlJc w:val="left"/>
      <w:pPr>
        <w:tabs>
          <w:tab w:val="num" w:pos="6303"/>
        </w:tabs>
        <w:ind w:left="6303" w:hanging="520"/>
      </w:pPr>
      <w:rPr>
        <w:rFonts w:ascii="Times New Roman" w:hAnsi="Times New Roman"/>
      </w:rPr>
    </w:lvl>
    <w:lvl w:ilvl="3">
      <w:start w:val="1"/>
      <w:numFmt w:val="decimal"/>
      <w:lvlText w:val="(%4)"/>
      <w:lvlJc w:val="left"/>
      <w:pPr>
        <w:ind w:left="6183" w:hanging="360"/>
      </w:pPr>
      <w:rPr>
        <w:rFonts w:cs="Times New Roman"/>
      </w:rPr>
    </w:lvl>
    <w:lvl w:ilvl="4">
      <w:start w:val="1"/>
      <w:numFmt w:val="lowerLetter"/>
      <w:lvlText w:val="(%5)"/>
      <w:lvlJc w:val="left"/>
      <w:pPr>
        <w:ind w:left="6543" w:hanging="360"/>
      </w:pPr>
      <w:rPr>
        <w:rFonts w:cs="Times New Roman"/>
      </w:rPr>
    </w:lvl>
    <w:lvl w:ilvl="5">
      <w:start w:val="1"/>
      <w:numFmt w:val="lowerRoman"/>
      <w:lvlText w:val="(%6)"/>
      <w:lvlJc w:val="left"/>
      <w:pPr>
        <w:ind w:left="6903" w:hanging="360"/>
      </w:pPr>
      <w:rPr>
        <w:rFonts w:cs="Times New Roman"/>
      </w:rPr>
    </w:lvl>
    <w:lvl w:ilvl="6">
      <w:start w:val="1"/>
      <w:numFmt w:val="decimal"/>
      <w:lvlText w:val="%7."/>
      <w:lvlJc w:val="left"/>
      <w:pPr>
        <w:ind w:left="7263" w:hanging="360"/>
      </w:pPr>
      <w:rPr>
        <w:rFonts w:cs="Times New Roman"/>
      </w:rPr>
    </w:lvl>
    <w:lvl w:ilvl="7">
      <w:start w:val="1"/>
      <w:numFmt w:val="lowerLetter"/>
      <w:lvlText w:val="%8."/>
      <w:lvlJc w:val="left"/>
      <w:pPr>
        <w:ind w:left="7623" w:hanging="360"/>
      </w:pPr>
      <w:rPr>
        <w:rFonts w:cs="Times New Roman"/>
      </w:rPr>
    </w:lvl>
    <w:lvl w:ilvl="8">
      <w:start w:val="1"/>
      <w:numFmt w:val="lowerRoman"/>
      <w:lvlText w:val="%9."/>
      <w:lvlJc w:val="left"/>
      <w:pPr>
        <w:ind w:left="7983" w:hanging="360"/>
      </w:pPr>
      <w:rPr>
        <w:rFonts w:cs="Times New Roman"/>
      </w:rPr>
    </w:lvl>
  </w:abstractNum>
  <w:abstractNum w:abstractNumId="1" w15:restartNumberingAfterBreak="0">
    <w:nsid w:val="07CB28C4"/>
    <w:multiLevelType w:val="multilevel"/>
    <w:tmpl w:val="AD6A5182"/>
    <w:lvl w:ilvl="0">
      <w:start w:val="1"/>
      <w:numFmt w:val="upperLetter"/>
      <w:lvlRestart w:val="0"/>
      <w:pStyle w:val="AppendixHeadingNotNumbered"/>
      <w:suff w:val="nothing"/>
      <w:lvlText w:val=""/>
      <w:lvlJc w:val="left"/>
      <w:pPr>
        <w:ind w:left="0" w:firstLine="0"/>
      </w:pPr>
      <w:rPr>
        <w:rFonts w:hint="default"/>
        <w:b w:val="0"/>
        <w:i w:val="0"/>
        <w:color w:val="000000"/>
      </w:rPr>
    </w:lvl>
    <w:lvl w:ilvl="1">
      <w:start w:val="1"/>
      <w:numFmt w:val="decimal"/>
      <w:pStyle w:val="AppendixHeadingLevel2"/>
      <w:lvlText w:val="%1.%2"/>
      <w:lvlJc w:val="left"/>
      <w:pPr>
        <w:tabs>
          <w:tab w:val="num" w:pos="1134"/>
        </w:tabs>
        <w:ind w:left="0" w:firstLine="0"/>
      </w:pPr>
      <w:rPr>
        <w:rFonts w:asciiTheme="majorHAnsi" w:hAnsiTheme="majorHAnsi" w:cs="Arial" w:hint="default"/>
        <w:b w:val="0"/>
        <w:bCs/>
        <w:i w:val="0"/>
        <w:color w:val="003157"/>
      </w:rPr>
    </w:lvl>
    <w:lvl w:ilvl="2">
      <w:start w:val="1"/>
      <w:numFmt w:val="decimal"/>
      <w:pStyle w:val="AppendixHeadingLevel3"/>
      <w:lvlText w:val="%1.%2.%3"/>
      <w:lvlJc w:val="left"/>
      <w:pPr>
        <w:tabs>
          <w:tab w:val="num" w:pos="1134"/>
        </w:tabs>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ppendixHeadingLevel4"/>
      <w:lvlText w:val="%1.%2.%3.%4"/>
      <w:lvlJc w:val="left"/>
      <w:pPr>
        <w:tabs>
          <w:tab w:val="num" w:pos="1135"/>
        </w:tabs>
        <w:ind w:left="1" w:hanging="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2"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 w15:restartNumberingAfterBreak="0">
    <w:nsid w:val="090B0DB0"/>
    <w:multiLevelType w:val="multilevel"/>
    <w:tmpl w:val="D9A8A212"/>
    <w:styleLink w:val="RomanNumeralList"/>
    <w:lvl w:ilvl="0">
      <w:start w:val="1"/>
      <w:numFmt w:val="lowerRoman"/>
      <w:pStyle w:val="Romannumeral"/>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2A87B5E"/>
    <w:multiLevelType w:val="hybridMultilevel"/>
    <w:tmpl w:val="4B428E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2563F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963A1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6CC4E5D"/>
    <w:multiLevelType w:val="multilevel"/>
    <w:tmpl w:val="D10E9CF6"/>
    <w:numStyleLink w:val="OneLevelList"/>
  </w:abstractNum>
  <w:abstractNum w:abstractNumId="9"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10" w15:restartNumberingAfterBreak="0">
    <w:nsid w:val="1E6B29F1"/>
    <w:multiLevelType w:val="multilevel"/>
    <w:tmpl w:val="EDEE4FB6"/>
    <w:styleLink w:val="RecommendationBulletList"/>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bullet"/>
      <w:lvlText w:val=":"/>
      <w:lvlJc w:val="left"/>
      <w:pPr>
        <w:tabs>
          <w:tab w:val="num" w:pos="567"/>
        </w:tabs>
        <w:ind w:left="567" w:hanging="283"/>
      </w:pPr>
      <w:rPr>
        <w:rFonts w:hint="default"/>
      </w:rPr>
    </w:lvl>
    <w:lvl w:ilvl="2">
      <w:start w:val="1"/>
      <w:numFmt w:val="bullet"/>
      <w:lvlText w:val="–"/>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40A5F5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5EA2A0F"/>
    <w:multiLevelType w:val="multilevel"/>
    <w:tmpl w:val="18BC553E"/>
    <w:styleLink w:val="TableTextBulletList"/>
    <w:lvl w:ilvl="0">
      <w:start w:val="1"/>
      <w:numFmt w:val="bullet"/>
      <w:pStyle w:val="TableText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8D78E7"/>
    <w:multiLevelType w:val="multilevel"/>
    <w:tmpl w:val="227083C4"/>
    <w:name w:val="OneLevelRomanNumeralList"/>
    <w:lvl w:ilvl="0">
      <w:start w:val="1"/>
      <w:numFmt w:val="lowerRoman"/>
      <w:lvlRestart w:val="0"/>
      <w:lvlText w:val="(%1)"/>
      <w:lvlJc w:val="left"/>
      <w:pPr>
        <w:tabs>
          <w:tab w:val="num" w:pos="567"/>
        </w:tabs>
        <w:ind w:left="567" w:hanging="567"/>
      </w:pPr>
      <w:rPr>
        <w:b w:val="0"/>
        <w:i w:val="0"/>
        <w:color w:val="00000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 w15:restartNumberingAfterBreak="0">
    <w:nsid w:val="2AB476BF"/>
    <w:multiLevelType w:val="hybridMultilevel"/>
    <w:tmpl w:val="87D6B698"/>
    <w:lvl w:ilvl="0" w:tplc="3FCA993E">
      <w:start w:val="1"/>
      <w:numFmt w:val="decimal"/>
      <w:pStyle w:val="Heading2"/>
      <w:lvlText w:val="%1."/>
      <w:lvlJc w:val="left"/>
      <w:pPr>
        <w:ind w:left="4045" w:hanging="360"/>
      </w:pPr>
    </w:lvl>
    <w:lvl w:ilvl="1" w:tplc="0C090019" w:tentative="1">
      <w:start w:val="1"/>
      <w:numFmt w:val="lowerLetter"/>
      <w:lvlText w:val="%2."/>
      <w:lvlJc w:val="left"/>
      <w:pPr>
        <w:ind w:left="4765" w:hanging="360"/>
      </w:pPr>
    </w:lvl>
    <w:lvl w:ilvl="2" w:tplc="0C09001B" w:tentative="1">
      <w:start w:val="1"/>
      <w:numFmt w:val="lowerRoman"/>
      <w:lvlText w:val="%3."/>
      <w:lvlJc w:val="right"/>
      <w:pPr>
        <w:ind w:left="5485" w:hanging="180"/>
      </w:pPr>
    </w:lvl>
    <w:lvl w:ilvl="3" w:tplc="0C09000F" w:tentative="1">
      <w:start w:val="1"/>
      <w:numFmt w:val="decimal"/>
      <w:lvlText w:val="%4."/>
      <w:lvlJc w:val="left"/>
      <w:pPr>
        <w:ind w:left="6205" w:hanging="360"/>
      </w:pPr>
    </w:lvl>
    <w:lvl w:ilvl="4" w:tplc="0C090019" w:tentative="1">
      <w:start w:val="1"/>
      <w:numFmt w:val="lowerLetter"/>
      <w:lvlText w:val="%5."/>
      <w:lvlJc w:val="left"/>
      <w:pPr>
        <w:ind w:left="6925" w:hanging="360"/>
      </w:pPr>
    </w:lvl>
    <w:lvl w:ilvl="5" w:tplc="0C09001B" w:tentative="1">
      <w:start w:val="1"/>
      <w:numFmt w:val="lowerRoman"/>
      <w:lvlText w:val="%6."/>
      <w:lvlJc w:val="right"/>
      <w:pPr>
        <w:ind w:left="7645" w:hanging="180"/>
      </w:pPr>
    </w:lvl>
    <w:lvl w:ilvl="6" w:tplc="0C09000F" w:tentative="1">
      <w:start w:val="1"/>
      <w:numFmt w:val="decimal"/>
      <w:lvlText w:val="%7."/>
      <w:lvlJc w:val="left"/>
      <w:pPr>
        <w:ind w:left="8365" w:hanging="360"/>
      </w:pPr>
    </w:lvl>
    <w:lvl w:ilvl="7" w:tplc="0C090019" w:tentative="1">
      <w:start w:val="1"/>
      <w:numFmt w:val="lowerLetter"/>
      <w:lvlText w:val="%8."/>
      <w:lvlJc w:val="left"/>
      <w:pPr>
        <w:ind w:left="9085" w:hanging="360"/>
      </w:pPr>
    </w:lvl>
    <w:lvl w:ilvl="8" w:tplc="0C09001B" w:tentative="1">
      <w:start w:val="1"/>
      <w:numFmt w:val="lowerRoman"/>
      <w:lvlText w:val="%9."/>
      <w:lvlJc w:val="right"/>
      <w:pPr>
        <w:ind w:left="9805" w:hanging="180"/>
      </w:pPr>
    </w:lvl>
  </w:abstractNum>
  <w:abstractNum w:abstractNumId="16" w15:restartNumberingAfterBreak="0">
    <w:nsid w:val="2DD27A9B"/>
    <w:multiLevelType w:val="multilevel"/>
    <w:tmpl w:val="72F8140E"/>
    <w:lvl w:ilvl="0">
      <w:start w:val="1"/>
      <w:numFmt w:val="decimal"/>
      <w:lvlText w:val="(%1)"/>
      <w:lvlJc w:val="left"/>
      <w:pPr>
        <w:tabs>
          <w:tab w:val="num" w:pos="851"/>
        </w:tabs>
        <w:ind w:left="851" w:hanging="851"/>
      </w:pPr>
      <w:rPr>
        <w:rFonts w:ascii="Calibri" w:eastAsiaTheme="minorHAnsi" w:hAnsi="Calibri" w:cstheme="minorBidi"/>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E676638"/>
    <w:multiLevelType w:val="multilevel"/>
    <w:tmpl w:val="F80218CC"/>
    <w:lvl w:ilvl="0">
      <w:start w:val="1"/>
      <w:numFmt w:val="bullet"/>
      <w:lvlText w:val=""/>
      <w:lvlJc w:val="left"/>
      <w:pPr>
        <w:tabs>
          <w:tab w:val="num" w:pos="974"/>
        </w:tabs>
        <w:ind w:left="974" w:hanging="614"/>
      </w:pPr>
      <w:rPr>
        <w:rFonts w:ascii="Symbol" w:hAnsi="Symbol" w:hint="default"/>
      </w:rPr>
    </w:lvl>
    <w:lvl w:ilvl="1">
      <w:start w:val="1"/>
      <w:numFmt w:val="bullet"/>
      <w:lvlText w:val="–"/>
      <w:lvlJc w:val="left"/>
      <w:pPr>
        <w:tabs>
          <w:tab w:val="num" w:pos="1588"/>
        </w:tabs>
        <w:ind w:left="1588" w:hanging="614"/>
      </w:pPr>
      <w:rPr>
        <w:rFonts w:ascii="Times New Roman" w:hAnsi="Times New Roman" w:cs="Times New Roman"/>
      </w:rPr>
    </w:lvl>
    <w:lvl w:ilvl="2">
      <w:start w:val="1"/>
      <w:numFmt w:val="bullet"/>
      <w:lvlText w:val=":"/>
      <w:lvlJc w:val="left"/>
      <w:pPr>
        <w:tabs>
          <w:tab w:val="num" w:pos="2202"/>
        </w:tabs>
        <w:ind w:left="2202" w:hanging="614"/>
      </w:pPr>
      <w:rPr>
        <w:rFonts w:ascii="Times New Roman" w:hAnsi="Times New Roman" w:cs="Times New Roman"/>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15:restartNumberingAfterBreak="0">
    <w:nsid w:val="2EB0457C"/>
    <w:multiLevelType w:val="hybridMultilevel"/>
    <w:tmpl w:val="3656DE02"/>
    <w:lvl w:ilvl="0" w:tplc="A21821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20"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4F71347"/>
    <w:multiLevelType w:val="multilevel"/>
    <w:tmpl w:val="72F8140E"/>
    <w:lvl w:ilvl="0">
      <w:start w:val="1"/>
      <w:numFmt w:val="decimal"/>
      <w:lvlText w:val="(%1)"/>
      <w:lvlJc w:val="left"/>
      <w:pPr>
        <w:tabs>
          <w:tab w:val="num" w:pos="851"/>
        </w:tabs>
        <w:ind w:left="851" w:hanging="851"/>
      </w:pPr>
      <w:rPr>
        <w:rFonts w:ascii="Calibri" w:eastAsiaTheme="minorHAnsi" w:hAnsi="Calibri" w:cstheme="minorBidi"/>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7631754"/>
    <w:multiLevelType w:val="multilevel"/>
    <w:tmpl w:val="3BCC6BB4"/>
    <w:name w:val="StandardNumberedList"/>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520"/>
      </w:pPr>
    </w:lvl>
    <w:lvl w:ilvl="2">
      <w:start w:val="1"/>
      <w:numFmt w:val="decimal"/>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795020D"/>
    <w:multiLevelType w:val="hybridMultilevel"/>
    <w:tmpl w:val="98240B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9FD6E56"/>
    <w:multiLevelType w:val="hybridMultilevel"/>
    <w:tmpl w:val="98240B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C55572F"/>
    <w:multiLevelType w:val="hybridMultilevel"/>
    <w:tmpl w:val="40FA42FC"/>
    <w:lvl w:ilvl="0" w:tplc="E85A4BA4">
      <w:numFmt w:val="bullet"/>
      <w:lvlText w:val=""/>
      <w:lvlJc w:val="left"/>
      <w:pPr>
        <w:ind w:left="1211" w:hanging="360"/>
      </w:pPr>
      <w:rPr>
        <w:rFonts w:ascii="Symbol" w:eastAsiaTheme="minorHAnsi" w:hAnsi="Symbol" w:cstheme="minorBidi"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7" w15:restartNumberingAfterBreak="0">
    <w:nsid w:val="3CF41562"/>
    <w:multiLevelType w:val="singleLevel"/>
    <w:tmpl w:val="EB5E137A"/>
    <w:lvl w:ilvl="0">
      <w:start w:val="1"/>
      <w:numFmt w:val="bullet"/>
      <w:pStyle w:val="ExampleBullet"/>
      <w:lvlText w:val=""/>
      <w:lvlJc w:val="left"/>
      <w:pPr>
        <w:tabs>
          <w:tab w:val="num" w:pos="360"/>
        </w:tabs>
        <w:ind w:left="284" w:hanging="284"/>
      </w:pPr>
      <w:rPr>
        <w:rFonts w:ascii="Wingdings" w:hAnsi="Wingdings" w:hint="default"/>
        <w:sz w:val="10"/>
      </w:rPr>
    </w:lvl>
  </w:abstractNum>
  <w:abstractNum w:abstractNumId="28" w15:restartNumberingAfterBreak="0">
    <w:nsid w:val="41021F54"/>
    <w:multiLevelType w:val="hybridMultilevel"/>
    <w:tmpl w:val="358E0ABE"/>
    <w:lvl w:ilvl="0" w:tplc="548A9F96">
      <w:start w:val="1"/>
      <w:numFmt w:val="lowerRoman"/>
      <w:pStyle w:val="Alphanumbered"/>
      <w:lvlText w:val="(%1)"/>
      <w:lvlJc w:val="left"/>
      <w:pPr>
        <w:tabs>
          <w:tab w:val="num" w:pos="357"/>
        </w:tabs>
        <w:ind w:left="357" w:hanging="35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445B0A7E"/>
    <w:multiLevelType w:val="multilevel"/>
    <w:tmpl w:val="EDEE4FB6"/>
    <w:numStyleLink w:val="RecommendationBulletList"/>
  </w:abstractNum>
  <w:abstractNum w:abstractNumId="30" w15:restartNumberingAfterBreak="0">
    <w:nsid w:val="483E25F6"/>
    <w:multiLevelType w:val="multilevel"/>
    <w:tmpl w:val="2D022FDA"/>
    <w:styleLink w:val="AlphaParagraphList"/>
    <w:lvl w:ilvl="0">
      <w:start w:val="1"/>
      <w:numFmt w:val="lowerLetter"/>
      <w:pStyle w:val="AlphaParagraph"/>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10D2021"/>
    <w:multiLevelType w:val="multilevel"/>
    <w:tmpl w:val="72F8140E"/>
    <w:numStyleLink w:val="OutlineList"/>
  </w:abstractNum>
  <w:abstractNum w:abstractNumId="32" w15:restartNumberingAfterBreak="0">
    <w:nsid w:val="55AB4DA1"/>
    <w:multiLevelType w:val="multilevel"/>
    <w:tmpl w:val="7E40BB68"/>
    <w:styleLink w:val="TableTestBulletList"/>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5F73129"/>
    <w:multiLevelType w:val="multilevel"/>
    <w:tmpl w:val="D9A8A212"/>
    <w:numStyleLink w:val="RomanNumeralList"/>
  </w:abstractNum>
  <w:abstractNum w:abstractNumId="34" w15:restartNumberingAfterBreak="0">
    <w:nsid w:val="66022277"/>
    <w:multiLevelType w:val="singleLevel"/>
    <w:tmpl w:val="9ECEC236"/>
    <w:name w:val="AlphaChartTableFootnoteList"/>
    <w:lvl w:ilvl="0">
      <w:start w:val="1"/>
      <w:numFmt w:val="lowerLetter"/>
      <w:lvlText w:val="(%1)"/>
      <w:lvlJc w:val="left"/>
      <w:pPr>
        <w:ind w:left="360" w:hanging="360"/>
      </w:pPr>
      <w:rPr>
        <w:rFonts w:ascii="Calibri" w:hAnsi="Calibri" w:cs="Arial" w:hint="default"/>
        <w:b w:val="0"/>
        <w:i w:val="0"/>
        <w:color w:val="000000"/>
        <w:sz w:val="20"/>
      </w:rPr>
    </w:lvl>
  </w:abstractNum>
  <w:abstractNum w:abstractNumId="35" w15:restartNumberingAfterBreak="0">
    <w:nsid w:val="6A5F7B24"/>
    <w:multiLevelType w:val="multilevel"/>
    <w:tmpl w:val="4162B4FC"/>
    <w:lvl w:ilvl="0">
      <w:start w:val="1"/>
      <w:numFmt w:val="decimal"/>
      <w:lvlRestart w:val="0"/>
      <w:lvlText w:val="%1."/>
      <w:lvlJc w:val="left"/>
      <w:pPr>
        <w:tabs>
          <w:tab w:val="num" w:pos="3402"/>
        </w:tabs>
        <w:ind w:left="2552" w:firstLine="0"/>
      </w:pPr>
      <w:rPr>
        <w:rFonts w:ascii="Arial Bold" w:hAnsi="Arial Bold" w:cs="Arial" w:hint="default"/>
        <w:b/>
        <w:i w:val="0"/>
        <w:color w:val="003157"/>
      </w:rPr>
    </w:lvl>
    <w:lvl w:ilvl="1">
      <w:start w:val="1"/>
      <w:numFmt w:val="decimal"/>
      <w:lvlText w:val="%1.%2"/>
      <w:lvlJc w:val="left"/>
      <w:pPr>
        <w:tabs>
          <w:tab w:val="num" w:pos="850"/>
        </w:tabs>
        <w:ind w:left="0" w:firstLine="0"/>
      </w:pPr>
      <w:rPr>
        <w:rFonts w:ascii="Arial Bold" w:hAnsi="Arial Bold" w:cs="Arial" w:hint="default"/>
        <w:b/>
        <w:i w:val="0"/>
        <w:color w:val="003157"/>
      </w:rPr>
    </w:lvl>
    <w:lvl w:ilvl="2">
      <w:start w:val="1"/>
      <w:numFmt w:val="none"/>
      <w:lvlText w:val=""/>
      <w:lvlJc w:val="left"/>
      <w:pPr>
        <w:tabs>
          <w:tab w:val="num" w:pos="0"/>
        </w:tabs>
        <w:ind w:left="0" w:firstLine="0"/>
      </w:pPr>
      <w:rPr>
        <w:rFonts w:ascii="Arial" w:hAnsi="Arial" w:cs="Arial" w:hint="default"/>
        <w:b w:val="0"/>
        <w:i w:val="0"/>
        <w:color w:val="003157"/>
      </w:rPr>
    </w:lvl>
    <w:lvl w:ilvl="3">
      <w:start w:val="1"/>
      <w:numFmt w:val="decimal"/>
      <w:lvlText w:val="%4"/>
      <w:lvlJc w:val="left"/>
      <w:pPr>
        <w:tabs>
          <w:tab w:val="num" w:pos="2268"/>
        </w:tabs>
        <w:ind w:left="2268" w:hanging="567"/>
      </w:pPr>
      <w:rPr>
        <w:rFonts w:hint="default"/>
        <w:b w:val="0"/>
        <w:i w:val="0"/>
        <w:color w:val="000000"/>
      </w:rPr>
    </w:lvl>
    <w:lvl w:ilvl="4">
      <w:start w:val="1"/>
      <w:numFmt w:val="decimal"/>
      <w:lvlText w:val="%5"/>
      <w:lvlJc w:val="left"/>
      <w:pPr>
        <w:tabs>
          <w:tab w:val="num" w:pos="2835"/>
        </w:tabs>
        <w:ind w:left="2835" w:hanging="567"/>
      </w:pPr>
      <w:rPr>
        <w:rFonts w:hint="default"/>
        <w:b w:val="0"/>
        <w:i w:val="0"/>
        <w:color w:val="000000"/>
      </w:rPr>
    </w:lvl>
    <w:lvl w:ilvl="5">
      <w:start w:val="1"/>
      <w:numFmt w:val="decimal"/>
      <w:lvlText w:val="%6"/>
      <w:lvlJc w:val="left"/>
      <w:pPr>
        <w:tabs>
          <w:tab w:val="num" w:pos="3402"/>
        </w:tabs>
        <w:ind w:left="3402" w:hanging="567"/>
      </w:pPr>
      <w:rPr>
        <w:rFonts w:hint="default"/>
        <w:b w:val="0"/>
        <w:i w:val="0"/>
        <w:color w:val="000000"/>
      </w:rPr>
    </w:lvl>
    <w:lvl w:ilvl="6">
      <w:start w:val="1"/>
      <w:numFmt w:val="decimal"/>
      <w:lvlText w:val="%7"/>
      <w:lvlJc w:val="left"/>
      <w:pPr>
        <w:tabs>
          <w:tab w:val="num" w:pos="3969"/>
        </w:tabs>
        <w:ind w:left="3969" w:hanging="567"/>
      </w:pPr>
      <w:rPr>
        <w:rFonts w:hint="default"/>
        <w:b w:val="0"/>
        <w:i w:val="0"/>
        <w:color w:val="000000"/>
      </w:rPr>
    </w:lvl>
    <w:lvl w:ilvl="7">
      <w:start w:val="1"/>
      <w:numFmt w:val="decimal"/>
      <w:lvlText w:val="%8"/>
      <w:lvlJc w:val="left"/>
      <w:pPr>
        <w:tabs>
          <w:tab w:val="num" w:pos="4536"/>
        </w:tabs>
        <w:ind w:left="4536" w:hanging="567"/>
      </w:pPr>
      <w:rPr>
        <w:rFonts w:hint="default"/>
        <w:b w:val="0"/>
        <w:i w:val="0"/>
        <w:color w:val="000000"/>
      </w:rPr>
    </w:lvl>
    <w:lvl w:ilvl="8">
      <w:start w:val="1"/>
      <w:numFmt w:val="decimal"/>
      <w:lvlText w:val="%9"/>
      <w:lvlJc w:val="left"/>
      <w:pPr>
        <w:tabs>
          <w:tab w:val="num" w:pos="5103"/>
        </w:tabs>
        <w:ind w:left="5103" w:hanging="567"/>
      </w:pPr>
      <w:rPr>
        <w:rFonts w:hint="default"/>
        <w:b w:val="0"/>
        <w:i w:val="0"/>
        <w:color w:val="000000"/>
      </w:rPr>
    </w:lvl>
  </w:abstractNum>
  <w:abstractNum w:abstractNumId="36" w15:restartNumberingAfterBreak="0">
    <w:nsid w:val="703156AC"/>
    <w:multiLevelType w:val="hybridMultilevel"/>
    <w:tmpl w:val="DB02990C"/>
    <w:lvl w:ilvl="0" w:tplc="DD606940">
      <w:start w:val="1"/>
      <w:numFmt w:val="decimal"/>
      <w:pStyle w:val="NumberedParagraph"/>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D6B5224"/>
    <w:multiLevelType w:val="multilevel"/>
    <w:tmpl w:val="57000EF8"/>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9"/>
  </w:num>
  <w:num w:numId="2">
    <w:abstractNumId w:val="30"/>
  </w:num>
  <w:num w:numId="3">
    <w:abstractNumId w:val="21"/>
  </w:num>
  <w:num w:numId="4">
    <w:abstractNumId w:val="4"/>
  </w:num>
  <w:num w:numId="5">
    <w:abstractNumId w:val="10"/>
  </w:num>
  <w:num w:numId="6">
    <w:abstractNumId w:val="3"/>
  </w:num>
  <w:num w:numId="7">
    <w:abstractNumId w:val="8"/>
  </w:num>
  <w:num w:numId="8">
    <w:abstractNumId w:val="31"/>
  </w:num>
  <w:num w:numId="9">
    <w:abstractNumId w:val="29"/>
  </w:num>
  <w:num w:numId="10">
    <w:abstractNumId w:val="33"/>
  </w:num>
  <w:num w:numId="11">
    <w:abstractNumId w:val="32"/>
  </w:num>
  <w:num w:numId="12">
    <w:abstractNumId w:val="12"/>
  </w:num>
  <w:num w:numId="13">
    <w:abstractNumId w:val="12"/>
  </w:num>
  <w:num w:numId="14">
    <w:abstractNumId w:val="28"/>
  </w:num>
  <w:num w:numId="15">
    <w:abstractNumId w:val="1"/>
  </w:num>
  <w:num w:numId="16">
    <w:abstractNumId w:val="34"/>
  </w:num>
  <w:num w:numId="17">
    <w:abstractNumId w:val="27"/>
  </w:num>
  <w:num w:numId="18">
    <w:abstractNumId w:val="36"/>
  </w:num>
  <w:num w:numId="19">
    <w:abstractNumId w:val="2"/>
  </w:num>
  <w:num w:numId="20">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9"/>
  </w:num>
  <w:num w:numId="23">
    <w:abstractNumId w:val="15"/>
  </w:num>
  <w:num w:numId="24">
    <w:abstractNumId w:val="17"/>
  </w:num>
  <w:num w:numId="25">
    <w:abstractNumId w:val="35"/>
  </w:num>
  <w:num w:numId="26">
    <w:abstractNumId w:val="6"/>
  </w:num>
  <w:num w:numId="27">
    <w:abstractNumId w:val="7"/>
  </w:num>
  <w:num w:numId="28">
    <w:abstractNumId w:val="11"/>
  </w:num>
  <w:num w:numId="29">
    <w:abstractNumId w:val="0"/>
  </w:num>
  <w:num w:numId="30">
    <w:abstractNumId w:val="23"/>
  </w:num>
  <w:num w:numId="31">
    <w:abstractNumId w:val="26"/>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6"/>
  </w:num>
  <w:num w:numId="35">
    <w:abstractNumId w:val="31"/>
    <w:lvlOverride w:ilvl="0">
      <w:startOverride w:val="1"/>
    </w:lvlOverride>
    <w:lvlOverride w:ilvl="1">
      <w:startOverride w:val="1"/>
    </w:lvlOverride>
    <w:lvlOverride w:ilvl="2">
      <w:startOverride w:val="1"/>
    </w:lvlOverride>
    <w:lvlOverride w:ilvl="3">
      <w:startOverride w:val="2"/>
    </w:lvlOverride>
  </w:num>
  <w:num w:numId="36">
    <w:abstractNumId w:val="9"/>
  </w:num>
  <w:num w:numId="37">
    <w:abstractNumId w:val="13"/>
  </w:num>
  <w:num w:numId="38">
    <w:abstractNumId w:val="28"/>
    <w:lvlOverride w:ilvl="0">
      <w:startOverride w:val="1"/>
    </w:lvlOverride>
  </w:num>
  <w:num w:numId="39">
    <w:abstractNumId w:val="28"/>
    <w:lvlOverride w:ilvl="0">
      <w:startOverride w:val="1"/>
    </w:lvlOverride>
  </w:num>
  <w:num w:numId="40">
    <w:abstractNumId w:val="28"/>
    <w:lvlOverride w:ilvl="0">
      <w:startOverride w:val="1"/>
    </w:lvlOverride>
  </w:num>
  <w:num w:numId="41">
    <w:abstractNumId w:val="37"/>
  </w:num>
  <w:num w:numId="42">
    <w:abstractNumId w:val="18"/>
  </w:num>
  <w:num w:numId="43">
    <w:abstractNumId w:val="5"/>
  </w:num>
  <w:num w:numId="44">
    <w:abstractNumId w:val="24"/>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10"/>
  <w:displayHorizontalDrawingGridEvery w:val="2"/>
  <w:characterSpacingControl w:val="doNotCompress"/>
  <w:hdrShapeDefaults>
    <o:shapedefaults v:ext="edit" spidmax="2391"/>
  </w:hdrShapeDefaults>
  <w:footnotePr>
    <w:footnote w:id="-1"/>
    <w:footnote w:id="0"/>
    <w:footnote w:id="1"/>
  </w:footnotePr>
  <w:endnotePr>
    <w:endnote w:id="-1"/>
    <w:endnote w:id="0"/>
    <w:endnote w:id="1"/>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IClassificationInHeader" w:val="False"/>
    <w:docVar w:name="SecurityClassificationInHeader" w:val="False"/>
    <w:docVar w:name="SecurityDLMInHeader" w:val="False"/>
  </w:docVars>
  <w:rsids>
    <w:rsidRoot w:val="00C430F0"/>
    <w:rsid w:val="00003ACD"/>
    <w:rsid w:val="00007CDE"/>
    <w:rsid w:val="000167A9"/>
    <w:rsid w:val="000464B6"/>
    <w:rsid w:val="00051C46"/>
    <w:rsid w:val="00061C50"/>
    <w:rsid w:val="000622B2"/>
    <w:rsid w:val="00077D52"/>
    <w:rsid w:val="00091054"/>
    <w:rsid w:val="0009271B"/>
    <w:rsid w:val="00095C3F"/>
    <w:rsid w:val="000F2E25"/>
    <w:rsid w:val="0010021B"/>
    <w:rsid w:val="00147046"/>
    <w:rsid w:val="00153F86"/>
    <w:rsid w:val="001565DF"/>
    <w:rsid w:val="00166F7A"/>
    <w:rsid w:val="001759E9"/>
    <w:rsid w:val="001A18CF"/>
    <w:rsid w:val="001A420D"/>
    <w:rsid w:val="001C29A8"/>
    <w:rsid w:val="001E0CD2"/>
    <w:rsid w:val="001E1D66"/>
    <w:rsid w:val="001E664D"/>
    <w:rsid w:val="002015AB"/>
    <w:rsid w:val="00211545"/>
    <w:rsid w:val="00211861"/>
    <w:rsid w:val="002249D2"/>
    <w:rsid w:val="00225317"/>
    <w:rsid w:val="002271BB"/>
    <w:rsid w:val="002330AC"/>
    <w:rsid w:val="002515E3"/>
    <w:rsid w:val="00257A2D"/>
    <w:rsid w:val="00270523"/>
    <w:rsid w:val="002768B3"/>
    <w:rsid w:val="00280D28"/>
    <w:rsid w:val="00291937"/>
    <w:rsid w:val="00297C46"/>
    <w:rsid w:val="002B53E2"/>
    <w:rsid w:val="002C3075"/>
    <w:rsid w:val="002C3379"/>
    <w:rsid w:val="002C5398"/>
    <w:rsid w:val="002D316D"/>
    <w:rsid w:val="002E5F5C"/>
    <w:rsid w:val="002E7527"/>
    <w:rsid w:val="002E7BDD"/>
    <w:rsid w:val="002F3DFC"/>
    <w:rsid w:val="002F73DF"/>
    <w:rsid w:val="00301A52"/>
    <w:rsid w:val="00330A9F"/>
    <w:rsid w:val="003326C6"/>
    <w:rsid w:val="00334335"/>
    <w:rsid w:val="003406DF"/>
    <w:rsid w:val="003431D3"/>
    <w:rsid w:val="00354F38"/>
    <w:rsid w:val="003641BA"/>
    <w:rsid w:val="00365C6D"/>
    <w:rsid w:val="003809EA"/>
    <w:rsid w:val="003822EE"/>
    <w:rsid w:val="00390529"/>
    <w:rsid w:val="003A0E64"/>
    <w:rsid w:val="003A1A88"/>
    <w:rsid w:val="003B0501"/>
    <w:rsid w:val="003C36A2"/>
    <w:rsid w:val="003C720F"/>
    <w:rsid w:val="003D27B3"/>
    <w:rsid w:val="003D296C"/>
    <w:rsid w:val="003D3DC9"/>
    <w:rsid w:val="003E0E7B"/>
    <w:rsid w:val="003E3374"/>
    <w:rsid w:val="003E6B90"/>
    <w:rsid w:val="00406016"/>
    <w:rsid w:val="00416E7C"/>
    <w:rsid w:val="00425A49"/>
    <w:rsid w:val="00426CC1"/>
    <w:rsid w:val="004370F4"/>
    <w:rsid w:val="00452E2E"/>
    <w:rsid w:val="00454767"/>
    <w:rsid w:val="00457AC1"/>
    <w:rsid w:val="00460338"/>
    <w:rsid w:val="00460A29"/>
    <w:rsid w:val="00460C65"/>
    <w:rsid w:val="004644F0"/>
    <w:rsid w:val="004942A1"/>
    <w:rsid w:val="00494DE6"/>
    <w:rsid w:val="004B07A5"/>
    <w:rsid w:val="004C167F"/>
    <w:rsid w:val="004C3645"/>
    <w:rsid w:val="004D7CD7"/>
    <w:rsid w:val="004F4EE7"/>
    <w:rsid w:val="00500704"/>
    <w:rsid w:val="00504BA8"/>
    <w:rsid w:val="0051251F"/>
    <w:rsid w:val="00555B0A"/>
    <w:rsid w:val="00562EFB"/>
    <w:rsid w:val="0057074A"/>
    <w:rsid w:val="00575037"/>
    <w:rsid w:val="005904CD"/>
    <w:rsid w:val="005A1010"/>
    <w:rsid w:val="005B52C6"/>
    <w:rsid w:val="005C5D24"/>
    <w:rsid w:val="005C7CED"/>
    <w:rsid w:val="005D5C9E"/>
    <w:rsid w:val="005F100C"/>
    <w:rsid w:val="005F3390"/>
    <w:rsid w:val="005F4B3A"/>
    <w:rsid w:val="005F5653"/>
    <w:rsid w:val="005F66EC"/>
    <w:rsid w:val="005F6EA2"/>
    <w:rsid w:val="00614BAC"/>
    <w:rsid w:val="00643367"/>
    <w:rsid w:val="006457CC"/>
    <w:rsid w:val="00646A09"/>
    <w:rsid w:val="00672387"/>
    <w:rsid w:val="00676B7F"/>
    <w:rsid w:val="00683BCE"/>
    <w:rsid w:val="00693006"/>
    <w:rsid w:val="00697947"/>
    <w:rsid w:val="006A30A5"/>
    <w:rsid w:val="006A75DE"/>
    <w:rsid w:val="006C2690"/>
    <w:rsid w:val="006D5ABD"/>
    <w:rsid w:val="006D6023"/>
    <w:rsid w:val="006E0C37"/>
    <w:rsid w:val="006E4318"/>
    <w:rsid w:val="006E49A0"/>
    <w:rsid w:val="006F3E0E"/>
    <w:rsid w:val="00714153"/>
    <w:rsid w:val="00767F36"/>
    <w:rsid w:val="00774651"/>
    <w:rsid w:val="0078304B"/>
    <w:rsid w:val="007A2ACB"/>
    <w:rsid w:val="007B0C23"/>
    <w:rsid w:val="007B21A3"/>
    <w:rsid w:val="007C0555"/>
    <w:rsid w:val="007C48F0"/>
    <w:rsid w:val="00803B2A"/>
    <w:rsid w:val="00812433"/>
    <w:rsid w:val="0082097D"/>
    <w:rsid w:val="00833945"/>
    <w:rsid w:val="008627B1"/>
    <w:rsid w:val="00864D1D"/>
    <w:rsid w:val="00871503"/>
    <w:rsid w:val="00880ADB"/>
    <w:rsid w:val="008847CC"/>
    <w:rsid w:val="008A7EDB"/>
    <w:rsid w:val="008C0793"/>
    <w:rsid w:val="008C1101"/>
    <w:rsid w:val="008D08BE"/>
    <w:rsid w:val="008E7D79"/>
    <w:rsid w:val="008F1ACC"/>
    <w:rsid w:val="008F373B"/>
    <w:rsid w:val="0090339D"/>
    <w:rsid w:val="009205EE"/>
    <w:rsid w:val="00921B51"/>
    <w:rsid w:val="0092354D"/>
    <w:rsid w:val="00936238"/>
    <w:rsid w:val="0095372F"/>
    <w:rsid w:val="0095562B"/>
    <w:rsid w:val="00955F84"/>
    <w:rsid w:val="0096584F"/>
    <w:rsid w:val="009719A9"/>
    <w:rsid w:val="0097280B"/>
    <w:rsid w:val="009862D1"/>
    <w:rsid w:val="00986C3E"/>
    <w:rsid w:val="009C1116"/>
    <w:rsid w:val="009C57C2"/>
    <w:rsid w:val="009C7E17"/>
    <w:rsid w:val="009D0790"/>
    <w:rsid w:val="00A14CD9"/>
    <w:rsid w:val="00A1586D"/>
    <w:rsid w:val="00A1658C"/>
    <w:rsid w:val="00A2599E"/>
    <w:rsid w:val="00A3513E"/>
    <w:rsid w:val="00A40BA2"/>
    <w:rsid w:val="00A42F49"/>
    <w:rsid w:val="00A44201"/>
    <w:rsid w:val="00A537E0"/>
    <w:rsid w:val="00A57848"/>
    <w:rsid w:val="00A65C5E"/>
    <w:rsid w:val="00A75F04"/>
    <w:rsid w:val="00A9572D"/>
    <w:rsid w:val="00AA4528"/>
    <w:rsid w:val="00AA66C7"/>
    <w:rsid w:val="00AB525B"/>
    <w:rsid w:val="00AD27DF"/>
    <w:rsid w:val="00AF1F3F"/>
    <w:rsid w:val="00B0720C"/>
    <w:rsid w:val="00B50ED4"/>
    <w:rsid w:val="00B52FE8"/>
    <w:rsid w:val="00B55137"/>
    <w:rsid w:val="00B7535E"/>
    <w:rsid w:val="00B804EF"/>
    <w:rsid w:val="00B81DDA"/>
    <w:rsid w:val="00B8313C"/>
    <w:rsid w:val="00B86A64"/>
    <w:rsid w:val="00BA160F"/>
    <w:rsid w:val="00BA5DC8"/>
    <w:rsid w:val="00BA6BF3"/>
    <w:rsid w:val="00BB3278"/>
    <w:rsid w:val="00BC4ADF"/>
    <w:rsid w:val="00BC5A10"/>
    <w:rsid w:val="00BC6527"/>
    <w:rsid w:val="00BD491D"/>
    <w:rsid w:val="00BE59DB"/>
    <w:rsid w:val="00BE7417"/>
    <w:rsid w:val="00BF70D7"/>
    <w:rsid w:val="00C07F94"/>
    <w:rsid w:val="00C11089"/>
    <w:rsid w:val="00C26351"/>
    <w:rsid w:val="00C40D84"/>
    <w:rsid w:val="00C430F0"/>
    <w:rsid w:val="00C53DA6"/>
    <w:rsid w:val="00C63763"/>
    <w:rsid w:val="00C86465"/>
    <w:rsid w:val="00C8767F"/>
    <w:rsid w:val="00C911C1"/>
    <w:rsid w:val="00CB1E5D"/>
    <w:rsid w:val="00CB2127"/>
    <w:rsid w:val="00CB224A"/>
    <w:rsid w:val="00CB4555"/>
    <w:rsid w:val="00CB6AA7"/>
    <w:rsid w:val="00CC086B"/>
    <w:rsid w:val="00CC1A8A"/>
    <w:rsid w:val="00CC67EF"/>
    <w:rsid w:val="00CC755F"/>
    <w:rsid w:val="00CD3A34"/>
    <w:rsid w:val="00CF0660"/>
    <w:rsid w:val="00CF4181"/>
    <w:rsid w:val="00D11517"/>
    <w:rsid w:val="00D20FE8"/>
    <w:rsid w:val="00D4005D"/>
    <w:rsid w:val="00D46334"/>
    <w:rsid w:val="00D6257B"/>
    <w:rsid w:val="00D70526"/>
    <w:rsid w:val="00D83627"/>
    <w:rsid w:val="00DA75C3"/>
    <w:rsid w:val="00DC6201"/>
    <w:rsid w:val="00DC7B0F"/>
    <w:rsid w:val="00DE17DA"/>
    <w:rsid w:val="00DE2B14"/>
    <w:rsid w:val="00DE5B5A"/>
    <w:rsid w:val="00DF4F94"/>
    <w:rsid w:val="00E13B71"/>
    <w:rsid w:val="00E177C9"/>
    <w:rsid w:val="00E2176D"/>
    <w:rsid w:val="00E2425F"/>
    <w:rsid w:val="00E3100A"/>
    <w:rsid w:val="00E44260"/>
    <w:rsid w:val="00E4732C"/>
    <w:rsid w:val="00E54BA2"/>
    <w:rsid w:val="00E54DB4"/>
    <w:rsid w:val="00E96C21"/>
    <w:rsid w:val="00E97758"/>
    <w:rsid w:val="00EA057D"/>
    <w:rsid w:val="00EA666C"/>
    <w:rsid w:val="00EB169C"/>
    <w:rsid w:val="00EE3546"/>
    <w:rsid w:val="00EE477E"/>
    <w:rsid w:val="00EE6F94"/>
    <w:rsid w:val="00EF3E90"/>
    <w:rsid w:val="00EF5D56"/>
    <w:rsid w:val="00F012EA"/>
    <w:rsid w:val="00F026D5"/>
    <w:rsid w:val="00F036EF"/>
    <w:rsid w:val="00F10822"/>
    <w:rsid w:val="00F264DD"/>
    <w:rsid w:val="00F33A6A"/>
    <w:rsid w:val="00F41E30"/>
    <w:rsid w:val="00F42E59"/>
    <w:rsid w:val="00F60530"/>
    <w:rsid w:val="00F703DE"/>
    <w:rsid w:val="00F73064"/>
    <w:rsid w:val="00F74714"/>
    <w:rsid w:val="00F805AB"/>
    <w:rsid w:val="00F81046"/>
    <w:rsid w:val="00F8675B"/>
    <w:rsid w:val="00F87048"/>
    <w:rsid w:val="00F90417"/>
    <w:rsid w:val="00F913A3"/>
    <w:rsid w:val="00FA0D2B"/>
    <w:rsid w:val="00FB3FED"/>
    <w:rsid w:val="00FB59AE"/>
    <w:rsid w:val="00FF4FD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391"/>
    <o:shapelayout v:ext="edit">
      <o:idmap v:ext="edit" data="2"/>
    </o:shapelayout>
  </w:shapeDefaults>
  <w:decimalSymbol w:val="."/>
  <w:listSeparator w:val=","/>
  <w14:docId w14:val="432A6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317"/>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1A18CF"/>
    <w:pPr>
      <w:spacing w:before="600" w:line="460" w:lineRule="exact"/>
      <w:outlineLvl w:val="0"/>
    </w:pPr>
    <w:rPr>
      <w:b/>
      <w:color w:val="5D779D" w:themeColor="accent3"/>
      <w:sz w:val="44"/>
    </w:rPr>
  </w:style>
  <w:style w:type="paragraph" w:styleId="Heading2">
    <w:name w:val="heading 2"/>
    <w:basedOn w:val="HeadingBase"/>
    <w:next w:val="Normal"/>
    <w:link w:val="Heading2Char"/>
    <w:qFormat/>
    <w:rsid w:val="00643367"/>
    <w:pPr>
      <w:numPr>
        <w:numId w:val="23"/>
      </w:numPr>
      <w:spacing w:before="360" w:line="460" w:lineRule="exact"/>
      <w:ind w:left="397" w:hanging="397"/>
      <w:outlineLvl w:val="1"/>
    </w:pPr>
    <w:rPr>
      <w:bCs w:val="0"/>
      <w:iCs/>
      <w:color w:val="2C384A"/>
      <w:sz w:val="36"/>
      <w:szCs w:val="28"/>
    </w:rPr>
  </w:style>
  <w:style w:type="paragraph" w:styleId="Heading3">
    <w:name w:val="heading 3"/>
    <w:basedOn w:val="HeadingBase"/>
    <w:next w:val="Normal"/>
    <w:link w:val="Heading3Char"/>
    <w:qFormat/>
    <w:rsid w:val="001A18CF"/>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1A18CF"/>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qFormat/>
    <w:rsid w:val="001A18CF"/>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qFormat/>
    <w:rsid w:val="001A18CF"/>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Normal"/>
    <w:next w:val="Normal"/>
    <w:link w:val="Heading7Char"/>
    <w:rsid w:val="00F73064"/>
    <w:pPr>
      <w:spacing w:after="0"/>
      <w:outlineLvl w:val="6"/>
    </w:pPr>
    <w:rPr>
      <w:rFonts w:ascii="Arial" w:hAnsi="Arial"/>
      <w:color w:val="000080"/>
      <w:sz w:val="19"/>
      <w:u w:val="single"/>
    </w:rPr>
  </w:style>
  <w:style w:type="paragraph" w:styleId="Heading8">
    <w:name w:val="heading 8"/>
    <w:basedOn w:val="Normal"/>
    <w:next w:val="Normal"/>
    <w:link w:val="Heading8Char"/>
    <w:rsid w:val="00F73064"/>
    <w:pPr>
      <w:keepNext/>
      <w:spacing w:after="60" w:line="0" w:lineRule="atLeast"/>
      <w:outlineLvl w:val="7"/>
    </w:pPr>
    <w:rPr>
      <w:b/>
      <w:color w:val="000080"/>
    </w:rPr>
  </w:style>
  <w:style w:type="paragraph" w:styleId="Heading9">
    <w:name w:val="heading 9"/>
    <w:basedOn w:val="Normal"/>
    <w:next w:val="Normal"/>
    <w:link w:val="Heading9Char"/>
    <w:rsid w:val="00F73064"/>
    <w:pPr>
      <w:spacing w:before="240" w:after="60"/>
      <w:outlineLvl w:val="8"/>
    </w:pPr>
    <w:rPr>
      <w:color w:val="00008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qFormat/>
    <w:rsid w:val="001A18CF"/>
    <w:pPr>
      <w:keepNext/>
      <w:spacing w:after="120" w:line="240" w:lineRule="auto"/>
    </w:pPr>
    <w:rPr>
      <w:rFonts w:ascii="Calibri" w:eastAsia="Times New Roman" w:hAnsi="Calibri" w:cs="Arial"/>
      <w:bCs/>
      <w:color w:val="002C4A"/>
      <w:kern w:val="32"/>
      <w:sz w:val="48"/>
      <w:szCs w:val="36"/>
      <w:lang w:eastAsia="en-AU"/>
    </w:rPr>
  </w:style>
  <w:style w:type="character" w:customStyle="1" w:styleId="Heading1Char">
    <w:name w:val="Heading 1 Char"/>
    <w:basedOn w:val="DefaultParagraphFont"/>
    <w:link w:val="Heading1"/>
    <w:rsid w:val="001A18CF"/>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643367"/>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1A18CF"/>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1A18CF"/>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1A18CF"/>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1A18CF"/>
    <w:rPr>
      <w:rFonts w:ascii="Calibri Light" w:eastAsia="Times New Roman" w:hAnsi="Calibri Light" w:cs="Arial"/>
      <w:color w:val="000000" w:themeColor="text1"/>
      <w:kern w:val="32"/>
      <w:lang w:eastAsia="en-AU"/>
    </w:rPr>
  </w:style>
  <w:style w:type="character" w:customStyle="1" w:styleId="Heading7Char">
    <w:name w:val="Heading 7 Char"/>
    <w:basedOn w:val="DefaultParagraphFont"/>
    <w:link w:val="Heading7"/>
    <w:rsid w:val="00BB3278"/>
    <w:rPr>
      <w:rFonts w:ascii="Arial" w:hAnsi="Arial"/>
      <w:color w:val="000080"/>
      <w:sz w:val="19"/>
      <w:u w:val="single"/>
    </w:rPr>
  </w:style>
  <w:style w:type="character" w:customStyle="1" w:styleId="Heading8Char">
    <w:name w:val="Heading 8 Char"/>
    <w:basedOn w:val="DefaultParagraphFont"/>
    <w:link w:val="Heading8"/>
    <w:rsid w:val="00BB3278"/>
    <w:rPr>
      <w:b/>
      <w:color w:val="000080"/>
    </w:rPr>
  </w:style>
  <w:style w:type="character" w:customStyle="1" w:styleId="Heading9Char">
    <w:name w:val="Heading 9 Char"/>
    <w:basedOn w:val="DefaultParagraphFont"/>
    <w:link w:val="Heading9"/>
    <w:rsid w:val="00BB3278"/>
    <w:rPr>
      <w:color w:val="000080"/>
      <w:u w:val="single"/>
    </w:rPr>
  </w:style>
  <w:style w:type="paragraph" w:customStyle="1" w:styleId="ChartGraphic">
    <w:name w:val="Chart Graphic"/>
    <w:basedOn w:val="Normal"/>
    <w:next w:val="Normal"/>
    <w:rsid w:val="001A18CF"/>
    <w:pPr>
      <w:keepNext/>
      <w:spacing w:before="0" w:after="0"/>
      <w:jc w:val="center"/>
    </w:pPr>
    <w:rPr>
      <w:color w:val="004A7F"/>
      <w:sz w:val="20"/>
    </w:rPr>
  </w:style>
  <w:style w:type="paragraph" w:customStyle="1" w:styleId="TableGraphic">
    <w:name w:val="Table Graphic"/>
    <w:basedOn w:val="HeadingBase"/>
    <w:next w:val="Normal"/>
    <w:qFormat/>
    <w:rsid w:val="001A18CF"/>
    <w:pPr>
      <w:spacing w:after="0"/>
    </w:pPr>
  </w:style>
  <w:style w:type="paragraph" w:customStyle="1" w:styleId="AlphaParagraph">
    <w:name w:val="Alpha Paragraph"/>
    <w:basedOn w:val="Normal"/>
    <w:qFormat/>
    <w:rsid w:val="009D0790"/>
    <w:pPr>
      <w:numPr>
        <w:numId w:val="2"/>
      </w:numPr>
    </w:pPr>
  </w:style>
  <w:style w:type="paragraph" w:customStyle="1" w:styleId="AppendixHeading">
    <w:name w:val="Appendix Heading"/>
    <w:basedOn w:val="Heading1"/>
    <w:next w:val="Normal"/>
    <w:rsid w:val="006457CC"/>
    <w:pPr>
      <w:spacing w:before="720" w:after="360"/>
    </w:pPr>
    <w:rPr>
      <w:sz w:val="36"/>
    </w:rPr>
  </w:style>
  <w:style w:type="paragraph" w:styleId="BalloonText">
    <w:name w:val="Balloon Text"/>
    <w:basedOn w:val="Normal"/>
    <w:link w:val="BalloonTextChar"/>
    <w:rsid w:val="00F73064"/>
    <w:pPr>
      <w:spacing w:after="0"/>
    </w:pPr>
    <w:rPr>
      <w:rFonts w:ascii="Tahoma" w:hAnsi="Tahoma" w:cs="Tahoma"/>
      <w:sz w:val="16"/>
      <w:szCs w:val="16"/>
    </w:rPr>
  </w:style>
  <w:style w:type="character" w:customStyle="1" w:styleId="BalloonTextChar">
    <w:name w:val="Balloon Text Char"/>
    <w:basedOn w:val="DefaultParagraphFont"/>
    <w:link w:val="BalloonText"/>
    <w:rsid w:val="00F73064"/>
    <w:rPr>
      <w:rFonts w:ascii="Tahoma" w:hAnsi="Tahoma" w:cs="Tahoma"/>
      <w:sz w:val="16"/>
      <w:szCs w:val="16"/>
    </w:rPr>
  </w:style>
  <w:style w:type="character" w:customStyle="1" w:styleId="Bold">
    <w:name w:val="Bold"/>
    <w:basedOn w:val="DefaultParagraphFont"/>
    <w:rsid w:val="00B55137"/>
    <w:rPr>
      <w:b/>
    </w:rPr>
  </w:style>
  <w:style w:type="paragraph" w:customStyle="1" w:styleId="BoxTextBase">
    <w:name w:val="Box Text Base"/>
    <w:basedOn w:val="Normal"/>
    <w:rsid w:val="00B55137"/>
  </w:style>
  <w:style w:type="paragraph" w:customStyle="1" w:styleId="BoxHeading">
    <w:name w:val="Box Heading"/>
    <w:basedOn w:val="Normal"/>
    <w:next w:val="Normal"/>
    <w:qFormat/>
    <w:rsid w:val="001A18CF"/>
    <w:pPr>
      <w:keepNext/>
      <w:spacing w:before="240"/>
    </w:pPr>
    <w:rPr>
      <w:b/>
      <w:color w:val="2C384A" w:themeColor="accent1"/>
      <w:sz w:val="26"/>
      <w:szCs w:val="26"/>
    </w:rPr>
  </w:style>
  <w:style w:type="paragraph" w:customStyle="1" w:styleId="BoxText">
    <w:name w:val="Box Text"/>
    <w:basedOn w:val="Normal"/>
    <w:link w:val="BoxTextChar"/>
    <w:rsid w:val="001A18CF"/>
  </w:style>
  <w:style w:type="paragraph" w:customStyle="1" w:styleId="Bullet">
    <w:name w:val="Bullet"/>
    <w:basedOn w:val="Normal"/>
    <w:link w:val="BulletChar"/>
    <w:qFormat/>
    <w:rsid w:val="001A18CF"/>
    <w:pPr>
      <w:numPr>
        <w:numId w:val="20"/>
      </w:numPr>
      <w:tabs>
        <w:tab w:val="clear" w:pos="520"/>
        <w:tab w:val="left" w:pos="720"/>
      </w:tabs>
      <w:spacing w:after="0" w:line="276" w:lineRule="auto"/>
    </w:pPr>
  </w:style>
  <w:style w:type="paragraph" w:styleId="NormalIndent">
    <w:name w:val="Normal Indent"/>
    <w:basedOn w:val="Normal"/>
    <w:rsid w:val="00F73064"/>
    <w:pPr>
      <w:ind w:left="567"/>
    </w:pPr>
    <w:rPr>
      <w:rFonts w:ascii="Book Antiqua" w:hAnsi="Book Antiqua"/>
      <w:sz w:val="20"/>
    </w:rPr>
  </w:style>
  <w:style w:type="paragraph" w:customStyle="1" w:styleId="ChartandTableFootnoteAlpha">
    <w:name w:val="Chart and Table Footnote Alpha"/>
    <w:rsid w:val="001A18CF"/>
    <w:pPr>
      <w:numPr>
        <w:numId w:val="21"/>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DE17DA"/>
    <w:pPr>
      <w:jc w:val="center"/>
    </w:pPr>
  </w:style>
  <w:style w:type="paragraph" w:customStyle="1" w:styleId="ChartorTableNote">
    <w:name w:val="Chart or Table Note"/>
    <w:next w:val="Normal"/>
    <w:rsid w:val="001A18CF"/>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6C2690"/>
    <w:pPr>
      <w:jc w:val="center"/>
    </w:pPr>
    <w:rPr>
      <w:bCs/>
    </w:rPr>
  </w:style>
  <w:style w:type="paragraph" w:customStyle="1" w:styleId="Classification">
    <w:name w:val="Classification"/>
    <w:basedOn w:val="HeadingBase"/>
    <w:next w:val="Footer"/>
    <w:rsid w:val="00B55137"/>
    <w:pPr>
      <w:jc w:val="center"/>
    </w:pPr>
    <w:rPr>
      <w:b/>
      <w:smallCaps/>
    </w:rPr>
  </w:style>
  <w:style w:type="paragraph" w:styleId="Footer">
    <w:name w:val="footer"/>
    <w:basedOn w:val="Normal"/>
    <w:link w:val="FooterChar"/>
    <w:uiPriority w:val="99"/>
    <w:rsid w:val="00F73064"/>
    <w:pPr>
      <w:tabs>
        <w:tab w:val="right" w:pos="5670"/>
      </w:tabs>
      <w:spacing w:after="0"/>
      <w:jc w:val="right"/>
    </w:pPr>
    <w:rPr>
      <w:rFonts w:ascii="Arial" w:hAnsi="Arial"/>
      <w:color w:val="003157"/>
      <w:sz w:val="18"/>
    </w:rPr>
  </w:style>
  <w:style w:type="character" w:customStyle="1" w:styleId="FooterChar">
    <w:name w:val="Footer Char"/>
    <w:basedOn w:val="DefaultParagraphFont"/>
    <w:link w:val="Footer"/>
    <w:uiPriority w:val="99"/>
    <w:rsid w:val="00F73064"/>
    <w:rPr>
      <w:rFonts w:ascii="Arial" w:hAnsi="Arial"/>
      <w:color w:val="003157"/>
      <w:sz w:val="18"/>
    </w:rPr>
  </w:style>
  <w:style w:type="paragraph" w:customStyle="1" w:styleId="ContentsHeading">
    <w:name w:val="Contents Heading"/>
    <w:basedOn w:val="Normal"/>
    <w:next w:val="Normal"/>
    <w:rsid w:val="00575037"/>
    <w:pPr>
      <w:spacing w:before="600"/>
    </w:pPr>
    <w:rPr>
      <w:rFonts w:asciiTheme="majorHAnsi" w:hAnsiTheme="majorHAnsi"/>
      <w:b/>
      <w:color w:val="5D779D" w:themeColor="accent3"/>
      <w:kern w:val="28"/>
      <w:sz w:val="44"/>
    </w:rPr>
  </w:style>
  <w:style w:type="paragraph" w:customStyle="1" w:styleId="Dash">
    <w:name w:val="Dash"/>
    <w:basedOn w:val="Normal"/>
    <w:link w:val="DashChar"/>
    <w:qFormat/>
    <w:rsid w:val="00F73064"/>
    <w:pPr>
      <w:numPr>
        <w:ilvl w:val="1"/>
        <w:numId w:val="22"/>
      </w:numPr>
    </w:pPr>
  </w:style>
  <w:style w:type="paragraph" w:customStyle="1" w:styleId="DoubleDot">
    <w:name w:val="Double Dot"/>
    <w:basedOn w:val="Normal"/>
    <w:link w:val="DoubleDotChar"/>
    <w:uiPriority w:val="99"/>
    <w:qFormat/>
    <w:rsid w:val="001A18CF"/>
    <w:pPr>
      <w:numPr>
        <w:ilvl w:val="2"/>
        <w:numId w:val="22"/>
      </w:numPr>
      <w:spacing w:before="0"/>
    </w:pPr>
  </w:style>
  <w:style w:type="paragraph" w:customStyle="1" w:styleId="TableMainHeading">
    <w:name w:val="Table Main Heading"/>
    <w:basedOn w:val="Heading3"/>
    <w:next w:val="Normal"/>
    <w:rsid w:val="001A18CF"/>
    <w:pPr>
      <w:spacing w:before="120"/>
    </w:pPr>
    <w:rPr>
      <w:b w:val="0"/>
      <w:sz w:val="26"/>
    </w:rPr>
  </w:style>
  <w:style w:type="paragraph" w:customStyle="1" w:styleId="FooterCentered">
    <w:name w:val="Footer Centered"/>
    <w:basedOn w:val="Footer"/>
    <w:rsid w:val="00B55137"/>
    <w:pPr>
      <w:jc w:val="center"/>
    </w:pPr>
  </w:style>
  <w:style w:type="paragraph" w:customStyle="1" w:styleId="FooterEven">
    <w:name w:val="Footer Even"/>
    <w:basedOn w:val="Footer"/>
    <w:rsid w:val="001A18CF"/>
    <w:pPr>
      <w:keepNext/>
      <w:tabs>
        <w:tab w:val="clear" w:pos="5670"/>
      </w:tabs>
      <w:spacing w:before="0"/>
      <w:jc w:val="left"/>
    </w:pPr>
    <w:rPr>
      <w:rFonts w:ascii="Calibri Light" w:hAnsi="Calibri Light"/>
      <w:noProof/>
      <w:color w:val="2C384A" w:themeColor="accent1"/>
      <w:sz w:val="20"/>
    </w:rPr>
  </w:style>
  <w:style w:type="paragraph" w:customStyle="1" w:styleId="FooterOdd">
    <w:name w:val="Footer Odd"/>
    <w:basedOn w:val="Footer"/>
    <w:rsid w:val="001A18CF"/>
    <w:pPr>
      <w:keepNext/>
      <w:tabs>
        <w:tab w:val="clear" w:pos="5670"/>
      </w:tabs>
      <w:spacing w:before="0"/>
    </w:pPr>
    <w:rPr>
      <w:rFonts w:ascii="Calibri Light" w:hAnsi="Calibri Light"/>
      <w:color w:val="2C384A" w:themeColor="accent1"/>
      <w:sz w:val="20"/>
    </w:rPr>
  </w:style>
  <w:style w:type="character" w:styleId="FootnoteReference">
    <w:name w:val="footnote reference"/>
    <w:basedOn w:val="DefaultParagraphFont"/>
    <w:rsid w:val="001A18CF"/>
    <w:rPr>
      <w:sz w:val="18"/>
    </w:rPr>
  </w:style>
  <w:style w:type="paragraph" w:styleId="FootnoteText">
    <w:name w:val="footnote text"/>
    <w:basedOn w:val="Normal"/>
    <w:link w:val="FootnoteTextChar"/>
    <w:rsid w:val="001A18CF"/>
    <w:pPr>
      <w:spacing w:before="0" w:after="0"/>
      <w:ind w:left="397" w:hanging="397"/>
    </w:pPr>
    <w:rPr>
      <w:sz w:val="20"/>
    </w:rPr>
  </w:style>
  <w:style w:type="character" w:customStyle="1" w:styleId="FootnoteTextChar">
    <w:name w:val="Footnote Text Char"/>
    <w:basedOn w:val="DefaultParagraphFont"/>
    <w:link w:val="FootnoteText"/>
    <w:rsid w:val="001A18CF"/>
    <w:rPr>
      <w:rFonts w:ascii="Calibri Light" w:eastAsia="Times New Roman" w:hAnsi="Calibri Light" w:cs="Times New Roman"/>
      <w:sz w:val="20"/>
      <w:szCs w:val="20"/>
      <w:lang w:eastAsia="en-AU"/>
    </w:rPr>
  </w:style>
  <w:style w:type="character" w:customStyle="1" w:styleId="FramedFooter">
    <w:name w:val="Framed Footer"/>
    <w:rsid w:val="00B55137"/>
    <w:rPr>
      <w:rFonts w:ascii="Arial" w:hAnsi="Arial"/>
      <w:sz w:val="18"/>
    </w:rPr>
  </w:style>
  <w:style w:type="character" w:customStyle="1" w:styleId="FramedHeader">
    <w:name w:val="Framed Header"/>
    <w:basedOn w:val="DefaultParagraphFont"/>
    <w:rsid w:val="00B55137"/>
    <w:rPr>
      <w:rFonts w:ascii="Arial" w:hAnsi="Arial"/>
      <w:dstrike w:val="0"/>
      <w:color w:val="auto"/>
      <w:sz w:val="18"/>
      <w:vertAlign w:val="baseline"/>
    </w:rPr>
  </w:style>
  <w:style w:type="paragraph" w:styleId="Header">
    <w:name w:val="header"/>
    <w:basedOn w:val="HeadingBaseStyle"/>
    <w:link w:val="HeaderChar"/>
    <w:rsid w:val="00F73064"/>
    <w:pPr>
      <w:jc w:val="center"/>
    </w:pPr>
    <w:rPr>
      <w:sz w:val="18"/>
    </w:rPr>
  </w:style>
  <w:style w:type="character" w:customStyle="1" w:styleId="HeaderChar">
    <w:name w:val="Header Char"/>
    <w:basedOn w:val="DefaultParagraphFont"/>
    <w:link w:val="Header"/>
    <w:rsid w:val="00460338"/>
    <w:rPr>
      <w:rFonts w:ascii="Arial" w:hAnsi="Arial"/>
      <w:color w:val="003157"/>
      <w:sz w:val="18"/>
    </w:rPr>
  </w:style>
  <w:style w:type="paragraph" w:customStyle="1" w:styleId="HeaderEven">
    <w:name w:val="Header Even"/>
    <w:basedOn w:val="Header"/>
    <w:qFormat/>
    <w:rsid w:val="001A18CF"/>
    <w:pPr>
      <w:spacing w:before="0"/>
      <w:jc w:val="left"/>
    </w:pPr>
    <w:rPr>
      <w:rFonts w:ascii="Calibri Light" w:hAnsi="Calibri Light"/>
      <w:color w:val="002C47"/>
      <w:sz w:val="20"/>
    </w:rPr>
  </w:style>
  <w:style w:type="paragraph" w:customStyle="1" w:styleId="HeaderOdd">
    <w:name w:val="Header Odd"/>
    <w:basedOn w:val="Header"/>
    <w:qFormat/>
    <w:rsid w:val="001A18CF"/>
    <w:pPr>
      <w:spacing w:before="0"/>
      <w:jc w:val="right"/>
    </w:pPr>
    <w:rPr>
      <w:rFonts w:ascii="Calibri Light" w:hAnsi="Calibri Light"/>
      <w:color w:val="002C47"/>
      <w:sz w:val="20"/>
    </w:rPr>
  </w:style>
  <w:style w:type="character" w:styleId="Hyperlink">
    <w:name w:val="Hyperlink"/>
    <w:basedOn w:val="DefaultParagraphFont"/>
    <w:uiPriority w:val="99"/>
    <w:rsid w:val="001A18CF"/>
    <w:rPr>
      <w:color w:val="3A6FAF"/>
      <w:u w:val="none"/>
    </w:rPr>
  </w:style>
  <w:style w:type="character" w:customStyle="1" w:styleId="italic">
    <w:name w:val="italic"/>
    <w:basedOn w:val="DefaultParagraphFont"/>
    <w:rsid w:val="00B55137"/>
    <w:rPr>
      <w:i/>
    </w:rPr>
  </w:style>
  <w:style w:type="paragraph" w:styleId="NormalWeb">
    <w:name w:val="Normal (Web)"/>
    <w:basedOn w:val="Normal"/>
    <w:uiPriority w:val="99"/>
    <w:unhideWhenUsed/>
    <w:rsid w:val="00F73064"/>
    <w:pPr>
      <w:spacing w:before="100" w:beforeAutospacing="1" w:after="100" w:afterAutospacing="1"/>
    </w:pPr>
    <w:rPr>
      <w:rFonts w:ascii="Times New Roman" w:hAnsi="Times New Roman"/>
      <w:szCs w:val="24"/>
    </w:rPr>
  </w:style>
  <w:style w:type="paragraph" w:customStyle="1" w:styleId="OutlineNumbered1">
    <w:name w:val="Outline Numbered 1"/>
    <w:basedOn w:val="Normal"/>
    <w:link w:val="OutlineNumbered1Char"/>
    <w:rsid w:val="003E0E7B"/>
    <w:pPr>
      <w:numPr>
        <w:numId w:val="8"/>
      </w:numPr>
    </w:pPr>
  </w:style>
  <w:style w:type="paragraph" w:customStyle="1" w:styleId="OneLevelNumberedParagraph">
    <w:name w:val="One Level Numbered Paragraph"/>
    <w:basedOn w:val="Normal"/>
    <w:rsid w:val="003E0E7B"/>
    <w:pPr>
      <w:numPr>
        <w:numId w:val="7"/>
      </w:numPr>
    </w:pPr>
  </w:style>
  <w:style w:type="paragraph" w:customStyle="1" w:styleId="OutlineNumbered2">
    <w:name w:val="Outline Numbered 2"/>
    <w:basedOn w:val="Normal"/>
    <w:rsid w:val="003E0E7B"/>
    <w:pPr>
      <w:numPr>
        <w:ilvl w:val="1"/>
        <w:numId w:val="8"/>
      </w:numPr>
    </w:pPr>
  </w:style>
  <w:style w:type="paragraph" w:customStyle="1" w:styleId="OutlineNumbered3">
    <w:name w:val="Outline Numbered 3"/>
    <w:basedOn w:val="Normal"/>
    <w:rsid w:val="003E0E7B"/>
    <w:pPr>
      <w:numPr>
        <w:ilvl w:val="2"/>
        <w:numId w:val="8"/>
      </w:numPr>
    </w:pPr>
  </w:style>
  <w:style w:type="character" w:styleId="PageNumber">
    <w:name w:val="page number"/>
    <w:basedOn w:val="DefaultParagraphFont"/>
    <w:rsid w:val="00365C6D"/>
    <w:rPr>
      <w:rFonts w:asciiTheme="minorHAnsi" w:hAnsiTheme="minorHAnsi"/>
      <w:color w:val="003057"/>
      <w:sz w:val="22"/>
    </w:rPr>
  </w:style>
  <w:style w:type="paragraph" w:customStyle="1" w:styleId="Romannumeral">
    <w:name w:val="Roman numeral"/>
    <w:basedOn w:val="Normal"/>
    <w:rsid w:val="009C7E17"/>
    <w:pPr>
      <w:numPr>
        <w:numId w:val="10"/>
      </w:numPr>
    </w:pPr>
  </w:style>
  <w:style w:type="paragraph" w:customStyle="1" w:styleId="SingleParagraph">
    <w:name w:val="Single Paragraph"/>
    <w:basedOn w:val="Normal"/>
    <w:link w:val="SingleParagraphChar"/>
    <w:rsid w:val="001A18CF"/>
    <w:pPr>
      <w:spacing w:before="0" w:after="0"/>
    </w:pPr>
  </w:style>
  <w:style w:type="paragraph" w:customStyle="1" w:styleId="TableSecondHeading">
    <w:name w:val="Table Second Heading"/>
    <w:basedOn w:val="Normal"/>
    <w:next w:val="Normal"/>
    <w:rsid w:val="006C2690"/>
    <w:pPr>
      <w:keepNext/>
      <w:spacing w:before="0" w:after="20"/>
    </w:pPr>
    <w:rPr>
      <w:color w:val="004A7F"/>
    </w:rPr>
  </w:style>
  <w:style w:type="paragraph" w:customStyle="1" w:styleId="TableTextBase">
    <w:name w:val="Table Text Base"/>
    <w:rsid w:val="00DE17DA"/>
    <w:pPr>
      <w:spacing w:before="40" w:after="40" w:line="240" w:lineRule="auto"/>
    </w:pPr>
    <w:rPr>
      <w:rFonts w:ascii="Calibri Light" w:eastAsia="Times New Roman" w:hAnsi="Calibri Light" w:cs="Times New Roman"/>
      <w:sz w:val="18"/>
      <w:szCs w:val="20"/>
      <w:lang w:eastAsia="en-AU"/>
    </w:rPr>
  </w:style>
  <w:style w:type="paragraph" w:customStyle="1" w:styleId="TableColumnHeadingCentred">
    <w:name w:val="Table Column Heading Centred"/>
    <w:basedOn w:val="TableTextLeft"/>
    <w:rsid w:val="001A18CF"/>
    <w:pPr>
      <w:jc w:val="center"/>
    </w:pPr>
    <w:rPr>
      <w:b/>
      <w:color w:val="004A7F"/>
      <w:sz w:val="20"/>
    </w:rPr>
  </w:style>
  <w:style w:type="paragraph" w:customStyle="1" w:styleId="TableColumnHeadingBase">
    <w:name w:val="Table Column Heading Base"/>
    <w:basedOn w:val="Normal"/>
    <w:rsid w:val="006C2690"/>
    <w:pPr>
      <w:spacing w:before="40" w:after="40"/>
    </w:pPr>
    <w:rPr>
      <w:b/>
      <w:color w:val="5D779D" w:themeColor="accent3"/>
      <w:sz w:val="20"/>
    </w:rPr>
  </w:style>
  <w:style w:type="paragraph" w:customStyle="1" w:styleId="TableColumnHeadingLeft">
    <w:name w:val="Table Column Heading Left"/>
    <w:basedOn w:val="TableTextLeft"/>
    <w:rsid w:val="001A18CF"/>
    <w:rPr>
      <w:b/>
      <w:color w:val="004A7F"/>
      <w:sz w:val="20"/>
    </w:rPr>
  </w:style>
  <w:style w:type="paragraph" w:customStyle="1" w:styleId="TableColumnHeadingRight">
    <w:name w:val="Table Column Heading Right"/>
    <w:basedOn w:val="TableTextLeft"/>
    <w:rsid w:val="001A18CF"/>
    <w:pPr>
      <w:jc w:val="right"/>
    </w:pPr>
    <w:rPr>
      <w:b/>
      <w:color w:val="004A7F"/>
      <w:sz w:val="20"/>
    </w:rPr>
  </w:style>
  <w:style w:type="table" w:styleId="TableGrid">
    <w:name w:val="Table Grid"/>
    <w:basedOn w:val="TableNormal"/>
    <w:rsid w:val="001A18CF"/>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MainHeadingContd">
    <w:name w:val="Table Main Heading Contd"/>
    <w:basedOn w:val="HeadingBase"/>
    <w:next w:val="TableGraphic"/>
    <w:rsid w:val="00330A9F"/>
    <w:pPr>
      <w:spacing w:after="20"/>
    </w:pPr>
    <w:rPr>
      <w:b/>
      <w:color w:val="2C384A" w:themeColor="accent1"/>
      <w:sz w:val="22"/>
    </w:rPr>
  </w:style>
  <w:style w:type="paragraph" w:customStyle="1" w:styleId="TableTextCentered">
    <w:name w:val="Table Text Centered"/>
    <w:basedOn w:val="TableTextRight"/>
    <w:rsid w:val="001A18CF"/>
    <w:pPr>
      <w:jc w:val="center"/>
    </w:pPr>
  </w:style>
  <w:style w:type="paragraph" w:customStyle="1" w:styleId="TableTextIndented">
    <w:name w:val="Table Text Indented"/>
    <w:basedOn w:val="TableTextLeft"/>
    <w:qFormat/>
    <w:rsid w:val="001A18CF"/>
    <w:pPr>
      <w:ind w:left="284"/>
    </w:pPr>
  </w:style>
  <w:style w:type="paragraph" w:customStyle="1" w:styleId="TableTextLeft">
    <w:name w:val="Table Text Left"/>
    <w:basedOn w:val="TableTextRight"/>
    <w:rsid w:val="001A18CF"/>
    <w:pPr>
      <w:jc w:val="left"/>
    </w:pPr>
  </w:style>
  <w:style w:type="paragraph" w:customStyle="1" w:styleId="TableTextRight">
    <w:name w:val="Table Text Right"/>
    <w:basedOn w:val="Normal"/>
    <w:rsid w:val="001A18CF"/>
    <w:pPr>
      <w:spacing w:before="40" w:after="40"/>
      <w:jc w:val="right"/>
    </w:pPr>
    <w:rPr>
      <w:color w:val="000000"/>
      <w:sz w:val="18"/>
    </w:rPr>
  </w:style>
  <w:style w:type="paragraph" w:styleId="TOC1">
    <w:name w:val="toc 1"/>
    <w:basedOn w:val="Normal"/>
    <w:next w:val="Normal"/>
    <w:uiPriority w:val="39"/>
    <w:qFormat/>
    <w:rsid w:val="001A18CF"/>
    <w:pPr>
      <w:keepNext/>
      <w:tabs>
        <w:tab w:val="right" w:leader="dot" w:pos="9072"/>
      </w:tabs>
      <w:spacing w:before="180" w:after="0"/>
      <w:ind w:right="-2"/>
    </w:pPr>
    <w:rPr>
      <w:b/>
      <w:noProof/>
      <w:color w:val="002C4A"/>
      <w:szCs w:val="22"/>
    </w:rPr>
  </w:style>
  <w:style w:type="paragraph" w:styleId="TOC2">
    <w:name w:val="toc 2"/>
    <w:basedOn w:val="Normal"/>
    <w:next w:val="Normal"/>
    <w:uiPriority w:val="39"/>
    <w:qFormat/>
    <w:rsid w:val="001A18CF"/>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1A18CF"/>
    <w:pPr>
      <w:tabs>
        <w:tab w:val="right" w:leader="dot" w:pos="9072"/>
      </w:tabs>
      <w:spacing w:before="20" w:after="0"/>
      <w:ind w:left="284" w:right="-2"/>
    </w:pPr>
    <w:rPr>
      <w:rFonts w:cs="Calibri"/>
      <w:noProof/>
    </w:rPr>
  </w:style>
  <w:style w:type="paragraph" w:styleId="TOC4">
    <w:name w:val="toc 4"/>
    <w:basedOn w:val="Normal"/>
    <w:next w:val="Normal"/>
    <w:autoRedefine/>
    <w:rsid w:val="00F73064"/>
    <w:pPr>
      <w:tabs>
        <w:tab w:val="left" w:pos="1531"/>
        <w:tab w:val="right" w:leader="dot" w:pos="7711"/>
      </w:tabs>
      <w:ind w:left="1560" w:hanging="959"/>
    </w:pPr>
    <w:rPr>
      <w:noProof/>
    </w:rPr>
  </w:style>
  <w:style w:type="character" w:customStyle="1" w:styleId="BoldandItalic">
    <w:name w:val="Bold and Italic"/>
    <w:basedOn w:val="DefaultParagraphFont"/>
    <w:rsid w:val="00B55137"/>
    <w:rPr>
      <w:rFonts w:ascii="Arial" w:hAnsi="Arial"/>
      <w:b/>
      <w:i/>
    </w:rPr>
  </w:style>
  <w:style w:type="paragraph" w:styleId="DocumentMap">
    <w:name w:val="Document Map"/>
    <w:basedOn w:val="Normal"/>
    <w:link w:val="DocumentMapChar"/>
    <w:semiHidden/>
    <w:rsid w:val="00B55137"/>
    <w:pPr>
      <w:shd w:val="clear" w:color="auto" w:fill="00CCFF"/>
    </w:pPr>
    <w:rPr>
      <w:rFonts w:ascii="Tahoma" w:hAnsi="Tahoma" w:cs="Tahoma"/>
    </w:rPr>
  </w:style>
  <w:style w:type="character" w:customStyle="1" w:styleId="DocumentMapChar">
    <w:name w:val="Document Map Char"/>
    <w:basedOn w:val="DefaultParagraphFont"/>
    <w:link w:val="DocumentMap"/>
    <w:semiHidden/>
    <w:rsid w:val="00B55137"/>
    <w:rPr>
      <w:rFonts w:ascii="Tahoma" w:eastAsia="Times New Roman" w:hAnsi="Tahoma" w:cs="Tahoma"/>
      <w:color w:val="000000"/>
      <w:szCs w:val="20"/>
      <w:shd w:val="clear" w:color="auto" w:fill="00CCFF"/>
      <w:lang w:eastAsia="en-AU"/>
    </w:rPr>
  </w:style>
  <w:style w:type="character" w:styleId="EndnoteReference">
    <w:name w:val="endnote reference"/>
    <w:basedOn w:val="DefaultParagraphFont"/>
    <w:rsid w:val="00F73064"/>
    <w:rPr>
      <w:vertAlign w:val="superscript"/>
    </w:rPr>
  </w:style>
  <w:style w:type="paragraph" w:styleId="EndnoteText">
    <w:name w:val="endnote text"/>
    <w:basedOn w:val="Normal"/>
    <w:link w:val="EndnoteTextChar"/>
    <w:rsid w:val="00F73064"/>
    <w:pPr>
      <w:spacing w:after="0"/>
    </w:pPr>
    <w:rPr>
      <w:sz w:val="20"/>
    </w:rPr>
  </w:style>
  <w:style w:type="character" w:customStyle="1" w:styleId="EndnoteTextChar">
    <w:name w:val="Endnote Text Char"/>
    <w:basedOn w:val="DefaultParagraphFont"/>
    <w:link w:val="EndnoteText"/>
    <w:rsid w:val="00F73064"/>
    <w:rPr>
      <w:sz w:val="20"/>
    </w:rPr>
  </w:style>
  <w:style w:type="character" w:styleId="FollowedHyperlink">
    <w:name w:val="FollowedHyperlink"/>
    <w:basedOn w:val="DefaultParagraphFont"/>
    <w:rsid w:val="00B55137"/>
    <w:rPr>
      <w:color w:val="auto"/>
      <w:u w:val="none"/>
    </w:rPr>
  </w:style>
  <w:style w:type="paragraph" w:styleId="Index1">
    <w:name w:val="index 1"/>
    <w:basedOn w:val="Normal"/>
    <w:next w:val="Normal"/>
    <w:autoRedefine/>
    <w:semiHidden/>
    <w:rsid w:val="00F73064"/>
    <w:pPr>
      <w:spacing w:after="0"/>
      <w:ind w:left="238" w:hanging="238"/>
    </w:pPr>
  </w:style>
  <w:style w:type="paragraph" w:styleId="Index2">
    <w:name w:val="index 2"/>
    <w:basedOn w:val="Normal"/>
    <w:next w:val="Normal"/>
    <w:autoRedefine/>
    <w:semiHidden/>
    <w:rsid w:val="00F73064"/>
    <w:pPr>
      <w:spacing w:after="0"/>
      <w:ind w:left="480" w:hanging="240"/>
    </w:pPr>
    <w:rPr>
      <w:sz w:val="20"/>
    </w:rPr>
  </w:style>
  <w:style w:type="paragraph" w:styleId="Index3">
    <w:name w:val="index 3"/>
    <w:basedOn w:val="Normal"/>
    <w:next w:val="Normal"/>
    <w:autoRedefine/>
    <w:semiHidden/>
    <w:rsid w:val="00B55137"/>
    <w:pPr>
      <w:ind w:left="600" w:hanging="200"/>
    </w:pPr>
  </w:style>
  <w:style w:type="paragraph" w:styleId="Index4">
    <w:name w:val="index 4"/>
    <w:basedOn w:val="Normal"/>
    <w:next w:val="Normal"/>
    <w:autoRedefine/>
    <w:semiHidden/>
    <w:rsid w:val="00B55137"/>
    <w:pPr>
      <w:ind w:left="800" w:hanging="200"/>
    </w:pPr>
  </w:style>
  <w:style w:type="paragraph" w:styleId="Index5">
    <w:name w:val="index 5"/>
    <w:basedOn w:val="Normal"/>
    <w:next w:val="Normal"/>
    <w:autoRedefine/>
    <w:semiHidden/>
    <w:rsid w:val="00B55137"/>
    <w:pPr>
      <w:ind w:left="1000" w:hanging="200"/>
    </w:pPr>
  </w:style>
  <w:style w:type="paragraph" w:styleId="Index6">
    <w:name w:val="index 6"/>
    <w:basedOn w:val="Normal"/>
    <w:next w:val="Normal"/>
    <w:autoRedefine/>
    <w:semiHidden/>
    <w:rsid w:val="00B55137"/>
    <w:pPr>
      <w:ind w:left="1200" w:hanging="200"/>
    </w:pPr>
  </w:style>
  <w:style w:type="paragraph" w:styleId="Index7">
    <w:name w:val="index 7"/>
    <w:basedOn w:val="Normal"/>
    <w:next w:val="Normal"/>
    <w:autoRedefine/>
    <w:semiHidden/>
    <w:rsid w:val="00B55137"/>
    <w:pPr>
      <w:ind w:left="1400" w:hanging="200"/>
    </w:pPr>
  </w:style>
  <w:style w:type="paragraph" w:styleId="Index8">
    <w:name w:val="index 8"/>
    <w:basedOn w:val="Normal"/>
    <w:next w:val="Normal"/>
    <w:autoRedefine/>
    <w:semiHidden/>
    <w:rsid w:val="00B55137"/>
    <w:pPr>
      <w:ind w:left="1600" w:hanging="200"/>
    </w:pPr>
  </w:style>
  <w:style w:type="paragraph" w:styleId="Index9">
    <w:name w:val="index 9"/>
    <w:basedOn w:val="Normal"/>
    <w:next w:val="Normal"/>
    <w:autoRedefine/>
    <w:semiHidden/>
    <w:rsid w:val="00B55137"/>
    <w:pPr>
      <w:ind w:left="1800" w:hanging="200"/>
    </w:pPr>
  </w:style>
  <w:style w:type="paragraph" w:styleId="IndexHeading">
    <w:name w:val="index heading"/>
    <w:basedOn w:val="Normal"/>
    <w:next w:val="Index1"/>
    <w:semiHidden/>
    <w:rsid w:val="00F73064"/>
    <w:pPr>
      <w:pBdr>
        <w:top w:val="single" w:sz="12" w:space="0" w:color="auto"/>
      </w:pBdr>
      <w:spacing w:before="360"/>
    </w:pPr>
    <w:rPr>
      <w:rFonts w:ascii="Times New Roman" w:hAnsi="Times New Roman"/>
      <w:b/>
      <w:i/>
    </w:rPr>
  </w:style>
  <w:style w:type="paragraph" w:styleId="MacroText">
    <w:name w:val="macro"/>
    <w:link w:val="MacroTextChar"/>
    <w:semiHidden/>
    <w:rsid w:val="00B55137"/>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color w:val="000000"/>
      <w:sz w:val="20"/>
      <w:szCs w:val="20"/>
      <w:lang w:eastAsia="en-AU"/>
    </w:rPr>
  </w:style>
  <w:style w:type="character" w:customStyle="1" w:styleId="MacroTextChar">
    <w:name w:val="Macro Text Char"/>
    <w:basedOn w:val="DefaultParagraphFont"/>
    <w:link w:val="MacroText"/>
    <w:semiHidden/>
    <w:rsid w:val="00B55137"/>
    <w:rPr>
      <w:rFonts w:ascii="Courier New" w:eastAsia="Times New Roman" w:hAnsi="Courier New" w:cs="Courier New"/>
      <w:color w:val="000000"/>
      <w:sz w:val="20"/>
      <w:szCs w:val="20"/>
      <w:lang w:eastAsia="en-AU"/>
    </w:rPr>
  </w:style>
  <w:style w:type="numbering" w:customStyle="1" w:styleId="OutlineList">
    <w:name w:val="OutlineList"/>
    <w:uiPriority w:val="99"/>
    <w:rsid w:val="003E0E7B"/>
    <w:pPr>
      <w:numPr>
        <w:numId w:val="4"/>
      </w:numPr>
    </w:pPr>
  </w:style>
  <w:style w:type="paragraph" w:customStyle="1" w:styleId="PictureCentred">
    <w:name w:val="Picture Centred"/>
    <w:basedOn w:val="Normal"/>
    <w:rsid w:val="00B55137"/>
    <w:pPr>
      <w:spacing w:line="240" w:lineRule="atLeast"/>
      <w:jc w:val="center"/>
    </w:pPr>
  </w:style>
  <w:style w:type="paragraph" w:customStyle="1" w:styleId="PictureLeft">
    <w:name w:val="Picture Left"/>
    <w:basedOn w:val="PictureCentred"/>
    <w:rsid w:val="00B55137"/>
    <w:pPr>
      <w:jc w:val="left"/>
    </w:pPr>
  </w:style>
  <w:style w:type="paragraph" w:customStyle="1" w:styleId="PictureIndent">
    <w:name w:val="Picture Indent"/>
    <w:basedOn w:val="PictureLeft"/>
    <w:rsid w:val="00B55137"/>
    <w:pPr>
      <w:ind w:left="284"/>
    </w:pPr>
  </w:style>
  <w:style w:type="paragraph" w:styleId="TableofAuthorities">
    <w:name w:val="table of authorities"/>
    <w:basedOn w:val="Normal"/>
    <w:next w:val="Normal"/>
    <w:rsid w:val="00B55137"/>
    <w:pPr>
      <w:ind w:left="200" w:hanging="200"/>
    </w:pPr>
  </w:style>
  <w:style w:type="paragraph" w:styleId="TableofFigures">
    <w:name w:val="table of figures"/>
    <w:basedOn w:val="Normal"/>
    <w:next w:val="Normal"/>
    <w:rsid w:val="00B55137"/>
  </w:style>
  <w:style w:type="paragraph" w:styleId="TOAHeading">
    <w:name w:val="toa heading"/>
    <w:basedOn w:val="Normal"/>
    <w:next w:val="Normal"/>
    <w:semiHidden/>
    <w:rsid w:val="00B55137"/>
    <w:rPr>
      <w:rFonts w:ascii="Arial" w:hAnsi="Arial" w:cs="Arial"/>
      <w:b/>
      <w:bCs/>
      <w:sz w:val="24"/>
      <w:szCs w:val="24"/>
    </w:rPr>
  </w:style>
  <w:style w:type="paragraph" w:styleId="TOC5">
    <w:name w:val="toc 5"/>
    <w:basedOn w:val="Normal"/>
    <w:next w:val="Normal"/>
    <w:autoRedefine/>
    <w:semiHidden/>
    <w:rsid w:val="00F73064"/>
    <w:pPr>
      <w:ind w:left="1040"/>
    </w:pPr>
  </w:style>
  <w:style w:type="paragraph" w:styleId="TOC6">
    <w:name w:val="toc 6"/>
    <w:basedOn w:val="Normal"/>
    <w:next w:val="Normal"/>
    <w:autoRedefine/>
    <w:semiHidden/>
    <w:rsid w:val="00F73064"/>
    <w:pPr>
      <w:ind w:left="1300"/>
    </w:pPr>
  </w:style>
  <w:style w:type="paragraph" w:styleId="TOC7">
    <w:name w:val="toc 7"/>
    <w:basedOn w:val="Normal"/>
    <w:next w:val="Normal"/>
    <w:autoRedefine/>
    <w:semiHidden/>
    <w:rsid w:val="00F73064"/>
    <w:pPr>
      <w:tabs>
        <w:tab w:val="right" w:leader="dot" w:pos="7711"/>
      </w:tabs>
      <w:spacing w:before="240" w:after="0"/>
    </w:pPr>
    <w:rPr>
      <w:rFonts w:ascii="Arial" w:hAnsi="Arial"/>
      <w:smallCaps/>
      <w:color w:val="808000"/>
      <w:sz w:val="24"/>
    </w:rPr>
  </w:style>
  <w:style w:type="paragraph" w:styleId="TOC8">
    <w:name w:val="toc 8"/>
    <w:basedOn w:val="Normal"/>
    <w:next w:val="Normal"/>
    <w:autoRedefine/>
    <w:semiHidden/>
    <w:rsid w:val="00F73064"/>
    <w:pPr>
      <w:tabs>
        <w:tab w:val="right" w:leader="dot" w:pos="7711"/>
      </w:tabs>
      <w:spacing w:after="0"/>
      <w:ind w:left="1134"/>
    </w:pPr>
    <w:rPr>
      <w:noProof/>
    </w:rPr>
  </w:style>
  <w:style w:type="paragraph" w:styleId="TOC9">
    <w:name w:val="toc 9"/>
    <w:basedOn w:val="Normal"/>
    <w:next w:val="Normal"/>
    <w:autoRedefine/>
    <w:semiHidden/>
    <w:rsid w:val="00F73064"/>
    <w:pPr>
      <w:ind w:left="2080"/>
    </w:pPr>
  </w:style>
  <w:style w:type="numbering" w:customStyle="1" w:styleId="BulletedList">
    <w:name w:val="Bulleted List"/>
    <w:uiPriority w:val="99"/>
    <w:rsid w:val="005F5653"/>
    <w:pPr>
      <w:numPr>
        <w:numId w:val="1"/>
      </w:numPr>
    </w:pPr>
  </w:style>
  <w:style w:type="numbering" w:customStyle="1" w:styleId="BoxBulletedList">
    <w:name w:val="Box Bulleted List"/>
    <w:uiPriority w:val="99"/>
    <w:rsid w:val="001A18CF"/>
    <w:pPr>
      <w:numPr>
        <w:numId w:val="19"/>
      </w:numPr>
    </w:pPr>
  </w:style>
  <w:style w:type="numbering" w:customStyle="1" w:styleId="AlphaParagraphList">
    <w:name w:val="Alpha Paragraph List"/>
    <w:uiPriority w:val="99"/>
    <w:rsid w:val="009D0790"/>
    <w:pPr>
      <w:numPr>
        <w:numId w:val="2"/>
      </w:numPr>
    </w:pPr>
  </w:style>
  <w:style w:type="numbering" w:customStyle="1" w:styleId="OneLevelList">
    <w:name w:val="OneLevelList"/>
    <w:uiPriority w:val="99"/>
    <w:rsid w:val="003E0E7B"/>
    <w:pPr>
      <w:numPr>
        <w:numId w:val="3"/>
      </w:numPr>
    </w:pPr>
  </w:style>
  <w:style w:type="numbering" w:customStyle="1" w:styleId="RecommendationBulletList">
    <w:name w:val="RecommendationBulletList"/>
    <w:uiPriority w:val="99"/>
    <w:rsid w:val="00301A52"/>
    <w:pPr>
      <w:numPr>
        <w:numId w:val="5"/>
      </w:numPr>
    </w:pPr>
  </w:style>
  <w:style w:type="numbering" w:customStyle="1" w:styleId="RomanNumeralList">
    <w:name w:val="RomanNumeralList"/>
    <w:uiPriority w:val="99"/>
    <w:rsid w:val="009C7E17"/>
    <w:pPr>
      <w:numPr>
        <w:numId w:val="6"/>
      </w:numPr>
    </w:pPr>
  </w:style>
  <w:style w:type="numbering" w:customStyle="1" w:styleId="ChartandTableFootnoteAlphaList">
    <w:name w:val="ChartandTableFootnoteAlphaList"/>
    <w:uiPriority w:val="99"/>
    <w:rsid w:val="001A18CF"/>
    <w:pPr>
      <w:numPr>
        <w:numId w:val="21"/>
      </w:numPr>
    </w:pPr>
  </w:style>
  <w:style w:type="paragraph" w:customStyle="1" w:styleId="TableTextBullet">
    <w:name w:val="Table Text Bullet"/>
    <w:basedOn w:val="TableTextBase"/>
    <w:rsid w:val="002271BB"/>
    <w:pPr>
      <w:numPr>
        <w:numId w:val="13"/>
      </w:numPr>
    </w:pPr>
  </w:style>
  <w:style w:type="numbering" w:customStyle="1" w:styleId="TableTestBulletList">
    <w:name w:val="Table Test Bullet List"/>
    <w:uiPriority w:val="99"/>
    <w:rsid w:val="00E177C9"/>
    <w:pPr>
      <w:numPr>
        <w:numId w:val="11"/>
      </w:numPr>
    </w:pPr>
  </w:style>
  <w:style w:type="numbering" w:customStyle="1" w:styleId="TableTextBulletList">
    <w:name w:val="Table Text Bullet List"/>
    <w:uiPriority w:val="99"/>
    <w:rsid w:val="005F3390"/>
    <w:pPr>
      <w:numPr>
        <w:numId w:val="12"/>
      </w:numPr>
    </w:pPr>
  </w:style>
  <w:style w:type="paragraph" w:customStyle="1" w:styleId="SecurityClassificationHeader">
    <w:name w:val="Security Classification Header"/>
    <w:link w:val="SecurityClassificationHeaderChar"/>
    <w:rsid w:val="00A57848"/>
    <w:pPr>
      <w:spacing w:before="60" w:after="60" w:line="240" w:lineRule="auto"/>
      <w:jc w:val="center"/>
    </w:pPr>
    <w:rPr>
      <w:rFonts w:eastAsia="Times New Roman" w:cs="Times New Roman"/>
      <w:b/>
      <w:caps/>
      <w:color w:val="2C384A" w:themeColor="accent1"/>
      <w:sz w:val="24"/>
      <w:szCs w:val="20"/>
      <w:lang w:eastAsia="en-AU"/>
    </w:rPr>
  </w:style>
  <w:style w:type="character" w:customStyle="1" w:styleId="SecurityClassificationHeaderChar">
    <w:name w:val="Security Classification Header Char"/>
    <w:basedOn w:val="HeaderChar"/>
    <w:link w:val="SecurityClassificationHeader"/>
    <w:rsid w:val="00A57848"/>
    <w:rPr>
      <w:rFonts w:ascii="Arial" w:eastAsia="Times New Roman" w:hAnsi="Arial" w:cs="Times New Roman"/>
      <w:b/>
      <w:caps/>
      <w:color w:val="2C384A" w:themeColor="accent1"/>
      <w:sz w:val="24"/>
      <w:szCs w:val="20"/>
      <w:lang w:eastAsia="en-AU"/>
    </w:rPr>
  </w:style>
  <w:style w:type="paragraph" w:customStyle="1" w:styleId="SecurityClassificationFooter">
    <w:name w:val="Security Classification Footer"/>
    <w:link w:val="SecurityClassificationFooterChar"/>
    <w:rsid w:val="00A57848"/>
    <w:pPr>
      <w:spacing w:before="60" w:after="40" w:line="240" w:lineRule="auto"/>
      <w:jc w:val="center"/>
    </w:pPr>
    <w:rPr>
      <w:rFonts w:eastAsia="Times New Roman" w:cs="Times New Roman"/>
      <w:b/>
      <w:caps/>
      <w:color w:val="2C384A" w:themeColor="accent1"/>
      <w:sz w:val="24"/>
      <w:szCs w:val="20"/>
      <w:lang w:eastAsia="en-AU"/>
    </w:rPr>
  </w:style>
  <w:style w:type="character" w:customStyle="1" w:styleId="SecurityClassificationFooterChar">
    <w:name w:val="Security Classification Footer Char"/>
    <w:basedOn w:val="HeaderChar"/>
    <w:link w:val="SecurityClassificationFooter"/>
    <w:rsid w:val="00A57848"/>
    <w:rPr>
      <w:rFonts w:ascii="Arial" w:eastAsia="Times New Roman" w:hAnsi="Arial" w:cs="Times New Roman"/>
      <w:b/>
      <w:caps/>
      <w:color w:val="2C384A" w:themeColor="accent1"/>
      <w:sz w:val="24"/>
      <w:szCs w:val="20"/>
      <w:lang w:eastAsia="en-AU"/>
    </w:rPr>
  </w:style>
  <w:style w:type="paragraph" w:customStyle="1" w:styleId="DLMSecurityHeader">
    <w:name w:val="DLM Security Header"/>
    <w:link w:val="DLMSecurityHeaderChar"/>
    <w:rsid w:val="00F012EA"/>
    <w:pPr>
      <w:spacing w:before="60" w:after="240"/>
      <w:jc w:val="center"/>
    </w:pPr>
    <w:rPr>
      <w:rFonts w:ascii="Times New Roman" w:eastAsia="Times New Roman" w:hAnsi="Times New Roman" w:cs="Times New Roman"/>
      <w:b/>
      <w:caps/>
      <w:color w:val="2C384A" w:themeColor="accent1"/>
      <w:sz w:val="24"/>
      <w:szCs w:val="20"/>
      <w:lang w:eastAsia="en-AU"/>
    </w:rPr>
  </w:style>
  <w:style w:type="character" w:customStyle="1" w:styleId="DLMSecurityHeaderChar">
    <w:name w:val="DLM Security Header Char"/>
    <w:basedOn w:val="HeaderChar"/>
    <w:link w:val="DLMSecurityHeader"/>
    <w:rsid w:val="00F012EA"/>
    <w:rPr>
      <w:rFonts w:ascii="Times New Roman" w:eastAsia="Times New Roman" w:hAnsi="Times New Roman" w:cs="Times New Roman"/>
      <w:b/>
      <w:caps/>
      <w:color w:val="2C384A" w:themeColor="accent1"/>
      <w:sz w:val="24"/>
      <w:szCs w:val="20"/>
      <w:lang w:eastAsia="en-AU"/>
    </w:rPr>
  </w:style>
  <w:style w:type="paragraph" w:customStyle="1" w:styleId="DLMSecurityFooter">
    <w:name w:val="DLM Security Footer"/>
    <w:link w:val="DLMSecurityFooterChar"/>
    <w:rsid w:val="00F012EA"/>
    <w:pPr>
      <w:spacing w:before="240" w:after="60"/>
      <w:jc w:val="center"/>
    </w:pPr>
    <w:rPr>
      <w:rFonts w:ascii="Times New Roman" w:eastAsia="Times New Roman" w:hAnsi="Times New Roman" w:cs="Times New Roman"/>
      <w:b/>
      <w:caps/>
      <w:color w:val="2C384A" w:themeColor="accent1"/>
      <w:sz w:val="24"/>
      <w:szCs w:val="20"/>
      <w:lang w:eastAsia="en-AU"/>
    </w:rPr>
  </w:style>
  <w:style w:type="character" w:customStyle="1" w:styleId="DLMSecurityFooterChar">
    <w:name w:val="DLM Security Footer Char"/>
    <w:basedOn w:val="HeaderChar"/>
    <w:link w:val="DLMSecurityFooter"/>
    <w:rsid w:val="00F012EA"/>
    <w:rPr>
      <w:rFonts w:ascii="Times New Roman" w:eastAsia="Times New Roman" w:hAnsi="Times New Roman" w:cs="Times New Roman"/>
      <w:b/>
      <w:caps/>
      <w:color w:val="2C384A" w:themeColor="accent1"/>
      <w:sz w:val="24"/>
      <w:szCs w:val="20"/>
      <w:lang w:eastAsia="en-AU"/>
    </w:rPr>
  </w:style>
  <w:style w:type="paragraph" w:customStyle="1" w:styleId="AuthorName">
    <w:name w:val="Author Name"/>
    <w:basedOn w:val="Normal"/>
    <w:rsid w:val="00153F86"/>
    <w:rPr>
      <w:rFonts w:asciiTheme="minorHAnsi" w:hAnsiTheme="minorHAnsi"/>
      <w:sz w:val="24"/>
    </w:rPr>
  </w:style>
  <w:style w:type="paragraph" w:styleId="Title">
    <w:name w:val="Title"/>
    <w:basedOn w:val="Normal"/>
    <w:next w:val="Normal"/>
    <w:link w:val="TitleChar"/>
    <w:uiPriority w:val="10"/>
    <w:qFormat/>
    <w:rsid w:val="001A18CF"/>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1A18CF"/>
    <w:rPr>
      <w:rFonts w:ascii="Calibri Light" w:eastAsiaTheme="majorEastAsia" w:hAnsi="Calibri Light" w:cstheme="majorBidi"/>
      <w:b/>
      <w:color w:val="FFFFFF" w:themeColor="background1"/>
      <w:spacing w:val="5"/>
      <w:kern w:val="28"/>
      <w:sz w:val="72"/>
      <w:szCs w:val="52"/>
      <w:lang w:eastAsia="en-AU"/>
    </w:rPr>
  </w:style>
  <w:style w:type="paragraph" w:styleId="Subtitle">
    <w:name w:val="Subtitle"/>
    <w:basedOn w:val="HeadingBaseStyle"/>
    <w:link w:val="SubtitleChar"/>
    <w:qFormat/>
    <w:rsid w:val="00153F86"/>
    <w:pPr>
      <w:spacing w:before="360" w:after="360"/>
      <w:outlineLvl w:val="1"/>
    </w:pPr>
    <w:rPr>
      <w:rFonts w:asciiTheme="minorHAnsi" w:hAnsiTheme="minorHAnsi"/>
      <w:b/>
      <w:color w:val="auto"/>
      <w:sz w:val="40"/>
    </w:rPr>
  </w:style>
  <w:style w:type="character" w:customStyle="1" w:styleId="SubtitleChar">
    <w:name w:val="Subtitle Char"/>
    <w:basedOn w:val="DefaultParagraphFont"/>
    <w:link w:val="Subtitle"/>
    <w:rsid w:val="00153F86"/>
    <w:rPr>
      <w:rFonts w:eastAsia="Times New Roman" w:cs="Times New Roman"/>
      <w:b/>
      <w:sz w:val="40"/>
      <w:szCs w:val="20"/>
      <w:lang w:eastAsia="en-AU"/>
    </w:rPr>
  </w:style>
  <w:style w:type="paragraph" w:customStyle="1" w:styleId="SeriesNumber">
    <w:name w:val="Series Number"/>
    <w:basedOn w:val="HeadingBaseStyle"/>
    <w:rsid w:val="00153F86"/>
    <w:pPr>
      <w:spacing w:after="300"/>
    </w:pPr>
    <w:rPr>
      <w:rFonts w:asciiTheme="minorHAnsi" w:hAnsiTheme="minorHAnsi"/>
      <w:color w:val="auto"/>
      <w:sz w:val="32"/>
    </w:rPr>
  </w:style>
  <w:style w:type="character" w:customStyle="1" w:styleId="A5">
    <w:name w:val="A5"/>
    <w:uiPriority w:val="99"/>
    <w:rsid w:val="00F73064"/>
    <w:rPr>
      <w:rFonts w:cs="Swiss 721 BT"/>
      <w:color w:val="000000"/>
      <w:sz w:val="20"/>
      <w:szCs w:val="20"/>
    </w:rPr>
  </w:style>
  <w:style w:type="paragraph" w:customStyle="1" w:styleId="Abstract">
    <w:name w:val="Abstract"/>
    <w:basedOn w:val="Normal"/>
    <w:link w:val="AbstractChar"/>
    <w:qFormat/>
    <w:rsid w:val="00F73064"/>
  </w:style>
  <w:style w:type="character" w:customStyle="1" w:styleId="AbstractChar">
    <w:name w:val="Abstract Char"/>
    <w:basedOn w:val="DefaultParagraphFont"/>
    <w:link w:val="Abstract"/>
    <w:rsid w:val="00F73064"/>
  </w:style>
  <w:style w:type="paragraph" w:customStyle="1" w:styleId="AppendixHeadingLevel2NotNumbered">
    <w:name w:val="Appendix Heading Level 2 Not Numbered"/>
    <w:basedOn w:val="Heading2NotNumbered"/>
    <w:next w:val="Normal"/>
    <w:qFormat/>
    <w:rsid w:val="00225317"/>
    <w:rPr>
      <w:szCs w:val="32"/>
    </w:rPr>
  </w:style>
  <w:style w:type="paragraph" w:customStyle="1" w:styleId="Acknowledgement">
    <w:name w:val="Acknowledgement"/>
    <w:basedOn w:val="Normal"/>
    <w:rsid w:val="00F73064"/>
    <w:pPr>
      <w:spacing w:after="0"/>
    </w:pPr>
  </w:style>
  <w:style w:type="paragraph" w:customStyle="1" w:styleId="Alphanumbered">
    <w:name w:val="Alpha numbered"/>
    <w:basedOn w:val="Normal"/>
    <w:rsid w:val="00F73064"/>
    <w:pPr>
      <w:numPr>
        <w:numId w:val="14"/>
      </w:numPr>
    </w:pPr>
  </w:style>
  <w:style w:type="paragraph" w:customStyle="1" w:styleId="HeadingBaseStyle">
    <w:name w:val="HeadingBaseStyle"/>
    <w:basedOn w:val="Normal"/>
    <w:rsid w:val="003822EE"/>
    <w:pPr>
      <w:keepNext/>
      <w:spacing w:after="0"/>
    </w:pPr>
    <w:rPr>
      <w:rFonts w:ascii="Arial" w:hAnsi="Arial"/>
      <w:color w:val="2C384A" w:themeColor="accent1"/>
    </w:rPr>
  </w:style>
  <w:style w:type="paragraph" w:customStyle="1" w:styleId="AppendixHeadingNotNumbered">
    <w:name w:val="Appendix Heading Not Numbered"/>
    <w:basedOn w:val="HeadingBaseStyle"/>
    <w:rsid w:val="00F73064"/>
    <w:pPr>
      <w:numPr>
        <w:numId w:val="15"/>
      </w:numPr>
      <w:spacing w:before="480" w:after="320"/>
    </w:pPr>
    <w:rPr>
      <w:b/>
      <w:smallCaps/>
      <w:sz w:val="32"/>
      <w:szCs w:val="28"/>
    </w:rPr>
  </w:style>
  <w:style w:type="paragraph" w:customStyle="1" w:styleId="AppendixHeadingLevel2">
    <w:name w:val="Appendix Heading Level 2"/>
    <w:basedOn w:val="AppendixHeadingNotNumbered"/>
    <w:next w:val="Normal"/>
    <w:rsid w:val="00225317"/>
    <w:pPr>
      <w:numPr>
        <w:ilvl w:val="1"/>
      </w:numPr>
      <w:tabs>
        <w:tab w:val="clear" w:pos="1134"/>
      </w:tabs>
      <w:spacing w:before="360" w:after="120"/>
      <w:ind w:left="851" w:hanging="851"/>
    </w:pPr>
    <w:rPr>
      <w:rFonts w:asciiTheme="minorHAnsi" w:hAnsiTheme="minorHAnsi"/>
      <w:b w:val="0"/>
      <w:smallCaps w:val="0"/>
      <w:sz w:val="36"/>
    </w:rPr>
  </w:style>
  <w:style w:type="paragraph" w:customStyle="1" w:styleId="AppendixHeadingLevel3">
    <w:name w:val="Appendix Heading Level 3"/>
    <w:basedOn w:val="Heading3"/>
    <w:next w:val="Normal"/>
    <w:rsid w:val="006C2690"/>
    <w:pPr>
      <w:numPr>
        <w:ilvl w:val="2"/>
        <w:numId w:val="15"/>
      </w:numPr>
    </w:pPr>
  </w:style>
  <w:style w:type="paragraph" w:customStyle="1" w:styleId="AppendixHeadingLevel4">
    <w:name w:val="Appendix Heading Level 4"/>
    <w:basedOn w:val="Heading4"/>
    <w:next w:val="Normal"/>
    <w:rsid w:val="006C2690"/>
    <w:pPr>
      <w:numPr>
        <w:ilvl w:val="3"/>
        <w:numId w:val="15"/>
      </w:numPr>
    </w:pPr>
  </w:style>
  <w:style w:type="paragraph" w:customStyle="1" w:styleId="Attachment">
    <w:name w:val="Attachment"/>
    <w:basedOn w:val="HeadingBaseStyle"/>
    <w:next w:val="Normal"/>
    <w:rsid w:val="00F73064"/>
    <w:pPr>
      <w:spacing w:before="480" w:after="360"/>
    </w:pPr>
    <w:rPr>
      <w:rFonts w:ascii="Arial Bold" w:hAnsi="Arial Bold"/>
      <w:b/>
      <w:smallCaps/>
      <w:sz w:val="32"/>
    </w:rPr>
  </w:style>
  <w:style w:type="character" w:styleId="Emphasis">
    <w:name w:val="Emphasis"/>
    <w:basedOn w:val="DefaultParagraphFont"/>
    <w:qFormat/>
    <w:rsid w:val="00F73064"/>
    <w:rPr>
      <w:i/>
      <w:iCs/>
    </w:rPr>
  </w:style>
  <w:style w:type="paragraph" w:customStyle="1" w:styleId="Equation">
    <w:name w:val="Equation"/>
    <w:basedOn w:val="Normal"/>
    <w:next w:val="Normal"/>
    <w:rsid w:val="00F73064"/>
    <w:pPr>
      <w:ind w:left="357"/>
    </w:pPr>
    <w:rPr>
      <w:rFonts w:ascii="Times New Roman" w:hAnsi="Times New Roman"/>
    </w:rPr>
  </w:style>
  <w:style w:type="paragraph" w:customStyle="1" w:styleId="ExampleBullet">
    <w:name w:val="Example Bullet"/>
    <w:basedOn w:val="Normal"/>
    <w:rsid w:val="00F73064"/>
    <w:pPr>
      <w:numPr>
        <w:numId w:val="17"/>
      </w:numPr>
      <w:spacing w:before="40" w:after="40"/>
    </w:pPr>
    <w:rPr>
      <w:rFonts w:ascii="Arial" w:hAnsi="Arial"/>
      <w:sz w:val="18"/>
    </w:rPr>
  </w:style>
  <w:style w:type="paragraph" w:customStyle="1" w:styleId="Heading2NotNumbered">
    <w:name w:val="Heading 2 Not Numbered"/>
    <w:basedOn w:val="HeadingBase"/>
    <w:next w:val="Normal"/>
    <w:rsid w:val="00225317"/>
    <w:pPr>
      <w:spacing w:before="360"/>
    </w:pPr>
    <w:rPr>
      <w:rFonts w:asciiTheme="minorHAnsi" w:hAnsiTheme="minorHAnsi"/>
      <w:color w:val="2C384A" w:themeColor="accent1"/>
      <w:sz w:val="36"/>
    </w:rPr>
  </w:style>
  <w:style w:type="paragraph" w:customStyle="1" w:styleId="Indented">
    <w:name w:val="Indented"/>
    <w:basedOn w:val="Normal"/>
    <w:rsid w:val="00F73064"/>
    <w:pPr>
      <w:ind w:left="851"/>
    </w:pPr>
  </w:style>
  <w:style w:type="paragraph" w:styleId="IntenseQuote">
    <w:name w:val="Intense Quote"/>
    <w:basedOn w:val="Normal"/>
    <w:next w:val="Normal"/>
    <w:link w:val="IntenseQuoteChar"/>
    <w:uiPriority w:val="30"/>
    <w:rsid w:val="00F73064"/>
    <w:pPr>
      <w:pBdr>
        <w:bottom w:val="single" w:sz="4" w:space="4" w:color="2C384A" w:themeColor="accent1"/>
      </w:pBdr>
      <w:spacing w:before="200" w:after="280"/>
      <w:ind w:left="936" w:right="936"/>
    </w:pPr>
    <w:rPr>
      <w:b/>
      <w:bCs/>
      <w:i/>
      <w:iCs/>
      <w:color w:val="2C384A" w:themeColor="accent1"/>
    </w:rPr>
  </w:style>
  <w:style w:type="character" w:customStyle="1" w:styleId="IntenseQuoteChar">
    <w:name w:val="Intense Quote Char"/>
    <w:basedOn w:val="DefaultParagraphFont"/>
    <w:link w:val="IntenseQuote"/>
    <w:uiPriority w:val="30"/>
    <w:rsid w:val="00F73064"/>
    <w:rPr>
      <w:b/>
      <w:bCs/>
      <w:i/>
      <w:iCs/>
      <w:color w:val="2C384A" w:themeColor="accent1"/>
    </w:rPr>
  </w:style>
  <w:style w:type="paragraph" w:customStyle="1" w:styleId="MTDisplayEquation">
    <w:name w:val="MTDisplayEquation"/>
    <w:basedOn w:val="Normal"/>
    <w:next w:val="Normal"/>
    <w:link w:val="MTDisplayEquationChar"/>
    <w:rsid w:val="00F73064"/>
    <w:pPr>
      <w:tabs>
        <w:tab w:val="center" w:pos="4640"/>
        <w:tab w:val="right" w:pos="9300"/>
      </w:tabs>
    </w:pPr>
  </w:style>
  <w:style w:type="character" w:customStyle="1" w:styleId="MTDisplayEquationChar">
    <w:name w:val="MTDisplayEquation Char"/>
    <w:basedOn w:val="DefaultParagraphFont"/>
    <w:link w:val="MTDisplayEquation"/>
    <w:rsid w:val="00F73064"/>
  </w:style>
  <w:style w:type="character" w:customStyle="1" w:styleId="MTEquationSection">
    <w:name w:val="MTEquationSection"/>
    <w:basedOn w:val="DefaultParagraphFont"/>
    <w:rsid w:val="00F73064"/>
    <w:rPr>
      <w:vanish w:val="0"/>
      <w:color w:val="FF0000"/>
    </w:rPr>
  </w:style>
  <w:style w:type="paragraph" w:customStyle="1" w:styleId="Note">
    <w:name w:val="Note"/>
    <w:basedOn w:val="HeadingBaseStyle"/>
    <w:next w:val="Normal"/>
    <w:rsid w:val="00F73064"/>
    <w:pPr>
      <w:tabs>
        <w:tab w:val="left" w:pos="284"/>
      </w:tabs>
      <w:spacing w:line="260" w:lineRule="exact"/>
    </w:pPr>
    <w:rPr>
      <w:rFonts w:asciiTheme="minorHAnsi" w:hAnsiTheme="minorHAnsi"/>
      <w:color w:val="000000"/>
      <w:sz w:val="20"/>
    </w:rPr>
  </w:style>
  <w:style w:type="paragraph" w:customStyle="1" w:styleId="Noteitalics">
    <w:name w:val="Note italics"/>
    <w:basedOn w:val="Note"/>
    <w:rsid w:val="00F73064"/>
    <w:rPr>
      <w:i/>
    </w:rPr>
  </w:style>
  <w:style w:type="paragraph" w:customStyle="1" w:styleId="NumberedParagraph">
    <w:name w:val="Numbered Paragraph"/>
    <w:basedOn w:val="Normal"/>
    <w:autoRedefine/>
    <w:rsid w:val="00F73064"/>
    <w:pPr>
      <w:numPr>
        <w:numId w:val="18"/>
      </w:numPr>
    </w:pPr>
  </w:style>
  <w:style w:type="character" w:styleId="PlaceholderText">
    <w:name w:val="Placeholder Text"/>
    <w:basedOn w:val="DefaultParagraphFont"/>
    <w:uiPriority w:val="99"/>
    <w:semiHidden/>
    <w:rsid w:val="00F73064"/>
    <w:rPr>
      <w:color w:val="808080"/>
    </w:rPr>
  </w:style>
  <w:style w:type="paragraph" w:customStyle="1" w:styleId="References">
    <w:name w:val="References"/>
    <w:basedOn w:val="Normal"/>
    <w:rsid w:val="00F73064"/>
    <w:pPr>
      <w:widowControl w:val="0"/>
      <w:adjustRightInd w:val="0"/>
      <w:textAlignment w:val="baseline"/>
    </w:pPr>
  </w:style>
  <w:style w:type="paragraph" w:customStyle="1" w:styleId="SeriesMonth">
    <w:name w:val="Series Month"/>
    <w:basedOn w:val="HeadingBaseStyle"/>
    <w:rsid w:val="00F73064"/>
    <w:pPr>
      <w:spacing w:after="240"/>
      <w:jc w:val="center"/>
    </w:pPr>
    <w:rPr>
      <w:rFonts w:ascii="Arial Bold" w:hAnsi="Arial Bold"/>
      <w:b/>
      <w:color w:val="auto"/>
      <w:sz w:val="32"/>
    </w:rPr>
  </w:style>
  <w:style w:type="paragraph" w:customStyle="1" w:styleId="Boxbullet">
    <w:name w:val="Box bullet"/>
    <w:basedOn w:val="Bullet"/>
    <w:qFormat/>
    <w:rsid w:val="001A18CF"/>
    <w:pPr>
      <w:tabs>
        <w:tab w:val="num" w:pos="284"/>
      </w:tabs>
      <w:spacing w:before="60"/>
      <w:ind w:left="170" w:hanging="170"/>
    </w:pPr>
    <w:rPr>
      <w:color w:val="0D0D0D" w:themeColor="text1" w:themeTint="F2"/>
    </w:rPr>
  </w:style>
  <w:style w:type="paragraph" w:customStyle="1" w:styleId="Boxdash">
    <w:name w:val="Box dash"/>
    <w:basedOn w:val="Dash"/>
    <w:qFormat/>
    <w:rsid w:val="001A18CF"/>
    <w:pPr>
      <w:tabs>
        <w:tab w:val="clear" w:pos="567"/>
        <w:tab w:val="num" w:pos="1040"/>
      </w:tabs>
      <w:spacing w:before="60" w:after="0" w:line="276" w:lineRule="auto"/>
      <w:ind w:left="454" w:hanging="170"/>
    </w:pPr>
    <w:rPr>
      <w:rFonts w:eastAsiaTheme="minorHAnsi"/>
      <w:color w:val="0D0D0D" w:themeColor="text1" w:themeTint="F2"/>
      <w:lang w:eastAsia="en-US"/>
    </w:rPr>
  </w:style>
  <w:style w:type="paragraph" w:customStyle="1" w:styleId="Boxdoubledot">
    <w:name w:val="Box double dot"/>
    <w:basedOn w:val="DoubleDot"/>
    <w:qFormat/>
    <w:rsid w:val="001A18CF"/>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1A18CF"/>
    <w:rPr>
      <w:rFonts w:ascii="Calibri Light" w:eastAsia="Times New Roman" w:hAnsi="Calibri Light" w:cs="Times New Roman"/>
      <w:szCs w:val="20"/>
      <w:lang w:eastAsia="en-AU"/>
    </w:rPr>
  </w:style>
  <w:style w:type="character" w:customStyle="1" w:styleId="BulletChar">
    <w:name w:val="Bullet Char"/>
    <w:basedOn w:val="DefaultParagraphFont"/>
    <w:link w:val="Bullet"/>
    <w:locked/>
    <w:rsid w:val="001A18CF"/>
    <w:rPr>
      <w:rFonts w:ascii="Calibri Light" w:eastAsia="Times New Roman" w:hAnsi="Calibri Light" w:cs="Times New Roman"/>
      <w:szCs w:val="20"/>
      <w:lang w:eastAsia="en-AU"/>
    </w:rPr>
  </w:style>
  <w:style w:type="character" w:customStyle="1" w:styleId="DoubleDotChar">
    <w:name w:val="Double Dot Char"/>
    <w:basedOn w:val="DefaultParagraphFont"/>
    <w:link w:val="DoubleDot"/>
    <w:uiPriority w:val="99"/>
    <w:locked/>
    <w:rsid w:val="001A18CF"/>
    <w:rPr>
      <w:rFonts w:ascii="Calibri Light" w:eastAsia="Times New Roman" w:hAnsi="Calibri Light" w:cs="Times New Roman"/>
      <w:szCs w:val="20"/>
      <w:lang w:eastAsia="en-AU"/>
    </w:rPr>
  </w:style>
  <w:style w:type="paragraph" w:customStyle="1" w:styleId="Footnoteseperator">
    <w:name w:val="Footnote seperator"/>
    <w:basedOn w:val="Normal"/>
    <w:link w:val="FootnoteseperatorChar"/>
    <w:qFormat/>
    <w:rsid w:val="001A18CF"/>
    <w:pPr>
      <w:spacing w:before="0" w:after="0"/>
    </w:pPr>
  </w:style>
  <w:style w:type="character" w:customStyle="1" w:styleId="FootnoteseperatorChar">
    <w:name w:val="Footnote seperator Char"/>
    <w:basedOn w:val="DefaultParagraphFont"/>
    <w:link w:val="Footnoteseperator"/>
    <w:rsid w:val="001A18CF"/>
    <w:rPr>
      <w:rFonts w:ascii="Calibri Light" w:eastAsia="Times New Roman" w:hAnsi="Calibri Light" w:cs="Times New Roman"/>
      <w:szCs w:val="20"/>
      <w:lang w:eastAsia="en-AU"/>
    </w:rPr>
  </w:style>
  <w:style w:type="character" w:customStyle="1" w:styleId="SingleParagraphChar">
    <w:name w:val="Single Paragraph Char"/>
    <w:basedOn w:val="DefaultParagraphFont"/>
    <w:link w:val="SingleParagraph"/>
    <w:rsid w:val="001A18CF"/>
    <w:rPr>
      <w:rFonts w:ascii="Calibri Light" w:eastAsia="Times New Roman" w:hAnsi="Calibri Light" w:cs="Times New Roman"/>
      <w:szCs w:val="20"/>
      <w:lang w:eastAsia="en-AU"/>
    </w:rPr>
  </w:style>
  <w:style w:type="character" w:styleId="UnresolvedMention">
    <w:name w:val="Unresolved Mention"/>
    <w:basedOn w:val="DefaultParagraphFont"/>
    <w:uiPriority w:val="99"/>
    <w:semiHidden/>
    <w:unhideWhenUsed/>
    <w:rsid w:val="00C430F0"/>
    <w:rPr>
      <w:color w:val="605E5C"/>
      <w:shd w:val="clear" w:color="auto" w:fill="E1DFDD"/>
    </w:rPr>
  </w:style>
  <w:style w:type="character" w:styleId="IntenseEmphasis">
    <w:name w:val="Intense Emphasis"/>
    <w:basedOn w:val="DefaultParagraphFont"/>
    <w:uiPriority w:val="21"/>
    <w:qFormat/>
    <w:rsid w:val="00C430F0"/>
    <w:rPr>
      <w:b/>
      <w:bCs/>
      <w:i/>
      <w:iCs/>
      <w:color w:val="2C384A" w:themeColor="accent1"/>
    </w:rPr>
  </w:style>
  <w:style w:type="paragraph" w:customStyle="1" w:styleId="Caption1">
    <w:name w:val="Caption1"/>
    <w:basedOn w:val="NoSpacing"/>
    <w:link w:val="Caption1Char"/>
    <w:qFormat/>
    <w:rsid w:val="00C430F0"/>
    <w:pPr>
      <w:keepNext/>
      <w:tabs>
        <w:tab w:val="left" w:pos="4438"/>
      </w:tabs>
      <w:jc w:val="center"/>
    </w:pPr>
    <w:rPr>
      <w:rFonts w:ascii="Arial" w:hAnsi="Arial"/>
      <w:color w:val="003157"/>
      <w:sz w:val="24"/>
      <w:szCs w:val="24"/>
    </w:rPr>
  </w:style>
  <w:style w:type="character" w:customStyle="1" w:styleId="Caption1Char">
    <w:name w:val="Caption1 Char"/>
    <w:basedOn w:val="DefaultParagraphFont"/>
    <w:link w:val="Caption1"/>
    <w:rsid w:val="00C430F0"/>
    <w:rPr>
      <w:rFonts w:ascii="Arial" w:eastAsia="Times New Roman" w:hAnsi="Arial" w:cs="Times New Roman"/>
      <w:color w:val="003157"/>
      <w:sz w:val="24"/>
      <w:szCs w:val="24"/>
      <w:lang w:eastAsia="en-AU"/>
    </w:rPr>
  </w:style>
  <w:style w:type="table" w:styleId="LightShading-Accent1">
    <w:name w:val="Light Shading Accent 1"/>
    <w:basedOn w:val="TableNormal"/>
    <w:uiPriority w:val="60"/>
    <w:rsid w:val="00C430F0"/>
    <w:pPr>
      <w:spacing w:after="0" w:line="240" w:lineRule="auto"/>
    </w:pPr>
    <w:rPr>
      <w:color w:val="212937" w:themeColor="accent1" w:themeShade="BF"/>
    </w:rPr>
    <w:tblPr>
      <w:tblStyleRowBandSize w:val="1"/>
      <w:tblStyleColBandSize w:val="1"/>
      <w:tblBorders>
        <w:top w:val="single" w:sz="8" w:space="0" w:color="2C384A" w:themeColor="accent1"/>
        <w:bottom w:val="single" w:sz="8" w:space="0" w:color="2C384A" w:themeColor="accent1"/>
      </w:tblBorders>
    </w:tblPr>
    <w:tblStylePr w:type="firstRow">
      <w:pPr>
        <w:spacing w:before="0" w:after="0" w:line="240" w:lineRule="auto"/>
      </w:pPr>
      <w:rPr>
        <w:b/>
        <w:bCs/>
      </w:rPr>
      <w:tblPr/>
      <w:tcPr>
        <w:tcBorders>
          <w:top w:val="single" w:sz="8" w:space="0" w:color="2C384A" w:themeColor="accent1"/>
          <w:left w:val="nil"/>
          <w:bottom w:val="single" w:sz="8" w:space="0" w:color="2C384A" w:themeColor="accent1"/>
          <w:right w:val="nil"/>
          <w:insideH w:val="nil"/>
          <w:insideV w:val="nil"/>
        </w:tcBorders>
      </w:tcPr>
    </w:tblStylePr>
    <w:tblStylePr w:type="lastRow">
      <w:pPr>
        <w:spacing w:before="0" w:after="0" w:line="240" w:lineRule="auto"/>
      </w:pPr>
      <w:rPr>
        <w:b/>
        <w:bCs/>
      </w:rPr>
      <w:tblPr/>
      <w:tcPr>
        <w:tcBorders>
          <w:top w:val="single" w:sz="8" w:space="0" w:color="2C384A" w:themeColor="accent1"/>
          <w:left w:val="nil"/>
          <w:bottom w:val="single" w:sz="8" w:space="0" w:color="2C384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CCDA" w:themeFill="accent1" w:themeFillTint="3F"/>
      </w:tcPr>
    </w:tblStylePr>
    <w:tblStylePr w:type="band1Horz">
      <w:tblPr/>
      <w:tcPr>
        <w:tcBorders>
          <w:left w:val="nil"/>
          <w:right w:val="nil"/>
          <w:insideH w:val="nil"/>
          <w:insideV w:val="nil"/>
        </w:tcBorders>
        <w:shd w:val="clear" w:color="auto" w:fill="C2CCDA" w:themeFill="accent1" w:themeFillTint="3F"/>
      </w:tcPr>
    </w:tblStylePr>
  </w:style>
  <w:style w:type="paragraph" w:styleId="NoSpacing">
    <w:name w:val="No Spacing"/>
    <w:link w:val="NoSpacingChar"/>
    <w:uiPriority w:val="1"/>
    <w:qFormat/>
    <w:rsid w:val="00C430F0"/>
    <w:pPr>
      <w:spacing w:after="0" w:line="240" w:lineRule="auto"/>
    </w:pPr>
    <w:rPr>
      <w:rFonts w:ascii="Calibri Light" w:eastAsia="Times New Roman" w:hAnsi="Calibri Light" w:cs="Times New Roman"/>
      <w:szCs w:val="20"/>
      <w:lang w:eastAsia="en-AU"/>
    </w:rPr>
  </w:style>
  <w:style w:type="paragraph" w:customStyle="1" w:styleId="BoxBullet0">
    <w:name w:val="Box Bullet"/>
    <w:basedOn w:val="BoxTextBase"/>
    <w:rsid w:val="00C430F0"/>
    <w:pPr>
      <w:tabs>
        <w:tab w:val="num" w:pos="283"/>
      </w:tabs>
      <w:spacing w:before="0" w:after="220"/>
      <w:ind w:left="283" w:hanging="283"/>
    </w:pPr>
    <w:rPr>
      <w:rFonts w:ascii="Calibri" w:eastAsiaTheme="minorHAnsi" w:hAnsi="Calibri" w:cstheme="minorBidi"/>
      <w:color w:val="000000" w:themeColor="text1"/>
      <w:szCs w:val="22"/>
      <w:lang w:eastAsia="en-US"/>
    </w:rPr>
  </w:style>
  <w:style w:type="paragraph" w:customStyle="1" w:styleId="BoxDash0">
    <w:name w:val="Box Dash"/>
    <w:basedOn w:val="Normal"/>
    <w:rsid w:val="00C430F0"/>
    <w:pPr>
      <w:tabs>
        <w:tab w:val="num" w:pos="567"/>
      </w:tabs>
      <w:spacing w:before="0" w:after="220"/>
      <w:ind w:left="567" w:hanging="284"/>
    </w:pPr>
    <w:rPr>
      <w:rFonts w:ascii="Calibri" w:eastAsiaTheme="minorHAnsi" w:hAnsi="Calibri" w:cstheme="minorBidi"/>
      <w:color w:val="000000" w:themeColor="text1"/>
      <w:szCs w:val="22"/>
      <w:lang w:eastAsia="en-US"/>
    </w:rPr>
  </w:style>
  <w:style w:type="paragraph" w:customStyle="1" w:styleId="BoxDoubleDot0">
    <w:name w:val="Box Double Dot"/>
    <w:basedOn w:val="BoxTextBase"/>
    <w:rsid w:val="00C430F0"/>
    <w:pPr>
      <w:tabs>
        <w:tab w:val="num" w:pos="850"/>
      </w:tabs>
      <w:spacing w:before="0" w:after="220"/>
      <w:ind w:left="850" w:hanging="283"/>
    </w:pPr>
    <w:rPr>
      <w:rFonts w:ascii="Calibri" w:eastAsiaTheme="minorHAnsi" w:hAnsi="Calibri" w:cstheme="minorBidi"/>
      <w:color w:val="000000" w:themeColor="text1"/>
      <w:szCs w:val="22"/>
      <w:lang w:eastAsia="en-US"/>
    </w:rPr>
  </w:style>
  <w:style w:type="paragraph" w:customStyle="1" w:styleId="CoverTitleSub">
    <w:name w:val="Cover Title Sub"/>
    <w:basedOn w:val="HeadingBase"/>
    <w:rsid w:val="00C430F0"/>
    <w:pPr>
      <w:spacing w:after="360"/>
      <w:jc w:val="center"/>
    </w:pPr>
    <w:rPr>
      <w:rFonts w:asciiTheme="majorHAnsi" w:hAnsiTheme="majorHAnsi" w:cs="Times New Roman"/>
      <w:bCs w:val="0"/>
      <w:color w:val="003057"/>
      <w:kern w:val="0"/>
      <w:sz w:val="36"/>
      <w:szCs w:val="20"/>
    </w:rPr>
  </w:style>
  <w:style w:type="paragraph" w:customStyle="1" w:styleId="Covertitlelevel3">
    <w:name w:val="Cover title level 3"/>
    <w:basedOn w:val="CoverTitleSub"/>
    <w:rsid w:val="00C430F0"/>
    <w:pPr>
      <w:spacing w:after="120"/>
    </w:pPr>
    <w:rPr>
      <w:sz w:val="28"/>
      <w:szCs w:val="28"/>
    </w:rPr>
  </w:style>
  <w:style w:type="paragraph" w:customStyle="1" w:styleId="CoverTitleMain">
    <w:name w:val="Cover Title Main"/>
    <w:basedOn w:val="HeadingBase"/>
    <w:next w:val="Normal"/>
    <w:rsid w:val="00C430F0"/>
    <w:pPr>
      <w:spacing w:after="480"/>
      <w:jc w:val="center"/>
    </w:pPr>
    <w:rPr>
      <w:rFonts w:asciiTheme="majorHAnsi" w:hAnsiTheme="majorHAnsi" w:cs="Times New Roman"/>
      <w:b/>
      <w:bCs w:val="0"/>
      <w:color w:val="003057"/>
      <w:kern w:val="0"/>
      <w:szCs w:val="20"/>
    </w:rPr>
  </w:style>
  <w:style w:type="paragraph" w:customStyle="1" w:styleId="Figuregraphic">
    <w:name w:val="Figure graphic"/>
    <w:basedOn w:val="Normal"/>
    <w:rsid w:val="00C430F0"/>
    <w:pPr>
      <w:spacing w:before="0" w:after="220"/>
      <w:jc w:val="center"/>
    </w:pPr>
    <w:rPr>
      <w:rFonts w:ascii="Calibri" w:eastAsiaTheme="minorHAnsi" w:hAnsi="Calibri" w:cstheme="minorBidi"/>
      <w:color w:val="000000" w:themeColor="text1"/>
      <w:szCs w:val="22"/>
      <w:lang w:eastAsia="en-US"/>
    </w:rPr>
  </w:style>
  <w:style w:type="paragraph" w:customStyle="1" w:styleId="FigureHeading">
    <w:name w:val="Figure Heading"/>
    <w:basedOn w:val="HeadingBase"/>
    <w:next w:val="Figuregraphic"/>
    <w:rsid w:val="00C430F0"/>
    <w:pPr>
      <w:spacing w:after="20"/>
      <w:jc w:val="center"/>
    </w:pPr>
    <w:rPr>
      <w:rFonts w:ascii="Arial Bold" w:hAnsi="Arial Bold" w:cs="Times New Roman"/>
      <w:b/>
      <w:bCs w:val="0"/>
      <w:color w:val="003057"/>
      <w:kern w:val="0"/>
      <w:sz w:val="22"/>
      <w:szCs w:val="22"/>
    </w:rPr>
  </w:style>
  <w:style w:type="paragraph" w:customStyle="1" w:styleId="FigureSecondHeading">
    <w:name w:val="Figure Second Heading"/>
    <w:basedOn w:val="HeadingBase"/>
    <w:next w:val="Figuregraphic"/>
    <w:rsid w:val="00C430F0"/>
    <w:pPr>
      <w:spacing w:after="20"/>
      <w:jc w:val="center"/>
    </w:pPr>
    <w:rPr>
      <w:rFonts w:asciiTheme="majorHAnsi" w:hAnsiTheme="majorHAnsi" w:cs="Times New Roman"/>
      <w:bCs w:val="0"/>
      <w:color w:val="003057"/>
      <w:kern w:val="0"/>
      <w:sz w:val="20"/>
      <w:szCs w:val="20"/>
    </w:rPr>
  </w:style>
  <w:style w:type="paragraph" w:customStyle="1" w:styleId="NormalIndentItalics">
    <w:name w:val="Normal Indent Italics"/>
    <w:basedOn w:val="NormalIndent"/>
    <w:rsid w:val="00C430F0"/>
    <w:pPr>
      <w:spacing w:before="0" w:after="220"/>
    </w:pPr>
    <w:rPr>
      <w:rFonts w:eastAsiaTheme="minorHAnsi" w:cstheme="minorBidi"/>
      <w:i/>
      <w:color w:val="000000" w:themeColor="text1"/>
      <w:szCs w:val="22"/>
      <w:lang w:eastAsia="en-US"/>
    </w:rPr>
  </w:style>
  <w:style w:type="paragraph" w:customStyle="1" w:styleId="Principle">
    <w:name w:val="Principle"/>
    <w:basedOn w:val="Normal"/>
    <w:rsid w:val="00C430F0"/>
    <w:pPr>
      <w:keepNext/>
      <w:spacing w:before="0" w:after="60"/>
      <w:ind w:left="573"/>
    </w:pPr>
    <w:rPr>
      <w:rFonts w:ascii="Book Antiqua" w:eastAsiaTheme="minorHAnsi" w:hAnsi="Book Antiqua" w:cstheme="minorBidi"/>
      <w:i/>
      <w:color w:val="000000" w:themeColor="text1"/>
      <w:sz w:val="20"/>
      <w:szCs w:val="22"/>
      <w:lang w:eastAsia="en-US"/>
    </w:rPr>
  </w:style>
  <w:style w:type="paragraph" w:customStyle="1" w:styleId="RecommendationTextBase">
    <w:name w:val="Recommendation Text Base"/>
    <w:basedOn w:val="Normal"/>
    <w:rsid w:val="00C430F0"/>
    <w:pPr>
      <w:spacing w:before="0" w:after="220"/>
    </w:pPr>
    <w:rPr>
      <w:rFonts w:ascii="Calibri" w:eastAsiaTheme="minorHAnsi" w:hAnsi="Calibri" w:cstheme="minorBidi"/>
      <w:i/>
      <w:color w:val="000000" w:themeColor="text1"/>
      <w:szCs w:val="22"/>
      <w:lang w:eastAsia="en-US"/>
    </w:rPr>
  </w:style>
  <w:style w:type="paragraph" w:customStyle="1" w:styleId="RecommendationBullet">
    <w:name w:val="Recommendation Bullet"/>
    <w:basedOn w:val="RecommendationTextBase"/>
    <w:rsid w:val="00C430F0"/>
    <w:pPr>
      <w:tabs>
        <w:tab w:val="num" w:pos="284"/>
      </w:tabs>
      <w:ind w:left="284" w:hanging="284"/>
    </w:pPr>
  </w:style>
  <w:style w:type="paragraph" w:customStyle="1" w:styleId="RecommendationDash">
    <w:name w:val="Recommendation Dash"/>
    <w:basedOn w:val="RecommendationTextBase"/>
    <w:rsid w:val="00C430F0"/>
    <w:pPr>
      <w:tabs>
        <w:tab w:val="num" w:pos="567"/>
      </w:tabs>
      <w:ind w:left="567" w:hanging="283"/>
    </w:pPr>
  </w:style>
  <w:style w:type="paragraph" w:customStyle="1" w:styleId="RecommendationDoubleDot">
    <w:name w:val="Recommendation Double Dot"/>
    <w:basedOn w:val="RecommendationTextBase"/>
    <w:rsid w:val="00C430F0"/>
    <w:pPr>
      <w:tabs>
        <w:tab w:val="num" w:pos="851"/>
      </w:tabs>
      <w:ind w:left="851" w:hanging="284"/>
    </w:pPr>
  </w:style>
  <w:style w:type="paragraph" w:customStyle="1" w:styleId="RecommendationHeading">
    <w:name w:val="Recommendation Heading"/>
    <w:basedOn w:val="HeadingBase"/>
    <w:next w:val="Normal"/>
    <w:rsid w:val="00C430F0"/>
    <w:pPr>
      <w:spacing w:before="120" w:after="240"/>
    </w:pPr>
    <w:rPr>
      <w:rFonts w:asciiTheme="majorHAnsi" w:hAnsiTheme="majorHAnsi" w:cs="Times New Roman"/>
      <w:b/>
      <w:bCs w:val="0"/>
      <w:color w:val="003057"/>
      <w:kern w:val="0"/>
      <w:sz w:val="22"/>
      <w:szCs w:val="20"/>
    </w:rPr>
  </w:style>
  <w:style w:type="paragraph" w:customStyle="1" w:styleId="RecommendationText">
    <w:name w:val="Recommendation Text"/>
    <w:basedOn w:val="RecommendationTextBase"/>
    <w:rsid w:val="00C430F0"/>
  </w:style>
  <w:style w:type="paragraph" w:customStyle="1" w:styleId="SingleParagraphIndent">
    <w:name w:val="Single Paragraph Indent"/>
    <w:basedOn w:val="SingleParagraph"/>
    <w:rsid w:val="00C430F0"/>
    <w:pPr>
      <w:ind w:left="567"/>
    </w:pPr>
    <w:rPr>
      <w:rFonts w:ascii="Calibri" w:eastAsiaTheme="minorHAnsi" w:hAnsi="Calibri" w:cstheme="minorBidi"/>
      <w:color w:val="000000" w:themeColor="text1"/>
      <w:szCs w:val="22"/>
      <w:lang w:eastAsia="en-US"/>
    </w:rPr>
  </w:style>
  <w:style w:type="paragraph" w:styleId="BodyTextIndent2">
    <w:name w:val="Body Text Indent 2"/>
    <w:basedOn w:val="Normal"/>
    <w:link w:val="BodyTextIndent2Char"/>
    <w:rsid w:val="00C430F0"/>
    <w:pPr>
      <w:spacing w:before="0" w:line="480" w:lineRule="auto"/>
      <w:ind w:left="283"/>
    </w:pPr>
    <w:rPr>
      <w:rFonts w:ascii="Calibri" w:eastAsiaTheme="minorHAnsi" w:hAnsi="Calibri" w:cstheme="minorBidi"/>
      <w:color w:val="000000" w:themeColor="text1"/>
      <w:szCs w:val="22"/>
      <w:lang w:eastAsia="en-US"/>
    </w:rPr>
  </w:style>
  <w:style w:type="character" w:customStyle="1" w:styleId="BodyTextIndent2Char">
    <w:name w:val="Body Text Indent 2 Char"/>
    <w:basedOn w:val="DefaultParagraphFont"/>
    <w:link w:val="BodyTextIndent2"/>
    <w:rsid w:val="00C430F0"/>
    <w:rPr>
      <w:rFonts w:ascii="Calibri" w:hAnsi="Calibri"/>
      <w:color w:val="000000" w:themeColor="text1"/>
    </w:rPr>
  </w:style>
  <w:style w:type="paragraph" w:styleId="Caption">
    <w:name w:val="caption"/>
    <w:basedOn w:val="Normal"/>
    <w:next w:val="Normal"/>
    <w:unhideWhenUsed/>
    <w:qFormat/>
    <w:rsid w:val="00C430F0"/>
    <w:pPr>
      <w:spacing w:before="0" w:after="220"/>
    </w:pPr>
    <w:rPr>
      <w:rFonts w:ascii="Calibri" w:eastAsiaTheme="minorHAnsi" w:hAnsi="Calibri" w:cstheme="minorBidi"/>
      <w:b/>
      <w:bCs/>
      <w:color w:val="003157"/>
      <w:sz w:val="18"/>
      <w:szCs w:val="18"/>
      <w:lang w:eastAsia="en-US"/>
    </w:rPr>
  </w:style>
  <w:style w:type="character" w:styleId="CommentReference">
    <w:name w:val="annotation reference"/>
    <w:basedOn w:val="DefaultParagraphFont"/>
    <w:uiPriority w:val="99"/>
    <w:rsid w:val="00C430F0"/>
    <w:rPr>
      <w:sz w:val="16"/>
      <w:szCs w:val="16"/>
    </w:rPr>
  </w:style>
  <w:style w:type="paragraph" w:styleId="CommentText">
    <w:name w:val="annotation text"/>
    <w:basedOn w:val="Normal"/>
    <w:link w:val="CommentTextChar"/>
    <w:rsid w:val="00C430F0"/>
    <w:pPr>
      <w:spacing w:before="0" w:after="220"/>
    </w:pPr>
    <w:rPr>
      <w:rFonts w:ascii="Calibri" w:eastAsiaTheme="minorHAnsi" w:hAnsi="Calibri" w:cstheme="minorBidi"/>
      <w:color w:val="000000" w:themeColor="text1"/>
      <w:sz w:val="20"/>
      <w:szCs w:val="22"/>
      <w:lang w:eastAsia="en-US"/>
    </w:rPr>
  </w:style>
  <w:style w:type="character" w:customStyle="1" w:styleId="CommentTextChar">
    <w:name w:val="Comment Text Char"/>
    <w:basedOn w:val="DefaultParagraphFont"/>
    <w:link w:val="CommentText"/>
    <w:rsid w:val="00C430F0"/>
    <w:rPr>
      <w:rFonts w:ascii="Calibri" w:hAnsi="Calibri"/>
      <w:color w:val="000000" w:themeColor="text1"/>
      <w:sz w:val="20"/>
    </w:rPr>
  </w:style>
  <w:style w:type="paragraph" w:styleId="CommentSubject">
    <w:name w:val="annotation subject"/>
    <w:basedOn w:val="CommentText"/>
    <w:next w:val="CommentText"/>
    <w:link w:val="CommentSubjectChar"/>
    <w:rsid w:val="00C430F0"/>
    <w:rPr>
      <w:b/>
      <w:bCs/>
    </w:rPr>
  </w:style>
  <w:style w:type="character" w:customStyle="1" w:styleId="CommentSubjectChar">
    <w:name w:val="Comment Subject Char"/>
    <w:basedOn w:val="CommentTextChar"/>
    <w:link w:val="CommentSubject"/>
    <w:rsid w:val="00C430F0"/>
    <w:rPr>
      <w:rFonts w:ascii="Calibri" w:hAnsi="Calibri"/>
      <w:b/>
      <w:bCs/>
      <w:color w:val="000000" w:themeColor="text1"/>
      <w:sz w:val="20"/>
    </w:rPr>
  </w:style>
  <w:style w:type="paragraph" w:customStyle="1" w:styleId="StyleTableTextBulletLinespacingExactly13pt">
    <w:name w:val="Style Table Text Bullet + Line spacing:  Exactly 13 pt"/>
    <w:basedOn w:val="TableTextBullet"/>
    <w:rsid w:val="00C430F0"/>
    <w:pPr>
      <w:numPr>
        <w:numId w:val="0"/>
      </w:numPr>
      <w:spacing w:after="80" w:line="260" w:lineRule="exact"/>
    </w:pPr>
    <w:rPr>
      <w:rFonts w:asciiTheme="minorHAnsi" w:hAnsiTheme="minorHAnsi"/>
      <w:sz w:val="20"/>
    </w:rPr>
  </w:style>
  <w:style w:type="paragraph" w:customStyle="1" w:styleId="CaptionandTableFootnoteAlpha">
    <w:name w:val="Caption and Table Footnote Alpha"/>
    <w:basedOn w:val="HeadingBaseStyle"/>
    <w:next w:val="Normal"/>
    <w:rsid w:val="00C430F0"/>
    <w:pPr>
      <w:spacing w:before="0" w:line="260" w:lineRule="exact"/>
      <w:ind w:left="360" w:hanging="360"/>
    </w:pPr>
    <w:rPr>
      <w:rFonts w:asciiTheme="minorHAnsi" w:eastAsiaTheme="minorHAnsi" w:hAnsiTheme="minorHAnsi" w:cstheme="minorBidi"/>
      <w:color w:val="auto"/>
      <w:kern w:val="28"/>
      <w:sz w:val="20"/>
      <w:szCs w:val="22"/>
      <w:lang w:eastAsia="en-US"/>
    </w:rPr>
  </w:style>
  <w:style w:type="paragraph" w:customStyle="1" w:styleId="Captiongraphic">
    <w:name w:val="Caption graphic"/>
    <w:basedOn w:val="HeadingBaseStyle"/>
    <w:next w:val="Normal"/>
    <w:rsid w:val="00C430F0"/>
    <w:pPr>
      <w:spacing w:before="0" w:after="20"/>
      <w:jc w:val="center"/>
    </w:pPr>
    <w:rPr>
      <w:rFonts w:eastAsiaTheme="minorHAnsi" w:cstheme="minorBidi"/>
      <w:color w:val="auto"/>
      <w:sz w:val="24"/>
      <w:szCs w:val="22"/>
      <w:lang w:eastAsia="en-US"/>
    </w:rPr>
  </w:style>
  <w:style w:type="paragraph" w:customStyle="1" w:styleId="CaptionHeading1">
    <w:name w:val="Caption Heading 1"/>
    <w:basedOn w:val="Normal"/>
    <w:next w:val="Captiongraphic"/>
    <w:rsid w:val="00C430F0"/>
    <w:pPr>
      <w:keepNext/>
      <w:spacing w:after="0"/>
      <w:jc w:val="center"/>
    </w:pPr>
    <w:rPr>
      <w:rFonts w:ascii="Arial" w:eastAsiaTheme="minorHAnsi" w:hAnsi="Arial" w:cstheme="minorBidi"/>
      <w:color w:val="003157"/>
      <w:sz w:val="24"/>
      <w:szCs w:val="22"/>
      <w:lang w:eastAsia="en-US"/>
    </w:rPr>
  </w:style>
  <w:style w:type="paragraph" w:customStyle="1" w:styleId="CaptionHeading2">
    <w:name w:val="Caption Heading 2"/>
    <w:basedOn w:val="Normal"/>
    <w:rsid w:val="00C430F0"/>
    <w:pPr>
      <w:keepNext/>
      <w:spacing w:before="0" w:after="0"/>
      <w:jc w:val="center"/>
    </w:pPr>
    <w:rPr>
      <w:rFonts w:ascii="Arial" w:eastAsiaTheme="minorHAnsi" w:hAnsi="Arial" w:cstheme="minorBidi"/>
      <w:color w:val="003157"/>
      <w:sz w:val="20"/>
      <w:szCs w:val="22"/>
      <w:lang w:eastAsia="en-US"/>
    </w:rPr>
  </w:style>
  <w:style w:type="paragraph" w:customStyle="1" w:styleId="CaptionHeading3">
    <w:name w:val="Caption Heading 3"/>
    <w:basedOn w:val="CaptionHeading2"/>
    <w:next w:val="Captiongraphic"/>
    <w:rsid w:val="00C430F0"/>
    <w:rPr>
      <w:rFonts w:ascii="Arial Bold" w:hAnsi="Arial Bold"/>
      <w:b/>
      <w:color w:val="000000"/>
    </w:rPr>
  </w:style>
  <w:style w:type="character" w:customStyle="1" w:styleId="NoSpacingChar">
    <w:name w:val="No Spacing Char"/>
    <w:basedOn w:val="DefaultParagraphFont"/>
    <w:link w:val="NoSpacing"/>
    <w:uiPriority w:val="1"/>
    <w:rsid w:val="00C430F0"/>
    <w:rPr>
      <w:rFonts w:ascii="Calibri Light" w:eastAsia="Times New Roman" w:hAnsi="Calibri Light" w:cs="Times New Roman"/>
      <w:szCs w:val="20"/>
      <w:lang w:eastAsia="en-AU"/>
    </w:rPr>
  </w:style>
  <w:style w:type="paragraph" w:customStyle="1" w:styleId="ClassificationandMetadata">
    <w:name w:val="Classification and Metadata"/>
    <w:basedOn w:val="HeadingBaseStyle"/>
    <w:rsid w:val="00C430F0"/>
    <w:pPr>
      <w:spacing w:before="0" w:after="240" w:line="260" w:lineRule="exact"/>
    </w:pPr>
    <w:rPr>
      <w:rFonts w:eastAsiaTheme="minorHAnsi" w:cstheme="minorBidi"/>
      <w:color w:val="auto"/>
      <w:sz w:val="24"/>
      <w:szCs w:val="22"/>
      <w:lang w:eastAsia="en-US"/>
    </w:rPr>
  </w:style>
  <w:style w:type="paragraph" w:customStyle="1" w:styleId="Heading3NotNumbered">
    <w:name w:val="Heading 3 Not Numbered"/>
    <w:basedOn w:val="Heading4"/>
    <w:rsid w:val="00C430F0"/>
    <w:pPr>
      <w:tabs>
        <w:tab w:val="left" w:pos="680"/>
      </w:tabs>
      <w:spacing w:before="0" w:after="120" w:line="240" w:lineRule="auto"/>
    </w:pPr>
    <w:rPr>
      <w:rFonts w:ascii="Arial" w:eastAsiaTheme="minorHAnsi" w:hAnsi="Arial" w:cstheme="minorBidi"/>
      <w:color w:val="003157"/>
      <w:kern w:val="0"/>
      <w:sz w:val="28"/>
      <w:szCs w:val="22"/>
      <w:lang w:val="en-US"/>
    </w:rPr>
  </w:style>
  <w:style w:type="character" w:customStyle="1" w:styleId="NormalBold">
    <w:name w:val="Normal Bold"/>
    <w:basedOn w:val="DefaultParagraphFont"/>
    <w:rsid w:val="00C430F0"/>
    <w:rPr>
      <w:rFonts w:ascii="Calibri" w:hAnsi="Calibri"/>
      <w:b/>
      <w:sz w:val="22"/>
    </w:rPr>
  </w:style>
  <w:style w:type="character" w:customStyle="1" w:styleId="Normalitalics">
    <w:name w:val="Normal italics"/>
    <w:basedOn w:val="DefaultParagraphFont"/>
    <w:rsid w:val="00C430F0"/>
    <w:rPr>
      <w:i/>
    </w:rPr>
  </w:style>
  <w:style w:type="paragraph" w:customStyle="1" w:styleId="Tablegraphic0">
    <w:name w:val="Table graphic"/>
    <w:basedOn w:val="HeadingBaseStyle"/>
    <w:next w:val="Normal"/>
    <w:rsid w:val="00C430F0"/>
    <w:pPr>
      <w:spacing w:before="0" w:after="20"/>
      <w:ind w:right="-113"/>
    </w:pPr>
    <w:rPr>
      <w:rFonts w:eastAsiaTheme="minorHAnsi" w:cstheme="minorBidi"/>
      <w:color w:val="auto"/>
      <w:sz w:val="24"/>
      <w:szCs w:val="22"/>
      <w:lang w:eastAsia="en-US"/>
    </w:rPr>
  </w:style>
  <w:style w:type="paragraph" w:customStyle="1" w:styleId="TableHeading1">
    <w:name w:val="Table Heading 1"/>
    <w:basedOn w:val="HeadingBaseStyle"/>
    <w:next w:val="Tablegraphic0"/>
    <w:rsid w:val="00C430F0"/>
    <w:pPr>
      <w:spacing w:after="20"/>
      <w:jc w:val="center"/>
    </w:pPr>
    <w:rPr>
      <w:rFonts w:eastAsiaTheme="minorHAnsi" w:cstheme="minorBidi"/>
      <w:color w:val="003157"/>
      <w:sz w:val="24"/>
      <w:szCs w:val="22"/>
      <w:lang w:eastAsia="en-US"/>
    </w:rPr>
  </w:style>
  <w:style w:type="paragraph" w:customStyle="1" w:styleId="Tableheading2">
    <w:name w:val="Table heading 2"/>
    <w:basedOn w:val="TableHeading1"/>
    <w:next w:val="Tablegraphic0"/>
    <w:rsid w:val="00C430F0"/>
    <w:pPr>
      <w:spacing w:before="0"/>
    </w:pPr>
    <w:rPr>
      <w:sz w:val="22"/>
    </w:rPr>
  </w:style>
  <w:style w:type="paragraph" w:customStyle="1" w:styleId="TableHeadingcontinued">
    <w:name w:val="Table Heading continued"/>
    <w:basedOn w:val="HeadingBaseStyle"/>
    <w:next w:val="Tablegraphic0"/>
    <w:rsid w:val="00C430F0"/>
    <w:pPr>
      <w:spacing w:before="0"/>
      <w:jc w:val="center"/>
    </w:pPr>
    <w:rPr>
      <w:rFonts w:eastAsiaTheme="minorHAnsi" w:cstheme="minorBidi"/>
      <w:color w:val="003157"/>
      <w:szCs w:val="22"/>
      <w:lang w:eastAsia="en-US"/>
    </w:rPr>
  </w:style>
  <w:style w:type="paragraph" w:customStyle="1" w:styleId="Tabletextcentred">
    <w:name w:val="Table text centred"/>
    <w:basedOn w:val="TableTextBase"/>
    <w:rsid w:val="00C430F0"/>
    <w:pPr>
      <w:jc w:val="center"/>
    </w:pPr>
    <w:rPr>
      <w:rFonts w:asciiTheme="minorHAnsi" w:hAnsiTheme="minorHAnsi"/>
      <w:sz w:val="20"/>
    </w:rPr>
  </w:style>
  <w:style w:type="paragraph" w:customStyle="1" w:styleId="Tabletextleft0">
    <w:name w:val="Table text left"/>
    <w:basedOn w:val="TableTextBase"/>
    <w:rsid w:val="00C430F0"/>
    <w:rPr>
      <w:rFonts w:asciiTheme="minorHAnsi" w:hAnsiTheme="minorHAnsi"/>
      <w:sz w:val="20"/>
    </w:rPr>
  </w:style>
  <w:style w:type="character" w:customStyle="1" w:styleId="DashChar">
    <w:name w:val="Dash Char"/>
    <w:basedOn w:val="DefaultParagraphFont"/>
    <w:link w:val="Dash"/>
    <w:rsid w:val="00C430F0"/>
    <w:rPr>
      <w:rFonts w:ascii="Calibri Light" w:eastAsia="Times New Roman" w:hAnsi="Calibri Light" w:cs="Times New Roman"/>
      <w:szCs w:val="20"/>
      <w:lang w:eastAsia="en-AU"/>
    </w:rPr>
  </w:style>
  <w:style w:type="character" w:styleId="Strong">
    <w:name w:val="Strong"/>
    <w:basedOn w:val="DefaultParagraphFont"/>
    <w:uiPriority w:val="22"/>
    <w:qFormat/>
    <w:rsid w:val="00C430F0"/>
    <w:rPr>
      <w:b/>
      <w:bCs/>
    </w:rPr>
  </w:style>
  <w:style w:type="character" w:customStyle="1" w:styleId="HeaderChar1">
    <w:name w:val="Header Char1"/>
    <w:basedOn w:val="DefaultParagraphFont"/>
    <w:uiPriority w:val="99"/>
    <w:semiHidden/>
    <w:rsid w:val="00C430F0"/>
  </w:style>
  <w:style w:type="character" w:customStyle="1" w:styleId="FooterChar1">
    <w:name w:val="Footer Char1"/>
    <w:basedOn w:val="DefaultParagraphFont"/>
    <w:uiPriority w:val="99"/>
    <w:semiHidden/>
    <w:rsid w:val="00C430F0"/>
  </w:style>
  <w:style w:type="table" w:styleId="LightShading">
    <w:name w:val="Light Shading"/>
    <w:basedOn w:val="TableNormal"/>
    <w:uiPriority w:val="60"/>
    <w:rsid w:val="00C430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C430F0"/>
    <w:pPr>
      <w:spacing w:after="0" w:line="240" w:lineRule="auto"/>
    </w:pPr>
    <w:rPr>
      <w:rFonts w:ascii="Calibri" w:hAnsi="Calibri"/>
      <w:color w:val="000000" w:themeColor="text1"/>
    </w:rPr>
  </w:style>
  <w:style w:type="table" w:customStyle="1" w:styleId="LightShading1">
    <w:name w:val="Light Shading1"/>
    <w:basedOn w:val="TableNormal"/>
    <w:next w:val="LightShading"/>
    <w:uiPriority w:val="60"/>
    <w:rsid w:val="00C430F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C430F0"/>
    <w:pPr>
      <w:spacing w:after="0" w:line="240" w:lineRule="auto"/>
    </w:pPr>
    <w:rPr>
      <w:color w:val="395948" w:themeColor="accent2" w:themeShade="BF"/>
    </w:rPr>
    <w:tblPr>
      <w:tblStyleRowBandSize w:val="1"/>
      <w:tblStyleColBandSize w:val="1"/>
      <w:tblBorders>
        <w:top w:val="single" w:sz="8" w:space="0" w:color="4D7861" w:themeColor="accent2"/>
        <w:bottom w:val="single" w:sz="8" w:space="0" w:color="4D7861" w:themeColor="accent2"/>
      </w:tblBorders>
    </w:tblPr>
    <w:tblStylePr w:type="firstRow">
      <w:pPr>
        <w:spacing w:before="0" w:after="0" w:line="240" w:lineRule="auto"/>
      </w:pPr>
      <w:rPr>
        <w:b/>
        <w:bCs/>
      </w:rPr>
      <w:tblPr/>
      <w:tcPr>
        <w:tcBorders>
          <w:top w:val="single" w:sz="8" w:space="0" w:color="4D7861" w:themeColor="accent2"/>
          <w:left w:val="nil"/>
          <w:bottom w:val="single" w:sz="8" w:space="0" w:color="4D7861" w:themeColor="accent2"/>
          <w:right w:val="nil"/>
          <w:insideH w:val="nil"/>
          <w:insideV w:val="nil"/>
        </w:tcBorders>
      </w:tcPr>
    </w:tblStylePr>
    <w:tblStylePr w:type="lastRow">
      <w:pPr>
        <w:spacing w:before="0" w:after="0" w:line="240" w:lineRule="auto"/>
      </w:pPr>
      <w:rPr>
        <w:b/>
        <w:bCs/>
      </w:rPr>
      <w:tblPr/>
      <w:tcPr>
        <w:tcBorders>
          <w:top w:val="single" w:sz="8" w:space="0" w:color="4D7861" w:themeColor="accent2"/>
          <w:left w:val="nil"/>
          <w:bottom w:val="single" w:sz="8" w:space="0" w:color="4D78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0D7" w:themeFill="accent2" w:themeFillTint="3F"/>
      </w:tcPr>
    </w:tblStylePr>
    <w:tblStylePr w:type="band1Horz">
      <w:tblPr/>
      <w:tcPr>
        <w:tcBorders>
          <w:left w:val="nil"/>
          <w:right w:val="nil"/>
          <w:insideH w:val="nil"/>
          <w:insideV w:val="nil"/>
        </w:tcBorders>
        <w:shd w:val="clear" w:color="auto" w:fill="CFE0D7" w:themeFill="accent2" w:themeFillTint="3F"/>
      </w:tcPr>
    </w:tblStylePr>
  </w:style>
  <w:style w:type="table" w:customStyle="1" w:styleId="TableGrid2">
    <w:name w:val="Table Grid2"/>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C430F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30F0"/>
    <w:pPr>
      <w:spacing w:before="0" w:after="220"/>
      <w:ind w:left="720"/>
      <w:contextualSpacing/>
    </w:pPr>
    <w:rPr>
      <w:rFonts w:ascii="Calibri" w:eastAsiaTheme="minorHAnsi" w:hAnsi="Calibri" w:cstheme="minorBidi"/>
      <w:color w:val="000000" w:themeColor="text1"/>
      <w:szCs w:val="22"/>
      <w:lang w:eastAsia="en-US"/>
    </w:rPr>
  </w:style>
  <w:style w:type="character" w:customStyle="1" w:styleId="OutlineNumbered1Char">
    <w:name w:val="Outline Numbered 1 Char"/>
    <w:basedOn w:val="DefaultParagraphFont"/>
    <w:link w:val="OutlineNumbered1"/>
    <w:rsid w:val="00C430F0"/>
    <w:rPr>
      <w:rFonts w:ascii="Calibri Light" w:eastAsia="Times New Roman" w:hAnsi="Calibri Light" w:cs="Times New Roman"/>
      <w:szCs w:val="20"/>
      <w:lang w:eastAsia="en-AU"/>
    </w:rPr>
  </w:style>
  <w:style w:type="character" w:customStyle="1" w:styleId="MTConvertedEquation">
    <w:name w:val="MTConvertedEquation"/>
    <w:basedOn w:val="DefaultParagraphFont"/>
    <w:rsid w:val="00C430F0"/>
  </w:style>
  <w:style w:type="table" w:styleId="TableGridLight">
    <w:name w:val="Grid Table Light"/>
    <w:basedOn w:val="TableNormal"/>
    <w:uiPriority w:val="40"/>
    <w:rsid w:val="00C430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ReportDate">
    <w:name w:val="Report Date"/>
    <w:basedOn w:val="Normal"/>
    <w:link w:val="ReportDateChar"/>
    <w:rsid w:val="00C430F0"/>
    <w:pPr>
      <w:keepNext/>
      <w:spacing w:before="0" w:after="360"/>
    </w:pPr>
    <w:rPr>
      <w:color w:val="2C384A" w:themeColor="accent1"/>
      <w:sz w:val="32"/>
    </w:rPr>
  </w:style>
  <w:style w:type="paragraph" w:customStyle="1" w:styleId="Heading1Numbered">
    <w:name w:val="Heading 1 Numbered"/>
    <w:basedOn w:val="Heading1"/>
    <w:next w:val="Normal"/>
    <w:rsid w:val="00C430F0"/>
    <w:pPr>
      <w:numPr>
        <w:numId w:val="36"/>
      </w:numPr>
      <w:spacing w:before="120"/>
    </w:pPr>
    <w:rPr>
      <w:bCs w:val="0"/>
    </w:rPr>
  </w:style>
  <w:style w:type="paragraph" w:customStyle="1" w:styleId="Heading2Numbered">
    <w:name w:val="Heading 2 Numbered"/>
    <w:basedOn w:val="Heading2"/>
    <w:next w:val="Normal"/>
    <w:rsid w:val="00C430F0"/>
    <w:pPr>
      <w:numPr>
        <w:ilvl w:val="1"/>
        <w:numId w:val="36"/>
      </w:numPr>
    </w:pPr>
  </w:style>
  <w:style w:type="paragraph" w:customStyle="1" w:styleId="Heading3Numbered">
    <w:name w:val="Heading 3 Numbered"/>
    <w:basedOn w:val="Heading3"/>
    <w:rsid w:val="00C430F0"/>
    <w:pPr>
      <w:numPr>
        <w:ilvl w:val="2"/>
        <w:numId w:val="36"/>
      </w:numPr>
    </w:pPr>
  </w:style>
  <w:style w:type="character" w:customStyle="1" w:styleId="ReportDateChar">
    <w:name w:val="Report Date Char"/>
    <w:basedOn w:val="DefaultParagraphFont"/>
    <w:link w:val="ReportDate"/>
    <w:rsid w:val="00C430F0"/>
    <w:rPr>
      <w:rFonts w:ascii="Calibri Light" w:eastAsia="Times New Roman" w:hAnsi="Calibri Light" w:cs="Times New Roman"/>
      <w:color w:val="2C384A" w:themeColor="accent1"/>
      <w:sz w:val="32"/>
      <w:szCs w:val="20"/>
      <w:lang w:eastAsia="en-AU"/>
    </w:rPr>
  </w:style>
  <w:style w:type="paragraph" w:customStyle="1" w:styleId="Instructions">
    <w:name w:val="Instructions"/>
    <w:basedOn w:val="Normal"/>
    <w:uiPriority w:val="1"/>
    <w:rsid w:val="00C430F0"/>
    <w:pPr>
      <w:shd w:val="clear" w:color="auto" w:fill="FFFF00"/>
      <w:ind w:left="170" w:hanging="170"/>
    </w:pPr>
    <w:rPr>
      <w:rFonts w:asciiTheme="minorHAnsi" w:hAnsiTheme="minorHAnsi"/>
      <w:sz w:val="20"/>
      <w:szCs w:val="24"/>
    </w:rPr>
  </w:style>
  <w:style w:type="character" w:styleId="SubtleReference">
    <w:name w:val="Subtle Reference"/>
    <w:basedOn w:val="DefaultParagraphFont"/>
    <w:uiPriority w:val="31"/>
    <w:qFormat/>
    <w:rsid w:val="00C430F0"/>
    <w:rPr>
      <w:smallCaps/>
      <w:color w:val="5A5A5A" w:themeColor="text1" w:themeTint="A5"/>
    </w:rPr>
  </w:style>
  <w:style w:type="character" w:styleId="IntenseReference">
    <w:name w:val="Intense Reference"/>
    <w:basedOn w:val="DefaultParagraphFont"/>
    <w:uiPriority w:val="32"/>
    <w:qFormat/>
    <w:rsid w:val="00C430F0"/>
    <w:rPr>
      <w:b/>
      <w:bCs/>
      <w:smallCaps/>
      <w:color w:val="2C384A" w:themeColor="accent1"/>
      <w:spacing w:val="5"/>
    </w:rPr>
  </w:style>
  <w:style w:type="character" w:styleId="SubtleEmphasis">
    <w:name w:val="Subtle Emphasis"/>
    <w:basedOn w:val="DefaultParagraphFont"/>
    <w:uiPriority w:val="19"/>
    <w:qFormat/>
    <w:rsid w:val="00C430F0"/>
    <w:rPr>
      <w:i/>
      <w:iCs/>
      <w:color w:val="404040" w:themeColor="text1" w:themeTint="BF"/>
    </w:rPr>
  </w:style>
  <w:style w:type="character" w:styleId="BookTitle">
    <w:name w:val="Book Title"/>
    <w:basedOn w:val="DefaultParagraphFont"/>
    <w:uiPriority w:val="33"/>
    <w:qFormat/>
    <w:rsid w:val="00C430F0"/>
    <w:rPr>
      <w:b/>
      <w:bCs/>
      <w:i/>
      <w:iCs/>
      <w:spacing w:val="5"/>
    </w:rPr>
  </w:style>
  <w:style w:type="paragraph" w:customStyle="1" w:styleId="tabletextminimalspace">
    <w:name w:val="table text minimal space"/>
    <w:basedOn w:val="Normal"/>
    <w:qFormat/>
    <w:rsid w:val="00C430F0"/>
    <w:pPr>
      <w:spacing w:before="0" w:after="0"/>
      <w:jc w:val="both"/>
    </w:pPr>
    <w:rPr>
      <w:sz w:val="20"/>
    </w:rPr>
  </w:style>
  <w:style w:type="paragraph" w:customStyle="1" w:styleId="Hyperlink1">
    <w:name w:val="Hyperlink1"/>
    <w:basedOn w:val="Normal"/>
    <w:qFormat/>
    <w:rsid w:val="00C430F0"/>
    <w:pPr>
      <w:spacing w:before="0"/>
    </w:pPr>
    <w:rPr>
      <w:color w:val="5D779D" w:themeColor="accent3"/>
      <w:u w:val="single"/>
    </w:rPr>
  </w:style>
  <w:style w:type="paragraph" w:customStyle="1" w:styleId="Normal-beforehyperlink">
    <w:name w:val="Normal - before hyperlink"/>
    <w:basedOn w:val="Normal"/>
    <w:qFormat/>
    <w:rsid w:val="00C430F0"/>
    <w:pPr>
      <w:spacing w:after="0"/>
    </w:pPr>
  </w:style>
  <w:style w:type="paragraph" w:customStyle="1" w:styleId="Steps">
    <w:name w:val="Steps"/>
    <w:basedOn w:val="Normal"/>
    <w:qFormat/>
    <w:rsid w:val="00C430F0"/>
    <w:pPr>
      <w:ind w:left="567" w:hanging="567"/>
    </w:pPr>
  </w:style>
  <w:style w:type="paragraph" w:customStyle="1" w:styleId="Style1">
    <w:name w:val="Style1"/>
    <w:basedOn w:val="Steps"/>
    <w:qFormat/>
    <w:rsid w:val="00C430F0"/>
    <w:pPr>
      <w:ind w:left="851" w:hanging="851"/>
    </w:pPr>
  </w:style>
  <w:style w:type="paragraph" w:customStyle="1" w:styleId="Heading1long">
    <w:name w:val="Heading 1 long"/>
    <w:basedOn w:val="Heading1"/>
    <w:qFormat/>
    <w:rsid w:val="00C430F0"/>
    <w:pPr>
      <w:spacing w:before="0"/>
    </w:pPr>
  </w:style>
  <w:style w:type="table" w:customStyle="1" w:styleId="TableGrid53">
    <w:name w:val="Table Grid53"/>
    <w:basedOn w:val="TableNormal"/>
    <w:next w:val="TableGrid"/>
    <w:rsid w:val="00C430F0"/>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table" w:styleId="PlainTable3">
    <w:name w:val="Plain Table 3"/>
    <w:basedOn w:val="TableNormal"/>
    <w:uiPriority w:val="43"/>
    <w:rsid w:val="00C430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ibliography">
    <w:name w:val="Bibliography"/>
    <w:basedOn w:val="Normal"/>
    <w:next w:val="Normal"/>
    <w:uiPriority w:val="37"/>
    <w:unhideWhenUsed/>
    <w:rsid w:val="00C430F0"/>
    <w:pPr>
      <w:spacing w:before="0" w:after="220"/>
    </w:pPr>
    <w:rPr>
      <w:rFonts w:ascii="Calibri" w:eastAsiaTheme="minorHAnsi" w:hAnsi="Calibri" w:cstheme="minorBidi"/>
      <w:color w:val="000000" w:themeColor="text1"/>
      <w:szCs w:val="22"/>
      <w:lang w:eastAsia="en-US"/>
    </w:rPr>
  </w:style>
  <w:style w:type="table" w:customStyle="1" w:styleId="MTEBNumberedEquation">
    <w:name w:val="MTEBNumberedEquation"/>
    <w:basedOn w:val="TableNormal"/>
    <w:rsid w:val="00C430F0"/>
    <w:tblPr>
      <w:tblCellSpacing w:w="0" w:type="dxa"/>
    </w:tblPr>
    <w:trPr>
      <w:cantSplit/>
      <w:tblCellSpacing w:w="0" w:type="dxa"/>
    </w:trPr>
    <w:tcPr>
      <w:shd w:val="clear" w:color="auto" w:fill="auto"/>
      <w:tcMar>
        <w:top w:w="0" w:type="dxa"/>
        <w:left w:w="0" w:type="dxa"/>
        <w:bottom w:w="0" w:type="dxa"/>
        <w:right w:w="0" w:type="dxa"/>
      </w:tcMar>
    </w:tcPr>
  </w:style>
  <w:style w:type="table" w:styleId="LightList">
    <w:name w:val="Light List"/>
    <w:basedOn w:val="TableNormal"/>
    <w:uiPriority w:val="61"/>
    <w:rsid w:val="00C430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C430F0"/>
    <w:pPr>
      <w:spacing w:after="0" w:line="240" w:lineRule="auto"/>
    </w:pPr>
    <w:tblPr>
      <w:tblStyleRowBandSize w:val="1"/>
      <w:tblStyleColBandSize w:val="1"/>
      <w:tblBorders>
        <w:top w:val="single" w:sz="8" w:space="0" w:color="2C384A" w:themeColor="accent1"/>
        <w:left w:val="single" w:sz="8" w:space="0" w:color="2C384A" w:themeColor="accent1"/>
        <w:bottom w:val="single" w:sz="8" w:space="0" w:color="2C384A" w:themeColor="accent1"/>
        <w:right w:val="single" w:sz="8" w:space="0" w:color="2C384A" w:themeColor="accent1"/>
      </w:tblBorders>
    </w:tblPr>
    <w:tblStylePr w:type="firstRow">
      <w:pPr>
        <w:spacing w:before="0" w:after="0" w:line="240" w:lineRule="auto"/>
      </w:pPr>
      <w:rPr>
        <w:b/>
        <w:bCs/>
        <w:color w:val="FFFFFF" w:themeColor="background1"/>
      </w:rPr>
      <w:tblPr/>
      <w:tcPr>
        <w:shd w:val="clear" w:color="auto" w:fill="2C384A" w:themeFill="accent1"/>
      </w:tcPr>
    </w:tblStylePr>
    <w:tblStylePr w:type="lastRow">
      <w:pPr>
        <w:spacing w:before="0" w:after="0" w:line="240" w:lineRule="auto"/>
      </w:pPr>
      <w:rPr>
        <w:b/>
        <w:bCs/>
      </w:rPr>
      <w:tblPr/>
      <w:tcPr>
        <w:tcBorders>
          <w:top w:val="double" w:sz="6" w:space="0" w:color="2C384A" w:themeColor="accent1"/>
          <w:left w:val="single" w:sz="8" w:space="0" w:color="2C384A" w:themeColor="accent1"/>
          <w:bottom w:val="single" w:sz="8" w:space="0" w:color="2C384A" w:themeColor="accent1"/>
          <w:right w:val="single" w:sz="8" w:space="0" w:color="2C384A" w:themeColor="accent1"/>
        </w:tcBorders>
      </w:tcPr>
    </w:tblStylePr>
    <w:tblStylePr w:type="firstCol">
      <w:rPr>
        <w:b/>
        <w:bCs/>
      </w:rPr>
    </w:tblStylePr>
    <w:tblStylePr w:type="lastCol">
      <w:rPr>
        <w:b/>
        <w:bCs/>
      </w:rPr>
    </w:tblStylePr>
    <w:tblStylePr w:type="band1Vert">
      <w:tblPr/>
      <w:tcPr>
        <w:tcBorders>
          <w:top w:val="single" w:sz="8" w:space="0" w:color="2C384A" w:themeColor="accent1"/>
          <w:left w:val="single" w:sz="8" w:space="0" w:color="2C384A" w:themeColor="accent1"/>
          <w:bottom w:val="single" w:sz="8" w:space="0" w:color="2C384A" w:themeColor="accent1"/>
          <w:right w:val="single" w:sz="8" w:space="0" w:color="2C384A" w:themeColor="accent1"/>
        </w:tcBorders>
      </w:tcPr>
    </w:tblStylePr>
    <w:tblStylePr w:type="band1Horz">
      <w:tblPr/>
      <w:tcPr>
        <w:tcBorders>
          <w:top w:val="single" w:sz="8" w:space="0" w:color="2C384A" w:themeColor="accent1"/>
          <w:left w:val="single" w:sz="8" w:space="0" w:color="2C384A" w:themeColor="accent1"/>
          <w:bottom w:val="single" w:sz="8" w:space="0" w:color="2C384A" w:themeColor="accent1"/>
          <w:right w:val="single" w:sz="8" w:space="0" w:color="2C384A" w:themeColor="accent1"/>
        </w:tcBorders>
      </w:tcPr>
    </w:tblStylePr>
  </w:style>
  <w:style w:type="paragraph" w:customStyle="1" w:styleId="Default">
    <w:name w:val="Default"/>
    <w:rsid w:val="00C430F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C430F0"/>
    <w:rPr>
      <w:color w:val="605E5C"/>
      <w:shd w:val="clear" w:color="auto" w:fill="E1DFDD"/>
    </w:rPr>
  </w:style>
  <w:style w:type="character" w:styleId="Mention">
    <w:name w:val="Mention"/>
    <w:basedOn w:val="DefaultParagraphFont"/>
    <w:uiPriority w:val="99"/>
    <w:unhideWhenUsed/>
    <w:rsid w:val="00C430F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2022">
      <w:bodyDiv w:val="1"/>
      <w:marLeft w:val="0"/>
      <w:marRight w:val="0"/>
      <w:marTop w:val="0"/>
      <w:marBottom w:val="0"/>
      <w:divBdr>
        <w:top w:val="none" w:sz="0" w:space="0" w:color="auto"/>
        <w:left w:val="none" w:sz="0" w:space="0" w:color="auto"/>
        <w:bottom w:val="none" w:sz="0" w:space="0" w:color="auto"/>
        <w:right w:val="none" w:sz="0" w:space="0" w:color="auto"/>
      </w:divBdr>
    </w:div>
    <w:div w:id="237523135">
      <w:bodyDiv w:val="1"/>
      <w:marLeft w:val="0"/>
      <w:marRight w:val="0"/>
      <w:marTop w:val="0"/>
      <w:marBottom w:val="0"/>
      <w:divBdr>
        <w:top w:val="none" w:sz="0" w:space="0" w:color="auto"/>
        <w:left w:val="none" w:sz="0" w:space="0" w:color="auto"/>
        <w:bottom w:val="none" w:sz="0" w:space="0" w:color="auto"/>
        <w:right w:val="none" w:sz="0" w:space="0" w:color="auto"/>
      </w:divBdr>
    </w:div>
    <w:div w:id="684021691">
      <w:bodyDiv w:val="1"/>
      <w:marLeft w:val="0"/>
      <w:marRight w:val="0"/>
      <w:marTop w:val="0"/>
      <w:marBottom w:val="0"/>
      <w:divBdr>
        <w:top w:val="none" w:sz="0" w:space="0" w:color="auto"/>
        <w:left w:val="none" w:sz="0" w:space="0" w:color="auto"/>
        <w:bottom w:val="none" w:sz="0" w:space="0" w:color="auto"/>
        <w:right w:val="none" w:sz="0" w:space="0" w:color="auto"/>
      </w:divBdr>
    </w:div>
    <w:div w:id="738795228">
      <w:bodyDiv w:val="1"/>
      <w:marLeft w:val="0"/>
      <w:marRight w:val="0"/>
      <w:marTop w:val="0"/>
      <w:marBottom w:val="0"/>
      <w:divBdr>
        <w:top w:val="none" w:sz="0" w:space="0" w:color="auto"/>
        <w:left w:val="none" w:sz="0" w:space="0" w:color="auto"/>
        <w:bottom w:val="none" w:sz="0" w:space="0" w:color="auto"/>
        <w:right w:val="none" w:sz="0" w:space="0" w:color="auto"/>
      </w:divBdr>
    </w:div>
    <w:div w:id="760416685">
      <w:bodyDiv w:val="1"/>
      <w:marLeft w:val="0"/>
      <w:marRight w:val="0"/>
      <w:marTop w:val="0"/>
      <w:marBottom w:val="0"/>
      <w:divBdr>
        <w:top w:val="none" w:sz="0" w:space="0" w:color="auto"/>
        <w:left w:val="none" w:sz="0" w:space="0" w:color="auto"/>
        <w:bottom w:val="none" w:sz="0" w:space="0" w:color="auto"/>
        <w:right w:val="none" w:sz="0" w:space="0" w:color="auto"/>
      </w:divBdr>
    </w:div>
    <w:div w:id="788008609">
      <w:bodyDiv w:val="1"/>
      <w:marLeft w:val="0"/>
      <w:marRight w:val="0"/>
      <w:marTop w:val="0"/>
      <w:marBottom w:val="0"/>
      <w:divBdr>
        <w:top w:val="none" w:sz="0" w:space="0" w:color="auto"/>
        <w:left w:val="none" w:sz="0" w:space="0" w:color="auto"/>
        <w:bottom w:val="none" w:sz="0" w:space="0" w:color="auto"/>
        <w:right w:val="none" w:sz="0" w:space="0" w:color="auto"/>
      </w:divBdr>
    </w:div>
    <w:div w:id="917059433">
      <w:bodyDiv w:val="1"/>
      <w:marLeft w:val="0"/>
      <w:marRight w:val="0"/>
      <w:marTop w:val="0"/>
      <w:marBottom w:val="0"/>
      <w:divBdr>
        <w:top w:val="none" w:sz="0" w:space="0" w:color="auto"/>
        <w:left w:val="none" w:sz="0" w:space="0" w:color="auto"/>
        <w:bottom w:val="none" w:sz="0" w:space="0" w:color="auto"/>
        <w:right w:val="none" w:sz="0" w:space="0" w:color="auto"/>
      </w:divBdr>
    </w:div>
    <w:div w:id="944311013">
      <w:bodyDiv w:val="1"/>
      <w:marLeft w:val="0"/>
      <w:marRight w:val="0"/>
      <w:marTop w:val="0"/>
      <w:marBottom w:val="0"/>
      <w:divBdr>
        <w:top w:val="none" w:sz="0" w:space="0" w:color="auto"/>
        <w:left w:val="none" w:sz="0" w:space="0" w:color="auto"/>
        <w:bottom w:val="none" w:sz="0" w:space="0" w:color="auto"/>
        <w:right w:val="none" w:sz="0" w:space="0" w:color="auto"/>
      </w:divBdr>
    </w:div>
    <w:div w:id="966010025">
      <w:bodyDiv w:val="1"/>
      <w:marLeft w:val="0"/>
      <w:marRight w:val="0"/>
      <w:marTop w:val="0"/>
      <w:marBottom w:val="0"/>
      <w:divBdr>
        <w:top w:val="none" w:sz="0" w:space="0" w:color="auto"/>
        <w:left w:val="none" w:sz="0" w:space="0" w:color="auto"/>
        <w:bottom w:val="none" w:sz="0" w:space="0" w:color="auto"/>
        <w:right w:val="none" w:sz="0" w:space="0" w:color="auto"/>
      </w:divBdr>
    </w:div>
    <w:div w:id="1179008494">
      <w:bodyDiv w:val="1"/>
      <w:marLeft w:val="0"/>
      <w:marRight w:val="0"/>
      <w:marTop w:val="0"/>
      <w:marBottom w:val="0"/>
      <w:divBdr>
        <w:top w:val="none" w:sz="0" w:space="0" w:color="auto"/>
        <w:left w:val="none" w:sz="0" w:space="0" w:color="auto"/>
        <w:bottom w:val="none" w:sz="0" w:space="0" w:color="auto"/>
        <w:right w:val="none" w:sz="0" w:space="0" w:color="auto"/>
      </w:divBdr>
    </w:div>
    <w:div w:id="1330403758">
      <w:bodyDiv w:val="1"/>
      <w:marLeft w:val="0"/>
      <w:marRight w:val="0"/>
      <w:marTop w:val="0"/>
      <w:marBottom w:val="0"/>
      <w:divBdr>
        <w:top w:val="none" w:sz="0" w:space="0" w:color="auto"/>
        <w:left w:val="none" w:sz="0" w:space="0" w:color="auto"/>
        <w:bottom w:val="none" w:sz="0" w:space="0" w:color="auto"/>
        <w:right w:val="none" w:sz="0" w:space="0" w:color="auto"/>
      </w:divBdr>
    </w:div>
    <w:div w:id="1381902868">
      <w:bodyDiv w:val="1"/>
      <w:marLeft w:val="0"/>
      <w:marRight w:val="0"/>
      <w:marTop w:val="0"/>
      <w:marBottom w:val="0"/>
      <w:divBdr>
        <w:top w:val="none" w:sz="0" w:space="0" w:color="auto"/>
        <w:left w:val="none" w:sz="0" w:space="0" w:color="auto"/>
        <w:bottom w:val="none" w:sz="0" w:space="0" w:color="auto"/>
        <w:right w:val="none" w:sz="0" w:space="0" w:color="auto"/>
      </w:divBdr>
    </w:div>
    <w:div w:id="1629580285">
      <w:bodyDiv w:val="1"/>
      <w:marLeft w:val="0"/>
      <w:marRight w:val="0"/>
      <w:marTop w:val="0"/>
      <w:marBottom w:val="0"/>
      <w:divBdr>
        <w:top w:val="none" w:sz="0" w:space="0" w:color="auto"/>
        <w:left w:val="none" w:sz="0" w:space="0" w:color="auto"/>
        <w:bottom w:val="none" w:sz="0" w:space="0" w:color="auto"/>
        <w:right w:val="none" w:sz="0" w:space="0" w:color="auto"/>
      </w:divBdr>
    </w:div>
    <w:div w:id="1742750625">
      <w:bodyDiv w:val="1"/>
      <w:marLeft w:val="0"/>
      <w:marRight w:val="0"/>
      <w:marTop w:val="0"/>
      <w:marBottom w:val="0"/>
      <w:divBdr>
        <w:top w:val="none" w:sz="0" w:space="0" w:color="auto"/>
        <w:left w:val="none" w:sz="0" w:space="0" w:color="auto"/>
        <w:bottom w:val="none" w:sz="0" w:space="0" w:color="auto"/>
        <w:right w:val="none" w:sz="0" w:space="0" w:color="auto"/>
      </w:divBdr>
    </w:div>
    <w:div w:id="1957521218">
      <w:bodyDiv w:val="1"/>
      <w:marLeft w:val="0"/>
      <w:marRight w:val="0"/>
      <w:marTop w:val="0"/>
      <w:marBottom w:val="0"/>
      <w:divBdr>
        <w:top w:val="none" w:sz="0" w:space="0" w:color="auto"/>
        <w:left w:val="none" w:sz="0" w:space="0" w:color="auto"/>
        <w:bottom w:val="none" w:sz="0" w:space="0" w:color="auto"/>
        <w:right w:val="none" w:sz="0" w:space="0" w:color="auto"/>
      </w:divBdr>
    </w:div>
    <w:div w:id="199806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671" Type="http://schemas.openxmlformats.org/officeDocument/2006/relationships/oleObject" Target="embeddings/oleObject323.bin"/><Relationship Id="rId21" Type="http://schemas.openxmlformats.org/officeDocument/2006/relationships/header" Target="header6.xml"/><Relationship Id="rId324" Type="http://schemas.openxmlformats.org/officeDocument/2006/relationships/oleObject" Target="embeddings/oleObject150.bin"/><Relationship Id="rId531" Type="http://schemas.openxmlformats.org/officeDocument/2006/relationships/oleObject" Target="embeddings/oleObject253.bin"/><Relationship Id="rId629" Type="http://schemas.openxmlformats.org/officeDocument/2006/relationships/oleObject" Target="embeddings/oleObject302.bin"/><Relationship Id="rId170" Type="http://schemas.openxmlformats.org/officeDocument/2006/relationships/oleObject" Target="embeddings/oleObject73.bin"/><Relationship Id="rId268" Type="http://schemas.openxmlformats.org/officeDocument/2006/relationships/oleObject" Target="embeddings/oleObject122.bin"/><Relationship Id="rId475" Type="http://schemas.openxmlformats.org/officeDocument/2006/relationships/image" Target="media/image232.wmf"/><Relationship Id="rId682" Type="http://schemas.openxmlformats.org/officeDocument/2006/relationships/image" Target="media/image336.wmf"/><Relationship Id="rId32" Type="http://schemas.openxmlformats.org/officeDocument/2006/relationships/oleObject" Target="embeddings/oleObject4.bin"/><Relationship Id="rId128" Type="http://schemas.openxmlformats.org/officeDocument/2006/relationships/oleObject" Target="embeddings/oleObject52.bin"/><Relationship Id="rId335" Type="http://schemas.openxmlformats.org/officeDocument/2006/relationships/image" Target="media/image162.wmf"/><Relationship Id="rId542" Type="http://schemas.openxmlformats.org/officeDocument/2006/relationships/image" Target="media/image266.wmf"/><Relationship Id="rId181" Type="http://schemas.openxmlformats.org/officeDocument/2006/relationships/image" Target="media/image85.wmf"/><Relationship Id="rId402" Type="http://schemas.openxmlformats.org/officeDocument/2006/relationships/oleObject" Target="embeddings/oleObject189.bin"/><Relationship Id="rId279" Type="http://schemas.openxmlformats.org/officeDocument/2006/relationships/image" Target="media/image134.wmf"/><Relationship Id="rId486" Type="http://schemas.openxmlformats.org/officeDocument/2006/relationships/oleObject" Target="embeddings/oleObject231.bin"/><Relationship Id="rId693" Type="http://schemas.openxmlformats.org/officeDocument/2006/relationships/oleObject" Target="embeddings/oleObject334.bin"/><Relationship Id="rId707" Type="http://schemas.openxmlformats.org/officeDocument/2006/relationships/oleObject" Target="embeddings/oleObject341.bin"/><Relationship Id="rId43" Type="http://schemas.openxmlformats.org/officeDocument/2006/relationships/image" Target="media/image16.wmf"/><Relationship Id="rId139" Type="http://schemas.openxmlformats.org/officeDocument/2006/relationships/image" Target="media/image64.wmf"/><Relationship Id="rId346" Type="http://schemas.openxmlformats.org/officeDocument/2006/relationships/oleObject" Target="embeddings/oleObject161.bin"/><Relationship Id="rId553" Type="http://schemas.openxmlformats.org/officeDocument/2006/relationships/oleObject" Target="embeddings/oleObject264.bin"/><Relationship Id="rId192" Type="http://schemas.openxmlformats.org/officeDocument/2006/relationships/oleObject" Target="embeddings/oleObject84.bin"/><Relationship Id="rId206" Type="http://schemas.openxmlformats.org/officeDocument/2006/relationships/oleObject" Target="embeddings/oleObject91.bin"/><Relationship Id="rId413" Type="http://schemas.openxmlformats.org/officeDocument/2006/relationships/image" Target="media/image201.wmf"/><Relationship Id="rId497" Type="http://schemas.openxmlformats.org/officeDocument/2006/relationships/image" Target="media/image243.wmf"/><Relationship Id="rId620" Type="http://schemas.openxmlformats.org/officeDocument/2006/relationships/image" Target="media/image305.wmf"/><Relationship Id="rId357" Type="http://schemas.openxmlformats.org/officeDocument/2006/relationships/image" Target="media/image173.wmf"/><Relationship Id="rId54" Type="http://schemas.openxmlformats.org/officeDocument/2006/relationships/oleObject" Target="embeddings/oleObject15.bin"/><Relationship Id="rId217" Type="http://schemas.openxmlformats.org/officeDocument/2006/relationships/image" Target="media/image103.wmf"/><Relationship Id="rId564" Type="http://schemas.openxmlformats.org/officeDocument/2006/relationships/image" Target="media/image277.wmf"/><Relationship Id="rId424" Type="http://schemas.openxmlformats.org/officeDocument/2006/relationships/oleObject" Target="embeddings/oleObject200.bin"/><Relationship Id="rId631" Type="http://schemas.openxmlformats.org/officeDocument/2006/relationships/oleObject" Target="embeddings/oleObject303.bin"/><Relationship Id="rId270" Type="http://schemas.openxmlformats.org/officeDocument/2006/relationships/oleObject" Target="embeddings/oleObject123.bin"/><Relationship Id="rId65" Type="http://schemas.openxmlformats.org/officeDocument/2006/relationships/image" Target="media/image27.wmf"/><Relationship Id="rId130" Type="http://schemas.openxmlformats.org/officeDocument/2006/relationships/oleObject" Target="embeddings/oleObject53.bin"/><Relationship Id="rId368" Type="http://schemas.openxmlformats.org/officeDocument/2006/relationships/oleObject" Target="embeddings/oleObject172.bin"/><Relationship Id="rId575" Type="http://schemas.openxmlformats.org/officeDocument/2006/relationships/oleObject" Target="embeddings/oleObject275.bin"/><Relationship Id="rId228" Type="http://schemas.openxmlformats.org/officeDocument/2006/relationships/oleObject" Target="embeddings/oleObject102.bin"/><Relationship Id="rId435" Type="http://schemas.openxmlformats.org/officeDocument/2006/relationships/image" Target="media/image212.wmf"/><Relationship Id="rId642" Type="http://schemas.openxmlformats.org/officeDocument/2006/relationships/image" Target="media/image316.wmf"/><Relationship Id="rId281" Type="http://schemas.openxmlformats.org/officeDocument/2006/relationships/image" Target="media/image135.wmf"/><Relationship Id="rId502" Type="http://schemas.openxmlformats.org/officeDocument/2006/relationships/oleObject" Target="embeddings/oleObject239.bin"/><Relationship Id="rId76" Type="http://schemas.openxmlformats.org/officeDocument/2006/relationships/oleObject" Target="embeddings/oleObject26.bin"/><Relationship Id="rId141" Type="http://schemas.openxmlformats.org/officeDocument/2006/relationships/image" Target="media/image65.wmf"/><Relationship Id="rId379" Type="http://schemas.openxmlformats.org/officeDocument/2006/relationships/image" Target="media/image184.wmf"/><Relationship Id="rId586" Type="http://schemas.openxmlformats.org/officeDocument/2006/relationships/image" Target="media/image288.wmf"/><Relationship Id="rId7" Type="http://schemas.openxmlformats.org/officeDocument/2006/relationships/endnotes" Target="endnotes.xml"/><Relationship Id="rId239" Type="http://schemas.openxmlformats.org/officeDocument/2006/relationships/image" Target="media/image114.wmf"/><Relationship Id="rId446" Type="http://schemas.openxmlformats.org/officeDocument/2006/relationships/oleObject" Target="embeddings/oleObject211.bin"/><Relationship Id="rId653" Type="http://schemas.openxmlformats.org/officeDocument/2006/relationships/oleObject" Target="embeddings/oleObject314.bin"/><Relationship Id="rId292" Type="http://schemas.openxmlformats.org/officeDocument/2006/relationships/oleObject" Target="embeddings/oleObject134.bin"/><Relationship Id="rId306" Type="http://schemas.openxmlformats.org/officeDocument/2006/relationships/oleObject" Target="embeddings/oleObject141.bin"/><Relationship Id="rId87" Type="http://schemas.openxmlformats.org/officeDocument/2006/relationships/image" Target="media/image38.wmf"/><Relationship Id="rId513" Type="http://schemas.openxmlformats.org/officeDocument/2006/relationships/oleObject" Target="embeddings/oleObject244.bin"/><Relationship Id="rId597" Type="http://schemas.openxmlformats.org/officeDocument/2006/relationships/oleObject" Target="embeddings/oleObject286.bin"/><Relationship Id="rId152" Type="http://schemas.openxmlformats.org/officeDocument/2006/relationships/oleObject" Target="embeddings/oleObject64.bin"/><Relationship Id="rId457" Type="http://schemas.openxmlformats.org/officeDocument/2006/relationships/image" Target="media/image223.wmf"/><Relationship Id="rId664" Type="http://schemas.openxmlformats.org/officeDocument/2006/relationships/image" Target="media/image327.wmf"/><Relationship Id="rId14" Type="http://schemas.openxmlformats.org/officeDocument/2006/relationships/hyperlink" Target="http://creativecommons.org/licenses/by/3.0/au/deed.en" TargetMode="External"/><Relationship Id="rId317" Type="http://schemas.openxmlformats.org/officeDocument/2006/relationships/image" Target="media/image153.wmf"/><Relationship Id="rId524" Type="http://schemas.openxmlformats.org/officeDocument/2006/relationships/image" Target="media/image257.wmf"/><Relationship Id="rId98" Type="http://schemas.openxmlformats.org/officeDocument/2006/relationships/oleObject" Target="embeddings/oleObject37.bin"/><Relationship Id="rId163" Type="http://schemas.openxmlformats.org/officeDocument/2006/relationships/image" Target="media/image76.wmf"/><Relationship Id="rId370" Type="http://schemas.openxmlformats.org/officeDocument/2006/relationships/oleObject" Target="embeddings/oleObject173.bin"/><Relationship Id="rId230" Type="http://schemas.openxmlformats.org/officeDocument/2006/relationships/oleObject" Target="embeddings/oleObject103.bin"/><Relationship Id="rId468" Type="http://schemas.openxmlformats.org/officeDocument/2006/relationships/oleObject" Target="embeddings/oleObject222.bin"/><Relationship Id="rId675" Type="http://schemas.openxmlformats.org/officeDocument/2006/relationships/oleObject" Target="embeddings/oleObject325.bin"/><Relationship Id="rId25" Type="http://schemas.openxmlformats.org/officeDocument/2006/relationships/image" Target="media/image7.wmf"/><Relationship Id="rId328" Type="http://schemas.openxmlformats.org/officeDocument/2006/relationships/oleObject" Target="embeddings/oleObject152.bin"/><Relationship Id="rId535" Type="http://schemas.openxmlformats.org/officeDocument/2006/relationships/oleObject" Target="embeddings/oleObject255.bin"/><Relationship Id="rId174" Type="http://schemas.openxmlformats.org/officeDocument/2006/relationships/oleObject" Target="embeddings/oleObject75.bin"/><Relationship Id="rId381" Type="http://schemas.openxmlformats.org/officeDocument/2006/relationships/image" Target="media/image185.wmf"/><Relationship Id="rId602" Type="http://schemas.openxmlformats.org/officeDocument/2006/relationships/image" Target="media/image296.wmf"/><Relationship Id="rId241" Type="http://schemas.openxmlformats.org/officeDocument/2006/relationships/image" Target="media/image115.wmf"/><Relationship Id="rId479" Type="http://schemas.openxmlformats.org/officeDocument/2006/relationships/image" Target="media/image234.wmf"/><Relationship Id="rId686" Type="http://schemas.openxmlformats.org/officeDocument/2006/relationships/image" Target="media/image338.wmf"/><Relationship Id="rId36" Type="http://schemas.openxmlformats.org/officeDocument/2006/relationships/oleObject" Target="embeddings/oleObject6.bin"/><Relationship Id="rId339" Type="http://schemas.openxmlformats.org/officeDocument/2006/relationships/image" Target="media/image164.wmf"/><Relationship Id="rId546" Type="http://schemas.openxmlformats.org/officeDocument/2006/relationships/image" Target="media/image268.wmf"/><Relationship Id="rId101" Type="http://schemas.openxmlformats.org/officeDocument/2006/relationships/image" Target="media/image45.wmf"/><Relationship Id="rId185" Type="http://schemas.openxmlformats.org/officeDocument/2006/relationships/image" Target="media/image87.wmf"/><Relationship Id="rId406" Type="http://schemas.openxmlformats.org/officeDocument/2006/relationships/oleObject" Target="embeddings/oleObject191.bin"/><Relationship Id="rId392" Type="http://schemas.openxmlformats.org/officeDocument/2006/relationships/oleObject" Target="embeddings/oleObject184.bin"/><Relationship Id="rId613" Type="http://schemas.openxmlformats.org/officeDocument/2006/relationships/oleObject" Target="embeddings/oleObject294.bin"/><Relationship Id="rId697" Type="http://schemas.openxmlformats.org/officeDocument/2006/relationships/oleObject" Target="embeddings/oleObject336.bin"/><Relationship Id="rId252" Type="http://schemas.openxmlformats.org/officeDocument/2006/relationships/oleObject" Target="embeddings/oleObject114.bin"/><Relationship Id="rId47" Type="http://schemas.openxmlformats.org/officeDocument/2006/relationships/image" Target="media/image18.wmf"/><Relationship Id="rId112" Type="http://schemas.openxmlformats.org/officeDocument/2006/relationships/oleObject" Target="embeddings/oleObject44.bin"/><Relationship Id="rId557" Type="http://schemas.openxmlformats.org/officeDocument/2006/relationships/oleObject" Target="embeddings/oleObject266.bin"/><Relationship Id="rId196" Type="http://schemas.openxmlformats.org/officeDocument/2006/relationships/oleObject" Target="embeddings/oleObject86.bin"/><Relationship Id="rId417" Type="http://schemas.openxmlformats.org/officeDocument/2006/relationships/image" Target="media/image203.wmf"/><Relationship Id="rId624" Type="http://schemas.openxmlformats.org/officeDocument/2006/relationships/image" Target="media/image307.wmf"/><Relationship Id="rId263" Type="http://schemas.openxmlformats.org/officeDocument/2006/relationships/image" Target="media/image126.wmf"/><Relationship Id="rId470" Type="http://schemas.openxmlformats.org/officeDocument/2006/relationships/oleObject" Target="embeddings/oleObject223.bin"/><Relationship Id="rId58" Type="http://schemas.openxmlformats.org/officeDocument/2006/relationships/oleObject" Target="embeddings/oleObject17.bin"/><Relationship Id="rId123" Type="http://schemas.openxmlformats.org/officeDocument/2006/relationships/image" Target="media/image56.wmf"/><Relationship Id="rId330" Type="http://schemas.openxmlformats.org/officeDocument/2006/relationships/oleObject" Target="embeddings/oleObject153.bin"/><Relationship Id="rId568" Type="http://schemas.openxmlformats.org/officeDocument/2006/relationships/image" Target="media/image279.wmf"/><Relationship Id="rId428" Type="http://schemas.openxmlformats.org/officeDocument/2006/relationships/oleObject" Target="embeddings/oleObject202.bin"/><Relationship Id="rId635" Type="http://schemas.openxmlformats.org/officeDocument/2006/relationships/oleObject" Target="embeddings/oleObject305.bin"/><Relationship Id="rId274" Type="http://schemas.openxmlformats.org/officeDocument/2006/relationships/oleObject" Target="embeddings/oleObject125.bin"/><Relationship Id="rId481" Type="http://schemas.openxmlformats.org/officeDocument/2006/relationships/image" Target="media/image235.wmf"/><Relationship Id="rId702" Type="http://schemas.openxmlformats.org/officeDocument/2006/relationships/image" Target="media/image346.wmf"/><Relationship Id="rId69" Type="http://schemas.openxmlformats.org/officeDocument/2006/relationships/image" Target="media/image29.wmf"/><Relationship Id="rId134" Type="http://schemas.openxmlformats.org/officeDocument/2006/relationships/oleObject" Target="embeddings/oleObject55.bin"/><Relationship Id="rId579" Type="http://schemas.openxmlformats.org/officeDocument/2006/relationships/oleObject" Target="embeddings/oleObject277.bin"/><Relationship Id="rId341" Type="http://schemas.openxmlformats.org/officeDocument/2006/relationships/image" Target="media/image165.wmf"/><Relationship Id="rId439" Type="http://schemas.openxmlformats.org/officeDocument/2006/relationships/image" Target="media/image214.wmf"/><Relationship Id="rId646" Type="http://schemas.openxmlformats.org/officeDocument/2006/relationships/image" Target="media/image318.wmf"/><Relationship Id="rId201" Type="http://schemas.openxmlformats.org/officeDocument/2006/relationships/image" Target="media/image95.wmf"/><Relationship Id="rId285" Type="http://schemas.openxmlformats.org/officeDocument/2006/relationships/image" Target="media/image137.wmf"/><Relationship Id="rId506" Type="http://schemas.openxmlformats.org/officeDocument/2006/relationships/image" Target="media/image248.wmf"/><Relationship Id="rId492" Type="http://schemas.openxmlformats.org/officeDocument/2006/relationships/oleObject" Target="embeddings/oleObject234.bin"/><Relationship Id="rId145" Type="http://schemas.openxmlformats.org/officeDocument/2006/relationships/image" Target="media/image67.wmf"/><Relationship Id="rId352" Type="http://schemas.openxmlformats.org/officeDocument/2006/relationships/oleObject" Target="embeddings/oleObject164.bin"/><Relationship Id="rId212" Type="http://schemas.openxmlformats.org/officeDocument/2006/relationships/oleObject" Target="embeddings/oleObject94.bin"/><Relationship Id="rId657" Type="http://schemas.openxmlformats.org/officeDocument/2006/relationships/oleObject" Target="embeddings/oleObject316.bin"/><Relationship Id="rId296" Type="http://schemas.openxmlformats.org/officeDocument/2006/relationships/oleObject" Target="embeddings/oleObject136.bin"/><Relationship Id="rId517" Type="http://schemas.openxmlformats.org/officeDocument/2006/relationships/oleObject" Target="embeddings/oleObject246.bin"/><Relationship Id="rId60" Type="http://schemas.openxmlformats.org/officeDocument/2006/relationships/oleObject" Target="embeddings/oleObject18.bin"/><Relationship Id="rId156" Type="http://schemas.openxmlformats.org/officeDocument/2006/relationships/oleObject" Target="embeddings/oleObject66.bin"/><Relationship Id="rId363" Type="http://schemas.openxmlformats.org/officeDocument/2006/relationships/image" Target="media/image176.wmf"/><Relationship Id="rId570" Type="http://schemas.openxmlformats.org/officeDocument/2006/relationships/image" Target="media/image280.wmf"/><Relationship Id="rId223" Type="http://schemas.openxmlformats.org/officeDocument/2006/relationships/image" Target="media/image106.wmf"/><Relationship Id="rId430" Type="http://schemas.openxmlformats.org/officeDocument/2006/relationships/oleObject" Target="embeddings/oleObject203.bin"/><Relationship Id="rId668" Type="http://schemas.openxmlformats.org/officeDocument/2006/relationships/image" Target="media/image329.wmf"/><Relationship Id="rId18" Type="http://schemas.openxmlformats.org/officeDocument/2006/relationships/header" Target="header3.xml"/><Relationship Id="rId528" Type="http://schemas.openxmlformats.org/officeDocument/2006/relationships/image" Target="media/image259.wmf"/><Relationship Id="rId167" Type="http://schemas.openxmlformats.org/officeDocument/2006/relationships/image" Target="media/image78.wmf"/><Relationship Id="rId374" Type="http://schemas.openxmlformats.org/officeDocument/2006/relationships/oleObject" Target="embeddings/oleObject175.bin"/><Relationship Id="rId581" Type="http://schemas.openxmlformats.org/officeDocument/2006/relationships/oleObject" Target="embeddings/oleObject278.bin"/><Relationship Id="rId71" Type="http://schemas.openxmlformats.org/officeDocument/2006/relationships/image" Target="media/image30.wmf"/><Relationship Id="rId234" Type="http://schemas.openxmlformats.org/officeDocument/2006/relationships/oleObject" Target="embeddings/oleObject105.bin"/><Relationship Id="rId637" Type="http://schemas.openxmlformats.org/officeDocument/2006/relationships/oleObject" Target="embeddings/oleObject306.bin"/><Relationship Id="rId679" Type="http://schemas.openxmlformats.org/officeDocument/2006/relationships/oleObject" Target="embeddings/oleObject327.bin"/><Relationship Id="rId2" Type="http://schemas.openxmlformats.org/officeDocument/2006/relationships/numbering" Target="numbering.xml"/><Relationship Id="rId29" Type="http://schemas.openxmlformats.org/officeDocument/2006/relationships/image" Target="media/image9.wmf"/><Relationship Id="rId276" Type="http://schemas.openxmlformats.org/officeDocument/2006/relationships/oleObject" Target="embeddings/oleObject126.bin"/><Relationship Id="rId441" Type="http://schemas.openxmlformats.org/officeDocument/2006/relationships/image" Target="media/image215.wmf"/><Relationship Id="rId483" Type="http://schemas.openxmlformats.org/officeDocument/2006/relationships/image" Target="media/image236.wmf"/><Relationship Id="rId539" Type="http://schemas.openxmlformats.org/officeDocument/2006/relationships/oleObject" Target="embeddings/oleObject257.bin"/><Relationship Id="rId690" Type="http://schemas.openxmlformats.org/officeDocument/2006/relationships/image" Target="media/image340.wmf"/><Relationship Id="rId704" Type="http://schemas.openxmlformats.org/officeDocument/2006/relationships/image" Target="media/image347.wmf"/><Relationship Id="rId40" Type="http://schemas.openxmlformats.org/officeDocument/2006/relationships/oleObject" Target="embeddings/oleObject8.bin"/><Relationship Id="rId136" Type="http://schemas.openxmlformats.org/officeDocument/2006/relationships/oleObject" Target="embeddings/oleObject56.bin"/><Relationship Id="rId178" Type="http://schemas.openxmlformats.org/officeDocument/2006/relationships/oleObject" Target="embeddings/oleObject77.bin"/><Relationship Id="rId301" Type="http://schemas.openxmlformats.org/officeDocument/2006/relationships/image" Target="media/image145.wmf"/><Relationship Id="rId343" Type="http://schemas.openxmlformats.org/officeDocument/2006/relationships/image" Target="media/image166.wmf"/><Relationship Id="rId550" Type="http://schemas.openxmlformats.org/officeDocument/2006/relationships/image" Target="media/image270.wmf"/><Relationship Id="rId82" Type="http://schemas.openxmlformats.org/officeDocument/2006/relationships/oleObject" Target="embeddings/oleObject29.bin"/><Relationship Id="rId203" Type="http://schemas.openxmlformats.org/officeDocument/2006/relationships/image" Target="media/image96.wmf"/><Relationship Id="rId385" Type="http://schemas.openxmlformats.org/officeDocument/2006/relationships/image" Target="media/image187.wmf"/><Relationship Id="rId592" Type="http://schemas.openxmlformats.org/officeDocument/2006/relationships/image" Target="media/image291.wmf"/><Relationship Id="rId606" Type="http://schemas.openxmlformats.org/officeDocument/2006/relationships/image" Target="media/image298.wmf"/><Relationship Id="rId648" Type="http://schemas.openxmlformats.org/officeDocument/2006/relationships/image" Target="media/image319.wmf"/><Relationship Id="rId245" Type="http://schemas.openxmlformats.org/officeDocument/2006/relationships/image" Target="media/image117.wmf"/><Relationship Id="rId287" Type="http://schemas.openxmlformats.org/officeDocument/2006/relationships/image" Target="media/image138.wmf"/><Relationship Id="rId410" Type="http://schemas.openxmlformats.org/officeDocument/2006/relationships/oleObject" Target="embeddings/oleObject193.bin"/><Relationship Id="rId452" Type="http://schemas.openxmlformats.org/officeDocument/2006/relationships/oleObject" Target="embeddings/oleObject214.bin"/><Relationship Id="rId494" Type="http://schemas.openxmlformats.org/officeDocument/2006/relationships/oleObject" Target="embeddings/oleObject235.bin"/><Relationship Id="rId508" Type="http://schemas.openxmlformats.org/officeDocument/2006/relationships/image" Target="media/image249.wmf"/><Relationship Id="rId105" Type="http://schemas.openxmlformats.org/officeDocument/2006/relationships/image" Target="media/image47.wmf"/><Relationship Id="rId147" Type="http://schemas.openxmlformats.org/officeDocument/2006/relationships/image" Target="media/image68.wmf"/><Relationship Id="rId312" Type="http://schemas.openxmlformats.org/officeDocument/2006/relationships/oleObject" Target="embeddings/oleObject144.bin"/><Relationship Id="rId354" Type="http://schemas.openxmlformats.org/officeDocument/2006/relationships/oleObject" Target="embeddings/oleObject165.bin"/><Relationship Id="rId51" Type="http://schemas.openxmlformats.org/officeDocument/2006/relationships/image" Target="media/image20.wmf"/><Relationship Id="rId93" Type="http://schemas.openxmlformats.org/officeDocument/2006/relationships/image" Target="media/image41.wmf"/><Relationship Id="rId189" Type="http://schemas.openxmlformats.org/officeDocument/2006/relationships/image" Target="media/image89.wmf"/><Relationship Id="rId396" Type="http://schemas.openxmlformats.org/officeDocument/2006/relationships/oleObject" Target="embeddings/oleObject186.bin"/><Relationship Id="rId561" Type="http://schemas.openxmlformats.org/officeDocument/2006/relationships/oleObject" Target="embeddings/oleObject268.bin"/><Relationship Id="rId617" Type="http://schemas.openxmlformats.org/officeDocument/2006/relationships/oleObject" Target="embeddings/oleObject296.bin"/><Relationship Id="rId659" Type="http://schemas.openxmlformats.org/officeDocument/2006/relationships/oleObject" Target="embeddings/oleObject317.bin"/><Relationship Id="rId214" Type="http://schemas.openxmlformats.org/officeDocument/2006/relationships/oleObject" Target="embeddings/oleObject95.bin"/><Relationship Id="rId256" Type="http://schemas.openxmlformats.org/officeDocument/2006/relationships/oleObject" Target="embeddings/oleObject116.bin"/><Relationship Id="rId298" Type="http://schemas.openxmlformats.org/officeDocument/2006/relationships/oleObject" Target="embeddings/oleObject137.bin"/><Relationship Id="rId421" Type="http://schemas.openxmlformats.org/officeDocument/2006/relationships/image" Target="media/image205.wmf"/><Relationship Id="rId463" Type="http://schemas.openxmlformats.org/officeDocument/2006/relationships/image" Target="media/image226.wmf"/><Relationship Id="rId519" Type="http://schemas.openxmlformats.org/officeDocument/2006/relationships/oleObject" Target="embeddings/oleObject247.bin"/><Relationship Id="rId670" Type="http://schemas.openxmlformats.org/officeDocument/2006/relationships/image" Target="media/image330.wmf"/><Relationship Id="rId116" Type="http://schemas.openxmlformats.org/officeDocument/2006/relationships/oleObject" Target="embeddings/oleObject46.bin"/><Relationship Id="rId158" Type="http://schemas.openxmlformats.org/officeDocument/2006/relationships/oleObject" Target="embeddings/oleObject67.bin"/><Relationship Id="rId323" Type="http://schemas.openxmlformats.org/officeDocument/2006/relationships/image" Target="media/image156.wmf"/><Relationship Id="rId530" Type="http://schemas.openxmlformats.org/officeDocument/2006/relationships/image" Target="media/image260.wmf"/><Relationship Id="rId20" Type="http://schemas.openxmlformats.org/officeDocument/2006/relationships/header" Target="header5.xml"/><Relationship Id="rId62" Type="http://schemas.openxmlformats.org/officeDocument/2006/relationships/oleObject" Target="embeddings/oleObject19.bin"/><Relationship Id="rId365" Type="http://schemas.openxmlformats.org/officeDocument/2006/relationships/image" Target="media/image177.wmf"/><Relationship Id="rId572" Type="http://schemas.openxmlformats.org/officeDocument/2006/relationships/image" Target="media/image281.wmf"/><Relationship Id="rId628" Type="http://schemas.openxmlformats.org/officeDocument/2006/relationships/image" Target="media/image309.wmf"/><Relationship Id="rId225" Type="http://schemas.openxmlformats.org/officeDocument/2006/relationships/image" Target="media/image107.wmf"/><Relationship Id="rId267" Type="http://schemas.openxmlformats.org/officeDocument/2006/relationships/image" Target="media/image128.wmf"/><Relationship Id="rId432" Type="http://schemas.openxmlformats.org/officeDocument/2006/relationships/oleObject" Target="embeddings/oleObject204.bin"/><Relationship Id="rId474" Type="http://schemas.openxmlformats.org/officeDocument/2006/relationships/oleObject" Target="embeddings/oleObject225.bin"/><Relationship Id="rId127" Type="http://schemas.openxmlformats.org/officeDocument/2006/relationships/image" Target="media/image58.wmf"/><Relationship Id="rId681" Type="http://schemas.openxmlformats.org/officeDocument/2006/relationships/oleObject" Target="embeddings/oleObject328.bin"/><Relationship Id="rId31" Type="http://schemas.openxmlformats.org/officeDocument/2006/relationships/image" Target="media/image10.wmf"/><Relationship Id="rId73" Type="http://schemas.openxmlformats.org/officeDocument/2006/relationships/image" Target="media/image31.wmf"/><Relationship Id="rId169" Type="http://schemas.openxmlformats.org/officeDocument/2006/relationships/image" Target="media/image79.wmf"/><Relationship Id="rId334" Type="http://schemas.openxmlformats.org/officeDocument/2006/relationships/oleObject" Target="embeddings/oleObject155.bin"/><Relationship Id="rId376" Type="http://schemas.openxmlformats.org/officeDocument/2006/relationships/oleObject" Target="embeddings/oleObject176.bin"/><Relationship Id="rId541" Type="http://schemas.openxmlformats.org/officeDocument/2006/relationships/oleObject" Target="embeddings/oleObject258.bin"/><Relationship Id="rId583" Type="http://schemas.openxmlformats.org/officeDocument/2006/relationships/oleObject" Target="embeddings/oleObject279.bin"/><Relationship Id="rId639" Type="http://schemas.openxmlformats.org/officeDocument/2006/relationships/oleObject" Target="embeddings/oleObject307.bin"/><Relationship Id="rId4" Type="http://schemas.openxmlformats.org/officeDocument/2006/relationships/settings" Target="settings.xml"/><Relationship Id="rId180" Type="http://schemas.openxmlformats.org/officeDocument/2006/relationships/oleObject" Target="embeddings/oleObject78.bin"/><Relationship Id="rId236" Type="http://schemas.openxmlformats.org/officeDocument/2006/relationships/oleObject" Target="embeddings/oleObject106.bin"/><Relationship Id="rId278" Type="http://schemas.openxmlformats.org/officeDocument/2006/relationships/oleObject" Target="embeddings/oleObject127.bin"/><Relationship Id="rId401" Type="http://schemas.openxmlformats.org/officeDocument/2006/relationships/image" Target="media/image195.wmf"/><Relationship Id="rId443" Type="http://schemas.openxmlformats.org/officeDocument/2006/relationships/image" Target="media/image216.wmf"/><Relationship Id="rId650" Type="http://schemas.openxmlformats.org/officeDocument/2006/relationships/image" Target="media/image320.wmf"/><Relationship Id="rId303" Type="http://schemas.openxmlformats.org/officeDocument/2006/relationships/image" Target="media/image146.wmf"/><Relationship Id="rId485" Type="http://schemas.openxmlformats.org/officeDocument/2006/relationships/image" Target="media/image237.wmf"/><Relationship Id="rId692" Type="http://schemas.openxmlformats.org/officeDocument/2006/relationships/image" Target="media/image341.wmf"/><Relationship Id="rId706" Type="http://schemas.openxmlformats.org/officeDocument/2006/relationships/image" Target="media/image348.wmf"/><Relationship Id="rId42" Type="http://schemas.openxmlformats.org/officeDocument/2006/relationships/oleObject" Target="embeddings/oleObject9.bin"/><Relationship Id="rId84" Type="http://schemas.openxmlformats.org/officeDocument/2006/relationships/oleObject" Target="embeddings/oleObject30.bin"/><Relationship Id="rId138" Type="http://schemas.openxmlformats.org/officeDocument/2006/relationships/oleObject" Target="embeddings/oleObject57.bin"/><Relationship Id="rId345" Type="http://schemas.openxmlformats.org/officeDocument/2006/relationships/image" Target="media/image167.wmf"/><Relationship Id="rId387" Type="http://schemas.openxmlformats.org/officeDocument/2006/relationships/image" Target="media/image188.wmf"/><Relationship Id="rId510" Type="http://schemas.openxmlformats.org/officeDocument/2006/relationships/image" Target="media/image250.wmf"/><Relationship Id="rId552" Type="http://schemas.openxmlformats.org/officeDocument/2006/relationships/image" Target="media/image271.wmf"/><Relationship Id="rId594" Type="http://schemas.openxmlformats.org/officeDocument/2006/relationships/image" Target="media/image292.wmf"/><Relationship Id="rId608" Type="http://schemas.openxmlformats.org/officeDocument/2006/relationships/image" Target="media/image299.wmf"/><Relationship Id="rId191" Type="http://schemas.openxmlformats.org/officeDocument/2006/relationships/image" Target="media/image90.wmf"/><Relationship Id="rId205" Type="http://schemas.openxmlformats.org/officeDocument/2006/relationships/image" Target="media/image97.wmf"/><Relationship Id="rId247" Type="http://schemas.openxmlformats.org/officeDocument/2006/relationships/image" Target="media/image118.wmf"/><Relationship Id="rId412" Type="http://schemas.openxmlformats.org/officeDocument/2006/relationships/oleObject" Target="embeddings/oleObject194.bin"/><Relationship Id="rId107" Type="http://schemas.openxmlformats.org/officeDocument/2006/relationships/image" Target="media/image48.wmf"/><Relationship Id="rId289" Type="http://schemas.openxmlformats.org/officeDocument/2006/relationships/image" Target="media/image139.wmf"/><Relationship Id="rId454" Type="http://schemas.openxmlformats.org/officeDocument/2006/relationships/oleObject" Target="embeddings/oleObject215.bin"/><Relationship Id="rId496" Type="http://schemas.openxmlformats.org/officeDocument/2006/relationships/oleObject" Target="embeddings/oleObject236.bin"/><Relationship Id="rId661" Type="http://schemas.openxmlformats.org/officeDocument/2006/relationships/oleObject" Target="embeddings/oleObject318.bin"/><Relationship Id="rId11" Type="http://schemas.openxmlformats.org/officeDocument/2006/relationships/hyperlink" Target="http://creativecommons.org/licenses/by/3.0/au/deed.en" TargetMode="External"/><Relationship Id="rId53" Type="http://schemas.openxmlformats.org/officeDocument/2006/relationships/image" Target="media/image21.wmf"/><Relationship Id="rId149" Type="http://schemas.openxmlformats.org/officeDocument/2006/relationships/image" Target="media/image69.wmf"/><Relationship Id="rId314" Type="http://schemas.openxmlformats.org/officeDocument/2006/relationships/oleObject" Target="embeddings/oleObject145.bin"/><Relationship Id="rId356" Type="http://schemas.openxmlformats.org/officeDocument/2006/relationships/oleObject" Target="embeddings/oleObject166.bin"/><Relationship Id="rId398" Type="http://schemas.openxmlformats.org/officeDocument/2006/relationships/oleObject" Target="embeddings/oleObject187.bin"/><Relationship Id="rId521" Type="http://schemas.openxmlformats.org/officeDocument/2006/relationships/oleObject" Target="embeddings/oleObject248.bin"/><Relationship Id="rId563" Type="http://schemas.openxmlformats.org/officeDocument/2006/relationships/oleObject" Target="embeddings/oleObject269.bin"/><Relationship Id="rId619" Type="http://schemas.openxmlformats.org/officeDocument/2006/relationships/oleObject" Target="embeddings/oleObject297.bin"/><Relationship Id="rId95" Type="http://schemas.openxmlformats.org/officeDocument/2006/relationships/image" Target="media/image42.wmf"/><Relationship Id="rId160" Type="http://schemas.openxmlformats.org/officeDocument/2006/relationships/oleObject" Target="embeddings/oleObject68.bin"/><Relationship Id="rId216" Type="http://schemas.openxmlformats.org/officeDocument/2006/relationships/oleObject" Target="embeddings/oleObject96.bin"/><Relationship Id="rId423" Type="http://schemas.openxmlformats.org/officeDocument/2006/relationships/image" Target="media/image206.wmf"/><Relationship Id="rId258" Type="http://schemas.openxmlformats.org/officeDocument/2006/relationships/oleObject" Target="embeddings/oleObject117.bin"/><Relationship Id="rId465" Type="http://schemas.openxmlformats.org/officeDocument/2006/relationships/image" Target="media/image227.wmf"/><Relationship Id="rId630" Type="http://schemas.openxmlformats.org/officeDocument/2006/relationships/image" Target="media/image310.wmf"/><Relationship Id="rId672" Type="http://schemas.openxmlformats.org/officeDocument/2006/relationships/image" Target="media/image331.wmf"/><Relationship Id="rId22" Type="http://schemas.openxmlformats.org/officeDocument/2006/relationships/header" Target="header7.xml"/><Relationship Id="rId64" Type="http://schemas.openxmlformats.org/officeDocument/2006/relationships/oleObject" Target="embeddings/oleObject20.bin"/><Relationship Id="rId118" Type="http://schemas.openxmlformats.org/officeDocument/2006/relationships/oleObject" Target="embeddings/oleObject47.bin"/><Relationship Id="rId325" Type="http://schemas.openxmlformats.org/officeDocument/2006/relationships/image" Target="media/image157.wmf"/><Relationship Id="rId367" Type="http://schemas.openxmlformats.org/officeDocument/2006/relationships/image" Target="media/image178.wmf"/><Relationship Id="rId532" Type="http://schemas.openxmlformats.org/officeDocument/2006/relationships/image" Target="media/image261.wmf"/><Relationship Id="rId574" Type="http://schemas.openxmlformats.org/officeDocument/2006/relationships/image" Target="media/image282.wmf"/><Relationship Id="rId171" Type="http://schemas.openxmlformats.org/officeDocument/2006/relationships/image" Target="media/image80.wmf"/><Relationship Id="rId227" Type="http://schemas.openxmlformats.org/officeDocument/2006/relationships/image" Target="media/image108.wmf"/><Relationship Id="rId269" Type="http://schemas.openxmlformats.org/officeDocument/2006/relationships/image" Target="media/image129.wmf"/><Relationship Id="rId434" Type="http://schemas.openxmlformats.org/officeDocument/2006/relationships/oleObject" Target="embeddings/oleObject205.bin"/><Relationship Id="rId476" Type="http://schemas.openxmlformats.org/officeDocument/2006/relationships/oleObject" Target="embeddings/oleObject226.bin"/><Relationship Id="rId641" Type="http://schemas.openxmlformats.org/officeDocument/2006/relationships/oleObject" Target="embeddings/oleObject308.bin"/><Relationship Id="rId683" Type="http://schemas.openxmlformats.org/officeDocument/2006/relationships/oleObject" Target="embeddings/oleObject329.bin"/><Relationship Id="rId33" Type="http://schemas.openxmlformats.org/officeDocument/2006/relationships/image" Target="media/image11.wmf"/><Relationship Id="rId129" Type="http://schemas.openxmlformats.org/officeDocument/2006/relationships/image" Target="media/image59.wmf"/><Relationship Id="rId280" Type="http://schemas.openxmlformats.org/officeDocument/2006/relationships/oleObject" Target="embeddings/oleObject128.bin"/><Relationship Id="rId336" Type="http://schemas.openxmlformats.org/officeDocument/2006/relationships/oleObject" Target="embeddings/oleObject156.bin"/><Relationship Id="rId501" Type="http://schemas.openxmlformats.org/officeDocument/2006/relationships/image" Target="media/image245.wmf"/><Relationship Id="rId543" Type="http://schemas.openxmlformats.org/officeDocument/2006/relationships/oleObject" Target="embeddings/oleObject259.bin"/><Relationship Id="rId75" Type="http://schemas.openxmlformats.org/officeDocument/2006/relationships/image" Target="media/image32.wmf"/><Relationship Id="rId140" Type="http://schemas.openxmlformats.org/officeDocument/2006/relationships/oleObject" Target="embeddings/oleObject58.bin"/><Relationship Id="rId182" Type="http://schemas.openxmlformats.org/officeDocument/2006/relationships/oleObject" Target="embeddings/oleObject79.bin"/><Relationship Id="rId378" Type="http://schemas.openxmlformats.org/officeDocument/2006/relationships/oleObject" Target="embeddings/oleObject177.bin"/><Relationship Id="rId403" Type="http://schemas.openxmlformats.org/officeDocument/2006/relationships/image" Target="media/image196.wmf"/><Relationship Id="rId585" Type="http://schemas.openxmlformats.org/officeDocument/2006/relationships/oleObject" Target="embeddings/oleObject280.bin"/><Relationship Id="rId6" Type="http://schemas.openxmlformats.org/officeDocument/2006/relationships/footnotes" Target="footnotes.xml"/><Relationship Id="rId238" Type="http://schemas.openxmlformats.org/officeDocument/2006/relationships/oleObject" Target="embeddings/oleObject107.bin"/><Relationship Id="rId445" Type="http://schemas.openxmlformats.org/officeDocument/2006/relationships/image" Target="media/image217.wmf"/><Relationship Id="rId487" Type="http://schemas.openxmlformats.org/officeDocument/2006/relationships/image" Target="media/image238.wmf"/><Relationship Id="rId610" Type="http://schemas.openxmlformats.org/officeDocument/2006/relationships/image" Target="media/image300.wmf"/><Relationship Id="rId652" Type="http://schemas.openxmlformats.org/officeDocument/2006/relationships/image" Target="media/image321.wmf"/><Relationship Id="rId694" Type="http://schemas.openxmlformats.org/officeDocument/2006/relationships/image" Target="media/image342.wmf"/><Relationship Id="rId708" Type="http://schemas.openxmlformats.org/officeDocument/2006/relationships/fontTable" Target="fontTable.xml"/><Relationship Id="rId291" Type="http://schemas.openxmlformats.org/officeDocument/2006/relationships/image" Target="media/image140.wmf"/><Relationship Id="rId305" Type="http://schemas.openxmlformats.org/officeDocument/2006/relationships/image" Target="media/image147.wmf"/><Relationship Id="rId347" Type="http://schemas.openxmlformats.org/officeDocument/2006/relationships/image" Target="media/image168.wmf"/><Relationship Id="rId512" Type="http://schemas.openxmlformats.org/officeDocument/2006/relationships/image" Target="media/image251.wmf"/><Relationship Id="rId44" Type="http://schemas.openxmlformats.org/officeDocument/2006/relationships/oleObject" Target="embeddings/oleObject10.bin"/><Relationship Id="rId86" Type="http://schemas.openxmlformats.org/officeDocument/2006/relationships/oleObject" Target="embeddings/oleObject31.bin"/><Relationship Id="rId151" Type="http://schemas.openxmlformats.org/officeDocument/2006/relationships/image" Target="media/image70.wmf"/><Relationship Id="rId389" Type="http://schemas.openxmlformats.org/officeDocument/2006/relationships/image" Target="media/image189.wmf"/><Relationship Id="rId554" Type="http://schemas.openxmlformats.org/officeDocument/2006/relationships/image" Target="media/image272.wmf"/><Relationship Id="rId596" Type="http://schemas.openxmlformats.org/officeDocument/2006/relationships/image" Target="media/image293.wmf"/><Relationship Id="rId193" Type="http://schemas.openxmlformats.org/officeDocument/2006/relationships/image" Target="media/image91.wmf"/><Relationship Id="rId207" Type="http://schemas.openxmlformats.org/officeDocument/2006/relationships/image" Target="media/image98.wmf"/><Relationship Id="rId249" Type="http://schemas.openxmlformats.org/officeDocument/2006/relationships/image" Target="media/image119.wmf"/><Relationship Id="rId414" Type="http://schemas.openxmlformats.org/officeDocument/2006/relationships/oleObject" Target="embeddings/oleObject195.bin"/><Relationship Id="rId456" Type="http://schemas.openxmlformats.org/officeDocument/2006/relationships/oleObject" Target="embeddings/oleObject216.bin"/><Relationship Id="rId498" Type="http://schemas.openxmlformats.org/officeDocument/2006/relationships/oleObject" Target="embeddings/oleObject237.bin"/><Relationship Id="rId621" Type="http://schemas.openxmlformats.org/officeDocument/2006/relationships/oleObject" Target="embeddings/oleObject298.bin"/><Relationship Id="rId663" Type="http://schemas.openxmlformats.org/officeDocument/2006/relationships/oleObject" Target="embeddings/oleObject319.bin"/><Relationship Id="rId13" Type="http://schemas.openxmlformats.org/officeDocument/2006/relationships/image" Target="media/image4.wmf"/><Relationship Id="rId109" Type="http://schemas.openxmlformats.org/officeDocument/2006/relationships/image" Target="media/image49.wmf"/><Relationship Id="rId260" Type="http://schemas.openxmlformats.org/officeDocument/2006/relationships/oleObject" Target="embeddings/oleObject118.bin"/><Relationship Id="rId316" Type="http://schemas.openxmlformats.org/officeDocument/2006/relationships/oleObject" Target="embeddings/oleObject146.bin"/><Relationship Id="rId523" Type="http://schemas.openxmlformats.org/officeDocument/2006/relationships/oleObject" Target="embeddings/oleObject249.bin"/><Relationship Id="rId55" Type="http://schemas.openxmlformats.org/officeDocument/2006/relationships/image" Target="media/image22.wmf"/><Relationship Id="rId97" Type="http://schemas.openxmlformats.org/officeDocument/2006/relationships/image" Target="media/image43.wmf"/><Relationship Id="rId120" Type="http://schemas.openxmlformats.org/officeDocument/2006/relationships/oleObject" Target="embeddings/oleObject48.bin"/><Relationship Id="rId358" Type="http://schemas.openxmlformats.org/officeDocument/2006/relationships/oleObject" Target="embeddings/oleObject167.bin"/><Relationship Id="rId565" Type="http://schemas.openxmlformats.org/officeDocument/2006/relationships/oleObject" Target="embeddings/oleObject270.bin"/><Relationship Id="rId162" Type="http://schemas.openxmlformats.org/officeDocument/2006/relationships/oleObject" Target="embeddings/oleObject69.bin"/><Relationship Id="rId218" Type="http://schemas.openxmlformats.org/officeDocument/2006/relationships/oleObject" Target="embeddings/oleObject97.bin"/><Relationship Id="rId425" Type="http://schemas.openxmlformats.org/officeDocument/2006/relationships/image" Target="media/image207.wmf"/><Relationship Id="rId467" Type="http://schemas.openxmlformats.org/officeDocument/2006/relationships/image" Target="media/image228.wmf"/><Relationship Id="rId632" Type="http://schemas.openxmlformats.org/officeDocument/2006/relationships/image" Target="media/image311.wmf"/><Relationship Id="rId271" Type="http://schemas.openxmlformats.org/officeDocument/2006/relationships/image" Target="media/image130.wmf"/><Relationship Id="rId674" Type="http://schemas.openxmlformats.org/officeDocument/2006/relationships/image" Target="media/image332.wmf"/><Relationship Id="rId24" Type="http://schemas.openxmlformats.org/officeDocument/2006/relationships/image" Target="media/image6.emf"/><Relationship Id="rId66" Type="http://schemas.openxmlformats.org/officeDocument/2006/relationships/oleObject" Target="embeddings/oleObject21.bin"/><Relationship Id="rId131" Type="http://schemas.openxmlformats.org/officeDocument/2006/relationships/image" Target="media/image60.wmf"/><Relationship Id="rId327" Type="http://schemas.openxmlformats.org/officeDocument/2006/relationships/image" Target="media/image158.wmf"/><Relationship Id="rId369" Type="http://schemas.openxmlformats.org/officeDocument/2006/relationships/image" Target="media/image179.wmf"/><Relationship Id="rId534" Type="http://schemas.openxmlformats.org/officeDocument/2006/relationships/image" Target="media/image262.wmf"/><Relationship Id="rId576" Type="http://schemas.openxmlformats.org/officeDocument/2006/relationships/image" Target="media/image283.wmf"/><Relationship Id="rId173" Type="http://schemas.openxmlformats.org/officeDocument/2006/relationships/image" Target="media/image81.wmf"/><Relationship Id="rId229" Type="http://schemas.openxmlformats.org/officeDocument/2006/relationships/image" Target="media/image109.wmf"/><Relationship Id="rId380" Type="http://schemas.openxmlformats.org/officeDocument/2006/relationships/oleObject" Target="embeddings/oleObject178.bin"/><Relationship Id="rId436" Type="http://schemas.openxmlformats.org/officeDocument/2006/relationships/oleObject" Target="embeddings/oleObject206.bin"/><Relationship Id="rId601" Type="http://schemas.openxmlformats.org/officeDocument/2006/relationships/oleObject" Target="embeddings/oleObject288.bin"/><Relationship Id="rId643" Type="http://schemas.openxmlformats.org/officeDocument/2006/relationships/oleObject" Target="embeddings/oleObject309.bin"/><Relationship Id="rId240" Type="http://schemas.openxmlformats.org/officeDocument/2006/relationships/oleObject" Target="embeddings/oleObject108.bin"/><Relationship Id="rId478" Type="http://schemas.openxmlformats.org/officeDocument/2006/relationships/oleObject" Target="embeddings/oleObject227.bin"/><Relationship Id="rId685" Type="http://schemas.openxmlformats.org/officeDocument/2006/relationships/oleObject" Target="embeddings/oleObject330.bin"/><Relationship Id="rId35" Type="http://schemas.openxmlformats.org/officeDocument/2006/relationships/image" Target="media/image12.wmf"/><Relationship Id="rId77" Type="http://schemas.openxmlformats.org/officeDocument/2006/relationships/image" Target="media/image33.wmf"/><Relationship Id="rId100" Type="http://schemas.openxmlformats.org/officeDocument/2006/relationships/oleObject" Target="embeddings/oleObject38.bin"/><Relationship Id="rId282" Type="http://schemas.openxmlformats.org/officeDocument/2006/relationships/oleObject" Target="embeddings/oleObject129.bin"/><Relationship Id="rId338" Type="http://schemas.openxmlformats.org/officeDocument/2006/relationships/oleObject" Target="embeddings/oleObject157.bin"/><Relationship Id="rId503" Type="http://schemas.openxmlformats.org/officeDocument/2006/relationships/image" Target="media/image246.wmf"/><Relationship Id="rId545" Type="http://schemas.openxmlformats.org/officeDocument/2006/relationships/oleObject" Target="embeddings/oleObject260.bin"/><Relationship Id="rId587" Type="http://schemas.openxmlformats.org/officeDocument/2006/relationships/oleObject" Target="embeddings/oleObject281.bin"/><Relationship Id="rId8" Type="http://schemas.openxmlformats.org/officeDocument/2006/relationships/footer" Target="footer1.xml"/><Relationship Id="rId142" Type="http://schemas.openxmlformats.org/officeDocument/2006/relationships/oleObject" Target="embeddings/oleObject59.bin"/><Relationship Id="rId184" Type="http://schemas.openxmlformats.org/officeDocument/2006/relationships/oleObject" Target="embeddings/oleObject80.bin"/><Relationship Id="rId391" Type="http://schemas.openxmlformats.org/officeDocument/2006/relationships/image" Target="media/image190.wmf"/><Relationship Id="rId405" Type="http://schemas.openxmlformats.org/officeDocument/2006/relationships/image" Target="media/image197.wmf"/><Relationship Id="rId447" Type="http://schemas.openxmlformats.org/officeDocument/2006/relationships/image" Target="media/image218.wmf"/><Relationship Id="rId612" Type="http://schemas.openxmlformats.org/officeDocument/2006/relationships/image" Target="media/image301.wmf"/><Relationship Id="rId251" Type="http://schemas.openxmlformats.org/officeDocument/2006/relationships/image" Target="media/image120.wmf"/><Relationship Id="rId489" Type="http://schemas.openxmlformats.org/officeDocument/2006/relationships/image" Target="media/image239.wmf"/><Relationship Id="rId654" Type="http://schemas.openxmlformats.org/officeDocument/2006/relationships/image" Target="media/image322.wmf"/><Relationship Id="rId696" Type="http://schemas.openxmlformats.org/officeDocument/2006/relationships/image" Target="media/image343.wmf"/><Relationship Id="rId46" Type="http://schemas.openxmlformats.org/officeDocument/2006/relationships/oleObject" Target="embeddings/oleObject11.bin"/><Relationship Id="rId293" Type="http://schemas.openxmlformats.org/officeDocument/2006/relationships/image" Target="media/image141.wmf"/><Relationship Id="rId307" Type="http://schemas.openxmlformats.org/officeDocument/2006/relationships/image" Target="media/image148.wmf"/><Relationship Id="rId349" Type="http://schemas.openxmlformats.org/officeDocument/2006/relationships/image" Target="media/image169.wmf"/><Relationship Id="rId514" Type="http://schemas.openxmlformats.org/officeDocument/2006/relationships/image" Target="media/image252.wmf"/><Relationship Id="rId556" Type="http://schemas.openxmlformats.org/officeDocument/2006/relationships/image" Target="media/image273.wmf"/><Relationship Id="rId88" Type="http://schemas.openxmlformats.org/officeDocument/2006/relationships/oleObject" Target="embeddings/oleObject32.bin"/><Relationship Id="rId111" Type="http://schemas.openxmlformats.org/officeDocument/2006/relationships/image" Target="media/image50.wmf"/><Relationship Id="rId153" Type="http://schemas.openxmlformats.org/officeDocument/2006/relationships/image" Target="media/image71.wmf"/><Relationship Id="rId195" Type="http://schemas.openxmlformats.org/officeDocument/2006/relationships/image" Target="media/image92.wmf"/><Relationship Id="rId209" Type="http://schemas.openxmlformats.org/officeDocument/2006/relationships/image" Target="media/image99.wmf"/><Relationship Id="rId360" Type="http://schemas.openxmlformats.org/officeDocument/2006/relationships/oleObject" Target="embeddings/oleObject168.bin"/><Relationship Id="rId416" Type="http://schemas.openxmlformats.org/officeDocument/2006/relationships/oleObject" Target="embeddings/oleObject196.bin"/><Relationship Id="rId598" Type="http://schemas.openxmlformats.org/officeDocument/2006/relationships/image" Target="media/image294.wmf"/><Relationship Id="rId220" Type="http://schemas.openxmlformats.org/officeDocument/2006/relationships/oleObject" Target="embeddings/oleObject98.bin"/><Relationship Id="rId458" Type="http://schemas.openxmlformats.org/officeDocument/2006/relationships/oleObject" Target="embeddings/oleObject217.bin"/><Relationship Id="rId623" Type="http://schemas.openxmlformats.org/officeDocument/2006/relationships/oleObject" Target="embeddings/oleObject299.bin"/><Relationship Id="rId665" Type="http://schemas.openxmlformats.org/officeDocument/2006/relationships/oleObject" Target="embeddings/oleObject320.bin"/><Relationship Id="rId15" Type="http://schemas.openxmlformats.org/officeDocument/2006/relationships/hyperlink" Target="https://www.pmc.gov.au/honours-and-symbols/commonwealth-coat-arms" TargetMode="External"/><Relationship Id="rId57" Type="http://schemas.openxmlformats.org/officeDocument/2006/relationships/image" Target="media/image23.wmf"/><Relationship Id="rId262" Type="http://schemas.openxmlformats.org/officeDocument/2006/relationships/oleObject" Target="embeddings/oleObject119.bin"/><Relationship Id="rId318" Type="http://schemas.openxmlformats.org/officeDocument/2006/relationships/oleObject" Target="embeddings/oleObject147.bin"/><Relationship Id="rId525" Type="http://schemas.openxmlformats.org/officeDocument/2006/relationships/oleObject" Target="embeddings/oleObject250.bin"/><Relationship Id="rId567" Type="http://schemas.openxmlformats.org/officeDocument/2006/relationships/oleObject" Target="embeddings/oleObject271.bin"/><Relationship Id="rId99" Type="http://schemas.openxmlformats.org/officeDocument/2006/relationships/image" Target="media/image44.wmf"/><Relationship Id="rId122" Type="http://schemas.openxmlformats.org/officeDocument/2006/relationships/oleObject" Target="embeddings/oleObject49.bin"/><Relationship Id="rId164" Type="http://schemas.openxmlformats.org/officeDocument/2006/relationships/oleObject" Target="embeddings/oleObject70.bin"/><Relationship Id="rId371" Type="http://schemas.openxmlformats.org/officeDocument/2006/relationships/image" Target="media/image180.wmf"/><Relationship Id="rId427" Type="http://schemas.openxmlformats.org/officeDocument/2006/relationships/image" Target="media/image208.wmf"/><Relationship Id="rId469" Type="http://schemas.openxmlformats.org/officeDocument/2006/relationships/image" Target="media/image229.wmf"/><Relationship Id="rId634" Type="http://schemas.openxmlformats.org/officeDocument/2006/relationships/image" Target="media/image312.wmf"/><Relationship Id="rId676" Type="http://schemas.openxmlformats.org/officeDocument/2006/relationships/image" Target="media/image333.wmf"/><Relationship Id="rId26" Type="http://schemas.openxmlformats.org/officeDocument/2006/relationships/oleObject" Target="embeddings/oleObject1.bin"/><Relationship Id="rId231" Type="http://schemas.openxmlformats.org/officeDocument/2006/relationships/image" Target="media/image110.wmf"/><Relationship Id="rId273" Type="http://schemas.openxmlformats.org/officeDocument/2006/relationships/image" Target="media/image131.wmf"/><Relationship Id="rId329" Type="http://schemas.openxmlformats.org/officeDocument/2006/relationships/image" Target="media/image159.wmf"/><Relationship Id="rId480" Type="http://schemas.openxmlformats.org/officeDocument/2006/relationships/oleObject" Target="embeddings/oleObject228.bin"/><Relationship Id="rId536" Type="http://schemas.openxmlformats.org/officeDocument/2006/relationships/image" Target="media/image263.wmf"/><Relationship Id="rId701" Type="http://schemas.openxmlformats.org/officeDocument/2006/relationships/oleObject" Target="embeddings/oleObject338.bin"/><Relationship Id="rId68" Type="http://schemas.openxmlformats.org/officeDocument/2006/relationships/oleObject" Target="embeddings/oleObject22.bin"/><Relationship Id="rId133" Type="http://schemas.openxmlformats.org/officeDocument/2006/relationships/image" Target="media/image61.wmf"/><Relationship Id="rId175" Type="http://schemas.openxmlformats.org/officeDocument/2006/relationships/image" Target="media/image82.wmf"/><Relationship Id="rId340" Type="http://schemas.openxmlformats.org/officeDocument/2006/relationships/oleObject" Target="embeddings/oleObject158.bin"/><Relationship Id="rId578" Type="http://schemas.openxmlformats.org/officeDocument/2006/relationships/image" Target="media/image284.wmf"/><Relationship Id="rId200" Type="http://schemas.openxmlformats.org/officeDocument/2006/relationships/oleObject" Target="embeddings/oleObject88.bin"/><Relationship Id="rId382" Type="http://schemas.openxmlformats.org/officeDocument/2006/relationships/oleObject" Target="embeddings/oleObject179.bin"/><Relationship Id="rId438" Type="http://schemas.openxmlformats.org/officeDocument/2006/relationships/oleObject" Target="embeddings/oleObject207.bin"/><Relationship Id="rId603" Type="http://schemas.openxmlformats.org/officeDocument/2006/relationships/oleObject" Target="embeddings/oleObject289.bin"/><Relationship Id="rId645" Type="http://schemas.openxmlformats.org/officeDocument/2006/relationships/oleObject" Target="embeddings/oleObject310.bin"/><Relationship Id="rId687" Type="http://schemas.openxmlformats.org/officeDocument/2006/relationships/oleObject" Target="embeddings/oleObject331.bin"/><Relationship Id="rId242" Type="http://schemas.openxmlformats.org/officeDocument/2006/relationships/oleObject" Target="embeddings/oleObject109.bin"/><Relationship Id="rId284" Type="http://schemas.openxmlformats.org/officeDocument/2006/relationships/oleObject" Target="embeddings/oleObject130.bin"/><Relationship Id="rId491" Type="http://schemas.openxmlformats.org/officeDocument/2006/relationships/image" Target="media/image240.wmf"/><Relationship Id="rId505" Type="http://schemas.openxmlformats.org/officeDocument/2006/relationships/oleObject" Target="embeddings/oleObject240.bin"/><Relationship Id="rId37" Type="http://schemas.openxmlformats.org/officeDocument/2006/relationships/image" Target="media/image13.wmf"/><Relationship Id="rId79" Type="http://schemas.openxmlformats.org/officeDocument/2006/relationships/image" Target="media/image34.wmf"/><Relationship Id="rId102" Type="http://schemas.openxmlformats.org/officeDocument/2006/relationships/oleObject" Target="embeddings/oleObject39.bin"/><Relationship Id="rId144" Type="http://schemas.openxmlformats.org/officeDocument/2006/relationships/oleObject" Target="embeddings/oleObject60.bin"/><Relationship Id="rId547" Type="http://schemas.openxmlformats.org/officeDocument/2006/relationships/oleObject" Target="embeddings/oleObject261.bin"/><Relationship Id="rId589" Type="http://schemas.openxmlformats.org/officeDocument/2006/relationships/oleObject" Target="embeddings/oleObject282.bin"/><Relationship Id="rId90" Type="http://schemas.openxmlformats.org/officeDocument/2006/relationships/oleObject" Target="embeddings/oleObject33.bin"/><Relationship Id="rId186" Type="http://schemas.openxmlformats.org/officeDocument/2006/relationships/oleObject" Target="embeddings/oleObject81.bin"/><Relationship Id="rId351" Type="http://schemas.openxmlformats.org/officeDocument/2006/relationships/image" Target="media/image170.wmf"/><Relationship Id="rId393" Type="http://schemas.openxmlformats.org/officeDocument/2006/relationships/image" Target="media/image191.wmf"/><Relationship Id="rId407" Type="http://schemas.openxmlformats.org/officeDocument/2006/relationships/image" Target="media/image198.wmf"/><Relationship Id="rId449" Type="http://schemas.openxmlformats.org/officeDocument/2006/relationships/image" Target="media/image219.wmf"/><Relationship Id="rId614" Type="http://schemas.openxmlformats.org/officeDocument/2006/relationships/image" Target="media/image302.wmf"/><Relationship Id="rId656" Type="http://schemas.openxmlformats.org/officeDocument/2006/relationships/image" Target="media/image323.wmf"/><Relationship Id="rId211" Type="http://schemas.openxmlformats.org/officeDocument/2006/relationships/image" Target="media/image100.wmf"/><Relationship Id="rId253" Type="http://schemas.openxmlformats.org/officeDocument/2006/relationships/image" Target="media/image121.wmf"/><Relationship Id="rId295" Type="http://schemas.openxmlformats.org/officeDocument/2006/relationships/image" Target="media/image142.wmf"/><Relationship Id="rId309" Type="http://schemas.openxmlformats.org/officeDocument/2006/relationships/image" Target="media/image149.wmf"/><Relationship Id="rId460" Type="http://schemas.openxmlformats.org/officeDocument/2006/relationships/oleObject" Target="embeddings/oleObject218.bin"/><Relationship Id="rId516" Type="http://schemas.openxmlformats.org/officeDocument/2006/relationships/image" Target="media/image253.wmf"/><Relationship Id="rId698" Type="http://schemas.openxmlformats.org/officeDocument/2006/relationships/image" Target="media/image344.wmf"/><Relationship Id="rId48" Type="http://schemas.openxmlformats.org/officeDocument/2006/relationships/oleObject" Target="embeddings/oleObject12.bin"/><Relationship Id="rId113" Type="http://schemas.openxmlformats.org/officeDocument/2006/relationships/image" Target="media/image51.wmf"/><Relationship Id="rId320" Type="http://schemas.openxmlformats.org/officeDocument/2006/relationships/oleObject" Target="embeddings/oleObject148.bin"/><Relationship Id="rId558" Type="http://schemas.openxmlformats.org/officeDocument/2006/relationships/image" Target="media/image274.wmf"/><Relationship Id="rId155" Type="http://schemas.openxmlformats.org/officeDocument/2006/relationships/image" Target="media/image72.wmf"/><Relationship Id="rId197" Type="http://schemas.openxmlformats.org/officeDocument/2006/relationships/image" Target="media/image93.wmf"/><Relationship Id="rId362" Type="http://schemas.openxmlformats.org/officeDocument/2006/relationships/oleObject" Target="embeddings/oleObject169.bin"/><Relationship Id="rId418" Type="http://schemas.openxmlformats.org/officeDocument/2006/relationships/oleObject" Target="embeddings/oleObject197.bin"/><Relationship Id="rId625" Type="http://schemas.openxmlformats.org/officeDocument/2006/relationships/oleObject" Target="embeddings/oleObject300.bin"/><Relationship Id="rId222" Type="http://schemas.openxmlformats.org/officeDocument/2006/relationships/oleObject" Target="embeddings/oleObject99.bin"/><Relationship Id="rId264" Type="http://schemas.openxmlformats.org/officeDocument/2006/relationships/oleObject" Target="embeddings/oleObject120.bin"/><Relationship Id="rId471" Type="http://schemas.openxmlformats.org/officeDocument/2006/relationships/image" Target="media/image230.wmf"/><Relationship Id="rId667" Type="http://schemas.openxmlformats.org/officeDocument/2006/relationships/oleObject" Target="embeddings/oleObject321.bin"/><Relationship Id="rId17" Type="http://schemas.openxmlformats.org/officeDocument/2006/relationships/header" Target="header2.xml"/><Relationship Id="rId59" Type="http://schemas.openxmlformats.org/officeDocument/2006/relationships/image" Target="media/image24.wmf"/><Relationship Id="rId124" Type="http://schemas.openxmlformats.org/officeDocument/2006/relationships/oleObject" Target="embeddings/oleObject50.bin"/><Relationship Id="rId527" Type="http://schemas.openxmlformats.org/officeDocument/2006/relationships/oleObject" Target="embeddings/oleObject251.bin"/><Relationship Id="rId569" Type="http://schemas.openxmlformats.org/officeDocument/2006/relationships/oleObject" Target="embeddings/oleObject272.bin"/><Relationship Id="rId70" Type="http://schemas.openxmlformats.org/officeDocument/2006/relationships/oleObject" Target="embeddings/oleObject23.bin"/><Relationship Id="rId166" Type="http://schemas.openxmlformats.org/officeDocument/2006/relationships/oleObject" Target="embeddings/oleObject71.bin"/><Relationship Id="rId331" Type="http://schemas.openxmlformats.org/officeDocument/2006/relationships/image" Target="media/image160.wmf"/><Relationship Id="rId373" Type="http://schemas.openxmlformats.org/officeDocument/2006/relationships/image" Target="media/image181.wmf"/><Relationship Id="rId429" Type="http://schemas.openxmlformats.org/officeDocument/2006/relationships/image" Target="media/image209.wmf"/><Relationship Id="rId580" Type="http://schemas.openxmlformats.org/officeDocument/2006/relationships/image" Target="media/image285.wmf"/><Relationship Id="rId636" Type="http://schemas.openxmlformats.org/officeDocument/2006/relationships/image" Target="media/image313.wmf"/><Relationship Id="rId1" Type="http://schemas.openxmlformats.org/officeDocument/2006/relationships/customXml" Target="../customXml/item1.xml"/><Relationship Id="rId233" Type="http://schemas.openxmlformats.org/officeDocument/2006/relationships/image" Target="media/image111.wmf"/><Relationship Id="rId440" Type="http://schemas.openxmlformats.org/officeDocument/2006/relationships/oleObject" Target="embeddings/oleObject208.bin"/><Relationship Id="rId678" Type="http://schemas.openxmlformats.org/officeDocument/2006/relationships/image" Target="media/image334.wmf"/><Relationship Id="rId28" Type="http://schemas.openxmlformats.org/officeDocument/2006/relationships/oleObject" Target="embeddings/oleObject2.bin"/><Relationship Id="rId275" Type="http://schemas.openxmlformats.org/officeDocument/2006/relationships/image" Target="media/image132.wmf"/><Relationship Id="rId300" Type="http://schemas.openxmlformats.org/officeDocument/2006/relationships/oleObject" Target="embeddings/oleObject138.bin"/><Relationship Id="rId482" Type="http://schemas.openxmlformats.org/officeDocument/2006/relationships/oleObject" Target="embeddings/oleObject229.bin"/><Relationship Id="rId538" Type="http://schemas.openxmlformats.org/officeDocument/2006/relationships/image" Target="media/image264.wmf"/><Relationship Id="rId703" Type="http://schemas.openxmlformats.org/officeDocument/2006/relationships/oleObject" Target="embeddings/oleObject339.bin"/><Relationship Id="rId81" Type="http://schemas.openxmlformats.org/officeDocument/2006/relationships/image" Target="media/image35.wmf"/><Relationship Id="rId135" Type="http://schemas.openxmlformats.org/officeDocument/2006/relationships/image" Target="media/image62.wmf"/><Relationship Id="rId177" Type="http://schemas.openxmlformats.org/officeDocument/2006/relationships/image" Target="media/image83.wmf"/><Relationship Id="rId342" Type="http://schemas.openxmlformats.org/officeDocument/2006/relationships/oleObject" Target="embeddings/oleObject159.bin"/><Relationship Id="rId384" Type="http://schemas.openxmlformats.org/officeDocument/2006/relationships/oleObject" Target="embeddings/oleObject180.bin"/><Relationship Id="rId591" Type="http://schemas.openxmlformats.org/officeDocument/2006/relationships/oleObject" Target="embeddings/oleObject283.bin"/><Relationship Id="rId605" Type="http://schemas.openxmlformats.org/officeDocument/2006/relationships/oleObject" Target="embeddings/oleObject290.bin"/><Relationship Id="rId202" Type="http://schemas.openxmlformats.org/officeDocument/2006/relationships/oleObject" Target="embeddings/oleObject89.bin"/><Relationship Id="rId244" Type="http://schemas.openxmlformats.org/officeDocument/2006/relationships/oleObject" Target="embeddings/oleObject110.bin"/><Relationship Id="rId647" Type="http://schemas.openxmlformats.org/officeDocument/2006/relationships/oleObject" Target="embeddings/oleObject311.bin"/><Relationship Id="rId689" Type="http://schemas.openxmlformats.org/officeDocument/2006/relationships/oleObject" Target="embeddings/oleObject332.bin"/><Relationship Id="rId39" Type="http://schemas.openxmlformats.org/officeDocument/2006/relationships/image" Target="media/image14.wmf"/><Relationship Id="rId286" Type="http://schemas.openxmlformats.org/officeDocument/2006/relationships/oleObject" Target="embeddings/oleObject131.bin"/><Relationship Id="rId451" Type="http://schemas.openxmlformats.org/officeDocument/2006/relationships/image" Target="media/image220.wmf"/><Relationship Id="rId493" Type="http://schemas.openxmlformats.org/officeDocument/2006/relationships/image" Target="media/image241.wmf"/><Relationship Id="rId507" Type="http://schemas.openxmlformats.org/officeDocument/2006/relationships/oleObject" Target="embeddings/oleObject241.bin"/><Relationship Id="rId549" Type="http://schemas.openxmlformats.org/officeDocument/2006/relationships/oleObject" Target="embeddings/oleObject262.bin"/><Relationship Id="rId50" Type="http://schemas.openxmlformats.org/officeDocument/2006/relationships/oleObject" Target="embeddings/oleObject13.bin"/><Relationship Id="rId104" Type="http://schemas.openxmlformats.org/officeDocument/2006/relationships/oleObject" Target="embeddings/oleObject40.bin"/><Relationship Id="rId146" Type="http://schemas.openxmlformats.org/officeDocument/2006/relationships/oleObject" Target="embeddings/oleObject61.bin"/><Relationship Id="rId188" Type="http://schemas.openxmlformats.org/officeDocument/2006/relationships/oleObject" Target="embeddings/oleObject82.bin"/><Relationship Id="rId311" Type="http://schemas.openxmlformats.org/officeDocument/2006/relationships/image" Target="media/image150.wmf"/><Relationship Id="rId353" Type="http://schemas.openxmlformats.org/officeDocument/2006/relationships/image" Target="media/image171.wmf"/><Relationship Id="rId395" Type="http://schemas.openxmlformats.org/officeDocument/2006/relationships/image" Target="media/image192.wmf"/><Relationship Id="rId409" Type="http://schemas.openxmlformats.org/officeDocument/2006/relationships/image" Target="media/image199.wmf"/><Relationship Id="rId560" Type="http://schemas.openxmlformats.org/officeDocument/2006/relationships/image" Target="media/image275.wmf"/><Relationship Id="rId92" Type="http://schemas.openxmlformats.org/officeDocument/2006/relationships/oleObject" Target="embeddings/oleObject34.bin"/><Relationship Id="rId213" Type="http://schemas.openxmlformats.org/officeDocument/2006/relationships/image" Target="media/image101.wmf"/><Relationship Id="rId420" Type="http://schemas.openxmlformats.org/officeDocument/2006/relationships/oleObject" Target="embeddings/oleObject198.bin"/><Relationship Id="rId616" Type="http://schemas.openxmlformats.org/officeDocument/2006/relationships/image" Target="media/image303.wmf"/><Relationship Id="rId658" Type="http://schemas.openxmlformats.org/officeDocument/2006/relationships/image" Target="media/image324.wmf"/><Relationship Id="rId255" Type="http://schemas.openxmlformats.org/officeDocument/2006/relationships/image" Target="media/image122.wmf"/><Relationship Id="rId297" Type="http://schemas.openxmlformats.org/officeDocument/2006/relationships/image" Target="media/image143.wmf"/><Relationship Id="rId462" Type="http://schemas.openxmlformats.org/officeDocument/2006/relationships/oleObject" Target="embeddings/oleObject219.bin"/><Relationship Id="rId518" Type="http://schemas.openxmlformats.org/officeDocument/2006/relationships/image" Target="media/image254.wmf"/><Relationship Id="rId115" Type="http://schemas.openxmlformats.org/officeDocument/2006/relationships/image" Target="media/image52.wmf"/><Relationship Id="rId157" Type="http://schemas.openxmlformats.org/officeDocument/2006/relationships/image" Target="media/image73.wmf"/><Relationship Id="rId322" Type="http://schemas.openxmlformats.org/officeDocument/2006/relationships/oleObject" Target="embeddings/oleObject149.bin"/><Relationship Id="rId364" Type="http://schemas.openxmlformats.org/officeDocument/2006/relationships/oleObject" Target="embeddings/oleObject170.bin"/><Relationship Id="rId61" Type="http://schemas.openxmlformats.org/officeDocument/2006/relationships/image" Target="media/image25.wmf"/><Relationship Id="rId199" Type="http://schemas.openxmlformats.org/officeDocument/2006/relationships/image" Target="media/image94.wmf"/><Relationship Id="rId571" Type="http://schemas.openxmlformats.org/officeDocument/2006/relationships/oleObject" Target="embeddings/oleObject273.bin"/><Relationship Id="rId627" Type="http://schemas.openxmlformats.org/officeDocument/2006/relationships/oleObject" Target="embeddings/oleObject301.bin"/><Relationship Id="rId669" Type="http://schemas.openxmlformats.org/officeDocument/2006/relationships/oleObject" Target="embeddings/oleObject322.bin"/><Relationship Id="rId19" Type="http://schemas.openxmlformats.org/officeDocument/2006/relationships/header" Target="header4.xml"/><Relationship Id="rId224" Type="http://schemas.openxmlformats.org/officeDocument/2006/relationships/oleObject" Target="embeddings/oleObject100.bin"/><Relationship Id="rId266" Type="http://schemas.openxmlformats.org/officeDocument/2006/relationships/oleObject" Target="embeddings/oleObject121.bin"/><Relationship Id="rId431" Type="http://schemas.openxmlformats.org/officeDocument/2006/relationships/image" Target="media/image210.wmf"/><Relationship Id="rId473" Type="http://schemas.openxmlformats.org/officeDocument/2006/relationships/image" Target="media/image231.wmf"/><Relationship Id="rId529" Type="http://schemas.openxmlformats.org/officeDocument/2006/relationships/oleObject" Target="embeddings/oleObject252.bin"/><Relationship Id="rId680" Type="http://schemas.openxmlformats.org/officeDocument/2006/relationships/image" Target="media/image335.wmf"/><Relationship Id="rId30" Type="http://schemas.openxmlformats.org/officeDocument/2006/relationships/oleObject" Target="embeddings/oleObject3.bin"/><Relationship Id="rId126" Type="http://schemas.openxmlformats.org/officeDocument/2006/relationships/oleObject" Target="embeddings/oleObject51.bin"/><Relationship Id="rId168" Type="http://schemas.openxmlformats.org/officeDocument/2006/relationships/oleObject" Target="embeddings/oleObject72.bin"/><Relationship Id="rId333" Type="http://schemas.openxmlformats.org/officeDocument/2006/relationships/image" Target="media/image161.wmf"/><Relationship Id="rId540" Type="http://schemas.openxmlformats.org/officeDocument/2006/relationships/image" Target="media/image265.wmf"/><Relationship Id="rId72" Type="http://schemas.openxmlformats.org/officeDocument/2006/relationships/oleObject" Target="embeddings/oleObject24.bin"/><Relationship Id="rId375" Type="http://schemas.openxmlformats.org/officeDocument/2006/relationships/image" Target="media/image182.wmf"/><Relationship Id="rId582" Type="http://schemas.openxmlformats.org/officeDocument/2006/relationships/image" Target="media/image286.wmf"/><Relationship Id="rId638" Type="http://schemas.openxmlformats.org/officeDocument/2006/relationships/image" Target="media/image314.wmf"/><Relationship Id="rId3" Type="http://schemas.openxmlformats.org/officeDocument/2006/relationships/styles" Target="styles.xml"/><Relationship Id="rId235" Type="http://schemas.openxmlformats.org/officeDocument/2006/relationships/image" Target="media/image112.wmf"/><Relationship Id="rId277" Type="http://schemas.openxmlformats.org/officeDocument/2006/relationships/image" Target="media/image133.wmf"/><Relationship Id="rId400" Type="http://schemas.openxmlformats.org/officeDocument/2006/relationships/oleObject" Target="embeddings/oleObject188.bin"/><Relationship Id="rId442" Type="http://schemas.openxmlformats.org/officeDocument/2006/relationships/oleObject" Target="embeddings/oleObject209.bin"/><Relationship Id="rId484" Type="http://schemas.openxmlformats.org/officeDocument/2006/relationships/oleObject" Target="embeddings/oleObject230.bin"/><Relationship Id="rId705" Type="http://schemas.openxmlformats.org/officeDocument/2006/relationships/oleObject" Target="embeddings/oleObject340.bin"/><Relationship Id="rId137" Type="http://schemas.openxmlformats.org/officeDocument/2006/relationships/image" Target="media/image63.wmf"/><Relationship Id="rId302" Type="http://schemas.openxmlformats.org/officeDocument/2006/relationships/oleObject" Target="embeddings/oleObject139.bin"/><Relationship Id="rId344" Type="http://schemas.openxmlformats.org/officeDocument/2006/relationships/oleObject" Target="embeddings/oleObject160.bin"/><Relationship Id="rId691" Type="http://schemas.openxmlformats.org/officeDocument/2006/relationships/oleObject" Target="embeddings/oleObject333.bin"/><Relationship Id="rId41" Type="http://schemas.openxmlformats.org/officeDocument/2006/relationships/image" Target="media/image15.wmf"/><Relationship Id="rId83" Type="http://schemas.openxmlformats.org/officeDocument/2006/relationships/image" Target="media/image36.wmf"/><Relationship Id="rId179" Type="http://schemas.openxmlformats.org/officeDocument/2006/relationships/image" Target="media/image84.wmf"/><Relationship Id="rId386" Type="http://schemas.openxmlformats.org/officeDocument/2006/relationships/oleObject" Target="embeddings/oleObject181.bin"/><Relationship Id="rId551" Type="http://schemas.openxmlformats.org/officeDocument/2006/relationships/oleObject" Target="embeddings/oleObject263.bin"/><Relationship Id="rId593" Type="http://schemas.openxmlformats.org/officeDocument/2006/relationships/oleObject" Target="embeddings/oleObject284.bin"/><Relationship Id="rId607" Type="http://schemas.openxmlformats.org/officeDocument/2006/relationships/oleObject" Target="embeddings/oleObject291.bin"/><Relationship Id="rId649" Type="http://schemas.openxmlformats.org/officeDocument/2006/relationships/oleObject" Target="embeddings/oleObject312.bin"/><Relationship Id="rId190" Type="http://schemas.openxmlformats.org/officeDocument/2006/relationships/oleObject" Target="embeddings/oleObject83.bin"/><Relationship Id="rId204" Type="http://schemas.openxmlformats.org/officeDocument/2006/relationships/oleObject" Target="embeddings/oleObject90.bin"/><Relationship Id="rId246" Type="http://schemas.openxmlformats.org/officeDocument/2006/relationships/oleObject" Target="embeddings/oleObject111.bin"/><Relationship Id="rId288" Type="http://schemas.openxmlformats.org/officeDocument/2006/relationships/oleObject" Target="embeddings/oleObject132.bin"/><Relationship Id="rId411" Type="http://schemas.openxmlformats.org/officeDocument/2006/relationships/image" Target="media/image200.wmf"/><Relationship Id="rId453" Type="http://schemas.openxmlformats.org/officeDocument/2006/relationships/image" Target="media/image221.wmf"/><Relationship Id="rId509" Type="http://schemas.openxmlformats.org/officeDocument/2006/relationships/oleObject" Target="embeddings/oleObject242.bin"/><Relationship Id="rId660" Type="http://schemas.openxmlformats.org/officeDocument/2006/relationships/image" Target="media/image325.wmf"/><Relationship Id="rId106" Type="http://schemas.openxmlformats.org/officeDocument/2006/relationships/oleObject" Target="embeddings/oleObject41.bin"/><Relationship Id="rId313" Type="http://schemas.openxmlformats.org/officeDocument/2006/relationships/image" Target="media/image151.wmf"/><Relationship Id="rId495" Type="http://schemas.openxmlformats.org/officeDocument/2006/relationships/image" Target="media/image242.wmf"/><Relationship Id="rId10" Type="http://schemas.openxmlformats.org/officeDocument/2006/relationships/header" Target="header1.xml"/><Relationship Id="rId52" Type="http://schemas.openxmlformats.org/officeDocument/2006/relationships/oleObject" Target="embeddings/oleObject14.bin"/><Relationship Id="rId94" Type="http://schemas.openxmlformats.org/officeDocument/2006/relationships/oleObject" Target="embeddings/oleObject35.bin"/><Relationship Id="rId148" Type="http://schemas.openxmlformats.org/officeDocument/2006/relationships/oleObject" Target="embeddings/oleObject62.bin"/><Relationship Id="rId355" Type="http://schemas.openxmlformats.org/officeDocument/2006/relationships/image" Target="media/image172.wmf"/><Relationship Id="rId397" Type="http://schemas.openxmlformats.org/officeDocument/2006/relationships/image" Target="media/image193.wmf"/><Relationship Id="rId520" Type="http://schemas.openxmlformats.org/officeDocument/2006/relationships/image" Target="media/image255.wmf"/><Relationship Id="rId562" Type="http://schemas.openxmlformats.org/officeDocument/2006/relationships/image" Target="media/image276.wmf"/><Relationship Id="rId618" Type="http://schemas.openxmlformats.org/officeDocument/2006/relationships/image" Target="media/image304.wmf"/><Relationship Id="rId215" Type="http://schemas.openxmlformats.org/officeDocument/2006/relationships/image" Target="media/image102.wmf"/><Relationship Id="rId257" Type="http://schemas.openxmlformats.org/officeDocument/2006/relationships/image" Target="media/image123.wmf"/><Relationship Id="rId422" Type="http://schemas.openxmlformats.org/officeDocument/2006/relationships/oleObject" Target="embeddings/oleObject199.bin"/><Relationship Id="rId464" Type="http://schemas.openxmlformats.org/officeDocument/2006/relationships/oleObject" Target="embeddings/oleObject220.bin"/><Relationship Id="rId299" Type="http://schemas.openxmlformats.org/officeDocument/2006/relationships/image" Target="media/image144.wmf"/><Relationship Id="rId63" Type="http://schemas.openxmlformats.org/officeDocument/2006/relationships/image" Target="media/image26.wmf"/><Relationship Id="rId159" Type="http://schemas.openxmlformats.org/officeDocument/2006/relationships/image" Target="media/image74.wmf"/><Relationship Id="rId366" Type="http://schemas.openxmlformats.org/officeDocument/2006/relationships/oleObject" Target="embeddings/oleObject171.bin"/><Relationship Id="rId573" Type="http://schemas.openxmlformats.org/officeDocument/2006/relationships/oleObject" Target="embeddings/oleObject274.bin"/><Relationship Id="rId226" Type="http://schemas.openxmlformats.org/officeDocument/2006/relationships/oleObject" Target="embeddings/oleObject101.bin"/><Relationship Id="rId433" Type="http://schemas.openxmlformats.org/officeDocument/2006/relationships/image" Target="media/image211.wmf"/><Relationship Id="rId640" Type="http://schemas.openxmlformats.org/officeDocument/2006/relationships/image" Target="media/image315.wmf"/><Relationship Id="rId74" Type="http://schemas.openxmlformats.org/officeDocument/2006/relationships/oleObject" Target="embeddings/oleObject25.bin"/><Relationship Id="rId377" Type="http://schemas.openxmlformats.org/officeDocument/2006/relationships/image" Target="media/image183.wmf"/><Relationship Id="rId500" Type="http://schemas.openxmlformats.org/officeDocument/2006/relationships/oleObject" Target="embeddings/oleObject238.bin"/><Relationship Id="rId584" Type="http://schemas.openxmlformats.org/officeDocument/2006/relationships/image" Target="media/image287.wmf"/><Relationship Id="rId5" Type="http://schemas.openxmlformats.org/officeDocument/2006/relationships/webSettings" Target="webSettings.xml"/><Relationship Id="rId237" Type="http://schemas.openxmlformats.org/officeDocument/2006/relationships/image" Target="media/image113.wmf"/><Relationship Id="rId444" Type="http://schemas.openxmlformats.org/officeDocument/2006/relationships/oleObject" Target="embeddings/oleObject210.bin"/><Relationship Id="rId651" Type="http://schemas.openxmlformats.org/officeDocument/2006/relationships/oleObject" Target="embeddings/oleObject313.bin"/><Relationship Id="rId290" Type="http://schemas.openxmlformats.org/officeDocument/2006/relationships/oleObject" Target="embeddings/oleObject133.bin"/><Relationship Id="rId304" Type="http://schemas.openxmlformats.org/officeDocument/2006/relationships/oleObject" Target="embeddings/oleObject140.bin"/><Relationship Id="rId388" Type="http://schemas.openxmlformats.org/officeDocument/2006/relationships/oleObject" Target="embeddings/oleObject182.bin"/><Relationship Id="rId511" Type="http://schemas.openxmlformats.org/officeDocument/2006/relationships/oleObject" Target="embeddings/oleObject243.bin"/><Relationship Id="rId609" Type="http://schemas.openxmlformats.org/officeDocument/2006/relationships/oleObject" Target="embeddings/oleObject292.bin"/><Relationship Id="rId85" Type="http://schemas.openxmlformats.org/officeDocument/2006/relationships/image" Target="media/image37.wmf"/><Relationship Id="rId150" Type="http://schemas.openxmlformats.org/officeDocument/2006/relationships/oleObject" Target="embeddings/oleObject63.bin"/><Relationship Id="rId595" Type="http://schemas.openxmlformats.org/officeDocument/2006/relationships/oleObject" Target="embeddings/oleObject285.bin"/><Relationship Id="rId248" Type="http://schemas.openxmlformats.org/officeDocument/2006/relationships/oleObject" Target="embeddings/oleObject112.bin"/><Relationship Id="rId455" Type="http://schemas.openxmlformats.org/officeDocument/2006/relationships/image" Target="media/image222.wmf"/><Relationship Id="rId662" Type="http://schemas.openxmlformats.org/officeDocument/2006/relationships/image" Target="media/image326.wmf"/><Relationship Id="rId12" Type="http://schemas.openxmlformats.org/officeDocument/2006/relationships/hyperlink" Target="http://creativecommons.org/licenses/by/3.0/au/legalcode" TargetMode="External"/><Relationship Id="rId108" Type="http://schemas.openxmlformats.org/officeDocument/2006/relationships/oleObject" Target="embeddings/oleObject42.bin"/><Relationship Id="rId315" Type="http://schemas.openxmlformats.org/officeDocument/2006/relationships/image" Target="media/image152.wmf"/><Relationship Id="rId522" Type="http://schemas.openxmlformats.org/officeDocument/2006/relationships/image" Target="media/image256.wmf"/><Relationship Id="rId96" Type="http://schemas.openxmlformats.org/officeDocument/2006/relationships/oleObject" Target="embeddings/oleObject36.bin"/><Relationship Id="rId161" Type="http://schemas.openxmlformats.org/officeDocument/2006/relationships/image" Target="media/image75.wmf"/><Relationship Id="rId399" Type="http://schemas.openxmlformats.org/officeDocument/2006/relationships/image" Target="media/image194.wmf"/><Relationship Id="rId259" Type="http://schemas.openxmlformats.org/officeDocument/2006/relationships/image" Target="media/image124.wmf"/><Relationship Id="rId466" Type="http://schemas.openxmlformats.org/officeDocument/2006/relationships/oleObject" Target="embeddings/oleObject221.bin"/><Relationship Id="rId673" Type="http://schemas.openxmlformats.org/officeDocument/2006/relationships/oleObject" Target="embeddings/oleObject324.bin"/><Relationship Id="rId23" Type="http://schemas.openxmlformats.org/officeDocument/2006/relationships/footer" Target="footer3.xml"/><Relationship Id="rId119" Type="http://schemas.openxmlformats.org/officeDocument/2006/relationships/image" Target="media/image54.wmf"/><Relationship Id="rId326" Type="http://schemas.openxmlformats.org/officeDocument/2006/relationships/oleObject" Target="embeddings/oleObject151.bin"/><Relationship Id="rId533" Type="http://schemas.openxmlformats.org/officeDocument/2006/relationships/oleObject" Target="embeddings/oleObject254.bin"/><Relationship Id="rId172" Type="http://schemas.openxmlformats.org/officeDocument/2006/relationships/oleObject" Target="embeddings/oleObject74.bin"/><Relationship Id="rId477" Type="http://schemas.openxmlformats.org/officeDocument/2006/relationships/image" Target="media/image233.wmf"/><Relationship Id="rId600" Type="http://schemas.openxmlformats.org/officeDocument/2006/relationships/image" Target="media/image295.wmf"/><Relationship Id="rId684" Type="http://schemas.openxmlformats.org/officeDocument/2006/relationships/image" Target="media/image337.wmf"/><Relationship Id="rId337" Type="http://schemas.openxmlformats.org/officeDocument/2006/relationships/image" Target="media/image163.wmf"/><Relationship Id="rId34" Type="http://schemas.openxmlformats.org/officeDocument/2006/relationships/oleObject" Target="embeddings/oleObject5.bin"/><Relationship Id="rId544" Type="http://schemas.openxmlformats.org/officeDocument/2006/relationships/image" Target="media/image267.wmf"/><Relationship Id="rId183" Type="http://schemas.openxmlformats.org/officeDocument/2006/relationships/image" Target="media/image86.wmf"/><Relationship Id="rId390" Type="http://schemas.openxmlformats.org/officeDocument/2006/relationships/oleObject" Target="embeddings/oleObject183.bin"/><Relationship Id="rId404" Type="http://schemas.openxmlformats.org/officeDocument/2006/relationships/oleObject" Target="embeddings/oleObject190.bin"/><Relationship Id="rId611" Type="http://schemas.openxmlformats.org/officeDocument/2006/relationships/oleObject" Target="embeddings/oleObject293.bin"/><Relationship Id="rId250" Type="http://schemas.openxmlformats.org/officeDocument/2006/relationships/oleObject" Target="embeddings/oleObject113.bin"/><Relationship Id="rId488" Type="http://schemas.openxmlformats.org/officeDocument/2006/relationships/oleObject" Target="embeddings/oleObject232.bin"/><Relationship Id="rId695" Type="http://schemas.openxmlformats.org/officeDocument/2006/relationships/oleObject" Target="embeddings/oleObject335.bin"/><Relationship Id="rId709" Type="http://schemas.openxmlformats.org/officeDocument/2006/relationships/theme" Target="theme/theme1.xml"/><Relationship Id="rId45" Type="http://schemas.openxmlformats.org/officeDocument/2006/relationships/image" Target="media/image17.wmf"/><Relationship Id="rId110" Type="http://schemas.openxmlformats.org/officeDocument/2006/relationships/oleObject" Target="embeddings/oleObject43.bin"/><Relationship Id="rId348" Type="http://schemas.openxmlformats.org/officeDocument/2006/relationships/oleObject" Target="embeddings/oleObject162.bin"/><Relationship Id="rId555" Type="http://schemas.openxmlformats.org/officeDocument/2006/relationships/oleObject" Target="embeddings/oleObject265.bin"/><Relationship Id="rId194" Type="http://schemas.openxmlformats.org/officeDocument/2006/relationships/oleObject" Target="embeddings/oleObject85.bin"/><Relationship Id="rId208" Type="http://schemas.openxmlformats.org/officeDocument/2006/relationships/oleObject" Target="embeddings/oleObject92.bin"/><Relationship Id="rId415" Type="http://schemas.openxmlformats.org/officeDocument/2006/relationships/image" Target="media/image202.wmf"/><Relationship Id="rId622" Type="http://schemas.openxmlformats.org/officeDocument/2006/relationships/image" Target="media/image306.wmf"/><Relationship Id="rId261" Type="http://schemas.openxmlformats.org/officeDocument/2006/relationships/image" Target="media/image125.wmf"/><Relationship Id="rId499" Type="http://schemas.openxmlformats.org/officeDocument/2006/relationships/image" Target="media/image244.wmf"/><Relationship Id="rId56" Type="http://schemas.openxmlformats.org/officeDocument/2006/relationships/oleObject" Target="embeddings/oleObject16.bin"/><Relationship Id="rId359" Type="http://schemas.openxmlformats.org/officeDocument/2006/relationships/image" Target="media/image174.wmf"/><Relationship Id="rId566" Type="http://schemas.openxmlformats.org/officeDocument/2006/relationships/image" Target="media/image278.wmf"/><Relationship Id="rId121" Type="http://schemas.openxmlformats.org/officeDocument/2006/relationships/image" Target="media/image55.wmf"/><Relationship Id="rId219" Type="http://schemas.openxmlformats.org/officeDocument/2006/relationships/image" Target="media/image104.wmf"/><Relationship Id="rId426" Type="http://schemas.openxmlformats.org/officeDocument/2006/relationships/oleObject" Target="embeddings/oleObject201.bin"/><Relationship Id="rId633" Type="http://schemas.openxmlformats.org/officeDocument/2006/relationships/oleObject" Target="embeddings/oleObject304.bin"/><Relationship Id="rId67" Type="http://schemas.openxmlformats.org/officeDocument/2006/relationships/image" Target="media/image28.wmf"/><Relationship Id="rId272" Type="http://schemas.openxmlformats.org/officeDocument/2006/relationships/oleObject" Target="embeddings/oleObject124.bin"/><Relationship Id="rId577" Type="http://schemas.openxmlformats.org/officeDocument/2006/relationships/oleObject" Target="embeddings/oleObject276.bin"/><Relationship Id="rId700" Type="http://schemas.openxmlformats.org/officeDocument/2006/relationships/image" Target="media/image345.wmf"/><Relationship Id="rId132" Type="http://schemas.openxmlformats.org/officeDocument/2006/relationships/oleObject" Target="embeddings/oleObject54.bin"/><Relationship Id="rId437" Type="http://schemas.openxmlformats.org/officeDocument/2006/relationships/image" Target="media/image213.wmf"/><Relationship Id="rId644" Type="http://schemas.openxmlformats.org/officeDocument/2006/relationships/image" Target="media/image317.wmf"/><Relationship Id="rId283" Type="http://schemas.openxmlformats.org/officeDocument/2006/relationships/image" Target="media/image136.wmf"/><Relationship Id="rId490" Type="http://schemas.openxmlformats.org/officeDocument/2006/relationships/oleObject" Target="embeddings/oleObject233.bin"/><Relationship Id="rId504" Type="http://schemas.openxmlformats.org/officeDocument/2006/relationships/image" Target="media/image247.wmf"/><Relationship Id="rId78" Type="http://schemas.openxmlformats.org/officeDocument/2006/relationships/oleObject" Target="embeddings/oleObject27.bin"/><Relationship Id="rId143" Type="http://schemas.openxmlformats.org/officeDocument/2006/relationships/image" Target="media/image66.wmf"/><Relationship Id="rId350" Type="http://schemas.openxmlformats.org/officeDocument/2006/relationships/oleObject" Target="embeddings/oleObject163.bin"/><Relationship Id="rId588" Type="http://schemas.openxmlformats.org/officeDocument/2006/relationships/image" Target="media/image289.wmf"/><Relationship Id="rId9" Type="http://schemas.openxmlformats.org/officeDocument/2006/relationships/footer" Target="footer2.xml"/><Relationship Id="rId210" Type="http://schemas.openxmlformats.org/officeDocument/2006/relationships/oleObject" Target="embeddings/oleObject93.bin"/><Relationship Id="rId448" Type="http://schemas.openxmlformats.org/officeDocument/2006/relationships/oleObject" Target="embeddings/oleObject212.bin"/><Relationship Id="rId655" Type="http://schemas.openxmlformats.org/officeDocument/2006/relationships/oleObject" Target="embeddings/oleObject315.bin"/><Relationship Id="rId294" Type="http://schemas.openxmlformats.org/officeDocument/2006/relationships/oleObject" Target="embeddings/oleObject135.bin"/><Relationship Id="rId308" Type="http://schemas.openxmlformats.org/officeDocument/2006/relationships/oleObject" Target="embeddings/oleObject142.bin"/><Relationship Id="rId515" Type="http://schemas.openxmlformats.org/officeDocument/2006/relationships/oleObject" Target="embeddings/oleObject245.bin"/><Relationship Id="rId89" Type="http://schemas.openxmlformats.org/officeDocument/2006/relationships/image" Target="media/image39.wmf"/><Relationship Id="rId154" Type="http://schemas.openxmlformats.org/officeDocument/2006/relationships/oleObject" Target="embeddings/oleObject65.bin"/><Relationship Id="rId361" Type="http://schemas.openxmlformats.org/officeDocument/2006/relationships/image" Target="media/image175.wmf"/><Relationship Id="rId599" Type="http://schemas.openxmlformats.org/officeDocument/2006/relationships/oleObject" Target="embeddings/oleObject287.bin"/><Relationship Id="rId459" Type="http://schemas.openxmlformats.org/officeDocument/2006/relationships/image" Target="media/image224.wmf"/><Relationship Id="rId666" Type="http://schemas.openxmlformats.org/officeDocument/2006/relationships/image" Target="media/image328.wmf"/><Relationship Id="rId16" Type="http://schemas.openxmlformats.org/officeDocument/2006/relationships/hyperlink" Target="mailto:media@treasury.gov.au" TargetMode="External"/><Relationship Id="rId221" Type="http://schemas.openxmlformats.org/officeDocument/2006/relationships/image" Target="media/image105.wmf"/><Relationship Id="rId319" Type="http://schemas.openxmlformats.org/officeDocument/2006/relationships/image" Target="media/image154.wmf"/><Relationship Id="rId526" Type="http://schemas.openxmlformats.org/officeDocument/2006/relationships/image" Target="media/image258.wmf"/><Relationship Id="rId165" Type="http://schemas.openxmlformats.org/officeDocument/2006/relationships/image" Target="media/image77.wmf"/><Relationship Id="rId372" Type="http://schemas.openxmlformats.org/officeDocument/2006/relationships/oleObject" Target="embeddings/oleObject174.bin"/><Relationship Id="rId677" Type="http://schemas.openxmlformats.org/officeDocument/2006/relationships/oleObject" Target="embeddings/oleObject326.bin"/><Relationship Id="rId232" Type="http://schemas.openxmlformats.org/officeDocument/2006/relationships/oleObject" Target="embeddings/oleObject104.bin"/><Relationship Id="rId27" Type="http://schemas.openxmlformats.org/officeDocument/2006/relationships/image" Target="media/image8.wmf"/><Relationship Id="rId537" Type="http://schemas.openxmlformats.org/officeDocument/2006/relationships/oleObject" Target="embeddings/oleObject256.bin"/><Relationship Id="rId80" Type="http://schemas.openxmlformats.org/officeDocument/2006/relationships/oleObject" Target="embeddings/oleObject28.bin"/><Relationship Id="rId176" Type="http://schemas.openxmlformats.org/officeDocument/2006/relationships/oleObject" Target="embeddings/oleObject76.bin"/><Relationship Id="rId383" Type="http://schemas.openxmlformats.org/officeDocument/2006/relationships/image" Target="media/image186.wmf"/><Relationship Id="rId590" Type="http://schemas.openxmlformats.org/officeDocument/2006/relationships/image" Target="media/image290.wmf"/><Relationship Id="rId604" Type="http://schemas.openxmlformats.org/officeDocument/2006/relationships/image" Target="media/image297.wmf"/><Relationship Id="rId243" Type="http://schemas.openxmlformats.org/officeDocument/2006/relationships/image" Target="media/image116.wmf"/><Relationship Id="rId450" Type="http://schemas.openxmlformats.org/officeDocument/2006/relationships/oleObject" Target="embeddings/oleObject213.bin"/><Relationship Id="rId688" Type="http://schemas.openxmlformats.org/officeDocument/2006/relationships/image" Target="media/image339.wmf"/><Relationship Id="rId38" Type="http://schemas.openxmlformats.org/officeDocument/2006/relationships/oleObject" Target="embeddings/oleObject7.bin"/><Relationship Id="rId103" Type="http://schemas.openxmlformats.org/officeDocument/2006/relationships/image" Target="media/image46.wmf"/><Relationship Id="rId310" Type="http://schemas.openxmlformats.org/officeDocument/2006/relationships/oleObject" Target="embeddings/oleObject143.bin"/><Relationship Id="rId548" Type="http://schemas.openxmlformats.org/officeDocument/2006/relationships/image" Target="media/image269.wmf"/><Relationship Id="rId91" Type="http://schemas.openxmlformats.org/officeDocument/2006/relationships/image" Target="media/image40.wmf"/><Relationship Id="rId187" Type="http://schemas.openxmlformats.org/officeDocument/2006/relationships/image" Target="media/image88.wmf"/><Relationship Id="rId394" Type="http://schemas.openxmlformats.org/officeDocument/2006/relationships/oleObject" Target="embeddings/oleObject185.bin"/><Relationship Id="rId408" Type="http://schemas.openxmlformats.org/officeDocument/2006/relationships/oleObject" Target="embeddings/oleObject192.bin"/><Relationship Id="rId615" Type="http://schemas.openxmlformats.org/officeDocument/2006/relationships/oleObject" Target="embeddings/oleObject295.bin"/><Relationship Id="rId254" Type="http://schemas.openxmlformats.org/officeDocument/2006/relationships/oleObject" Target="embeddings/oleObject115.bin"/><Relationship Id="rId699" Type="http://schemas.openxmlformats.org/officeDocument/2006/relationships/oleObject" Target="embeddings/oleObject337.bin"/><Relationship Id="rId49" Type="http://schemas.openxmlformats.org/officeDocument/2006/relationships/image" Target="media/image19.wmf"/><Relationship Id="rId114" Type="http://schemas.openxmlformats.org/officeDocument/2006/relationships/oleObject" Target="embeddings/oleObject45.bin"/><Relationship Id="rId461" Type="http://schemas.openxmlformats.org/officeDocument/2006/relationships/image" Target="media/image225.wmf"/><Relationship Id="rId559" Type="http://schemas.openxmlformats.org/officeDocument/2006/relationships/oleObject" Target="embeddings/oleObject267.bin"/><Relationship Id="rId198" Type="http://schemas.openxmlformats.org/officeDocument/2006/relationships/oleObject" Target="embeddings/oleObject87.bin"/><Relationship Id="rId321" Type="http://schemas.openxmlformats.org/officeDocument/2006/relationships/image" Target="media/image155.wmf"/><Relationship Id="rId419" Type="http://schemas.openxmlformats.org/officeDocument/2006/relationships/image" Target="media/image204.wmf"/><Relationship Id="rId626" Type="http://schemas.openxmlformats.org/officeDocument/2006/relationships/image" Target="media/image308.wmf"/><Relationship Id="rId265" Type="http://schemas.openxmlformats.org/officeDocument/2006/relationships/image" Target="media/image127.wmf"/><Relationship Id="rId472" Type="http://schemas.openxmlformats.org/officeDocument/2006/relationships/oleObject" Target="embeddings/oleObject224.bin"/><Relationship Id="rId125" Type="http://schemas.openxmlformats.org/officeDocument/2006/relationships/image" Target="media/image57.wmf"/><Relationship Id="rId332" Type="http://schemas.openxmlformats.org/officeDocument/2006/relationships/oleObject" Target="embeddings/oleObject154.bin"/></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6.xml.rels><?xml version="1.0" encoding="UTF-8" standalone="yes"?>
<Relationships xmlns="http://schemas.openxmlformats.org/package/2006/relationships"><Relationship Id="rId1" Type="http://schemas.openxmlformats.org/officeDocument/2006/relationships/image" Target="media/image5.jpg"/></Relationships>
</file>

<file path=word/_rels/header7.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Dix822</b:Tag>
    <b:SourceType>Book</b:SourceType>
    <b:Guid>{AE66BE25-12A5-4D88-A089-F41268C63996}</b:Guid>
    <b:Title>ORANI: A Multisectoral Model of the Australian Economy ORANI</b:Title>
    <b:Year>1982</b:Year>
    <b:Author>
      <b:Author>
        <b:NameList>
          <b:Person>
            <b:Last>Dixon</b:Last>
            <b:Middle>B</b:Middle>
            <b:First>Peter</b:First>
          </b:Person>
          <b:Person>
            <b:Last>Parmenter</b:Last>
            <b:Middle>R</b:Middle>
            <b:First>Brian</b:First>
          </b:Person>
          <b:Person>
            <b:Last>Sutton</b:Last>
            <b:First>John</b:First>
          </b:Person>
          <b:Person>
            <b:Last>Vincent</b:Last>
            <b:Middle>P</b:Middle>
            <b:First>D</b:First>
          </b:Person>
        </b:NameList>
      </b:Author>
    </b:Author>
    <b:Publisher>North-Holland</b:Publisher>
    <b:RefOrder>1</b:RefOrder>
  </b:Source>
  <b:Source>
    <b:Tag>Bul21</b:Tag>
    <b:SourceType>Report</b:SourceType>
    <b:Guid>{B2C7EA8C-0D38-4141-A3F1-EB7DBFC4F45D}</b:Guid>
    <b:Title>The Treasury Macroeconometric Model of Australia: Modelling Approach</b:Title>
    <b:Year>2021</b:Year>
    <b:Publisher>The Treasury</b:Publisher>
    <b:City>Canberra</b:City>
    <b:Author>
      <b:Author>
        <b:NameList>
          <b:Person>
            <b:Last>Bullen</b:Last>
            <b:First>Jared</b:First>
          </b:Person>
          <b:Person>
            <b:Last>Conigrave</b:Last>
            <b:First>Benjamin </b:First>
          </b:Person>
          <b:Person>
            <b:Last>Elderfield</b:Last>
            <b:First>Adam </b:First>
          </b:Person>
          <b:Person>
            <b:Last>Karmel</b:Last>
            <b:First>Cecilia </b:First>
          </b:Person>
          <b:Person>
            <b:Last>Lucas</b:Last>
            <b:First>Larissa </b:First>
          </b:Person>
          <b:Person>
            <b:Last>Murphy</b:Last>
            <b:First> Chris </b:First>
          </b:Person>
          <b:Person>
            <b:Last> Ruberl</b:Last>
            <b:First>Heather</b:First>
          </b:Person>
          <b:Person>
            <b:Last>Stoney</b:Last>
            <b:First>Nicholas </b:First>
          </b:Person>
          <b:Person>
            <b:Last>Yao</b:Last>
            <b:First>Hui </b:First>
          </b:Person>
        </b:NameList>
      </b:Author>
    </b:Author>
    <b:RefOrder>3</b:RefOrder>
  </b:Source>
  <b:Source>
    <b:Tag>Cor95</b:Tag>
    <b:SourceType>JournalArticle</b:SourceType>
    <b:Guid>{69B0F9A9-09E3-4651-B0E7-3C93A09DA770}</b:Guid>
    <b:Author>
      <b:Author>
        <b:NameList>
          <b:Person>
            <b:Last>Correia</b:Last>
            <b:First>Isabel</b:First>
          </b:Person>
          <b:Person>
            <b:Last>Neves</b:Last>
            <b:First>C</b:First>
            <b:Middle>João</b:Middle>
          </b:Person>
          <b:Person>
            <b:Last>Rebelo</b:Last>
            <b:First>Sergio</b:First>
          </b:Person>
        </b:NameList>
      </b:Author>
    </b:Author>
    <b:Title>Business cycles in a small open economy</b:Title>
    <b:Year>1995</b:Year>
    <b:Publisher>European Economic Review</b:Publisher>
    <b:Pages>1089-113</b:Pages>
    <b:Volume>39</b:Volume>
    <b:JournalName>European Economic Review</b:JournalName>
    <b:RefOrder>4</b:RefOrder>
  </b:Source>
  <b:Source>
    <b:Tag>Schmidt03</b:Tag>
    <b:SourceType>JournalArticle</b:SourceType>
    <b:Guid>{7A169B66-6104-4D20-967D-339BADC5EDDC}</b:Guid>
    <b:Author>
      <b:Author>
        <b:NameList>
          <b:Person>
            <b:Last>Schmitt-Grohe</b:Last>
            <b:First>Stephanie</b:First>
          </b:Person>
          <b:Person>
            <b:Last>Uribe</b:Last>
            <b:First>Martín</b:First>
          </b:Person>
        </b:NameList>
      </b:Author>
    </b:Author>
    <b:Title>Closing Small Open Economy Models</b:Title>
    <b:JournalName>Journal of International Economics</b:JournalName>
    <b:Year>2003</b:Year>
    <b:Pages>163-185</b:Pages>
    <b:Volume>61</b:Volume>
    <b:Issue>1</b:Issue>
    <b:RefOrder>5</b:RefOrder>
  </b:Source>
  <b:Source>
    <b:Tag>Jai08</b:Tag>
    <b:SourceType>JournalArticle</b:SourceType>
    <b:Guid>{2BBA8F7B-E0A1-4A01-9852-7D549500812A}</b:Guid>
    <b:Title>News and Business Cycles in Open Economies</b:Title>
    <b:Year>2008</b:Year>
    <b:Month>December</b:Month>
    <b:JournalName>Journal of Money, Credit and Banking</b:JournalName>
    <b:Pages>1699-1711</b:Pages>
    <b:Author>
      <b:Author>
        <b:NameList>
          <b:Person>
            <b:Last>Jaimovich</b:Last>
            <b:First>Nir</b:First>
          </b:Person>
          <b:Person>
            <b:Last>Rebelo</b:Last>
            <b:First>Sergio</b:First>
          </b:Person>
        </b:NameList>
      </b:Author>
    </b:Author>
    <b:Publisher>Wiley</b:Publisher>
    <b:Volume>40</b:Volume>
    <b:Issue>8</b:Issue>
    <b:RefOrder>6</b:RefOrder>
  </b:Source>
  <b:Source>
    <b:Tag>Are15</b:Tag>
    <b:SourceType>DocumentFromInternetSite</b:SourceType>
    <b:Guid>{DC833B20-8C64-48A8-AFD9-0EBAB24A15D8}</b:Guid>
    <b:Title>News Shocks in Open Economies: Evidence from Giant Oil Discoveries</b:Title>
    <b:Year>2015</b:Year>
    <b:InternetSiteTitle>The National Bureau of Economic Research (NBER)</b:InternetSiteTitle>
    <b:Month>January</b:Month>
    <b:URL>https://www.nber.org/papers/w20857</b:URL>
    <b:Author>
      <b:Author>
        <b:NameList>
          <b:Person>
            <b:Last>Arezki</b:Last>
            <b:First>Rabah</b:First>
          </b:Person>
          <b:Person>
            <b:Last>Ramey</b:Last>
            <b:Middle>A</b:Middle>
            <b:First>Valerie</b:First>
          </b:Person>
          <b:Person>
            <b:Last>Sheng</b:Last>
            <b:First>Liugang</b:First>
          </b:Person>
        </b:NameList>
      </b:Author>
    </b:Author>
    <b:Version>NBER Working Paper No. 20857</b:Version>
    <b:RefOrder>7</b:RefOrder>
  </b:Source>
  <b:Source>
    <b:Tag>Luc76</b:Tag>
    <b:SourceType>BookSection</b:SourceType>
    <b:Guid>{33A6D969-92E7-4413-89FD-6DBAB41321ED}</b:Guid>
    <b:Title>Econometric Policy Evaluation</b:Title>
    <b:Year>1976</b:Year>
    <b:City>New York</b:City>
    <b:Publisher>AMerical Elsevier</b:Publisher>
    <b:Author>
      <b:Author>
        <b:NameList>
          <b:Person>
            <b:Last>Lucas</b:Last>
            <b:First>Robert</b:First>
          </b:Person>
        </b:NameList>
      </b:Author>
      <b:BookAuthor>
        <b:NameList>
          <b:Person>
            <b:Last>Brunner</b:Last>
            <b:First>K</b:First>
          </b:Person>
          <b:Person>
            <b:Last>Meltzer</b:Last>
            <b:First>A</b:First>
          </b:Person>
        </b:NameList>
      </b:BookAuthor>
    </b:Author>
    <b:Pages>19-46</b:Pages>
    <b:BookTitle>The Phillips Curve and Labor Markets</b:BookTitle>
    <b:RefOrder>8</b:RefOrder>
  </b:Source>
  <b:Source>
    <b:Tag>Uza69</b:Tag>
    <b:SourceType>JournalArticle</b:SourceType>
    <b:Guid>{70F4409C-46E8-413B-AA04-AB5C4C42808C}</b:Guid>
    <b:Title>Time preference and the Penrose effect in a two-class model of economic growth</b:Title>
    <b:Year>1969</b:Year>
    <b:Author>
      <b:Author>
        <b:NameList>
          <b:Person>
            <b:Last>Uzawa</b:Last>
            <b:First>Hirofumi</b:First>
          </b:Person>
        </b:NameList>
      </b:Author>
    </b:Author>
    <b:JournalName>Journal of Political Economy, 77(4, Part 2)</b:JournalName>
    <b:Pages>628-652</b:Pages>
    <b:RefOrder>9</b:RefOrder>
  </b:Source>
  <b:Source>
    <b:Tag>ABSIO1819</b:Tag>
    <b:SourceType>DocumentFromInternetSite</b:SourceType>
    <b:Guid>{DB8DCEB2-9A63-442D-A9BE-AC230FDD25ED}</b:Guid>
    <b:Author>
      <b:Author>
        <b:Corporate>ABS</b:Corporate>
      </b:Author>
    </b:Author>
    <b:Title>Australian National Accounts: Input-Output Tables, 2018-19</b:Title>
    <b:Year>2021b</b:Year>
    <b:URL>https://www.abs.gov.au/statistics/economy/national-accounts/australian-national-accounts-input-output-tables/2018-19</b:URL>
    <b:City>Canberra</b:City>
    <b:Publisher>Australian Government Publishing Service</b:Publisher>
    <b:InternetSiteTitle>Australian Bureau of Statistics</b:InternetSiteTitle>
    <b:RefOrder>10</b:RefOrder>
  </b:Source>
  <b:Source>
    <b:Tag>Kin87</b:Tag>
    <b:SourceType>JournalArticle</b:SourceType>
    <b:Guid>{C8F86A4F-1468-4AC7-9932-DC52009FBFBF}</b:Guid>
    <b:Title>Production, Growth and Business Cycles</b:Title>
    <b:Year>1987</b:Year>
    <b:Author>
      <b:Author>
        <b:NameList>
          <b:Person>
            <b:Last>King</b:Last>
            <b:Middle>G</b:Middle>
            <b:First>Robert</b:First>
          </b:Person>
          <b:Person>
            <b:Last>Plosser</b:Last>
            <b:Middle>I</b:Middle>
            <b:First>Charles</b:First>
          </b:Person>
          <b:Person>
            <b:Last>Rebelo</b:Last>
            <b:Middle>Sergio</b:Middle>
            <b:First>T</b:First>
          </b:Person>
        </b:NameList>
      </b:Author>
    </b:Author>
    <b:JournalName>Journal of Monetary Economics</b:JournalName>
    <b:RefOrder>11</b:RefOrder>
  </b:Source>
  <b:Source>
    <b:Tag>Kea11</b:Tag>
    <b:SourceType>JournalArticle</b:SourceType>
    <b:Guid>{1DBDF083-8A7D-4327-AE53-39D21DD23811}</b:Guid>
    <b:Title>Labor supply and taxes: A survey</b:Title>
    <b:JournalName>Journal of Economic Literature 49(4)</b:JournalName>
    <b:Year>2011</b:Year>
    <b:Pages>961-1075</b:Pages>
    <b:Author>
      <b:Author>
        <b:NameList>
          <b:Person>
            <b:Last>Keane</b:Last>
            <b:First>Michael</b:First>
            <b:Middle>P.</b:Middle>
          </b:Person>
        </b:NameList>
      </b:Author>
    </b:Author>
    <b:RefOrder>12</b:RefOrder>
  </b:Source>
  <b:Source>
    <b:Tag>Pet15</b:Tag>
    <b:SourceType>JournalArticle</b:SourceType>
    <b:Guid>{51A494A3-FDED-4D8F-8518-A7BF46CD8AC3}</b:Guid>
    <b:Title>Reconciling Micro and Macro Estimates of the Frisch Labor Supply Elasticity</b:Title>
    <b:JournalName>Federal Reserve Board of Governors</b:JournalName>
    <b:Year>2015</b:Year>
    <b:Author>
      <b:Author>
        <b:NameList>
          <b:Person>
            <b:Last>Peterman</b:Last>
            <b:First>William</b:First>
            <b:Middle>B</b:Middle>
          </b:Person>
        </b:NameList>
      </b:Author>
    </b:Author>
    <b:RefOrder>13</b:RefOrder>
  </b:Source>
  <b:Source>
    <b:Tag>ABSNA1920</b:Tag>
    <b:SourceType>DocumentFromInternetSite</b:SourceType>
    <b:Guid>{84D9302C-1358-4C5E-B3D3-B54F33145198}</b:Guid>
    <b:Title>Australian System of National Accounts, 2019-20</b:Title>
    <b:Year>2020a</b:Year>
    <b:Author>
      <b:Author>
        <b:Corporate>ABS</b:Corporate>
      </b:Author>
    </b:Author>
    <b:InternetSiteTitle>Australian Bureau of Statistics</b:InternetSiteTitle>
    <b:URL>https://www.abs.gov.au/statistics/economy/national-accounts/australian-system-national-accounts/2019-20</b:URL>
    <b:RefOrder>14</b:RefOrder>
  </b:Source>
  <b:Source>
    <b:Tag>Aus20</b:Tag>
    <b:SourceType>DocumentFromInternetSite</b:SourceType>
    <b:Guid>{231A7E98-4399-43EB-97C7-1F25E51544D4}</b:Guid>
    <b:Author>
      <b:Author>
        <b:Corporate>ABS</b:Corporate>
      </b:Author>
    </b:Author>
    <b:Title>Estimates of Industry Multifactor Productivity, 2019-20</b:Title>
    <b:InternetSiteTitle>Australian Bureau of Statistics</b:InternetSiteTitle>
    <b:Year>2020b</b:Year>
    <b:City>Canberra</b:City>
    <b:PublicationTitle>Cat No. 5260.0.55.002</b:PublicationTitle>
    <b:Publisher>Australian Government Publishing Service</b:Publisher>
    <b:URL>https://www.abs.gov.au/statistics/industry/industry-overview/estimates-industry-multifactor-productivity/2019-20</b:URL>
    <b:RefOrder>15</b:RefOrder>
  </b:Source>
  <b:Source>
    <b:Tag>Kou12</b:Tag>
    <b:SourceType>Report</b:SourceType>
    <b:Guid>{B61DD722-1B0B-41E2-9229-906259550643}</b:Guid>
    <b:Title>Modelling Aggregate Labour Demand</b:Title>
    <b:Year>2012</b:Year>
    <b:Publisher>Treasury Working Paper</b:Publisher>
    <b:City>Canberra</b:City>
    <b:Author>
      <b:Author>
        <b:NameList>
          <b:Person>
            <b:Last>Hutchings</b:Last>
            <b:First>Ross</b:First>
          </b:Person>
          <b:Person>
            <b:Last>Kouparitsas</b:Last>
            <b:First>Michael</b:First>
          </b:Person>
        </b:NameList>
      </b:Author>
    </b:Author>
    <b:RefOrder>16</b:RefOrder>
  </b:Source>
  <b:Source>
    <b:Tag>DEr16</b:Tag>
    <b:SourceType>BookSection</b:SourceType>
    <b:Guid>{546D6084-8DF3-44C4-AA68-9A4804D19CF3}</b:Guid>
    <b:Title>What is Sustainable Public Debt</b:Title>
    <b:Year>2016</b:Year>
    <b:BookTitle>Handbook of Macroeconomics</b:BookTitle>
    <b:Pages>2493-2597</b:Pages>
    <b:Publisher>Elsevier</b:Publisher>
    <b:Author>
      <b:Author>
        <b:NameList>
          <b:Person>
            <b:Last>D'Erasmo</b:Last>
            <b:First>P</b:First>
          </b:Person>
          <b:Person>
            <b:Last>Mendoza</b:Last>
            <b:Middle>G</b:Middle>
            <b:First>E</b:First>
          </b:Person>
          <b:Person>
            <b:Last>Zhang</b:Last>
            <b:First>J</b:First>
          </b:Person>
        </b:NameList>
      </b:Author>
      <b:BookAuthor>
        <b:NameList>
          <b:Person>
            <b:Last>Taylor</b:Last>
            <b:First>John</b:First>
          </b:Person>
          <b:Person>
            <b:Last>Ulrich</b:Last>
            <b:First>Harald</b:First>
          </b:Person>
        </b:NameList>
      </b:BookAuthor>
    </b:Author>
    <b:Volume>2</b:Volume>
    <b:Edition>1</b:Edition>
    <b:URL>https://doi.org/10.1016/bs.hesmac.2016.03.013</b:URL>
    <b:RefOrder>17</b:RefOrder>
  </b:Source>
  <b:Source>
    <b:Tag>FOBA</b:Tag>
    <b:SourceType>DocumentFromInternetSite</b:SourceType>
    <b:Guid>{F0991FB3-820A-4C20-B4CE-6A13CC88E3B1}</b:Guid>
    <b:Author>
      <b:Author>
        <b:Corporate>ABS</b:Corporate>
      </b:Author>
    </b:Author>
    <b:Title>5494.0 - Economic Activity of Foreign Owned Businesses in Australia, 2014-15</b:Title>
    <b:Year>2018</b:Year>
    <b:URL>https://www.abs.gov.au/ausstats/abs@.nsf/mf/5494.0</b:URL>
    <b:City>Canberra</b:City>
    <b:Publisher>Australian Government Publishing Service</b:Publisher>
    <b:InternetSiteTitle>Australian Bureau of Statistics</b:InternetSiteTitle>
    <b:RefOrder>18</b:RefOrder>
  </b:Source>
  <b:Source>
    <b:Tag>Agu19</b:Tag>
    <b:SourceType>JournalArticle</b:SourceType>
    <b:Guid>{D8228143-DC9B-415A-AEE6-61EEFB38D815}</b:Guid>
    <b:Title>The GTAP Data Base: Version 10</b:Title>
    <b:Year>2019</b:Year>
    <b:JournalName>Journal of Global Economic Analysis</b:JournalName>
    <b:Author>
      <b:Author>
        <b:NameList>
          <b:Person>
            <b:Last>Aguiar</b:Last>
            <b:First>Angel</b:First>
          </b:Person>
          <b:Person>
            <b:Last>Chepeliev</b:Last>
            <b:First>Maksym</b:First>
          </b:Person>
          <b:Person>
            <b:Last>Corong</b:Last>
            <b:First>Erwin</b:First>
            <b:Middle>L.</b:Middle>
          </b:Person>
          <b:Person>
            <b:Last>McDougall</b:Last>
            <b:First>Robert</b:First>
          </b:Person>
          <b:Person>
            <b:Last>Mensbrugghe</b:Last>
            <b:First>Dominique</b:First>
            <b:Middle>van der</b:Middle>
          </b:Person>
        </b:NameList>
      </b:Author>
    </b:Author>
    <b:RefOrder>19</b:RefOrder>
  </b:Source>
  <b:Source>
    <b:Tag>ABSTR1920</b:Tag>
    <b:SourceType>DocumentFromInternetSite</b:SourceType>
    <b:Guid>{E4D99C7B-E720-44EB-BC15-FD170581A7D1}</b:Guid>
    <b:Author>
      <b:Author>
        <b:Corporate>ABS</b:Corporate>
      </b:Author>
    </b:Author>
    <b:Title>Taxation Revenue, Australia, 2019-20</b:Title>
    <b:InternetSiteTitle>Australian Bureau of Statistics</b:InternetSiteTitle>
    <b:Year>2021a</b:Year>
    <b:URL>https://www.abs.gov.au/statistics/economy/government/taxation-revenue-australia/2019-20</b:URL>
    <b:RefOrder>20</b:RefOrder>
  </b:Source>
  <b:Source>
    <b:Tag>ABS21c</b:Tag>
    <b:SourceType>InternetSite</b:SourceType>
    <b:Guid>{9FA44C34-C709-4D7F-94BD-163D065DCA4E}</b:Guid>
    <b:Author>
      <b:Author>
        <b:NameList>
          <b:Person>
            <b:Last>ABS</b:Last>
          </b:Person>
        </b:NameList>
      </b:Author>
    </b:Author>
    <b:Title>Australian Industry</b:Title>
    <b:Year>2021c</b:Year>
    <b:InternetSiteTitle>Australian Bureau of Statistics</b:InternetSiteTitle>
    <b:URL>https://www.abs.gov.au/statistics/industry/industry-overview/australian-industry/2019-20</b:URL>
    <b:RefOrder>21</b:RefOrder>
  </b:Source>
  <b:Source>
    <b:Tag>van16</b:Tag>
    <b:SourceType>ConferenceProceedings</b:SourceType>
    <b:Guid>{6FD90B3A-ED2E-409A-BBC8-ABD0A68C2BD7}</b:Guid>
    <b:Title>Volume preserving CES and CET formulations</b:Title>
    <b:Year>2016</b:Year>
    <b:Publisher>Purdue University</b:Publisher>
    <b:Author>
      <b:Author>
        <b:NameList>
          <b:Person>
            <b:Last>van der Mensbrugghe</b:Last>
            <b:First>Dominique</b:First>
          </b:Person>
          <b:Person>
            <b:Last>Peters</b:Last>
            <b:Middle>C</b:Middle>
            <b:First>Jeffry</b:First>
          </b:Person>
        </b:NameList>
      </b:Author>
    </b:Author>
    <b:ConferenceName>19th Annual Conference on Global Economic Analysis</b:ConferenceName>
    <b:RefOrder>22</b:RefOrder>
  </b:Source>
  <b:Source>
    <b:Tag>Hor97</b:Tag>
    <b:SourceType>JournalArticle</b:SourceType>
    <b:Guid>{E5E11EB4-8CCE-41DA-9D2C-CA2222AEFBD1}</b:Guid>
    <b:Title>Intermediate Inputs and Sectoral Comovement in the Business Cycle</b:Title>
    <b:Year>1997</b:Year>
    <b:Pages>573-595</b:Pages>
    <b:JournalName>Jornal of Monetary Economics</b:JournalName>
    <b:Author>
      <b:Author>
        <b:NameList>
          <b:Person>
            <b:Last>Hornstein</b:Last>
            <b:First>Andreas</b:First>
          </b:Person>
          <b:Person>
            <b:Last>Praschnik</b:Last>
            <b:First>Jack</b:First>
          </b:Person>
        </b:NameList>
      </b:Author>
    </b:Author>
    <b:Volume>40</b:Volume>
    <b:RefOrder>23</b:RefOrder>
  </b:Source>
  <b:Source>
    <b:Tag>Hor00</b:Tag>
    <b:SourceType>JournalArticle</b:SourceType>
    <b:Guid>{C02A738B-1F87-44D9-9301-E5DA5BD14F8A}</b:Guid>
    <b:Title>The Business Cycle and Industry Comovement</b:Title>
    <b:JournalName>Federal Reserve Bank of Richmod Economic Quarterly</b:JournalName>
    <b:Year>2000</b:Year>
    <b:Author>
      <b:Author>
        <b:NameList>
          <b:Person>
            <b:Last>Hornstein</b:Last>
            <b:First>Andreas</b:First>
          </b:Person>
        </b:NameList>
      </b:Author>
    </b:Author>
    <b:Volume>86</b:Volume>
    <b:Issue>1</b:Issue>
    <b:RefOrder>24</b:RefOrder>
  </b:Source>
  <b:Source>
    <b:Tag>Hor001</b:Tag>
    <b:SourceType>JournalArticle</b:SourceType>
    <b:Guid>{3C068053-5583-4D0F-A7DC-E3AB71BCB51D}</b:Guid>
    <b:Title>Sectoral Shocks and Aggregate Fluctioations</b:Title>
    <b:JournalName>Journal of Monetary Economics</b:JournalName>
    <b:Year>2000</b:Year>
    <b:Pages>69-106</b:Pages>
    <b:Author>
      <b:Author>
        <b:NameList>
          <b:Person>
            <b:Last>Horvath</b:Last>
            <b:First>Michael</b:First>
          </b:Person>
        </b:NameList>
      </b:Author>
    </b:Author>
    <b:Volume>45</b:Volume>
    <b:RefOrder>25</b:RefOrder>
  </b:Source>
  <b:Source>
    <b:Tag>Kul171</b:Tag>
    <b:SourceType>JournalArticle</b:SourceType>
    <b:Guid>{98DCB697-D878-4289-93E9-91F6A8B76CC1}</b:Guid>
    <b:Title>Unprecedented Changes in the Terms of Trade</b:Title>
    <b:JournalName>Journal of International Economics</b:JournalName>
    <b:Year>2017</b:Year>
    <b:Pages>351-367</b:Pages>
    <b:Author>
      <b:Author>
        <b:NameList>
          <b:Person>
            <b:Last>Kulish</b:Last>
            <b:First>M</b:First>
          </b:Person>
          <b:Person>
            <b:Last>Rees</b:Last>
            <b:First>D</b:First>
          </b:Person>
        </b:NameList>
      </b:Author>
      <b:Editor>
        <b:NameList>
          <b:Person>
            <b:Last>Elsevier</b:Last>
          </b:Person>
        </b:NameList>
      </b:Editor>
    </b:Author>
    <b:Publisher>108</b:Publisher>
    <b:RefOrder>26</b:RefOrder>
  </b:Source>
  <b:Source>
    <b:Tag>Ree161</b:Tag>
    <b:SourceType>JournalArticle</b:SourceType>
    <b:Guid>{A599573F-E7C3-4B7C-9B2A-DDF8685632E6}</b:Guid>
    <b:Title>A Multi-sector Model of the Australian Economy</b:Title>
    <b:JournalName>Econonomic Record</b:JournalName>
    <b:Year>2016</b:Year>
    <b:Pages>374-408</b:Pages>
    <b:Author>
      <b:Author>
        <b:NameList>
          <b:Person>
            <b:Last>Rees</b:Last>
            <b:Middle>M</b:Middle>
            <b:First>D</b:First>
          </b:Person>
          <b:Person>
            <b:Last>Smith</b:Last>
            <b:First>P</b:First>
          </b:Person>
          <b:Person>
            <b:Last>Hall</b:Last>
            <b:First>J</b:First>
          </b:Person>
        </b:NameList>
      </b:Author>
    </b:Author>
    <b:Volume>92</b:Volume>
    <b:RefOrder>27</b:RefOrder>
  </b:Source>
  <b:Source>
    <b:Tag>Phi15</b:Tag>
    <b:SourceType>JournalArticle</b:SourceType>
    <b:Guid>{D8C309D2-285A-421D-B2AB-D5BCB51122C9}</b:Guid>
    <b:Title>The Victoria University Regional Model (VURM): Technical Documentation, Version 1.0</b:Title>
    <b:Year>2015</b:Year>
    <b:Author>
      <b:Author>
        <b:NameList>
          <b:Person>
            <b:Last>Adams</b:Last>
            <b:First>Philip</b:First>
          </b:Person>
          <b:Person>
            <b:Last>Dixon</b:Last>
            <b:First>Janine</b:First>
          </b:Person>
          <b:Person>
            <b:Last>Horridge</b:Last>
            <b:First>Mark</b:First>
          </b:Person>
        </b:NameList>
      </b:Author>
    </b:Author>
    <b:JournalName>CoPS/IMPACT Working Paper</b:JournalName>
    <b:RefOrder>28</b:RefOrder>
  </b:Source>
  <b:Source>
    <b:Tag>Mic00</b:Tag>
    <b:SourceType>Book</b:SourceType>
    <b:Guid>{EAA100CB-D6F7-4711-ACA3-86710DCE17F2}</b:Guid>
    <b:Author>
      <b:Author>
        <b:NameList>
          <b:Person>
            <b:Last>Malakellis</b:Last>
            <b:First>Michael</b:First>
          </b:Person>
        </b:NameList>
      </b:Author>
    </b:Author>
    <b:Title>Integrated Macro-Micro-Modelling Under Rational Expectations With an Application to Tariff Reform in Australia</b:Title>
    <b:Year>2000</b:Year>
    <b:Publisher>Physica-Verlag Heidelberg</b:Publisher>
    <b:RefOrder>29</b:RefOrder>
  </b:Source>
  <b:Source>
    <b:Tag>Cai19</b:Tag>
    <b:SourceType>Report</b:SourceType>
    <b:Guid>{3262C589-04A4-446B-83DD-85867933B07E}</b:Guid>
    <b:Title>Modelling Fiscal Policy with OLGA - Treasury's OverLapping Generations model of the Australian Economy</b:Title>
    <b:Year>2023</b:Year>
    <b:Author>
      <b:Author>
        <b:NameList>
          <b:Person>
            <b:Last>Cai</b:Last>
            <b:First>Yi Yong</b:First>
          </b:Person>
          <b:Person>
            <b:Last>Gustafsson</b:Last>
            <b:First>Linus</b:First>
          </b:Person>
          <b:Person>
            <b:Last>Kouparitsas</b:Last>
            <b:First>Michael</b:First>
          </b:Person>
          <b:Person>
            <b:Last>Smith</b:Last>
            <b:First>Jazmine</b:First>
          </b:Person>
          <b:Person>
            <b:Last>Zhang</b:Last>
            <b:First>Jazmine</b:First>
          </b:Person>
        </b:NameList>
      </b:Author>
    </b:Author>
    <b:JournalName>Treasury Working Paper</b:JournalName>
    <b:Publisher>Treasury Working Paper</b:Publisher>
    <b:City>Canberra</b:City>
    <b:RefOrder>2</b:RefOrder>
  </b:Source>
</b:Sources>
</file>

<file path=customXml/itemProps1.xml><?xml version="1.0" encoding="utf-8"?>
<ds:datastoreItem xmlns:ds="http://schemas.openxmlformats.org/officeDocument/2006/customXml" ds:itemID="{CBBEF337-A13B-4C8B-8530-897B3234E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10060</Words>
  <Characters>56361</Characters>
  <Application>Microsoft Office Word</Application>
  <DocSecurity>0</DocSecurity>
  <Lines>1082</Lines>
  <Paragraphs>466</Paragraphs>
  <ScaleCrop>false</ScaleCrop>
  <HeadingPairs>
    <vt:vector size="2" baseType="variant">
      <vt:variant>
        <vt:lpstr>Title</vt:lpstr>
      </vt:variant>
      <vt:variant>
        <vt:i4>1</vt:i4>
      </vt:variant>
    </vt:vector>
  </HeadingPairs>
  <TitlesOfParts>
    <vt:vector size="1" baseType="lpstr">
      <vt:lpstr>Modelling Industry Specific Policy with TIM: Treasury’s multi-sector dynamic general equilibrium model of the Australian economy</vt:lpstr>
    </vt:vector>
  </TitlesOfParts>
  <Company/>
  <LinksUpToDate>false</LinksUpToDate>
  <CharactersWithSpaces>66265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Modelling Industry Specific Policy with TIM: Treasury’s multi-sector dynamic general equilibrium model of the Australian economy</dc:title>
  <dc:subject/>
  <dc:creator/>
  <cp:keywords/>
  <cp:lastModifiedBy/>
  <cp:revision>1</cp:revision>
  <dcterms:created xsi:type="dcterms:W3CDTF">2023-09-06T04:00:00Z</dcterms:created>
  <dcterms:modified xsi:type="dcterms:W3CDTF">2023-09-06T04:02:00Z</dcterms:modified>
  <cp:category/>
</cp:coreProperties>
</file>