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28CE3" w14:textId="441890C8" w:rsidR="006C5B73" w:rsidRPr="0006336F" w:rsidRDefault="003C57E0" w:rsidP="001B6C11">
      <w:pPr>
        <w:pStyle w:val="Heading1"/>
      </w:pPr>
      <w:bookmarkStart w:id="0" w:name="_Toc432067104"/>
      <w:bookmarkStart w:id="1" w:name="_Toc452635031"/>
      <w:bookmarkStart w:id="2" w:name="_Toc146292914"/>
      <w:r w:rsidRPr="0006336F">
        <w:t xml:space="preserve">Our </w:t>
      </w:r>
      <w:r w:rsidR="001B43D8" w:rsidRPr="0006336F">
        <w:t>R</w:t>
      </w:r>
      <w:r w:rsidRPr="0006336F">
        <w:t xml:space="preserve">oadmap </w:t>
      </w:r>
      <w:r w:rsidR="00524A28" w:rsidRPr="0006336F">
        <w:t>for</w:t>
      </w:r>
      <w:r w:rsidRPr="0006336F">
        <w:t xml:space="preserve"> a dynamic and inclusive labour market </w:t>
      </w:r>
      <w:bookmarkEnd w:id="0"/>
      <w:bookmarkEnd w:id="1"/>
      <w:bookmarkEnd w:id="2"/>
    </w:p>
    <w:p w14:paraId="1B355F0B" w14:textId="1D076D63" w:rsidR="000D40CE" w:rsidRPr="0006336F" w:rsidRDefault="00AC137A" w:rsidP="00AC137A">
      <w:pPr>
        <w:pStyle w:val="Heading3"/>
      </w:pPr>
      <w:bookmarkStart w:id="3" w:name="_Hlk130208449"/>
      <w:r w:rsidRPr="0006336F">
        <w:t>A critical moment for Australia</w:t>
      </w:r>
      <w:r w:rsidR="00B16861">
        <w:t>’</w:t>
      </w:r>
      <w:r w:rsidRPr="0006336F">
        <w:t>s labour market</w:t>
      </w:r>
    </w:p>
    <w:p w14:paraId="4DCC2841" w14:textId="4EA0DF16" w:rsidR="000D40CE" w:rsidRPr="0006336F" w:rsidRDefault="000D40CE" w:rsidP="000D40CE">
      <w:r w:rsidRPr="0006336F">
        <w:t>Australia</w:t>
      </w:r>
      <w:r w:rsidR="00B16861">
        <w:t>’</w:t>
      </w:r>
      <w:r w:rsidRPr="0006336F">
        <w:t xml:space="preserve">s labour market has transformed alongside </w:t>
      </w:r>
      <w:r w:rsidR="00872806" w:rsidRPr="0006336F">
        <w:t>its</w:t>
      </w:r>
      <w:r w:rsidRPr="0006336F">
        <w:t xml:space="preserve"> economy, with significant shifts in </w:t>
      </w:r>
      <w:r w:rsidR="00064216" w:rsidRPr="0006336F">
        <w:t>the</w:t>
      </w:r>
      <w:r w:rsidRPr="0006336F">
        <w:t xml:space="preserve"> composition</w:t>
      </w:r>
      <w:r w:rsidR="00064216" w:rsidRPr="0006336F">
        <w:t xml:space="preserve"> of the workforce</w:t>
      </w:r>
      <w:r w:rsidRPr="0006336F">
        <w:t>, the jobs people are doing and their experiences at work. Today</w:t>
      </w:r>
      <w:r w:rsidR="00B16861">
        <w:t>’</w:t>
      </w:r>
      <w:r w:rsidRPr="0006336F">
        <w:t>s labour market is much more inclusive, flexible, services</w:t>
      </w:r>
      <w:r w:rsidR="00B16861">
        <w:noBreakHyphen/>
      </w:r>
      <w:r w:rsidRPr="0006336F">
        <w:t>oriented and productive than in previous eras</w:t>
      </w:r>
      <w:r w:rsidR="00965063" w:rsidRPr="0006336F">
        <w:t xml:space="preserve"> but there</w:t>
      </w:r>
      <w:r w:rsidR="00B16861">
        <w:t>’</w:t>
      </w:r>
      <w:r w:rsidR="00965063" w:rsidRPr="0006336F">
        <w:t xml:space="preserve">s work to do to ensure </w:t>
      </w:r>
      <w:r w:rsidR="00290107" w:rsidRPr="0006336F">
        <w:t>Australians</w:t>
      </w:r>
      <w:r w:rsidR="00965063" w:rsidRPr="0006336F">
        <w:t xml:space="preserve"> are beneficiaries of the changes we anticipate in our economy and society</w:t>
      </w:r>
      <w:r w:rsidRPr="0006336F">
        <w:t xml:space="preserve">. </w:t>
      </w:r>
    </w:p>
    <w:p w14:paraId="2C312BE4" w14:textId="3D0AABF4" w:rsidR="000D40CE" w:rsidRPr="0006336F" w:rsidRDefault="001526FC" w:rsidP="000D40CE">
      <w:r w:rsidRPr="0006336F">
        <w:t>Our labour market</w:t>
      </w:r>
      <w:r w:rsidR="000D40CE" w:rsidRPr="0006336F">
        <w:t xml:space="preserve"> is falling short of its potential. Around 3</w:t>
      </w:r>
      <w:r w:rsidR="000F0ED2">
        <w:t> million</w:t>
      </w:r>
      <w:r w:rsidR="000D40CE" w:rsidRPr="0006336F">
        <w:t xml:space="preserve"> Australians would like more work</w:t>
      </w:r>
      <w:r w:rsidR="000D40CE" w:rsidRPr="0006336F" w:rsidDel="002F5F39">
        <w:t>, and</w:t>
      </w:r>
      <w:r w:rsidR="000D40CE" w:rsidRPr="0006336F">
        <w:t xml:space="preserve"> outcomes vary significantly based on where people live, whether they</w:t>
      </w:r>
      <w:r w:rsidR="00B16861">
        <w:t>’</w:t>
      </w:r>
      <w:r w:rsidR="000D40CE" w:rsidRPr="0006336F">
        <w:t xml:space="preserve">ve experienced complex disadvantage, their gender, and other personal characteristics. </w:t>
      </w:r>
      <w:r w:rsidR="00EB3461" w:rsidRPr="0006336F">
        <w:t>Employers</w:t>
      </w:r>
      <w:r w:rsidR="000D40CE" w:rsidRPr="0006336F">
        <w:t xml:space="preserve"> have experienced acute labour shortages that have impeded their ability to expand and grow</w:t>
      </w:r>
      <w:r w:rsidR="00276B88" w:rsidRPr="0006336F">
        <w:t>.</w:t>
      </w:r>
    </w:p>
    <w:p w14:paraId="756DA157" w14:textId="7FE790F4" w:rsidR="000D40CE" w:rsidRPr="0006336F" w:rsidRDefault="000D40CE" w:rsidP="000D40CE">
      <w:r w:rsidRPr="0006336F">
        <w:t>Australia</w:t>
      </w:r>
      <w:r w:rsidR="00B16861">
        <w:t>’</w:t>
      </w:r>
      <w:r w:rsidRPr="0006336F">
        <w:t xml:space="preserve">s productivity growth has declined and is falling behind international peers. This is limiting opportunities for businesses to thrive and for people to benefit from </w:t>
      </w:r>
      <w:r w:rsidR="007720DF" w:rsidRPr="0006336F">
        <w:t xml:space="preserve">sustainable </w:t>
      </w:r>
      <w:r w:rsidRPr="0006336F">
        <w:t xml:space="preserve">real wage growth. </w:t>
      </w:r>
    </w:p>
    <w:p w14:paraId="09D38CCE" w14:textId="2B9CF9F9" w:rsidR="000D40CE" w:rsidRPr="0006336F" w:rsidRDefault="000D40CE" w:rsidP="000D40CE">
      <w:r w:rsidRPr="0006336F">
        <w:t>Building up the potential and inclusiveness of Australia</w:t>
      </w:r>
      <w:r w:rsidR="00B16861">
        <w:t>’</w:t>
      </w:r>
      <w:r w:rsidRPr="0006336F">
        <w:t>s labour market is critical to our ability to deliver on our broader social, economic and environmental goals. For example, we need to expand the provision of quality care and support to meet the demands of population ageing</w:t>
      </w:r>
      <w:r w:rsidR="00596228" w:rsidRPr="0006336F">
        <w:t>,</w:t>
      </w:r>
      <w:r w:rsidRPr="0006336F">
        <w:t xml:space="preserve"> and</w:t>
      </w:r>
      <w:r w:rsidR="00E16402" w:rsidRPr="0006336F">
        <w:t xml:space="preserve"> the</w:t>
      </w:r>
      <w:r w:rsidRPr="0006336F">
        <w:t xml:space="preserve"> </w:t>
      </w:r>
      <w:r w:rsidR="0061380C" w:rsidRPr="0006336F">
        <w:t xml:space="preserve">growing demand for </w:t>
      </w:r>
      <w:r w:rsidR="00BD0F1D" w:rsidRPr="0006336F">
        <w:t>early education and</w:t>
      </w:r>
      <w:r w:rsidR="00C15EE4" w:rsidRPr="0006336F">
        <w:t xml:space="preserve"> </w:t>
      </w:r>
      <w:r w:rsidR="0061380C" w:rsidRPr="0006336F">
        <w:t xml:space="preserve">care and the </w:t>
      </w:r>
      <w:r w:rsidR="0086276B" w:rsidRPr="0006336F">
        <w:t>National Disability Insurance Scheme (</w:t>
      </w:r>
      <w:r w:rsidR="0061380C" w:rsidRPr="0006336F">
        <w:t>NDIS</w:t>
      </w:r>
      <w:r w:rsidR="0086276B" w:rsidRPr="0006336F">
        <w:t>)</w:t>
      </w:r>
      <w:r w:rsidRPr="0006336F">
        <w:t>. Australia is also committed to achieving a 43</w:t>
      </w:r>
      <w:r w:rsidR="00B16861">
        <w:t> per c</w:t>
      </w:r>
      <w:r w:rsidRPr="0006336F">
        <w:t>ent reduction in emissions by 2030 and net zero by 2050 and is uniquely positioned to become a renewable energy superpower. And we need to seize the opportunities arising from the technological and digital transformation of our economy.</w:t>
      </w:r>
    </w:p>
    <w:p w14:paraId="05338230" w14:textId="2238AE42" w:rsidR="00103F3C" w:rsidRPr="0006336F" w:rsidRDefault="000D40CE" w:rsidP="000D40CE">
      <w:r w:rsidRPr="0006336F">
        <w:t>Th</w:t>
      </w:r>
      <w:r w:rsidR="00783838">
        <w:t>is</w:t>
      </w:r>
      <w:r w:rsidRPr="0006336F">
        <w:t xml:space="preserve"> </w:t>
      </w:r>
      <w:r w:rsidR="00FA072E" w:rsidRPr="0006336F">
        <w:t>R</w:t>
      </w:r>
      <w:r w:rsidRPr="0006336F">
        <w:t xml:space="preserve">oadmap sets the policy directions the Government will take to position the Australian labour market for the future, through investing more in </w:t>
      </w:r>
      <w:r w:rsidR="00713A51" w:rsidRPr="0006336F">
        <w:t xml:space="preserve">education, </w:t>
      </w:r>
      <w:r w:rsidRPr="0006336F">
        <w:t xml:space="preserve">skills </w:t>
      </w:r>
      <w:r w:rsidR="00732361" w:rsidRPr="0006336F">
        <w:t>and training</w:t>
      </w:r>
      <w:r w:rsidRPr="0006336F">
        <w:t xml:space="preserve">, expanding opportunities to work, and boosting labour productivity. It lays out our approach to sustained and inclusive full employment, investing in human capital and ensuring the benefits of work and opportunity are </w:t>
      </w:r>
      <w:r w:rsidR="003C4413" w:rsidRPr="0006336F">
        <w:t xml:space="preserve">available to more people right </w:t>
      </w:r>
      <w:r w:rsidRPr="0006336F">
        <w:t>across Australia.</w:t>
      </w:r>
      <w:bookmarkEnd w:id="3"/>
    </w:p>
    <w:p w14:paraId="1BAAF968" w14:textId="0778C3CB" w:rsidR="00AC137A" w:rsidRPr="0006336F" w:rsidRDefault="00F11A70" w:rsidP="00F11A70">
      <w:pPr>
        <w:pStyle w:val="Heading3"/>
      </w:pPr>
      <w:r w:rsidRPr="0006336F">
        <w:t>New policy directions for a dynamic and inclusive labour market</w:t>
      </w:r>
    </w:p>
    <w:p w14:paraId="472C81AF" w14:textId="6D75A177" w:rsidR="007C79D4" w:rsidRPr="0006336F" w:rsidRDefault="00691955" w:rsidP="00BA1E01">
      <w:r w:rsidRPr="0006336F">
        <w:t>The labour market is central to Australians</w:t>
      </w:r>
      <w:r w:rsidR="00B16861">
        <w:t>’</w:t>
      </w:r>
      <w:r w:rsidRPr="0006336F">
        <w:t xml:space="preserve"> wellbeing. </w:t>
      </w:r>
      <w:r w:rsidR="00FD3514">
        <w:t>The Government</w:t>
      </w:r>
      <w:r w:rsidR="00B16861">
        <w:t>’</w:t>
      </w:r>
      <w:r w:rsidRPr="0006336F">
        <w:t xml:space="preserve">s vision is for a dynamic and inclusive labour market in which everyone has the opportunity for secure, fairly paid work and people, businesses and communities can </w:t>
      </w:r>
      <w:r w:rsidR="00C645D1" w:rsidRPr="0006336F">
        <w:t xml:space="preserve">be beneficiaries of change and </w:t>
      </w:r>
      <w:r w:rsidRPr="0006336F">
        <w:t xml:space="preserve">thrive. </w:t>
      </w:r>
      <w:r w:rsidR="00FD3514">
        <w:t>The Government</w:t>
      </w:r>
      <w:r w:rsidR="00B16861">
        <w:t>’</w:t>
      </w:r>
      <w:r w:rsidR="00F67B71" w:rsidRPr="0006336F">
        <w:t>s</w:t>
      </w:r>
      <w:r w:rsidRPr="0006336F">
        <w:t xml:space="preserve"> five</w:t>
      </w:r>
      <w:r w:rsidR="00D20EC9">
        <w:t> </w:t>
      </w:r>
      <w:r w:rsidRPr="0006336F">
        <w:t xml:space="preserve">objectives </w:t>
      </w:r>
      <w:r w:rsidR="00E964E3" w:rsidRPr="0006336F">
        <w:t>discussed in this Whi</w:t>
      </w:r>
      <w:r w:rsidR="00B35392" w:rsidRPr="0006336F">
        <w:t>t</w:t>
      </w:r>
      <w:r w:rsidR="00E964E3" w:rsidRPr="0006336F">
        <w:t>e Paper</w:t>
      </w:r>
      <w:r w:rsidR="00B35392" w:rsidRPr="0006336F">
        <w:t xml:space="preserve"> all contribute</w:t>
      </w:r>
      <w:r w:rsidRPr="0006336F">
        <w:t xml:space="preserve"> to achiev</w:t>
      </w:r>
      <w:r w:rsidR="00B35392" w:rsidRPr="0006336F">
        <w:t>ing</w:t>
      </w:r>
      <w:r w:rsidRPr="0006336F">
        <w:t xml:space="preserve"> this vision</w:t>
      </w:r>
      <w:r w:rsidR="00076D8E" w:rsidRPr="0006336F">
        <w:t xml:space="preserve"> (</w:t>
      </w:r>
      <w:r w:rsidR="00063E29" w:rsidRPr="0006336F">
        <w:t>F</w:t>
      </w:r>
      <w:r w:rsidRPr="0006336F">
        <w:t>igure</w:t>
      </w:r>
      <w:r w:rsidR="00147825">
        <w:t> </w:t>
      </w:r>
      <w:r w:rsidR="00063E29" w:rsidRPr="0006336F">
        <w:t>R</w:t>
      </w:r>
      <w:r w:rsidR="00946437" w:rsidRPr="0006336F">
        <w:t>.1</w:t>
      </w:r>
      <w:r w:rsidR="00076D8E" w:rsidRPr="0006336F">
        <w:t>)</w:t>
      </w:r>
      <w:r w:rsidRPr="0006336F">
        <w:t>.</w:t>
      </w:r>
    </w:p>
    <w:p w14:paraId="1177F284" w14:textId="194E86E7" w:rsidR="007C79D4" w:rsidRPr="0006336F" w:rsidRDefault="007C79D4" w:rsidP="000361E6">
      <w:pPr>
        <w:pStyle w:val="FigureMainHeadingRoadmap"/>
      </w:pPr>
      <w:r w:rsidRPr="0006336F">
        <w:lastRenderedPageBreak/>
        <w:t xml:space="preserve">The five objectives </w:t>
      </w:r>
      <w:r w:rsidR="00CE32BC" w:rsidRPr="0006336F">
        <w:t xml:space="preserve">contributing </w:t>
      </w:r>
      <w:r w:rsidRPr="0006336F">
        <w:t>to our vision</w:t>
      </w:r>
      <w:r w:rsidR="00C8262D" w:rsidRPr="0006336F">
        <w:t xml:space="preserve"> </w:t>
      </w:r>
    </w:p>
    <w:p w14:paraId="419F608F" w14:textId="3FBA5DF8" w:rsidR="007C79D4" w:rsidRPr="0006336F" w:rsidRDefault="00797BF3" w:rsidP="002F36BC">
      <w:pPr>
        <w:pStyle w:val="ChartGraphic"/>
      </w:pPr>
      <w:r w:rsidRPr="0006336F">
        <w:rPr>
          <w:noProof/>
        </w:rPr>
        <w:drawing>
          <wp:inline distT="0" distB="0" distL="0" distR="0" wp14:anchorId="13D97264" wp14:editId="59E0B505">
            <wp:extent cx="5760000" cy="5760000"/>
            <wp:effectExtent l="0" t="0" r="0" b="0"/>
            <wp:docPr id="1" name="Picture 1" descr="This figure shows the Government’s vision and objectives. The Government's vision is for a dynamic and inclusive labour market in which everyone has the opportunity for secure, fairly paid work and people, businesses and communities can be beneficiaries of change and thrive. The Government’s five objectives discussed in this White Paper all contribute to achieving this vision. They are: - Objective 1: Delivering sustained and inclusive full employment. - Objective 2: Promoting job security and strong, sustainable wage growth. - Objective 3: Reigniting productivity growth. - Objective 4: Filling skills needs and building our future workforce. - Objective 5: Overcoming barriers to employment and broadening opportun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figure shows the Government’s vision and objectives. The Government's vision is for a dynamic and inclusive labour market in which everyone has the opportunity for secure, fairly paid work and people, businesses and communities can be beneficiaries of change and thrive. The Government’s five objectives discussed in this White Paper all contribute to achieving this vision. They are: - Objective 1: Delivering sustained and inclusive full employment. - Objective 2: Promoting job security and strong, sustainable wage growth. - Objective 3: Reigniting productivity growth. - Objective 4: Filling skills needs and building our future workforce. - Objective 5: Overcoming barriers to employment and broadening opportunity. "/>
                    <pic:cNvPicPr/>
                  </pic:nvPicPr>
                  <pic:blipFill>
                    <a:blip r:embed="rId11"/>
                    <a:stretch>
                      <a:fillRect/>
                    </a:stretch>
                  </pic:blipFill>
                  <pic:spPr>
                    <a:xfrm>
                      <a:off x="0" y="0"/>
                      <a:ext cx="5760000" cy="5760000"/>
                    </a:xfrm>
                    <a:prstGeom prst="rect">
                      <a:avLst/>
                    </a:prstGeom>
                  </pic:spPr>
                </pic:pic>
              </a:graphicData>
            </a:graphic>
          </wp:inline>
        </w:drawing>
      </w:r>
    </w:p>
    <w:p w14:paraId="1A48270B" w14:textId="77777777" w:rsidR="007C79D4" w:rsidRPr="0006336F" w:rsidRDefault="007C79D4" w:rsidP="007C79D4">
      <w:pPr>
        <w:pStyle w:val="ChartTableFiguresectionline"/>
      </w:pPr>
    </w:p>
    <w:p w14:paraId="5D0E8359" w14:textId="70864550" w:rsidR="007C79D4" w:rsidRPr="0006336F" w:rsidRDefault="007C79D4" w:rsidP="007C79D4">
      <w:r w:rsidRPr="0006336F">
        <w:t>Achieving th</w:t>
      </w:r>
      <w:r w:rsidR="005123D9" w:rsidRPr="0006336F">
        <w:t xml:space="preserve">is vision </w:t>
      </w:r>
      <w:r w:rsidR="0000117B" w:rsidRPr="0006336F">
        <w:t xml:space="preserve">will </w:t>
      </w:r>
      <w:r w:rsidRPr="0006336F">
        <w:t xml:space="preserve">require concerted action across a comprehensive range of policy </w:t>
      </w:r>
      <w:r w:rsidR="000F0414" w:rsidRPr="0006336F">
        <w:t>levers</w:t>
      </w:r>
      <w:r w:rsidRPr="0006336F">
        <w:t xml:space="preserve">. </w:t>
      </w:r>
      <w:r w:rsidR="00FD3514">
        <w:t>The Government</w:t>
      </w:r>
      <w:r w:rsidR="002C20D8">
        <w:t xml:space="preserve">’s </w:t>
      </w:r>
      <w:r w:rsidRPr="0006336F">
        <w:t xml:space="preserve">Roadmap for </w:t>
      </w:r>
      <w:r w:rsidR="00F1091E" w:rsidRPr="0006336F">
        <w:t>delivering these reforms</w:t>
      </w:r>
      <w:r w:rsidR="002C20D8">
        <w:t xml:space="preserve"> is </w:t>
      </w:r>
      <w:r w:rsidR="00417422" w:rsidRPr="0006336F">
        <w:t xml:space="preserve">built around </w:t>
      </w:r>
      <w:r w:rsidR="00D62E2E" w:rsidRPr="0006336F">
        <w:t>10</w:t>
      </w:r>
      <w:r w:rsidR="00417422" w:rsidRPr="0006336F">
        <w:t xml:space="preserve"> policy</w:t>
      </w:r>
      <w:r w:rsidRPr="0006336F">
        <w:t xml:space="preserve"> areas</w:t>
      </w:r>
      <w:r w:rsidR="00BD6E7C" w:rsidRPr="0006336F">
        <w:t>:</w:t>
      </w:r>
    </w:p>
    <w:p w14:paraId="10D1C992" w14:textId="4C7CBDED" w:rsidR="007C79D4" w:rsidRPr="0006336F" w:rsidRDefault="007C79D4" w:rsidP="007C79D4">
      <w:pPr>
        <w:pStyle w:val="OutlineNumbered1"/>
      </w:pPr>
      <w:r w:rsidRPr="0006336F">
        <w:rPr>
          <w:rStyle w:val="Emphasis"/>
          <w:b/>
        </w:rPr>
        <w:t>Strengthening economic foundations</w:t>
      </w:r>
      <w:r w:rsidRPr="0006336F">
        <w:t xml:space="preserve"> by placing full employment at the heart of our institutions and policy frameworks, </w:t>
      </w:r>
      <w:r w:rsidR="00187F7C" w:rsidRPr="0006336F">
        <w:t>progressing</w:t>
      </w:r>
      <w:r w:rsidR="00D64D08" w:rsidRPr="0006336F">
        <w:t xml:space="preserve"> a</w:t>
      </w:r>
      <w:r w:rsidRPr="0006336F">
        <w:t xml:space="preserve"> five pillar productivity agenda and strengthening the foundations for secure, fairly paid jobs.</w:t>
      </w:r>
    </w:p>
    <w:p w14:paraId="5B2EB084" w14:textId="5D568D06" w:rsidR="007C79D4" w:rsidRPr="0006336F" w:rsidRDefault="007C79D4" w:rsidP="007C79D4">
      <w:pPr>
        <w:pStyle w:val="OutlineNumbered1"/>
      </w:pPr>
      <w:r w:rsidRPr="0006336F">
        <w:rPr>
          <w:rStyle w:val="Emphasis"/>
          <w:b/>
        </w:rPr>
        <w:t xml:space="preserve">Modernising industry and regional policy </w:t>
      </w:r>
      <w:r w:rsidRPr="0006336F">
        <w:t>so people, communities and businesses are positioned to withstand the challenges and reap the benefits as we strive to become a renewable energy superpower, realise the opportunities of technological change and broaden and deepen Australia</w:t>
      </w:r>
      <w:r w:rsidR="00B16861">
        <w:t>’</w:t>
      </w:r>
      <w:r w:rsidRPr="0006336F">
        <w:t>s industrial base.</w:t>
      </w:r>
    </w:p>
    <w:p w14:paraId="2936A6EC" w14:textId="35623E9C" w:rsidR="007C79D4" w:rsidRPr="0006336F" w:rsidRDefault="007C79D4" w:rsidP="007C79D4">
      <w:pPr>
        <w:pStyle w:val="OutlineNumbered1"/>
      </w:pPr>
      <w:r w:rsidRPr="0006336F">
        <w:rPr>
          <w:rStyle w:val="Emphasis"/>
          <w:b/>
        </w:rPr>
        <w:lastRenderedPageBreak/>
        <w:t xml:space="preserve">Planning for our future workforce </w:t>
      </w:r>
      <w:r w:rsidRPr="0006336F">
        <w:t xml:space="preserve">by </w:t>
      </w:r>
      <w:r w:rsidR="0073569D" w:rsidRPr="0006336F">
        <w:t>coordinating</w:t>
      </w:r>
      <w:r w:rsidRPr="0006336F">
        <w:t xml:space="preserve"> skill priorities </w:t>
      </w:r>
      <w:r w:rsidR="009424E3" w:rsidRPr="0006336F">
        <w:t>and</w:t>
      </w:r>
      <w:r w:rsidRPr="0006336F">
        <w:t xml:space="preserve"> policies, and meeting workforce needs in the context of a growing care and support economy, the net zero transformation and technological change. </w:t>
      </w:r>
    </w:p>
    <w:p w14:paraId="30AE85F3" w14:textId="19676E75" w:rsidR="007C79D4" w:rsidRPr="00A73B6C" w:rsidRDefault="007C79D4" w:rsidP="007C79D4">
      <w:pPr>
        <w:pStyle w:val="OutlineNumbered1"/>
      </w:pPr>
      <w:r w:rsidRPr="0006336F">
        <w:rPr>
          <w:rStyle w:val="Emphasis"/>
          <w:b/>
        </w:rPr>
        <w:t xml:space="preserve">Broadening access to foundation skills </w:t>
      </w:r>
      <w:r w:rsidRPr="0006336F">
        <w:t xml:space="preserve">by charting a course towards universal access to affordable, quality early childhood education and care, </w:t>
      </w:r>
      <w:r w:rsidR="00B57B50" w:rsidRPr="0006336F">
        <w:t>improving school outcomes</w:t>
      </w:r>
      <w:r w:rsidRPr="0006336F">
        <w:t xml:space="preserve"> and </w:t>
      </w:r>
      <w:r w:rsidR="00E40807">
        <w:t xml:space="preserve">expanding </w:t>
      </w:r>
      <w:r w:rsidR="00B57B50" w:rsidRPr="0006336F">
        <w:t>access to</w:t>
      </w:r>
      <w:r w:rsidRPr="0006336F">
        <w:t xml:space="preserve"> adult learning opportunities that help people find and keep a secure, fairly paid job.</w:t>
      </w:r>
    </w:p>
    <w:p w14:paraId="3255896E" w14:textId="5B0D2CD3" w:rsidR="007C79D4" w:rsidRPr="0006336F" w:rsidRDefault="007C79D4" w:rsidP="007C79D4">
      <w:pPr>
        <w:pStyle w:val="OutlineNumbered1"/>
      </w:pPr>
      <w:r w:rsidRPr="0006336F">
        <w:rPr>
          <w:rStyle w:val="Emphasis"/>
          <w:b/>
        </w:rPr>
        <w:t xml:space="preserve">Investing in skills, tertiary education and lifelong learning </w:t>
      </w:r>
      <w:r w:rsidRPr="0006336F">
        <w:t>by increasing the share of Australians studying in areas of high skills need, improving collaboration between the vocational and higher education sectors, and removing barriers to learning across the course of people</w:t>
      </w:r>
      <w:r w:rsidR="00B16861">
        <w:t>’</w:t>
      </w:r>
      <w:r w:rsidRPr="0006336F">
        <w:t>s lives.</w:t>
      </w:r>
    </w:p>
    <w:p w14:paraId="168605BF" w14:textId="77777777" w:rsidR="007C79D4" w:rsidRPr="0006336F" w:rsidRDefault="007C79D4" w:rsidP="007C79D4">
      <w:pPr>
        <w:pStyle w:val="OutlineNumbered1"/>
      </w:pPr>
      <w:r w:rsidRPr="0006336F">
        <w:rPr>
          <w:rStyle w:val="Emphasis"/>
          <w:b/>
        </w:rPr>
        <w:t xml:space="preserve">Reforming the migration system </w:t>
      </w:r>
      <w:r w:rsidRPr="0006336F">
        <w:t>through better targeting skilled migration, improving the employment outcomes of international students and realising the employment potential of migrants.</w:t>
      </w:r>
    </w:p>
    <w:p w14:paraId="2E97407D" w14:textId="309274E4" w:rsidR="007C79D4" w:rsidRPr="0006336F" w:rsidRDefault="007C79D4" w:rsidP="007C79D4">
      <w:pPr>
        <w:pStyle w:val="OutlineNumbered1"/>
      </w:pPr>
      <w:r w:rsidRPr="0006336F">
        <w:rPr>
          <w:rStyle w:val="Emphasis"/>
          <w:b/>
        </w:rPr>
        <w:t>Building capabilities through employment services</w:t>
      </w:r>
      <w:r w:rsidRPr="0006336F">
        <w:t xml:space="preserve"> by setting out clear principles for future reform and implementing changes in an evidence</w:t>
      </w:r>
      <w:r w:rsidR="00B16861">
        <w:noBreakHyphen/>
      </w:r>
      <w:r w:rsidRPr="0006336F">
        <w:t xml:space="preserve">based way that applies learnings from </w:t>
      </w:r>
      <w:r w:rsidR="008E0BFD" w:rsidRPr="0006336F">
        <w:t xml:space="preserve">evaluations </w:t>
      </w:r>
      <w:r w:rsidRPr="0006336F">
        <w:t>and accounts for the needs of local labour markets and individuals.</w:t>
      </w:r>
    </w:p>
    <w:p w14:paraId="7B91B58D" w14:textId="534C70CC" w:rsidR="007C79D4" w:rsidRPr="0006336F" w:rsidRDefault="007C79D4" w:rsidP="007C79D4">
      <w:pPr>
        <w:pStyle w:val="OutlineNumbered1"/>
      </w:pPr>
      <w:r w:rsidRPr="0006336F">
        <w:rPr>
          <w:rStyle w:val="Emphasis"/>
          <w:b/>
        </w:rPr>
        <w:t xml:space="preserve">Reducing barriers to work </w:t>
      </w:r>
      <w:r w:rsidRPr="0006336F">
        <w:t>by addressing disincentives to participate, improving the quality of support for people with disability, and promoting gender equality.</w:t>
      </w:r>
      <w:r w:rsidRPr="0006336F" w:rsidDel="005B0393">
        <w:t xml:space="preserve"> </w:t>
      </w:r>
    </w:p>
    <w:p w14:paraId="1FEEE0A1" w14:textId="6CA8E8EF" w:rsidR="007C79D4" w:rsidRPr="0006336F" w:rsidRDefault="007C79D4" w:rsidP="009E74D1">
      <w:pPr>
        <w:pStyle w:val="OutlineNumbered1"/>
      </w:pPr>
      <w:r w:rsidRPr="0006336F">
        <w:rPr>
          <w:rStyle w:val="Emphasis"/>
          <w:b/>
        </w:rPr>
        <w:t xml:space="preserve">Partnering with communities </w:t>
      </w:r>
      <w:r w:rsidRPr="0006336F">
        <w:t>to achieve genuine place</w:t>
      </w:r>
      <w:r w:rsidR="00B16861">
        <w:noBreakHyphen/>
      </w:r>
      <w:r w:rsidRPr="0006336F">
        <w:t xml:space="preserve">based </w:t>
      </w:r>
      <w:r w:rsidR="00F05E19" w:rsidRPr="0006336F">
        <w:t>change</w:t>
      </w:r>
      <w:r w:rsidRPr="0006336F">
        <w:t xml:space="preserve"> informed by community needs, deepening ties with social enterprise and </w:t>
      </w:r>
      <w:r w:rsidR="0076052C" w:rsidRPr="0006336F">
        <w:t>partnering</w:t>
      </w:r>
      <w:r w:rsidRPr="0006336F">
        <w:t xml:space="preserve"> with </w:t>
      </w:r>
      <w:r w:rsidR="00FD3514">
        <w:t>First Nation</w:t>
      </w:r>
      <w:r w:rsidRPr="0006336F">
        <w:t xml:space="preserve">s people to support economic </w:t>
      </w:r>
      <w:r w:rsidRPr="009E74D1">
        <w:t>development</w:t>
      </w:r>
      <w:r w:rsidRPr="0006336F">
        <w:t xml:space="preserve">. </w:t>
      </w:r>
    </w:p>
    <w:p w14:paraId="2A2C4473" w14:textId="34DB43C9" w:rsidR="007C79D4" w:rsidRPr="0006336F" w:rsidRDefault="007C79D4" w:rsidP="009E74D1">
      <w:pPr>
        <w:pStyle w:val="OutlineNumbered1"/>
        <w:tabs>
          <w:tab w:val="clear" w:pos="851"/>
        </w:tabs>
      </w:pPr>
      <w:r w:rsidRPr="009E74D1">
        <w:rPr>
          <w:rStyle w:val="Emphasis"/>
          <w:b/>
        </w:rPr>
        <w:t xml:space="preserve">Promoting inclusive, dynamic workplaces </w:t>
      </w:r>
      <w:r w:rsidRPr="0006336F">
        <w:t xml:space="preserve">by working with employers to foster workplace diversity, collaborating with businesses through the employment services system and improving the quality and transparency of data to measure workplace performance. </w:t>
      </w:r>
    </w:p>
    <w:p w14:paraId="221A798F" w14:textId="205DA6C4" w:rsidR="00D121BA" w:rsidRPr="0006336F" w:rsidRDefault="00D121BA" w:rsidP="00D121BA">
      <w:r w:rsidRPr="0006336F">
        <w:t>Improving women</w:t>
      </w:r>
      <w:r w:rsidR="00B16861">
        <w:t>’</w:t>
      </w:r>
      <w:r w:rsidRPr="0006336F">
        <w:t xml:space="preserve">s economic equality </w:t>
      </w:r>
      <w:r w:rsidR="00AC3409" w:rsidRPr="0006336F">
        <w:t>is a Government priority, and</w:t>
      </w:r>
      <w:r w:rsidRPr="0006336F">
        <w:t xml:space="preserve"> </w:t>
      </w:r>
      <w:r w:rsidR="00960CCD" w:rsidRPr="0006336F">
        <w:t xml:space="preserve">will require </w:t>
      </w:r>
      <w:r w:rsidR="00326944" w:rsidRPr="0006336F">
        <w:t xml:space="preserve">a focus </w:t>
      </w:r>
      <w:r w:rsidR="005D50C5" w:rsidRPr="0006336F">
        <w:t>on</w:t>
      </w:r>
      <w:r w:rsidRPr="0006336F">
        <w:t xml:space="preserve"> women who face complex </w:t>
      </w:r>
      <w:r w:rsidR="005D50C5" w:rsidRPr="0006336F">
        <w:t>and</w:t>
      </w:r>
      <w:r w:rsidRPr="0006336F">
        <w:t xml:space="preserve"> intersecting forms of disadvantage</w:t>
      </w:r>
      <w:r w:rsidR="00960CCD" w:rsidRPr="0006336F">
        <w:t>, as well as looking at ways we can</w:t>
      </w:r>
      <w:r w:rsidRPr="0006336F">
        <w:t xml:space="preserve"> </w:t>
      </w:r>
      <w:r w:rsidR="00A7731A" w:rsidRPr="0006336F">
        <w:t xml:space="preserve">better value </w:t>
      </w:r>
      <w:r w:rsidR="003A27A0" w:rsidRPr="0006336F">
        <w:t xml:space="preserve">and share </w:t>
      </w:r>
      <w:r w:rsidR="00A7731A" w:rsidRPr="0006336F">
        <w:t xml:space="preserve">care work, ensure safe and respectful workplaces </w:t>
      </w:r>
      <w:r w:rsidRPr="0006336F">
        <w:t>and reduc</w:t>
      </w:r>
      <w:r w:rsidR="004F2671" w:rsidRPr="0006336F">
        <w:t>e</w:t>
      </w:r>
      <w:r w:rsidRPr="0006336F">
        <w:t xml:space="preserve"> workforce gender segregation</w:t>
      </w:r>
      <w:r w:rsidR="004F2671" w:rsidRPr="0006336F">
        <w:t>.</w:t>
      </w:r>
      <w:r w:rsidRPr="0006336F">
        <w:t xml:space="preserve"> </w:t>
      </w:r>
      <w:r w:rsidR="004F2671" w:rsidRPr="0006336F">
        <w:t>These</w:t>
      </w:r>
      <w:r w:rsidRPr="0006336F">
        <w:t xml:space="preserve"> sit as cross</w:t>
      </w:r>
      <w:r w:rsidR="00B16861">
        <w:noBreakHyphen/>
      </w:r>
      <w:r w:rsidRPr="0006336F">
        <w:t>cutting principle</w:t>
      </w:r>
      <w:r w:rsidR="007B5E13" w:rsidRPr="0006336F">
        <w:t>s</w:t>
      </w:r>
      <w:r w:rsidRPr="0006336F">
        <w:t xml:space="preserve"> guiding action across each of the objectives and policy priorities. </w:t>
      </w:r>
    </w:p>
    <w:p w14:paraId="72E8F5DE" w14:textId="01F0F053" w:rsidR="00F578D0" w:rsidRPr="0006336F" w:rsidRDefault="00F578D0" w:rsidP="00F578D0">
      <w:pPr>
        <w:pStyle w:val="Heading4"/>
      </w:pPr>
      <w:r w:rsidRPr="0006336F">
        <w:t xml:space="preserve">The </w:t>
      </w:r>
      <w:r w:rsidR="001A253D" w:rsidRPr="0006336F">
        <w:t>R</w:t>
      </w:r>
      <w:r w:rsidRPr="0006336F">
        <w:t>oadmap has its genesis in the Jobs and Skills Summit</w:t>
      </w:r>
    </w:p>
    <w:p w14:paraId="6E2D4327" w14:textId="2CF6C0B2" w:rsidR="00F578D0" w:rsidRPr="0006336F" w:rsidRDefault="00F578D0" w:rsidP="00F578D0">
      <w:r w:rsidRPr="0006336F">
        <w:t>Th</w:t>
      </w:r>
      <w:r w:rsidR="001E0328" w:rsidRPr="0006336F">
        <w:t>is</w:t>
      </w:r>
      <w:r w:rsidRPr="0006336F">
        <w:t xml:space="preserve"> White Paper buil</w:t>
      </w:r>
      <w:r w:rsidR="001E0328" w:rsidRPr="0006336F">
        <w:t>ds</w:t>
      </w:r>
      <w:r w:rsidRPr="0006336F">
        <w:t xml:space="preserve"> on the solid foundations provided by the Jobs and Skills Summit in September</w:t>
      </w:r>
      <w:r w:rsidR="00FD3514">
        <w:t> </w:t>
      </w:r>
      <w:r w:rsidRPr="0006336F">
        <w:t>2022. Extensive consultation with employers, workers, communities, civil society, unions and governments has consistently informed our approach. The Summit brought together over 140</w:t>
      </w:r>
      <w:r w:rsidR="00147825">
        <w:t> </w:t>
      </w:r>
      <w:r w:rsidRPr="0006336F">
        <w:t>Australians to discuss the challenges and opportunities facing the labour market, such as addressing skills shortages, delivering secure, well</w:t>
      </w:r>
      <w:r w:rsidR="00B16861">
        <w:noBreakHyphen/>
      </w:r>
      <w:r w:rsidRPr="0006336F">
        <w:t>paid jobs and boosting productivity. The Summit resulted in 36</w:t>
      </w:r>
      <w:r w:rsidR="00147825">
        <w:t> </w:t>
      </w:r>
      <w:r w:rsidRPr="0006336F">
        <w:t xml:space="preserve">immediate outcomes and 38 areas for further work, </w:t>
      </w:r>
      <w:r w:rsidR="00416805" w:rsidRPr="0006336F">
        <w:t xml:space="preserve">which are </w:t>
      </w:r>
      <w:r w:rsidRPr="0006336F">
        <w:t>all now completed or in</w:t>
      </w:r>
      <w:r w:rsidR="00BB5DD6">
        <w:t> </w:t>
      </w:r>
      <w:r w:rsidRPr="0006336F">
        <w:t xml:space="preserve">progress. </w:t>
      </w:r>
    </w:p>
    <w:p w14:paraId="500B8536" w14:textId="30E0DEA9" w:rsidR="00F578D0" w:rsidRPr="0006336F" w:rsidRDefault="00F578D0" w:rsidP="00C95571">
      <w:r w:rsidRPr="0006336F">
        <w:t xml:space="preserve">Many issues raised at the Summit have been </w:t>
      </w:r>
      <w:r w:rsidR="00491E13" w:rsidRPr="0006336F">
        <w:t>acted on or</w:t>
      </w:r>
      <w:r w:rsidRPr="0006336F">
        <w:t xml:space="preserve"> explored in depth through a wide</w:t>
      </w:r>
      <w:r w:rsidR="00B16861">
        <w:noBreakHyphen/>
      </w:r>
      <w:r w:rsidRPr="0006336F">
        <w:t>ranging, year</w:t>
      </w:r>
      <w:r w:rsidR="00B16861">
        <w:noBreakHyphen/>
      </w:r>
      <w:r w:rsidRPr="0006336F">
        <w:t>long stakeholder engagement process for the White Paper. This included considering over 400</w:t>
      </w:r>
      <w:r w:rsidR="00147825">
        <w:t> </w:t>
      </w:r>
      <w:r w:rsidRPr="0006336F">
        <w:t>public submissions, consultations in every state and territory, partnering with researchers and academics, and engaging with more than 2</w:t>
      </w:r>
      <w:r w:rsidR="00351DA2" w:rsidRPr="0006336F">
        <w:t>5</w:t>
      </w:r>
      <w:r w:rsidRPr="0006336F">
        <w:t xml:space="preserve">0 stakeholders, including meeting with people with lived experience and from diverse backgrounds. </w:t>
      </w:r>
      <w:r w:rsidR="00DE155A" w:rsidRPr="0006336F">
        <w:t>The perspectives and ideas shared through these forums inform the Government</w:t>
      </w:r>
      <w:r w:rsidR="00B16861">
        <w:t>’</w:t>
      </w:r>
      <w:r w:rsidR="00DE155A" w:rsidRPr="0006336F">
        <w:t xml:space="preserve">s policy agenda going forward. </w:t>
      </w:r>
    </w:p>
    <w:p w14:paraId="21E0269A" w14:textId="6F6FACFE" w:rsidR="008D7FCE" w:rsidRPr="0006336F" w:rsidRDefault="008D7FCE" w:rsidP="008D7FCE">
      <w:pPr>
        <w:pStyle w:val="Heading3"/>
      </w:pPr>
      <w:r w:rsidRPr="0006336F">
        <w:lastRenderedPageBreak/>
        <w:t xml:space="preserve">A </w:t>
      </w:r>
      <w:r w:rsidR="00F775BA" w:rsidRPr="0006336F">
        <w:t>R</w:t>
      </w:r>
      <w:r w:rsidRPr="0006336F">
        <w:t>oadmap to navigate the future</w:t>
      </w:r>
    </w:p>
    <w:p w14:paraId="6B052767" w14:textId="3765DC28" w:rsidR="00E33457" w:rsidRPr="0006336F" w:rsidRDefault="00FD3514" w:rsidP="008D7FCE">
      <w:r>
        <w:t>The Government</w:t>
      </w:r>
      <w:r w:rsidR="00B16861">
        <w:t>’</w:t>
      </w:r>
      <w:r w:rsidR="002637D4" w:rsidRPr="0006336F">
        <w:t>s policy agenda for delivering its vision for Australia</w:t>
      </w:r>
      <w:r w:rsidR="00B16861">
        <w:t>’</w:t>
      </w:r>
      <w:r w:rsidR="002637D4" w:rsidRPr="0006336F">
        <w:t xml:space="preserve">s labour market is summarised in this Roadmap. </w:t>
      </w:r>
      <w:r w:rsidR="0008545A" w:rsidRPr="0006336F">
        <w:t xml:space="preserve">It </w:t>
      </w:r>
      <w:r w:rsidR="000155DD" w:rsidRPr="0006336F">
        <w:t>presents our</w:t>
      </w:r>
      <w:r w:rsidR="005D66C6" w:rsidRPr="0006336F">
        <w:t xml:space="preserve"> </w:t>
      </w:r>
      <w:r w:rsidR="00503190" w:rsidRPr="0006336F">
        <w:t xml:space="preserve">policy actions </w:t>
      </w:r>
      <w:r w:rsidR="005D66C6" w:rsidRPr="0006336F">
        <w:t>across three time hor</w:t>
      </w:r>
      <w:r w:rsidR="000155DD" w:rsidRPr="0006336F">
        <w:t>i</w:t>
      </w:r>
      <w:r w:rsidR="005D66C6" w:rsidRPr="0006336F">
        <w:t>zons</w:t>
      </w:r>
      <w:r>
        <w:t xml:space="preserve"> – </w:t>
      </w:r>
      <w:r w:rsidR="000155DD" w:rsidRPr="0006336F">
        <w:t>work that has been implemented, work underway</w:t>
      </w:r>
      <w:r w:rsidR="001E10EB" w:rsidRPr="0006336F">
        <w:t xml:space="preserve"> and future reform directions</w:t>
      </w:r>
      <w:r w:rsidR="005D66C6" w:rsidRPr="0006336F">
        <w:t xml:space="preserve">. </w:t>
      </w:r>
      <w:r w:rsidR="008D7FCE" w:rsidRPr="0006336F">
        <w:t xml:space="preserve">We have </w:t>
      </w:r>
      <w:r w:rsidR="00D22942" w:rsidRPr="0006336F">
        <w:t>already</w:t>
      </w:r>
      <w:r w:rsidR="008D7FCE" w:rsidRPr="0006336F">
        <w:t xml:space="preserve"> made meaningful progress</w:t>
      </w:r>
      <w:r>
        <w:t xml:space="preserve"> – </w:t>
      </w:r>
      <w:r w:rsidR="008D7FCE" w:rsidRPr="0006336F">
        <w:t>for example to improve skills development, support women</w:t>
      </w:r>
      <w:r w:rsidR="00B16861">
        <w:t>’</w:t>
      </w:r>
      <w:r w:rsidR="008D7FCE" w:rsidRPr="0006336F">
        <w:t xml:space="preserve">s </w:t>
      </w:r>
      <w:r w:rsidR="007C2E01" w:rsidRPr="0006336F">
        <w:t xml:space="preserve">economic </w:t>
      </w:r>
      <w:r w:rsidR="008D7FCE" w:rsidRPr="0006336F">
        <w:t>participation, improve migration settings and make workplaces fairer and safer</w:t>
      </w:r>
      <w:r w:rsidR="00CD1294" w:rsidRPr="0006336F">
        <w:t xml:space="preserve">. </w:t>
      </w:r>
      <w:r w:rsidR="005A4022" w:rsidRPr="0006336F">
        <w:t xml:space="preserve">We </w:t>
      </w:r>
      <w:r w:rsidR="008D7FCE" w:rsidRPr="0006336F">
        <w:t xml:space="preserve">are </w:t>
      </w:r>
      <w:r w:rsidR="005A4022" w:rsidRPr="0006336F">
        <w:t xml:space="preserve">also </w:t>
      </w:r>
      <w:r w:rsidR="008D7FCE" w:rsidRPr="0006336F">
        <w:t xml:space="preserve">taking new actions </w:t>
      </w:r>
      <w:r w:rsidR="003272D6" w:rsidRPr="0006336F">
        <w:t>through</w:t>
      </w:r>
      <w:r w:rsidR="008D7FCE" w:rsidRPr="0006336F">
        <w:t xml:space="preserve"> this White Paper. </w:t>
      </w:r>
      <w:r w:rsidR="0078204D" w:rsidRPr="0006336F">
        <w:t>Importantly, the future reform directions outlined in this Roadmap summarise the Government</w:t>
      </w:r>
      <w:r w:rsidR="00B16861">
        <w:t>’</w:t>
      </w:r>
      <w:r w:rsidR="0078204D" w:rsidRPr="0006336F">
        <w:t>s forward policy agenda which will be progressed in the 2024</w:t>
      </w:r>
      <w:r w:rsidR="009A3D09" w:rsidRPr="0006336F">
        <w:t>–</w:t>
      </w:r>
      <w:r w:rsidR="0078204D" w:rsidRPr="0006336F">
        <w:t>25 Budget and over the years to come.</w:t>
      </w:r>
    </w:p>
    <w:p w14:paraId="1E0B2D33" w14:textId="1CE7CE9B" w:rsidR="00C12410" w:rsidRPr="0006336F" w:rsidRDefault="000F2CE1" w:rsidP="00C12410">
      <w:pPr>
        <w:pStyle w:val="Heading4"/>
      </w:pPr>
      <w:r w:rsidRPr="0006336F">
        <w:t xml:space="preserve">The </w:t>
      </w:r>
      <w:r w:rsidR="00C12410" w:rsidRPr="0006336F">
        <w:t>process of reform is already underway</w:t>
      </w:r>
    </w:p>
    <w:p w14:paraId="2DD1C8AF" w14:textId="6ED46D4E" w:rsidR="00C12410" w:rsidRPr="0006336F" w:rsidRDefault="00FD3514" w:rsidP="00C12410">
      <w:r>
        <w:t>The Government</w:t>
      </w:r>
      <w:r w:rsidR="00C12410" w:rsidRPr="0006336F">
        <w:t xml:space="preserve"> has already taken action to build the workforce we need now and into the future. For example, we have established Jobs and Skills Australia </w:t>
      </w:r>
      <w:r w:rsidR="00D77C9C" w:rsidRPr="0006336F">
        <w:t>(</w:t>
      </w:r>
      <w:r w:rsidR="003E6EB2" w:rsidRPr="0006336F">
        <w:t xml:space="preserve">JSA) </w:t>
      </w:r>
      <w:r w:rsidR="00C12410" w:rsidRPr="0006336F">
        <w:t xml:space="preserve">to </w:t>
      </w:r>
      <w:r w:rsidR="00802657" w:rsidRPr="0006336F">
        <w:t>elevate</w:t>
      </w:r>
      <w:r w:rsidR="00C12410" w:rsidRPr="0006336F">
        <w:t xml:space="preserve"> workforce planning, </w:t>
      </w:r>
      <w:r w:rsidR="0033735C" w:rsidRPr="0006336F">
        <w:t xml:space="preserve">committed to 480,000 </w:t>
      </w:r>
      <w:r w:rsidR="00CF275E" w:rsidRPr="0006336F">
        <w:t>Fee</w:t>
      </w:r>
      <w:r w:rsidR="00B16861">
        <w:noBreakHyphen/>
      </w:r>
      <w:r w:rsidR="00CF275E" w:rsidRPr="0006336F">
        <w:t>Free</w:t>
      </w:r>
      <w:r w:rsidR="00C12410" w:rsidRPr="0006336F">
        <w:t xml:space="preserve"> TAFE places to grow our skilled workforce, and made important </w:t>
      </w:r>
      <w:r w:rsidR="0014763B" w:rsidRPr="0006336F">
        <w:t xml:space="preserve">policy </w:t>
      </w:r>
      <w:r w:rsidR="00C12410" w:rsidRPr="0006336F">
        <w:t xml:space="preserve">changes such as raising the Temporary Skilled Migration </w:t>
      </w:r>
      <w:r w:rsidR="00386773" w:rsidRPr="0006336F">
        <w:t xml:space="preserve">Income </w:t>
      </w:r>
      <w:r w:rsidR="00C12410" w:rsidRPr="0006336F">
        <w:t xml:space="preserve">Threshold </w:t>
      </w:r>
      <w:r w:rsidR="00D170D8" w:rsidRPr="0006336F">
        <w:t>so that our skilled migration system better complements</w:t>
      </w:r>
      <w:r w:rsidR="00C12410" w:rsidRPr="0006336F">
        <w:t xml:space="preserve"> the skills </w:t>
      </w:r>
      <w:r w:rsidR="00D170D8" w:rsidRPr="0006336F">
        <w:t>of Australians.</w:t>
      </w:r>
      <w:r w:rsidR="00C12410" w:rsidRPr="0006336F">
        <w:t xml:space="preserve"> The </w:t>
      </w:r>
      <w:r w:rsidR="00C12410" w:rsidRPr="0006336F">
        <w:rPr>
          <w:i/>
        </w:rPr>
        <w:t>Fair Work</w:t>
      </w:r>
      <w:r w:rsidR="005F7620" w:rsidRPr="0006336F">
        <w:rPr>
          <w:i/>
        </w:rPr>
        <w:t xml:space="preserve"> Legislation Amendment</w:t>
      </w:r>
      <w:r w:rsidR="00C12410" w:rsidRPr="0006336F">
        <w:rPr>
          <w:i/>
        </w:rPr>
        <w:t xml:space="preserve"> (Secure Jobs, Better Pay) Act</w:t>
      </w:r>
      <w:r w:rsidR="00384DD8" w:rsidRPr="0006336F">
        <w:rPr>
          <w:i/>
        </w:rPr>
        <w:t xml:space="preserve"> 2022</w:t>
      </w:r>
      <w:r w:rsidR="00C12410" w:rsidRPr="0006336F">
        <w:t xml:space="preserve"> </w:t>
      </w:r>
      <w:r w:rsidR="003819B7">
        <w:t>(</w:t>
      </w:r>
      <w:r w:rsidR="003819B7" w:rsidRPr="003819B7">
        <w:t>Secure Jobs, Better Pay Act</w:t>
      </w:r>
      <w:r w:rsidR="003819B7">
        <w:t xml:space="preserve">) </w:t>
      </w:r>
      <w:r w:rsidR="00C12410" w:rsidRPr="0006336F">
        <w:t xml:space="preserve">has </w:t>
      </w:r>
      <w:r w:rsidR="00596091" w:rsidRPr="0006336F">
        <w:t xml:space="preserve">reformed </w:t>
      </w:r>
      <w:r w:rsidR="009F047B" w:rsidRPr="0006336F">
        <w:t xml:space="preserve">our </w:t>
      </w:r>
      <w:r w:rsidR="00C12410" w:rsidRPr="0006336F">
        <w:t>workplace relations system</w:t>
      </w:r>
      <w:r w:rsidR="009F047B" w:rsidRPr="0006336F">
        <w:t>.</w:t>
      </w:r>
      <w:r w:rsidR="00C12410" w:rsidRPr="0006336F">
        <w:t xml:space="preserve"> </w:t>
      </w:r>
      <w:r w:rsidR="003B0F94" w:rsidRPr="0006336F">
        <w:t xml:space="preserve">This </w:t>
      </w:r>
      <w:r w:rsidR="00C12410" w:rsidRPr="0006336F">
        <w:t>includ</w:t>
      </w:r>
      <w:r w:rsidR="003B0F94" w:rsidRPr="0006336F">
        <w:t>es</w:t>
      </w:r>
      <w:r w:rsidR="00C12410" w:rsidRPr="0006336F">
        <w:t xml:space="preserve"> putting gender equ</w:t>
      </w:r>
      <w:r w:rsidR="003B0F94" w:rsidRPr="0006336F">
        <w:t>al</w:t>
      </w:r>
      <w:r w:rsidR="00C12410" w:rsidRPr="0006336F">
        <w:t>ity and job security at the heart of the Fair Work system and</w:t>
      </w:r>
      <w:r w:rsidR="003B0F94" w:rsidRPr="0006336F">
        <w:t>, among</w:t>
      </w:r>
      <w:r w:rsidR="00153C22" w:rsidRPr="0006336F">
        <w:t xml:space="preserve"> other things,</w:t>
      </w:r>
      <w:r w:rsidR="00C12410" w:rsidRPr="0006336F">
        <w:t xml:space="preserve"> updating our bargaining system to ensure all workers and businesses can negotiate in good faith for agreements that benefit them. </w:t>
      </w:r>
    </w:p>
    <w:p w14:paraId="58176894" w14:textId="31B392B3" w:rsidR="003F1C6F" w:rsidRPr="0006336F" w:rsidRDefault="003F1C6F" w:rsidP="00C12410">
      <w:r w:rsidRPr="0006336F">
        <w:t xml:space="preserve">Significant work underway includes </w:t>
      </w:r>
      <w:r w:rsidR="001372CA" w:rsidRPr="0006336F">
        <w:t xml:space="preserve">investing an additional </w:t>
      </w:r>
      <w:r w:rsidR="005C2F42" w:rsidRPr="0006336F">
        <w:t>$3.7</w:t>
      </w:r>
      <w:r w:rsidR="000F0ED2">
        <w:t> billion</w:t>
      </w:r>
      <w:r w:rsidR="00F33F43" w:rsidRPr="0006336F">
        <w:t xml:space="preserve"> </w:t>
      </w:r>
      <w:r w:rsidR="001372CA" w:rsidRPr="0006336F">
        <w:t xml:space="preserve">in </w:t>
      </w:r>
      <w:r w:rsidR="00F33F43" w:rsidRPr="0006336F">
        <w:t xml:space="preserve">a new National Skills Agreement with states and territories </w:t>
      </w:r>
      <w:r w:rsidR="0042756B" w:rsidRPr="0006336F">
        <w:t xml:space="preserve">and </w:t>
      </w:r>
      <w:r w:rsidR="00B54AF5" w:rsidRPr="0006336F">
        <w:t xml:space="preserve">the </w:t>
      </w:r>
      <w:r w:rsidR="0005283C" w:rsidRPr="0006336F">
        <w:t>Australian</w:t>
      </w:r>
      <w:r w:rsidR="00B54AF5" w:rsidRPr="0006336F">
        <w:t xml:space="preserve"> Universities Accord process</w:t>
      </w:r>
      <w:r w:rsidR="00D22803" w:rsidRPr="0006336F">
        <w:t>,</w:t>
      </w:r>
      <w:r w:rsidR="0042756B" w:rsidRPr="0006336F">
        <w:t xml:space="preserve"> which both aim to enhance our tertiary education secto</w:t>
      </w:r>
      <w:r w:rsidR="000253ED" w:rsidRPr="0006336F">
        <w:t>r</w:t>
      </w:r>
      <w:r w:rsidR="003B16C0" w:rsidRPr="0006336F">
        <w:t xml:space="preserve">. </w:t>
      </w:r>
      <w:r w:rsidR="008514D7" w:rsidRPr="0006336F">
        <w:t>We are reforming the Disability Employment Services model</w:t>
      </w:r>
      <w:r w:rsidR="003B1FE3" w:rsidRPr="0006336F">
        <w:t xml:space="preserve">, as well as </w:t>
      </w:r>
      <w:r w:rsidR="00F42B16" w:rsidRPr="0006336F">
        <w:t xml:space="preserve">replacing </w:t>
      </w:r>
      <w:r w:rsidR="003B1FE3" w:rsidRPr="0006336F">
        <w:t xml:space="preserve">the Community Development Program and </w:t>
      </w:r>
      <w:r w:rsidR="008514D7" w:rsidRPr="0006336F">
        <w:t>ParentsNext</w:t>
      </w:r>
      <w:r w:rsidR="003B1FE3" w:rsidRPr="0006336F">
        <w:t>,</w:t>
      </w:r>
      <w:r w:rsidR="008514D7" w:rsidRPr="0006336F">
        <w:t xml:space="preserve"> to begin shifting the focus of employment services to building capa</w:t>
      </w:r>
      <w:r w:rsidR="00CE0F62" w:rsidRPr="0006336F">
        <w:t>bility</w:t>
      </w:r>
      <w:r w:rsidR="008514D7" w:rsidRPr="0006336F">
        <w:t xml:space="preserve">. </w:t>
      </w:r>
      <w:r w:rsidR="003B16C0" w:rsidRPr="0006336F">
        <w:t>We are developing</w:t>
      </w:r>
      <w:r w:rsidR="00FE68B1" w:rsidRPr="0006336F">
        <w:t xml:space="preserve"> a </w:t>
      </w:r>
      <w:r w:rsidR="001C5773" w:rsidRPr="0006336F">
        <w:t xml:space="preserve">National </w:t>
      </w:r>
      <w:r w:rsidR="0094758A" w:rsidRPr="0006336F">
        <w:t>Strategy</w:t>
      </w:r>
      <w:r w:rsidR="00EA7947" w:rsidRPr="0006336F">
        <w:t xml:space="preserve"> for the</w:t>
      </w:r>
      <w:r w:rsidR="001C5773" w:rsidRPr="0006336F">
        <w:t xml:space="preserve"> Care and Support Economy </w:t>
      </w:r>
      <w:r w:rsidR="00136841" w:rsidRPr="0006336F">
        <w:t>to take a joined</w:t>
      </w:r>
      <w:r w:rsidR="00B16861">
        <w:noBreakHyphen/>
      </w:r>
      <w:r w:rsidR="00136841" w:rsidRPr="0006336F">
        <w:t>up approach to care and support sector labour shortages</w:t>
      </w:r>
      <w:r w:rsidR="00965C82" w:rsidRPr="0006336F">
        <w:t>,</w:t>
      </w:r>
      <w:r w:rsidR="00136841" w:rsidRPr="0006336F">
        <w:t xml:space="preserve"> </w:t>
      </w:r>
      <w:r w:rsidR="000F7F67" w:rsidRPr="0006336F">
        <w:t xml:space="preserve">and a National Strategy to Achieve Gender Equality </w:t>
      </w:r>
      <w:r w:rsidR="00965C82" w:rsidRPr="0006336F">
        <w:t>in pursuit of a more</w:t>
      </w:r>
      <w:r w:rsidR="00DE52D1" w:rsidRPr="0006336F">
        <w:t xml:space="preserve"> gender equal society</w:t>
      </w:r>
      <w:r w:rsidR="00965C82" w:rsidRPr="0006336F">
        <w:t xml:space="preserve">. </w:t>
      </w:r>
      <w:r w:rsidR="0094142B" w:rsidRPr="0006336F">
        <w:t>And</w:t>
      </w:r>
      <w:r w:rsidR="00147825">
        <w:t> </w:t>
      </w:r>
      <w:r w:rsidR="0094142B" w:rsidRPr="0006336F">
        <w:t xml:space="preserve">reviews are underway </w:t>
      </w:r>
      <w:r w:rsidR="00A92340" w:rsidRPr="0006336F">
        <w:t xml:space="preserve">to </w:t>
      </w:r>
      <w:r w:rsidR="0061709E" w:rsidRPr="0006336F">
        <w:t>improve access to quality, affordable</w:t>
      </w:r>
      <w:r w:rsidR="00BD5EDB" w:rsidRPr="0006336F">
        <w:t xml:space="preserve"> early childhood education and care </w:t>
      </w:r>
      <w:r w:rsidR="002E7F85" w:rsidRPr="0006336F">
        <w:t xml:space="preserve">(ECEC) </w:t>
      </w:r>
      <w:r w:rsidR="00B4238F" w:rsidRPr="0006336F">
        <w:t>by the Productivity Commission and Australian Competition and Consumer Commission</w:t>
      </w:r>
      <w:r w:rsidR="00062C65" w:rsidRPr="0006336F">
        <w:t>.</w:t>
      </w:r>
      <w:r w:rsidR="00B54AF5" w:rsidRPr="0006336F">
        <w:t xml:space="preserve"> </w:t>
      </w:r>
    </w:p>
    <w:p w14:paraId="640C9C2B" w14:textId="2AB9182B" w:rsidR="005F4D21" w:rsidRPr="0006336F" w:rsidRDefault="00C12410" w:rsidP="00C12410">
      <w:r w:rsidRPr="0006336F">
        <w:t xml:space="preserve">Further examples of the </w:t>
      </w:r>
      <w:r w:rsidR="00DE3EA9" w:rsidRPr="0006336F">
        <w:t>measures implemented</w:t>
      </w:r>
      <w:r w:rsidRPr="0006336F">
        <w:t xml:space="preserve"> to date and work underway are mapped against the White Paper</w:t>
      </w:r>
      <w:r w:rsidR="00B16861">
        <w:t>’</w:t>
      </w:r>
      <w:r w:rsidRPr="0006336F">
        <w:t xml:space="preserve">s </w:t>
      </w:r>
      <w:r w:rsidR="00D62E2E" w:rsidRPr="0006336F">
        <w:t>10</w:t>
      </w:r>
      <w:r w:rsidR="00AD1E64" w:rsidRPr="0006336F">
        <w:t xml:space="preserve"> priority</w:t>
      </w:r>
      <w:r w:rsidRPr="0006336F">
        <w:t xml:space="preserve"> policy </w:t>
      </w:r>
      <w:r w:rsidR="00AD1E64" w:rsidRPr="0006336F">
        <w:t>areas</w:t>
      </w:r>
      <w:r w:rsidRPr="0006336F">
        <w:t xml:space="preserve"> in the </w:t>
      </w:r>
      <w:r w:rsidR="003E1F6C" w:rsidRPr="0006336F">
        <w:t>R</w:t>
      </w:r>
      <w:r w:rsidRPr="0006336F">
        <w:t xml:space="preserve">oadmap </w:t>
      </w:r>
      <w:r w:rsidR="008A6BDE" w:rsidRPr="0006336F">
        <w:t>table</w:t>
      </w:r>
      <w:r w:rsidR="00EB5DA9" w:rsidRPr="0006336F">
        <w:t>s</w:t>
      </w:r>
      <w:r w:rsidRPr="0006336F">
        <w:t xml:space="preserve"> below. </w:t>
      </w:r>
    </w:p>
    <w:p w14:paraId="485E8368" w14:textId="2AB2FF21" w:rsidR="005F4D21" w:rsidRPr="0006336F" w:rsidRDefault="005F4D21" w:rsidP="005F4D21">
      <w:pPr>
        <w:pStyle w:val="Heading4"/>
      </w:pPr>
      <w:r w:rsidRPr="0006336F">
        <w:t>The White Paper sets out new policies and new directions</w:t>
      </w:r>
    </w:p>
    <w:p w14:paraId="6CE3FA2E" w14:textId="117AD4D7" w:rsidR="005F4D21" w:rsidRPr="0006336F" w:rsidRDefault="001556E9" w:rsidP="005F4D21">
      <w:r w:rsidRPr="0006336F">
        <w:t>Achieving</w:t>
      </w:r>
      <w:r w:rsidR="005F4D21" w:rsidRPr="0006336F">
        <w:t xml:space="preserve"> the Government</w:t>
      </w:r>
      <w:r w:rsidR="00B16861">
        <w:t>’</w:t>
      </w:r>
      <w:r w:rsidR="005F4D21" w:rsidRPr="0006336F">
        <w:t xml:space="preserve">s vision for the labour market </w:t>
      </w:r>
      <w:r w:rsidR="00794E4E" w:rsidRPr="0006336F">
        <w:t xml:space="preserve">will </w:t>
      </w:r>
      <w:r w:rsidR="00A3302A" w:rsidRPr="0006336F">
        <w:t>require</w:t>
      </w:r>
      <w:r w:rsidR="005F4D21" w:rsidRPr="0006336F">
        <w:t xml:space="preserve"> ambition</w:t>
      </w:r>
      <w:r w:rsidR="00F82382" w:rsidRPr="0006336F">
        <w:t>, collaboration</w:t>
      </w:r>
      <w:r w:rsidR="007A06F7" w:rsidRPr="0006336F">
        <w:t xml:space="preserve"> and action</w:t>
      </w:r>
      <w:r w:rsidR="00F82382" w:rsidRPr="0006336F">
        <w:t xml:space="preserve"> across a </w:t>
      </w:r>
      <w:r w:rsidR="00236D5A" w:rsidRPr="0006336F">
        <w:t>comprehensive range of policy levers</w:t>
      </w:r>
      <w:r w:rsidR="005F4D21" w:rsidRPr="0006336F">
        <w:t>.</w:t>
      </w:r>
      <w:r w:rsidR="00236D5A" w:rsidRPr="0006336F">
        <w:t xml:space="preserve"> The transformation of the </w:t>
      </w:r>
      <w:r w:rsidR="009C459F" w:rsidRPr="0006336F">
        <w:t xml:space="preserve">labour market </w:t>
      </w:r>
      <w:r w:rsidR="0065488D" w:rsidRPr="0006336F">
        <w:t xml:space="preserve">in the </w:t>
      </w:r>
      <w:r w:rsidR="00236D5A" w:rsidRPr="0006336F">
        <w:t>past 50</w:t>
      </w:r>
      <w:r w:rsidR="000F0ED2">
        <w:t> year</w:t>
      </w:r>
      <w:r w:rsidR="00236D5A" w:rsidRPr="0006336F">
        <w:t>s has shown we can become more inclusive and more productive</w:t>
      </w:r>
      <w:r w:rsidR="00FD3514">
        <w:t xml:space="preserve"> – </w:t>
      </w:r>
      <w:r w:rsidR="00236D5A" w:rsidRPr="0006336F">
        <w:t xml:space="preserve">and the </w:t>
      </w:r>
      <w:r w:rsidR="004B3A44" w:rsidRPr="0006336F">
        <w:t xml:space="preserve">changes expected over </w:t>
      </w:r>
      <w:r w:rsidR="005F4D21" w:rsidRPr="0006336F">
        <w:t>the next 50</w:t>
      </w:r>
      <w:r w:rsidR="000F0ED2">
        <w:t> year</w:t>
      </w:r>
      <w:r w:rsidR="005F4D21" w:rsidRPr="0006336F">
        <w:t xml:space="preserve">s will require </w:t>
      </w:r>
      <w:r w:rsidR="0065488D" w:rsidRPr="0006336F">
        <w:t xml:space="preserve">even greater </w:t>
      </w:r>
      <w:r w:rsidR="005F4D21" w:rsidRPr="0006336F">
        <w:t>effort.</w:t>
      </w:r>
    </w:p>
    <w:p w14:paraId="0101A8E8" w14:textId="41BC27DC" w:rsidR="005F4D21" w:rsidRPr="0006336F" w:rsidRDefault="005F4D21" w:rsidP="005F4D21">
      <w:r w:rsidRPr="0006336F">
        <w:t xml:space="preserve">Strong economic management and robust institutions </w:t>
      </w:r>
      <w:r w:rsidR="00B86379" w:rsidRPr="0006336F">
        <w:t xml:space="preserve">will </w:t>
      </w:r>
      <w:r w:rsidRPr="0006336F">
        <w:t>provide the basis on which we can create more well</w:t>
      </w:r>
      <w:r w:rsidR="00B16861">
        <w:noBreakHyphen/>
      </w:r>
      <w:r w:rsidRPr="0006336F">
        <w:t xml:space="preserve">paid </w:t>
      </w:r>
      <w:r w:rsidR="0083572C" w:rsidRPr="0006336F">
        <w:t>an</w:t>
      </w:r>
      <w:r w:rsidR="003A5F44" w:rsidRPr="0006336F">
        <w:t>d secure</w:t>
      </w:r>
      <w:r w:rsidR="0083572C" w:rsidRPr="0006336F">
        <w:t xml:space="preserve"> </w:t>
      </w:r>
      <w:r w:rsidRPr="0006336F">
        <w:t xml:space="preserve">jobs for more Australians across our country. </w:t>
      </w:r>
      <w:r w:rsidR="00A80D33" w:rsidRPr="0006336F">
        <w:t>At the heart of the Government</w:t>
      </w:r>
      <w:r w:rsidR="00B16861">
        <w:t>’</w:t>
      </w:r>
      <w:r w:rsidR="00A80D33" w:rsidRPr="0006336F">
        <w:t>s policy agenda is</w:t>
      </w:r>
      <w:r w:rsidRPr="0006336F">
        <w:t xml:space="preserve"> a new approach to full employment</w:t>
      </w:r>
      <w:r w:rsidR="00FD3514">
        <w:t xml:space="preserve"> – </w:t>
      </w:r>
      <w:r w:rsidRPr="0006336F">
        <w:t>one that emphasises inclusion and opens up the benefits of work to more people. This means critically assessing reforms through the lens of how they contribute to job creation, grow skills and remov</w:t>
      </w:r>
      <w:r w:rsidR="001D081F" w:rsidRPr="0006336F">
        <w:t>e</w:t>
      </w:r>
      <w:r w:rsidRPr="0006336F">
        <w:t xml:space="preserve"> barriers to work. Full employment </w:t>
      </w:r>
      <w:r w:rsidR="002708FE" w:rsidRPr="0006336F">
        <w:t>should</w:t>
      </w:r>
      <w:r w:rsidRPr="0006336F">
        <w:t xml:space="preserve"> not be simply a statistical </w:t>
      </w:r>
      <w:r w:rsidR="00A02888" w:rsidRPr="0006336F">
        <w:t>estimate</w:t>
      </w:r>
      <w:r w:rsidRPr="0006336F">
        <w:t xml:space="preserve">, it </w:t>
      </w:r>
      <w:r w:rsidR="00947357" w:rsidRPr="0006336F">
        <w:t>must</w:t>
      </w:r>
      <w:r w:rsidRPr="0006336F">
        <w:t xml:space="preserve"> be at the centre of the Government</w:t>
      </w:r>
      <w:r w:rsidR="00B16861">
        <w:t>’</w:t>
      </w:r>
      <w:r w:rsidRPr="0006336F">
        <w:t>s agenda.</w:t>
      </w:r>
    </w:p>
    <w:p w14:paraId="5E8B1FD3" w14:textId="5332D228" w:rsidR="00A561B6" w:rsidRPr="0006336F" w:rsidRDefault="005F4D21" w:rsidP="005F4D21">
      <w:r w:rsidRPr="0006336F">
        <w:lastRenderedPageBreak/>
        <w:t>Fostering an environment</w:t>
      </w:r>
      <w:r w:rsidR="0087495D" w:rsidRPr="0006336F">
        <w:t xml:space="preserve"> that promotes the growth of</w:t>
      </w:r>
      <w:r w:rsidRPr="0006336F">
        <w:t xml:space="preserve"> new, high productivity jobs</w:t>
      </w:r>
      <w:r w:rsidR="00BF0A24" w:rsidRPr="0006336F">
        <w:t xml:space="preserve"> and supports </w:t>
      </w:r>
      <w:r w:rsidR="00C8681A" w:rsidRPr="0006336F">
        <w:t>sustainable wages growth</w:t>
      </w:r>
      <w:r w:rsidR="00E84B8C" w:rsidRPr="0006336F">
        <w:t xml:space="preserve"> is a priority for Governme</w:t>
      </w:r>
      <w:r w:rsidR="006F439B" w:rsidRPr="0006336F">
        <w:t>nt.</w:t>
      </w:r>
      <w:r w:rsidRPr="0006336F">
        <w:t xml:space="preserve"> </w:t>
      </w:r>
      <w:r w:rsidR="00400BE2">
        <w:t>We are</w:t>
      </w:r>
      <w:r w:rsidR="00807ED8" w:rsidRPr="0006336F">
        <w:t xml:space="preserve"> taking action to boost productivity across the economy through our five pillar productivity agenda.</w:t>
      </w:r>
    </w:p>
    <w:p w14:paraId="37B978DD" w14:textId="5FB51FBF" w:rsidR="005F4D21" w:rsidRPr="0006336F" w:rsidRDefault="005F4D21" w:rsidP="005F4D21">
      <w:r w:rsidRPr="0006336F">
        <w:t xml:space="preserve">Modern </w:t>
      </w:r>
      <w:r w:rsidR="00657BAA" w:rsidRPr="0006336F">
        <w:t xml:space="preserve">industry </w:t>
      </w:r>
      <w:r w:rsidRPr="0006336F">
        <w:t xml:space="preserve">and regional policy, </w:t>
      </w:r>
      <w:r w:rsidR="00E61546" w:rsidRPr="0006336F">
        <w:t>including strategic coordination and crowding</w:t>
      </w:r>
      <w:r w:rsidR="00436958">
        <w:t>-</w:t>
      </w:r>
      <w:r w:rsidR="00E61546" w:rsidRPr="0006336F">
        <w:t>in investment in priority areas</w:t>
      </w:r>
      <w:r w:rsidR="00BC17A8" w:rsidRPr="0006336F">
        <w:t>,</w:t>
      </w:r>
      <w:r w:rsidRPr="0006336F">
        <w:t xml:space="preserve"> are needed to </w:t>
      </w:r>
      <w:r w:rsidR="003A5F44" w:rsidRPr="0006336F">
        <w:t xml:space="preserve">broaden and </w:t>
      </w:r>
      <w:r w:rsidR="0004115C" w:rsidRPr="0006336F">
        <w:t>deepen</w:t>
      </w:r>
      <w:r w:rsidRPr="0006336F">
        <w:t xml:space="preserve"> Australia</w:t>
      </w:r>
      <w:r w:rsidR="00B16861">
        <w:t>’</w:t>
      </w:r>
      <w:r w:rsidRPr="0006336F">
        <w:t xml:space="preserve">s industrial base </w:t>
      </w:r>
      <w:r w:rsidR="00BC17A8" w:rsidRPr="0006336F">
        <w:t>into</w:t>
      </w:r>
      <w:r w:rsidRPr="0006336F">
        <w:t xml:space="preserve"> the future</w:t>
      </w:r>
      <w:r w:rsidR="007711AA" w:rsidRPr="0006336F">
        <w:t>.</w:t>
      </w:r>
      <w:r w:rsidRPr="0006336F">
        <w:t xml:space="preserve"> Through</w:t>
      </w:r>
      <w:r w:rsidR="00147825">
        <w:t> </w:t>
      </w:r>
      <w:r w:rsidRPr="0006336F">
        <w:t xml:space="preserve">our new approach, the Government will promote the investment needed in key industries, work to modernise our national infrastructure and support innovation. </w:t>
      </w:r>
      <w:r w:rsidR="00FD3514">
        <w:t>The Government</w:t>
      </w:r>
      <w:r w:rsidR="00B16861">
        <w:t>’</w:t>
      </w:r>
      <w:r w:rsidRPr="0006336F">
        <w:t xml:space="preserve">s investment in </w:t>
      </w:r>
      <w:r w:rsidR="003E6EB2" w:rsidRPr="0006336F">
        <w:t>JSA</w:t>
      </w:r>
      <w:r w:rsidRPr="0006336F">
        <w:t xml:space="preserve"> will improve the planning needed for businesses and workers to source and develop the skills they need.</w:t>
      </w:r>
    </w:p>
    <w:p w14:paraId="615E930C" w14:textId="0C6F285D" w:rsidR="005F4D21" w:rsidRPr="0006336F" w:rsidRDefault="005F4D21" w:rsidP="005F4D21">
      <w:r w:rsidRPr="0006336F">
        <w:t>A strong and connected tertiary sector is critical to industry development, technological adoption and supplying human capital to support our future economy. Tertiary education will need to keep pace with Australia</w:t>
      </w:r>
      <w:r w:rsidR="00B16861">
        <w:t>’</w:t>
      </w:r>
      <w:r w:rsidRPr="0006336F">
        <w:t xml:space="preserve">s changing industry composition and the evolving mix of skills required by business. </w:t>
      </w:r>
      <w:r w:rsidR="00FD3514">
        <w:t>The Government</w:t>
      </w:r>
      <w:r w:rsidRPr="0006336F">
        <w:t xml:space="preserve"> will </w:t>
      </w:r>
      <w:r w:rsidR="00BE5D23" w:rsidRPr="0006336F">
        <w:t>promote</w:t>
      </w:r>
      <w:r w:rsidRPr="0006336F">
        <w:t xml:space="preserve"> new, innovative models of tertiary collaboration</w:t>
      </w:r>
      <w:r w:rsidR="00BE5D23" w:rsidRPr="0006336F">
        <w:t>, including</w:t>
      </w:r>
      <w:r w:rsidRPr="0006336F">
        <w:t xml:space="preserve"> by fast</w:t>
      </w:r>
      <w:r w:rsidR="00CD2238" w:rsidRPr="0006336F">
        <w:t xml:space="preserve"> </w:t>
      </w:r>
      <w:r w:rsidRPr="0006336F">
        <w:t xml:space="preserve">tracking the establishment of </w:t>
      </w:r>
      <w:r w:rsidR="00CD2238" w:rsidRPr="0006336F">
        <w:t xml:space="preserve">up to six </w:t>
      </w:r>
      <w:r w:rsidRPr="0006336F">
        <w:t>TAFE Centres of Excellence</w:t>
      </w:r>
      <w:r w:rsidR="008A752D" w:rsidRPr="0006336F">
        <w:t>,</w:t>
      </w:r>
      <w:r w:rsidRPr="0006336F">
        <w:t xml:space="preserve"> and </w:t>
      </w:r>
      <w:r w:rsidR="0095426E" w:rsidRPr="0006336F">
        <w:t>consulting with industry</w:t>
      </w:r>
      <w:r w:rsidR="001E7F8A">
        <w:t>,</w:t>
      </w:r>
      <w:r w:rsidR="001E7F8A" w:rsidRPr="001E7F8A">
        <w:t xml:space="preserve"> </w:t>
      </w:r>
      <w:r w:rsidR="001E7F8A" w:rsidRPr="0006336F">
        <w:t>unions, tertiary institutions</w:t>
      </w:r>
      <w:r w:rsidR="0095426E" w:rsidRPr="0006336F">
        <w:t xml:space="preserve"> and across government</w:t>
      </w:r>
      <w:r w:rsidR="00A9538E" w:rsidRPr="0006336F">
        <w:t>s</w:t>
      </w:r>
      <w:r w:rsidR="0095426E" w:rsidRPr="0006336F">
        <w:t xml:space="preserve"> to define the scope, outcomes and benefits of a National Skills Passport</w:t>
      </w:r>
      <w:r w:rsidRPr="0006336F">
        <w:t xml:space="preserve">. </w:t>
      </w:r>
      <w:r w:rsidR="00FD3514">
        <w:t>The Government</w:t>
      </w:r>
      <w:r w:rsidRPr="0006336F">
        <w:t xml:space="preserve"> is also exploring opportunities for </w:t>
      </w:r>
      <w:r w:rsidR="00CE6358" w:rsidRPr="0006336F">
        <w:t>more widely accessible</w:t>
      </w:r>
      <w:r w:rsidRPr="0006336F">
        <w:t xml:space="preserve"> </w:t>
      </w:r>
      <w:r w:rsidR="00292698" w:rsidRPr="0006336F">
        <w:t>degree</w:t>
      </w:r>
      <w:r w:rsidR="00B16861">
        <w:noBreakHyphen/>
      </w:r>
      <w:r w:rsidR="00292698" w:rsidRPr="0006336F">
        <w:t xml:space="preserve">level </w:t>
      </w:r>
      <w:r w:rsidRPr="0006336F">
        <w:t>higher apprenticeships, which TAFE Centres of Excellence will be instrumental in delivering.</w:t>
      </w:r>
    </w:p>
    <w:p w14:paraId="043C13B9" w14:textId="1E9BAF81" w:rsidR="005F4D21" w:rsidRPr="0006336F" w:rsidRDefault="00FD3514" w:rsidP="005F4D21">
      <w:r>
        <w:t>The Government</w:t>
      </w:r>
      <w:r w:rsidR="005F4D21" w:rsidRPr="0006336F">
        <w:t xml:space="preserve"> is elevating lifelong learning and foundation skills across </w:t>
      </w:r>
      <w:r w:rsidR="0081475F" w:rsidRPr="0006336F">
        <w:t>our</w:t>
      </w:r>
      <w:r w:rsidR="005F4D21" w:rsidRPr="0006336F">
        <w:t xml:space="preserve"> education and training systems. Recognising that human capital development starts early in life, the Government is </w:t>
      </w:r>
      <w:r w:rsidR="007278FE" w:rsidRPr="0006336F">
        <w:t xml:space="preserve">committed </w:t>
      </w:r>
      <w:r w:rsidR="005F4D21" w:rsidRPr="0006336F">
        <w:t xml:space="preserve">to </w:t>
      </w:r>
      <w:r w:rsidR="007278FE" w:rsidRPr="0006336F">
        <w:t xml:space="preserve">making access to </w:t>
      </w:r>
      <w:r w:rsidR="005F4D21" w:rsidRPr="0006336F">
        <w:t>high</w:t>
      </w:r>
      <w:r w:rsidR="00AB2E52">
        <w:t>-</w:t>
      </w:r>
      <w:r w:rsidR="005F4D21" w:rsidRPr="0006336F">
        <w:t>quality, equitable</w:t>
      </w:r>
      <w:r w:rsidR="007278FE" w:rsidRPr="0006336F">
        <w:t xml:space="preserve"> and </w:t>
      </w:r>
      <w:r w:rsidR="005F4D21" w:rsidRPr="0006336F">
        <w:t xml:space="preserve">affordable </w:t>
      </w:r>
      <w:r w:rsidR="00982BDA">
        <w:t>e</w:t>
      </w:r>
      <w:r w:rsidR="00F93E48" w:rsidRPr="0006336F">
        <w:t xml:space="preserve">arly </w:t>
      </w:r>
      <w:r w:rsidR="00982BDA">
        <w:t>c</w:t>
      </w:r>
      <w:r w:rsidR="00F93E48" w:rsidRPr="0006336F">
        <w:t xml:space="preserve">hildhood </w:t>
      </w:r>
      <w:r w:rsidR="00982BDA">
        <w:t>e</w:t>
      </w:r>
      <w:r w:rsidR="00F93E48" w:rsidRPr="0006336F">
        <w:t xml:space="preserve">ducation and </w:t>
      </w:r>
      <w:r w:rsidR="00982BDA">
        <w:t>c</w:t>
      </w:r>
      <w:r w:rsidR="00F93E48" w:rsidRPr="0006336F">
        <w:t>are</w:t>
      </w:r>
      <w:r w:rsidR="007278FE" w:rsidRPr="0006336F">
        <w:t xml:space="preserve"> universal, and is charting a course towards this ambition</w:t>
      </w:r>
      <w:r w:rsidR="005F4D21" w:rsidRPr="0006336F">
        <w:t xml:space="preserve">. In the schooling system, the next National School Reform Agreement provides a significant opportunity to tie funding to reforms needed to lift student outcomes. </w:t>
      </w:r>
      <w:r w:rsidR="002367CF" w:rsidRPr="0006336F">
        <w:t>We</w:t>
      </w:r>
      <w:r w:rsidR="005F4D21" w:rsidRPr="0006336F">
        <w:t xml:space="preserve"> will deliver stronger and more inclusive foundation skills training through </w:t>
      </w:r>
      <w:r w:rsidR="00B23717" w:rsidRPr="0006336F">
        <w:t>improving access to</w:t>
      </w:r>
      <w:r w:rsidR="005F4D21" w:rsidRPr="0006336F">
        <w:t xml:space="preserve"> the redesign</w:t>
      </w:r>
      <w:r w:rsidR="00123343" w:rsidRPr="0006336F">
        <w:t>ed</w:t>
      </w:r>
      <w:r w:rsidR="005F4D21" w:rsidRPr="0006336F">
        <w:t xml:space="preserve"> Skills for Education and Employment program and promoting lifelong learning</w:t>
      </w:r>
      <w:r w:rsidR="00A922A4" w:rsidRPr="0006336F">
        <w:t>, including</w:t>
      </w:r>
      <w:r w:rsidR="005F4D21" w:rsidRPr="0006336F">
        <w:t xml:space="preserve"> by build</w:t>
      </w:r>
      <w:r w:rsidR="004161D3" w:rsidRPr="0006336F">
        <w:t>ing</w:t>
      </w:r>
      <w:r w:rsidR="005F4D21" w:rsidRPr="0006336F">
        <w:t xml:space="preserve"> up the microcredentials ecosystem. </w:t>
      </w:r>
      <w:r w:rsidR="005B2159" w:rsidRPr="0006336F">
        <w:t xml:space="preserve">The </w:t>
      </w:r>
      <w:r w:rsidR="00F94FBD" w:rsidRPr="0006336F">
        <w:t>Australian</w:t>
      </w:r>
      <w:r w:rsidR="005B2159" w:rsidRPr="0006336F">
        <w:t xml:space="preserve"> Universities Accord will </w:t>
      </w:r>
      <w:r w:rsidR="00EC11F2">
        <w:t>inform</w:t>
      </w:r>
      <w:r w:rsidR="00EC11F2" w:rsidRPr="0006336F">
        <w:t xml:space="preserve"> </w:t>
      </w:r>
      <w:r w:rsidR="005B2159" w:rsidRPr="0006336F">
        <w:t>a long</w:t>
      </w:r>
      <w:r w:rsidR="00B16861">
        <w:noBreakHyphen/>
      </w:r>
      <w:r w:rsidR="005B2159" w:rsidRPr="0006336F">
        <w:t>term plan for Australia</w:t>
      </w:r>
      <w:r w:rsidR="00B16861">
        <w:t>’</w:t>
      </w:r>
      <w:r w:rsidR="005B2159" w:rsidRPr="0006336F">
        <w:t xml:space="preserve">s </w:t>
      </w:r>
      <w:r w:rsidR="00170342" w:rsidRPr="0006336F">
        <w:t>h</w:t>
      </w:r>
      <w:r w:rsidR="005B2159" w:rsidRPr="0006336F">
        <w:t xml:space="preserve">igher </w:t>
      </w:r>
      <w:r w:rsidR="00170342" w:rsidRPr="0006336F">
        <w:t>e</w:t>
      </w:r>
      <w:r w:rsidR="005B2159" w:rsidRPr="0006336F">
        <w:t>ducation system.</w:t>
      </w:r>
    </w:p>
    <w:p w14:paraId="0FCD43F3" w14:textId="50EEB4CB" w:rsidR="005F4D21" w:rsidRPr="0006336F" w:rsidRDefault="00C17895" w:rsidP="005F4D21">
      <w:r w:rsidRPr="0006336F">
        <w:t>Migration is not a substitute for investing in</w:t>
      </w:r>
      <w:r w:rsidR="005F4D21" w:rsidRPr="0006336F">
        <w:t xml:space="preserve"> the </w:t>
      </w:r>
      <w:r w:rsidRPr="0006336F">
        <w:t>skills of Australians. However, a well</w:t>
      </w:r>
      <w:r w:rsidR="00B16861">
        <w:noBreakHyphen/>
      </w:r>
      <w:r w:rsidRPr="0006336F">
        <w:t>targeted skilled migration system boosts</w:t>
      </w:r>
      <w:r w:rsidR="005F4D21" w:rsidRPr="0006336F">
        <w:t xml:space="preserve"> productivity</w:t>
      </w:r>
      <w:r w:rsidRPr="0006336F">
        <w:t>, and can complement the skills of Australians in addressing short term skills shortages.</w:t>
      </w:r>
      <w:r w:rsidR="005F4D21" w:rsidRPr="0006336F">
        <w:t xml:space="preserve"> </w:t>
      </w:r>
      <w:r w:rsidR="00FD3514">
        <w:t>The Government</w:t>
      </w:r>
      <w:r w:rsidR="00B16861">
        <w:t>’</w:t>
      </w:r>
      <w:r w:rsidR="005F4D21" w:rsidRPr="0006336F">
        <w:t xml:space="preserve">s new Migration Strategy will better target our skilled migration system, improve employment outcomes for international students and take steps to reduce exploitation. </w:t>
      </w:r>
    </w:p>
    <w:p w14:paraId="50B48D67" w14:textId="0549F6AA" w:rsidR="005F4D21" w:rsidRPr="0006336F" w:rsidRDefault="008069AC" w:rsidP="005F4D21">
      <w:r w:rsidRPr="0006336F">
        <w:t>Recognising the importance of improving the outcomes of</w:t>
      </w:r>
      <w:r w:rsidR="005F4D21" w:rsidRPr="0006336F">
        <w:t xml:space="preserve"> employment services, the Government is </w:t>
      </w:r>
      <w:r w:rsidRPr="0006336F">
        <w:t>defining clear principles for employment services reform which will set</w:t>
      </w:r>
      <w:r w:rsidR="005F4D21" w:rsidRPr="0006336F">
        <w:t xml:space="preserve"> the direction for how we will support people seeking jobs, and businesses seeking workers. </w:t>
      </w:r>
      <w:r w:rsidR="00FD3514">
        <w:t>The Government</w:t>
      </w:r>
      <w:r w:rsidR="000A32A6" w:rsidRPr="0006336F">
        <w:t xml:space="preserve"> wants the</w:t>
      </w:r>
      <w:r w:rsidR="005F4D21" w:rsidRPr="0006336F">
        <w:t xml:space="preserve"> </w:t>
      </w:r>
      <w:r w:rsidR="006A502F" w:rsidRPr="0006336F">
        <w:t>future employment services</w:t>
      </w:r>
      <w:r w:rsidR="005F4D21" w:rsidRPr="0006336F">
        <w:t xml:space="preserve"> system</w:t>
      </w:r>
      <w:r w:rsidR="004919E1">
        <w:t xml:space="preserve"> to</w:t>
      </w:r>
      <w:r w:rsidR="005F4D21" w:rsidRPr="0006336F">
        <w:t xml:space="preserve"> invest in people</w:t>
      </w:r>
      <w:r w:rsidR="00B16861">
        <w:t>’</w:t>
      </w:r>
      <w:r w:rsidR="005F4D21" w:rsidRPr="0006336F">
        <w:t xml:space="preserve">s potential, building their human capital and connecting with broader social services to help people overcome barriers to participation and build pathways to decent jobs. </w:t>
      </w:r>
      <w:r w:rsidR="00FD3514">
        <w:t>The Government</w:t>
      </w:r>
      <w:r w:rsidR="005F4D21" w:rsidRPr="0006336F">
        <w:t xml:space="preserve"> will also </w:t>
      </w:r>
      <w:r w:rsidR="00F05E19" w:rsidRPr="0006336F">
        <w:t>back</w:t>
      </w:r>
      <w:r w:rsidR="005F4D21" w:rsidRPr="0006336F">
        <w:t xml:space="preserve"> the social enterprise sector </w:t>
      </w:r>
      <w:r w:rsidR="00120058" w:rsidRPr="0006336F">
        <w:t>to</w:t>
      </w:r>
      <w:r w:rsidR="005F4D21" w:rsidRPr="0006336F">
        <w:t xml:space="preserve"> </w:t>
      </w:r>
      <w:r w:rsidR="00F05E19" w:rsidRPr="0006336F">
        <w:t xml:space="preserve">provide more employment </w:t>
      </w:r>
      <w:r w:rsidR="005F4D21" w:rsidRPr="0006336F">
        <w:t xml:space="preserve">and </w:t>
      </w:r>
      <w:r w:rsidR="00F05E19" w:rsidRPr="0006336F">
        <w:t>training</w:t>
      </w:r>
      <w:r w:rsidR="005F4D21" w:rsidRPr="0006336F">
        <w:t xml:space="preserve"> opportunities for Australians facing disadvantage.</w:t>
      </w:r>
    </w:p>
    <w:p w14:paraId="39A1973D" w14:textId="6C97A262" w:rsidR="005F4D21" w:rsidRPr="0006336F" w:rsidRDefault="00FD3514" w:rsidP="005F4D21">
      <w:r>
        <w:t>The Government</w:t>
      </w:r>
      <w:r w:rsidR="005F4D21" w:rsidRPr="0006336F">
        <w:t xml:space="preserve"> is </w:t>
      </w:r>
      <w:r w:rsidR="00845BAF" w:rsidRPr="0006336F">
        <w:t>addressing</w:t>
      </w:r>
      <w:r w:rsidR="000A3BB9" w:rsidRPr="0006336F">
        <w:t xml:space="preserve"> </w:t>
      </w:r>
      <w:r w:rsidR="00845BAF" w:rsidRPr="0006336F">
        <w:t>dis</w:t>
      </w:r>
      <w:r w:rsidR="000A3BB9" w:rsidRPr="0006336F">
        <w:t>incentives to work</w:t>
      </w:r>
      <w:r w:rsidR="005F4D21" w:rsidRPr="0006336F">
        <w:t xml:space="preserve"> in </w:t>
      </w:r>
      <w:r w:rsidR="000A3BB9" w:rsidRPr="0006336F">
        <w:t>the income support system</w:t>
      </w:r>
      <w:r w:rsidR="00433396" w:rsidRPr="0006336F">
        <w:t xml:space="preserve"> by</w:t>
      </w:r>
      <w:r w:rsidR="005F4D21" w:rsidRPr="0006336F">
        <w:t xml:space="preserve"> extending </w:t>
      </w:r>
      <w:r w:rsidR="005210B9" w:rsidRPr="0006336F">
        <w:t xml:space="preserve">the nil rate period so that people can retain </w:t>
      </w:r>
      <w:r w:rsidR="005F4D21" w:rsidRPr="0006336F">
        <w:t>concession cards</w:t>
      </w:r>
      <w:r w:rsidR="005210B9" w:rsidRPr="0006336F">
        <w:t xml:space="preserve"> for longer when they first get back into work</w:t>
      </w:r>
      <w:r w:rsidR="005F4D21" w:rsidRPr="0006336F">
        <w:t xml:space="preserve">. </w:t>
      </w:r>
      <w:r w:rsidR="00956FD2" w:rsidRPr="0006336F">
        <w:t xml:space="preserve">This change recognises that for some, the transition is difficult and </w:t>
      </w:r>
      <w:r w:rsidR="00B633E0" w:rsidRPr="0006336F">
        <w:t>there are</w:t>
      </w:r>
      <w:r w:rsidR="00956FD2" w:rsidRPr="0006336F">
        <w:t xml:space="preserve"> disincentives currently in the system</w:t>
      </w:r>
      <w:r w:rsidR="0046127F" w:rsidRPr="0006336F">
        <w:t>.</w:t>
      </w:r>
      <w:r w:rsidR="00956FD2" w:rsidRPr="0006336F">
        <w:t xml:space="preserve"> </w:t>
      </w:r>
      <w:r w:rsidR="005F4D21" w:rsidRPr="0006336F">
        <w:t xml:space="preserve">We are </w:t>
      </w:r>
      <w:r w:rsidR="00306DB0" w:rsidRPr="0006336F">
        <w:t>retaining enhanced arrangements for</w:t>
      </w:r>
      <w:r w:rsidR="005F4D21" w:rsidRPr="0006336F">
        <w:t xml:space="preserve"> the Pension Work Bonus so </w:t>
      </w:r>
      <w:r w:rsidR="00CC7656">
        <w:t>a</w:t>
      </w:r>
      <w:r w:rsidR="005F4D21" w:rsidRPr="0006336F">
        <w:t xml:space="preserve">ge </w:t>
      </w:r>
      <w:r w:rsidR="00CC7656">
        <w:t>p</w:t>
      </w:r>
      <w:r w:rsidR="005F4D21" w:rsidRPr="0006336F">
        <w:t>ension</w:t>
      </w:r>
      <w:r w:rsidR="00FD1566" w:rsidRPr="0006336F">
        <w:t>ers</w:t>
      </w:r>
      <w:r w:rsidR="005F4D21" w:rsidRPr="0006336F">
        <w:t xml:space="preserve"> who wish to combine work and payment can keep more of what they earn. </w:t>
      </w:r>
    </w:p>
    <w:p w14:paraId="0733CB71" w14:textId="036DA835" w:rsidR="005F4D21" w:rsidRPr="0006336F" w:rsidRDefault="00680BD0" w:rsidP="008D768C">
      <w:pPr>
        <w:keepLines/>
      </w:pPr>
      <w:r w:rsidRPr="0006336F">
        <w:lastRenderedPageBreak/>
        <w:t>Across this agenda</w:t>
      </w:r>
      <w:r w:rsidR="005F4D21" w:rsidRPr="0006336F">
        <w:t xml:space="preserve">, the Government is continuing </w:t>
      </w:r>
      <w:r w:rsidR="00922743" w:rsidRPr="0006336F">
        <w:t xml:space="preserve">its </w:t>
      </w:r>
      <w:r w:rsidR="005F4D21" w:rsidRPr="0006336F">
        <w:t>commitment to place</w:t>
      </w:r>
      <w:r w:rsidR="00B16861">
        <w:noBreakHyphen/>
      </w:r>
      <w:r w:rsidR="005F4D21" w:rsidRPr="0006336F">
        <w:t>based approaches, which involve communities as active participants in the design of policies and programs.</w:t>
      </w:r>
      <w:r w:rsidR="005F4D21" w:rsidRPr="0006336F" w:rsidDel="008C15DD">
        <w:t xml:space="preserve"> </w:t>
      </w:r>
      <w:r w:rsidR="005F4D21" w:rsidRPr="0006336F">
        <w:t xml:space="preserve">We are expanding and </w:t>
      </w:r>
      <w:r w:rsidR="004C269D" w:rsidRPr="0006336F">
        <w:t>reforming</w:t>
      </w:r>
      <w:r w:rsidR="005F4D21" w:rsidRPr="0006336F">
        <w:t xml:space="preserve"> </w:t>
      </w:r>
      <w:r w:rsidR="005915E1" w:rsidRPr="0006336F">
        <w:t>the</w:t>
      </w:r>
      <w:r w:rsidR="005F4D21" w:rsidRPr="0006336F">
        <w:t xml:space="preserve"> </w:t>
      </w:r>
      <w:r w:rsidR="005F4D21" w:rsidRPr="0006336F" w:rsidDel="008C15DD">
        <w:t>Local Jobs Program</w:t>
      </w:r>
      <w:r w:rsidR="005F4D21" w:rsidRPr="0006336F">
        <w:t xml:space="preserve">, and will be developing approaches that are right for communities and coordinating resources to directly address the local drivers of disadvantage </w:t>
      </w:r>
      <w:r w:rsidR="00524A52" w:rsidRPr="0006336F">
        <w:t>to</w:t>
      </w:r>
      <w:r w:rsidR="005F4D21" w:rsidRPr="0006336F">
        <w:t xml:space="preserve"> help us achieve inclusive full employment.</w:t>
      </w:r>
    </w:p>
    <w:p w14:paraId="7DA56C25" w14:textId="7DE82D35" w:rsidR="006A242A" w:rsidRPr="0006336F" w:rsidRDefault="006A242A" w:rsidP="006A242A">
      <w:r w:rsidRPr="0006336F">
        <w:t>To build a stronger evidence</w:t>
      </w:r>
      <w:r w:rsidR="001F0789" w:rsidRPr="0006336F">
        <w:t xml:space="preserve"> </w:t>
      </w:r>
      <w:r w:rsidRPr="0006336F">
        <w:t xml:space="preserve">base for sustained and inclusive full employment, the Government is investing in </w:t>
      </w:r>
      <w:r w:rsidR="0097400E" w:rsidRPr="0006336F">
        <w:t>enhanced</w:t>
      </w:r>
      <w:r w:rsidRPr="0006336F">
        <w:t xml:space="preserve"> labour market data</w:t>
      </w:r>
      <w:r w:rsidR="008E7094" w:rsidRPr="0006336F">
        <w:t xml:space="preserve"> and analytical capabilit</w:t>
      </w:r>
      <w:r w:rsidR="00160E8C" w:rsidRPr="0006336F">
        <w:t>y</w:t>
      </w:r>
      <w:r w:rsidRPr="0006336F">
        <w:t xml:space="preserve">. This is particularly important </w:t>
      </w:r>
      <w:r w:rsidR="00BA1012" w:rsidRPr="0006336F">
        <w:t>for</w:t>
      </w:r>
      <w:r w:rsidRPr="0006336F">
        <w:t xml:space="preserve"> understanding and responding to the labour market experiences of cohorts that </w:t>
      </w:r>
      <w:r w:rsidR="00DB58D6" w:rsidRPr="0006336F">
        <w:t>are too often</w:t>
      </w:r>
      <w:r w:rsidR="007D3518" w:rsidRPr="0006336F">
        <w:t xml:space="preserve"> </w:t>
      </w:r>
      <w:r w:rsidRPr="0006336F">
        <w:t>under</w:t>
      </w:r>
      <w:r w:rsidR="00B16861">
        <w:noBreakHyphen/>
      </w:r>
      <w:r w:rsidRPr="0006336F">
        <w:t>represented, so we can better support more Australians into secure, fairly paid work.</w:t>
      </w:r>
    </w:p>
    <w:p w14:paraId="33F60FAA" w14:textId="778466BB" w:rsidR="005F4D21" w:rsidRPr="0006336F" w:rsidRDefault="009E7D6E" w:rsidP="005F4D21">
      <w:r w:rsidRPr="0006336F">
        <w:t>To</w:t>
      </w:r>
      <w:r w:rsidR="005F4D21" w:rsidRPr="0006336F">
        <w:t xml:space="preserve"> </w:t>
      </w:r>
      <w:r w:rsidR="00517FB9" w:rsidRPr="0006336F">
        <w:t>achieve the future reform</w:t>
      </w:r>
      <w:r w:rsidR="005F4D21" w:rsidRPr="0006336F">
        <w:t xml:space="preserve"> directions in this </w:t>
      </w:r>
      <w:r w:rsidR="003E1F6C" w:rsidRPr="0006336F">
        <w:t>R</w:t>
      </w:r>
      <w:r w:rsidR="005F4D21" w:rsidRPr="0006336F">
        <w:t xml:space="preserve">oadmap </w:t>
      </w:r>
      <w:r w:rsidR="00D437B9" w:rsidRPr="0006336F">
        <w:t>we need</w:t>
      </w:r>
      <w:r w:rsidR="005F4D21" w:rsidRPr="0006336F">
        <w:t xml:space="preserve"> strong partnerships and collaboration with and between governments, employers, unions, civil society and the broader community. For example, recognising the significant opportunity we all have to improve economic opportunity for Aboriginal and </w:t>
      </w:r>
      <w:r w:rsidR="00FD3514">
        <w:t>Torres Strait</w:t>
      </w:r>
      <w:r w:rsidR="005F4D21" w:rsidRPr="0006336F">
        <w:t xml:space="preserve"> Islander people, the Government is working with the Coalition of Peaks to scope a </w:t>
      </w:r>
      <w:r w:rsidR="00FD3514">
        <w:t>First Nation</w:t>
      </w:r>
      <w:r w:rsidR="005F4D21" w:rsidRPr="0006336F">
        <w:t xml:space="preserve">s Economic </w:t>
      </w:r>
      <w:r w:rsidR="00DC18CE" w:rsidRPr="0006336F">
        <w:t>Partnership</w:t>
      </w:r>
      <w:r w:rsidR="005F4D21" w:rsidRPr="0006336F">
        <w:t>. We are also working with businesses to foster inclusive and dynamic workplaces and ensure our workforce is well</w:t>
      </w:r>
      <w:r w:rsidR="00B16861">
        <w:noBreakHyphen/>
      </w:r>
      <w:r w:rsidR="005F4D21" w:rsidRPr="0006336F">
        <w:t>trained and valued. While</w:t>
      </w:r>
      <w:r w:rsidR="00915CAF">
        <w:t> </w:t>
      </w:r>
      <w:r w:rsidR="005F4D21" w:rsidRPr="0006336F">
        <w:t>the Government is responsible for policy settings and reforms that maximise labour market opportunity, all participants in the labour market have a responsibility to work together to realise the benefits.</w:t>
      </w:r>
    </w:p>
    <w:p w14:paraId="633C729A" w14:textId="04A17A4F" w:rsidR="009A67D0" w:rsidRDefault="005F4D21" w:rsidP="00A73B6C">
      <w:r w:rsidRPr="0006336F">
        <w:t xml:space="preserve">By working together, we can build a stronger, fairer and more inclusive </w:t>
      </w:r>
      <w:r w:rsidR="00556BAF" w:rsidRPr="0006336F">
        <w:t xml:space="preserve">economy and </w:t>
      </w:r>
      <w:r w:rsidRPr="0006336F">
        <w:t>society for generations to come.</w:t>
      </w:r>
      <w:r w:rsidR="00823148" w:rsidRPr="0006336F">
        <w:t xml:space="preserve"> </w:t>
      </w:r>
    </w:p>
    <w:tbl>
      <w:tblPr>
        <w:tblStyle w:val="TableGrid"/>
        <w:tblW w:w="5000" w:type="pct"/>
        <w:shd w:val="clear" w:color="auto" w:fill="F2F2F2" w:themeFill="background1" w:themeFillShade="F2"/>
        <w:tblCellMar>
          <w:top w:w="227" w:type="dxa"/>
          <w:left w:w="227" w:type="dxa"/>
          <w:bottom w:w="227" w:type="dxa"/>
          <w:right w:w="227" w:type="dxa"/>
        </w:tblCellMar>
        <w:tblLook w:val="0620" w:firstRow="1" w:lastRow="0" w:firstColumn="0" w:lastColumn="0" w:noHBand="1" w:noVBand="1"/>
      </w:tblPr>
      <w:tblGrid>
        <w:gridCol w:w="9070"/>
      </w:tblGrid>
      <w:tr w:rsidR="009A67D0" w:rsidRPr="0006336F" w14:paraId="6368FA92" w14:textId="77777777" w:rsidTr="00A715A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1090C8A9" w14:textId="5BD80D7D" w:rsidR="009A67D0" w:rsidRPr="00217ADA" w:rsidRDefault="009A67D0" w:rsidP="001965A3">
            <w:pPr>
              <w:pStyle w:val="BoxHeadingBoxR1Roadmap"/>
              <w:numPr>
                <w:ilvl w:val="0"/>
                <w:numId w:val="39"/>
              </w:numPr>
            </w:pPr>
            <w:r w:rsidRPr="00217ADA">
              <w:lastRenderedPageBreak/>
              <w:t>Taking practical steps now to modernise Australia</w:t>
            </w:r>
            <w:r w:rsidR="00B16861" w:rsidRPr="00217ADA">
              <w:t>’</w:t>
            </w:r>
            <w:r w:rsidRPr="00217ADA">
              <w:t>s labour market: new</w:t>
            </w:r>
            <w:r w:rsidR="00B7367F" w:rsidRPr="00217ADA">
              <w:t> </w:t>
            </w:r>
            <w:r w:rsidRPr="00217ADA">
              <w:t xml:space="preserve">commitments </w:t>
            </w:r>
          </w:p>
          <w:p w14:paraId="3E654E32" w14:textId="5E4068F6" w:rsidR="006934D2" w:rsidRPr="0006336F" w:rsidRDefault="006934D2" w:rsidP="006934D2">
            <w:pPr>
              <w:pStyle w:val="BoxSubheading"/>
            </w:pPr>
            <w:r w:rsidRPr="0006336F">
              <w:t xml:space="preserve">Meeting our skills needs and building our future </w:t>
            </w:r>
            <w:r w:rsidR="00862BDF" w:rsidRPr="0006336F">
              <w:t>work</w:t>
            </w:r>
            <w:r w:rsidRPr="0006336F">
              <w:t>force</w:t>
            </w:r>
          </w:p>
          <w:p w14:paraId="368971B7" w14:textId="71FAD012" w:rsidR="00CF7275" w:rsidRPr="0006336F" w:rsidRDefault="00CF7275" w:rsidP="00CF7275">
            <w:pPr>
              <w:pStyle w:val="Boxbullet"/>
              <w:rPr>
                <w:lang w:eastAsia="en-US"/>
              </w:rPr>
            </w:pPr>
            <w:r w:rsidRPr="0006336F">
              <w:rPr>
                <w:rStyle w:val="Emphasis"/>
              </w:rPr>
              <w:t>Turbocharging TAFE Centres of Excellence</w:t>
            </w:r>
            <w:r w:rsidR="00FD3514">
              <w:rPr>
                <w:lang w:eastAsia="en-US"/>
              </w:rPr>
              <w:t xml:space="preserve"> – </w:t>
            </w:r>
            <w:r w:rsidRPr="0006336F">
              <w:rPr>
                <w:lang w:eastAsia="en-US"/>
              </w:rPr>
              <w:t>fast tracking up to six TAFE Centres of Excellence nationally to begin in 2024, working with states and territories to bring together industry and education and training providers</w:t>
            </w:r>
            <w:r w:rsidR="00FD3514">
              <w:rPr>
                <w:lang w:eastAsia="en-US"/>
              </w:rPr>
              <w:t xml:space="preserve"> – </w:t>
            </w:r>
            <w:r w:rsidRPr="0006336F">
              <w:rPr>
                <w:lang w:eastAsia="en-US"/>
              </w:rPr>
              <w:t>including universities</w:t>
            </w:r>
            <w:r w:rsidR="00FD3514">
              <w:rPr>
                <w:lang w:eastAsia="en-US"/>
              </w:rPr>
              <w:t xml:space="preserve"> – </w:t>
            </w:r>
            <w:r w:rsidRPr="0006336F">
              <w:rPr>
                <w:lang w:eastAsia="en-US"/>
              </w:rPr>
              <w:t xml:space="preserve">to design world leading skills and curriculum. </w:t>
            </w:r>
          </w:p>
          <w:p w14:paraId="51DC43D0" w14:textId="1942B8C3" w:rsidR="00CF7275" w:rsidRPr="0006336F" w:rsidRDefault="00CF7275" w:rsidP="00CF7275">
            <w:pPr>
              <w:pStyle w:val="Boxbullet"/>
              <w:rPr>
                <w:lang w:eastAsia="en-US"/>
              </w:rPr>
            </w:pPr>
            <w:r w:rsidRPr="0006336F">
              <w:rPr>
                <w:rStyle w:val="Emphasis"/>
              </w:rPr>
              <w:t>Advancing Higher and Degree Level Apprenticeships</w:t>
            </w:r>
            <w:r w:rsidR="00FD3514">
              <w:rPr>
                <w:lang w:eastAsia="en-US"/>
              </w:rPr>
              <w:t xml:space="preserve"> – </w:t>
            </w:r>
            <w:r w:rsidRPr="0006336F">
              <w:rPr>
                <w:lang w:eastAsia="en-US"/>
              </w:rPr>
              <w:t>developing more widely accessible degree‐level higher apprenticeships that can be delivered by VET providers to meet industry needs in priority areas such as clean energy, care and support and digit</w:t>
            </w:r>
            <w:r w:rsidR="00C347A6" w:rsidRPr="0006336F">
              <w:rPr>
                <w:lang w:eastAsia="en-US"/>
              </w:rPr>
              <w:t>al</w:t>
            </w:r>
            <w:r w:rsidRPr="0006336F">
              <w:rPr>
                <w:lang w:eastAsia="en-US"/>
              </w:rPr>
              <w:t>isation.</w:t>
            </w:r>
          </w:p>
          <w:p w14:paraId="0A22543D" w14:textId="139E71B1" w:rsidR="00CF7275" w:rsidRPr="0006336F" w:rsidRDefault="00CF7275" w:rsidP="00CF7275">
            <w:pPr>
              <w:pStyle w:val="Boxbullet"/>
            </w:pPr>
            <w:r w:rsidRPr="0006336F">
              <w:rPr>
                <w:rStyle w:val="Emphasis"/>
              </w:rPr>
              <w:t>National Skills Passport</w:t>
            </w:r>
            <w:r w:rsidR="00FD3514">
              <w:rPr>
                <w:rStyle w:val="Emphasis"/>
              </w:rPr>
              <w:t xml:space="preserve"> – </w:t>
            </w:r>
            <w:r w:rsidRPr="0006336F">
              <w:rPr>
                <w:rStyle w:val="Emphasis"/>
                <w:i w:val="0"/>
                <w:iCs w:val="0"/>
              </w:rPr>
              <w:t>d</w:t>
            </w:r>
            <w:r w:rsidRPr="0006336F">
              <w:t>efining the scope, outcomes and benefits of a National Skills Passport in consultation with industry</w:t>
            </w:r>
            <w:r w:rsidR="002F7705" w:rsidRPr="0006336F">
              <w:t>, unions, tertiary institutions and across governments to help people more easily demonstrate their skills to employers and reduce barriers to lifelong learning</w:t>
            </w:r>
            <w:r w:rsidR="0054443B" w:rsidRPr="0006336F">
              <w:t>.</w:t>
            </w:r>
          </w:p>
          <w:p w14:paraId="62065B2F" w14:textId="77777777" w:rsidR="009A67D0" w:rsidRPr="0006336F" w:rsidRDefault="009A67D0" w:rsidP="009A67D0">
            <w:pPr>
              <w:pStyle w:val="BoxSubheading"/>
            </w:pPr>
            <w:r w:rsidRPr="0006336F">
              <w:t xml:space="preserve">Incentivising and supporting participation </w:t>
            </w:r>
          </w:p>
          <w:p w14:paraId="474EE4CF" w14:textId="7DD60DE1" w:rsidR="006934D2" w:rsidRPr="0006336F" w:rsidRDefault="00845BAF" w:rsidP="006934D2">
            <w:pPr>
              <w:pStyle w:val="Boxbullet"/>
              <w:rPr>
                <w:lang w:eastAsia="en-US"/>
              </w:rPr>
            </w:pPr>
            <w:r w:rsidRPr="0006336F">
              <w:rPr>
                <w:rStyle w:val="Emphasis"/>
                <w:lang w:eastAsia="en-US"/>
              </w:rPr>
              <w:t>Addressing</w:t>
            </w:r>
            <w:r w:rsidR="006934D2" w:rsidRPr="0006336F">
              <w:rPr>
                <w:rStyle w:val="Emphasis"/>
              </w:rPr>
              <w:t xml:space="preserve"> </w:t>
            </w:r>
            <w:r w:rsidRPr="0006336F">
              <w:rPr>
                <w:rStyle w:val="Emphasis"/>
              </w:rPr>
              <w:t>Disi</w:t>
            </w:r>
            <w:r w:rsidR="006934D2" w:rsidRPr="0006336F">
              <w:rPr>
                <w:rStyle w:val="Emphasis"/>
              </w:rPr>
              <w:t>ncentives to Work in the Income Support System</w:t>
            </w:r>
            <w:r w:rsidR="00FD3514">
              <w:rPr>
                <w:lang w:eastAsia="en-US"/>
              </w:rPr>
              <w:t xml:space="preserve"> – </w:t>
            </w:r>
            <w:r w:rsidR="006934D2" w:rsidRPr="0006336F">
              <w:rPr>
                <w:lang w:eastAsia="en-US"/>
              </w:rPr>
              <w:t xml:space="preserve">extending the nil rate period to allow income support recipients to retain access to concession cards and other supplementary benefits for longer, to smooth the transition to work. </w:t>
            </w:r>
          </w:p>
          <w:p w14:paraId="38ACB390" w14:textId="72167E0E" w:rsidR="006934D2" w:rsidRPr="0006336F" w:rsidRDefault="006934D2" w:rsidP="006934D2">
            <w:pPr>
              <w:pStyle w:val="Boxbullet"/>
              <w:rPr>
                <w:lang w:eastAsia="en-US"/>
              </w:rPr>
            </w:pPr>
            <w:r w:rsidRPr="0006336F">
              <w:rPr>
                <w:rStyle w:val="Emphasis"/>
              </w:rPr>
              <w:t>Enhancing the Work Bonus</w:t>
            </w:r>
            <w:r w:rsidR="00FD3514">
              <w:rPr>
                <w:lang w:eastAsia="en-US"/>
              </w:rPr>
              <w:t xml:space="preserve"> – </w:t>
            </w:r>
            <w:r w:rsidRPr="0006336F">
              <w:rPr>
                <w:lang w:eastAsia="en-US"/>
              </w:rPr>
              <w:t xml:space="preserve">providing an ongoing upfront credit of $4,000 to </w:t>
            </w:r>
            <w:r w:rsidR="00ED759A" w:rsidRPr="0006336F">
              <w:rPr>
                <w:lang w:eastAsia="en-US"/>
              </w:rPr>
              <w:t xml:space="preserve">the </w:t>
            </w:r>
            <w:r w:rsidRPr="0006336F">
              <w:rPr>
                <w:lang w:eastAsia="en-US"/>
              </w:rPr>
              <w:t xml:space="preserve">Work Bonus income bank of new pensioners over Age Pension age and eligible veterans and permanently lifting the maximum Work Bonus balance from $7,800 to $11,800. </w:t>
            </w:r>
          </w:p>
          <w:p w14:paraId="1FFE66F6" w14:textId="5E188A48" w:rsidR="006934D2" w:rsidRPr="0006336F" w:rsidRDefault="006934D2" w:rsidP="00F342A4">
            <w:pPr>
              <w:pStyle w:val="Boxbullet"/>
              <w:rPr>
                <w:rStyle w:val="Emphasis"/>
                <w:i w:val="0"/>
                <w:sz w:val="22"/>
              </w:rPr>
            </w:pPr>
            <w:r w:rsidRPr="0006336F">
              <w:rPr>
                <w:rStyle w:val="Emphasis"/>
              </w:rPr>
              <w:t>Reforming the Local Jobs Program</w:t>
            </w:r>
            <w:r w:rsidR="00FD3514">
              <w:rPr>
                <w:rStyle w:val="Emphasis"/>
                <w:i w:val="0"/>
                <w:iCs w:val="0"/>
              </w:rPr>
              <w:t xml:space="preserve"> – </w:t>
            </w:r>
            <w:r w:rsidRPr="0006336F">
              <w:rPr>
                <w:rStyle w:val="Emphasis"/>
                <w:i w:val="0"/>
                <w:iCs w:val="0"/>
              </w:rPr>
              <w:t>embedding best</w:t>
            </w:r>
            <w:r w:rsidR="00B16861">
              <w:rPr>
                <w:rStyle w:val="Emphasis"/>
                <w:i w:val="0"/>
                <w:iCs w:val="0"/>
              </w:rPr>
              <w:noBreakHyphen/>
            </w:r>
            <w:r w:rsidRPr="0006336F">
              <w:rPr>
                <w:rStyle w:val="Emphasis"/>
                <w:i w:val="0"/>
                <w:iCs w:val="0"/>
              </w:rPr>
              <w:t>practice place</w:t>
            </w:r>
            <w:r w:rsidR="00B16861">
              <w:rPr>
                <w:rStyle w:val="Emphasis"/>
                <w:i w:val="0"/>
                <w:iCs w:val="0"/>
              </w:rPr>
              <w:noBreakHyphen/>
            </w:r>
            <w:r w:rsidRPr="0006336F">
              <w:rPr>
                <w:rStyle w:val="Emphasis"/>
                <w:i w:val="0"/>
                <w:iCs w:val="0"/>
              </w:rPr>
              <w:t>based policy design principles in the program, and expanding eligibility to more people seeking work</w:t>
            </w:r>
            <w:r w:rsidR="003E222D" w:rsidRPr="0006336F">
              <w:rPr>
                <w:rStyle w:val="Emphasis"/>
                <w:i w:val="0"/>
                <w:iCs w:val="0"/>
              </w:rPr>
              <w:t>.</w:t>
            </w:r>
            <w:r w:rsidRPr="0006336F">
              <w:rPr>
                <w:rStyle w:val="Emphasis"/>
                <w:i w:val="0"/>
                <w:iCs w:val="0"/>
              </w:rPr>
              <w:t xml:space="preserve"> </w:t>
            </w:r>
          </w:p>
          <w:p w14:paraId="1D2D981B" w14:textId="103D77D3" w:rsidR="005521BA" w:rsidRPr="0006336F" w:rsidRDefault="00FD3514" w:rsidP="005521BA">
            <w:pPr>
              <w:pStyle w:val="Boxbullet"/>
              <w:rPr>
                <w:rStyle w:val="Emphasis"/>
                <w:i w:val="0"/>
                <w:iCs w:val="0"/>
              </w:rPr>
            </w:pPr>
            <w:r>
              <w:rPr>
                <w:rStyle w:val="Emphasis"/>
              </w:rPr>
              <w:t>First Nation</w:t>
            </w:r>
            <w:r w:rsidR="005521BA" w:rsidRPr="0006336F">
              <w:rPr>
                <w:rStyle w:val="Emphasis"/>
              </w:rPr>
              <w:t>s Economic Partnership</w:t>
            </w:r>
            <w:r>
              <w:rPr>
                <w:rStyle w:val="Emphasis"/>
                <w:i w:val="0"/>
                <w:iCs w:val="0"/>
              </w:rPr>
              <w:t xml:space="preserve"> – </w:t>
            </w:r>
            <w:r w:rsidR="005521BA" w:rsidRPr="0006336F">
              <w:rPr>
                <w:rStyle w:val="Emphasis"/>
                <w:i w:val="0"/>
                <w:iCs w:val="0"/>
              </w:rPr>
              <w:t xml:space="preserve">collaborating with the Coalition of Peaks and </w:t>
            </w:r>
            <w:r>
              <w:rPr>
                <w:rStyle w:val="Emphasis"/>
                <w:i w:val="0"/>
                <w:iCs w:val="0"/>
              </w:rPr>
              <w:t>First Nation</w:t>
            </w:r>
            <w:r w:rsidR="005521BA" w:rsidRPr="0006336F">
              <w:rPr>
                <w:rStyle w:val="Emphasis"/>
                <w:i w:val="0"/>
                <w:iCs w:val="0"/>
              </w:rPr>
              <w:t>s stakeholders to scope an</w:t>
            </w:r>
            <w:r w:rsidR="005521BA" w:rsidRPr="0006336F">
              <w:rPr>
                <w:rStyle w:val="Emphasis"/>
              </w:rPr>
              <w:t xml:space="preserve"> </w:t>
            </w:r>
            <w:r w:rsidR="005521BA" w:rsidRPr="0006336F">
              <w:rPr>
                <w:rStyle w:val="Emphasis"/>
                <w:i w:val="0"/>
                <w:iCs w:val="0"/>
              </w:rPr>
              <w:t>economic partnership.</w:t>
            </w:r>
            <w:r w:rsidR="009A5A03" w:rsidRPr="0006336F">
              <w:rPr>
                <w:rStyle w:val="Emphasis"/>
                <w:i w:val="0"/>
                <w:iCs w:val="0"/>
              </w:rPr>
              <w:t xml:space="preserve"> </w:t>
            </w:r>
          </w:p>
          <w:p w14:paraId="66016371" w14:textId="0570732C" w:rsidR="006934D2" w:rsidRPr="0006336F" w:rsidRDefault="006934D2" w:rsidP="00F342A4">
            <w:pPr>
              <w:pStyle w:val="Boxbullet"/>
              <w:rPr>
                <w:rStyle w:val="Emphasis"/>
                <w:i w:val="0"/>
                <w:iCs w:val="0"/>
              </w:rPr>
            </w:pPr>
            <w:r w:rsidRPr="0006336F">
              <w:rPr>
                <w:rStyle w:val="Emphasis"/>
              </w:rPr>
              <w:t>Backing Social Enterprises</w:t>
            </w:r>
            <w:r w:rsidR="00FD3514">
              <w:rPr>
                <w:rStyle w:val="Emphasis"/>
                <w:i w:val="0"/>
                <w:iCs w:val="0"/>
              </w:rPr>
              <w:t xml:space="preserve"> – </w:t>
            </w:r>
            <w:r w:rsidRPr="0006336F">
              <w:rPr>
                <w:rStyle w:val="Emphasis"/>
                <w:i w:val="0"/>
                <w:iCs w:val="0"/>
              </w:rPr>
              <w:t xml:space="preserve">identifying ways to provide more </w:t>
            </w:r>
            <w:r w:rsidRPr="0006336F">
              <w:t>employment and training opportunities for Australians who face disadvantage.</w:t>
            </w:r>
          </w:p>
          <w:p w14:paraId="0B7791A6" w14:textId="69D14E01" w:rsidR="009A67D0" w:rsidRPr="0006336F" w:rsidRDefault="009A67D0" w:rsidP="009A67D0">
            <w:pPr>
              <w:pStyle w:val="BoxSubheading"/>
            </w:pPr>
            <w:r w:rsidRPr="0006336F">
              <w:t>Supporting evidence</w:t>
            </w:r>
            <w:r w:rsidR="00B16861">
              <w:noBreakHyphen/>
            </w:r>
            <w:r w:rsidRPr="0006336F">
              <w:t>based policy development and program delivery</w:t>
            </w:r>
          </w:p>
          <w:p w14:paraId="671673E5" w14:textId="63D8FD08" w:rsidR="009A67D0" w:rsidRPr="0006336F" w:rsidRDefault="009A67D0" w:rsidP="00C7066D">
            <w:pPr>
              <w:pStyle w:val="Boxbullet"/>
            </w:pPr>
            <w:r w:rsidRPr="0006336F">
              <w:rPr>
                <w:rStyle w:val="Emphasis"/>
              </w:rPr>
              <w:t>Addressing</w:t>
            </w:r>
            <w:r w:rsidRPr="0006336F">
              <w:rPr>
                <w:rStyle w:val="Emphasis"/>
                <w:szCs w:val="18"/>
              </w:rPr>
              <w:t xml:space="preserve"> </w:t>
            </w:r>
            <w:r w:rsidR="006934D2" w:rsidRPr="0006336F">
              <w:rPr>
                <w:rStyle w:val="Emphasis"/>
              </w:rPr>
              <w:t>Data Gaps</w:t>
            </w:r>
            <w:r w:rsidR="00FD3514">
              <w:rPr>
                <w:szCs w:val="18"/>
                <w:lang w:eastAsia="en-US"/>
              </w:rPr>
              <w:t xml:space="preserve"> – </w:t>
            </w:r>
            <w:r w:rsidRPr="0006336F">
              <w:rPr>
                <w:szCs w:val="18"/>
                <w:lang w:eastAsia="en-US"/>
              </w:rPr>
              <w:t>funding enhanced labour market data from the Australian Bureau of Statistics (ABS) and analytics capability in the Treasury as we take forward our policy agenda.</w:t>
            </w:r>
          </w:p>
        </w:tc>
      </w:tr>
    </w:tbl>
    <w:p w14:paraId="7BD90B8D" w14:textId="77777777" w:rsidR="00420675" w:rsidRPr="00420675" w:rsidRDefault="00420675" w:rsidP="00420675">
      <w:bookmarkStart w:id="4" w:name="_Toc48039787"/>
      <w:bookmarkStart w:id="5" w:name="_Toc128053040"/>
      <w:bookmarkStart w:id="6" w:name="_Toc146292915"/>
      <w:r w:rsidRPr="00420675">
        <w:br w:type="page"/>
      </w:r>
    </w:p>
    <w:p w14:paraId="46E5D629" w14:textId="76DF9EB9" w:rsidR="00C563D4" w:rsidRPr="0006336F" w:rsidRDefault="007E792A" w:rsidP="00B7367F">
      <w:pPr>
        <w:pStyle w:val="Heading2"/>
      </w:pPr>
      <w:r w:rsidRPr="0006336F">
        <w:lastRenderedPageBreak/>
        <w:t xml:space="preserve">1 </w:t>
      </w:r>
      <w:r w:rsidR="00B7367F">
        <w:tab/>
      </w:r>
      <w:r w:rsidRPr="0006336F">
        <w:t>Strengthening</w:t>
      </w:r>
      <w:r w:rsidR="00ED7679" w:rsidRPr="0006336F">
        <w:t xml:space="preserve"> economic foundations </w:t>
      </w:r>
      <w:bookmarkEnd w:id="4"/>
      <w:bookmarkEnd w:id="5"/>
      <w:bookmarkEnd w:id="6"/>
    </w:p>
    <w:p w14:paraId="16BF521F" w14:textId="2D5D2564" w:rsidR="00BC4E2A" w:rsidRPr="0006336F" w:rsidRDefault="00BC4E2A" w:rsidP="00BA1E01">
      <w:pPr>
        <w:pStyle w:val="TableMainHeadingRoadmap"/>
        <w:numPr>
          <w:ilvl w:val="3"/>
          <w:numId w:val="29"/>
        </w:numPr>
      </w:pPr>
      <w:r w:rsidRPr="0006336F">
        <w:t xml:space="preserve">Actions to strengthen </w:t>
      </w:r>
      <w:r w:rsidRPr="00C8381C">
        <w:t>our</w:t>
      </w:r>
      <w:r w:rsidRPr="0006336F">
        <w:t xml:space="preserve"> economic foundations</w:t>
      </w:r>
    </w:p>
    <w:tbl>
      <w:tblPr>
        <w:tblStyle w:val="TableGrid"/>
        <w:tblW w:w="5000" w:type="pct"/>
        <w:tblLook w:val="01E0" w:firstRow="1" w:lastRow="1" w:firstColumn="1" w:lastColumn="1" w:noHBand="0" w:noVBand="0"/>
      </w:tblPr>
      <w:tblGrid>
        <w:gridCol w:w="3023"/>
        <w:gridCol w:w="3023"/>
        <w:gridCol w:w="3024"/>
      </w:tblGrid>
      <w:tr w:rsidR="00030587" w:rsidRPr="0006336F" w14:paraId="25E7D1A5" w14:textId="77777777" w:rsidTr="00A715AC">
        <w:trPr>
          <w:cnfStyle w:val="100000000000" w:firstRow="1" w:lastRow="0" w:firstColumn="0" w:lastColumn="0" w:oddVBand="0" w:evenVBand="0" w:oddHBand="0" w:evenHBand="0" w:firstRowFirstColumn="0" w:firstRowLastColumn="0" w:lastRowFirstColumn="0" w:lastRowLastColumn="0"/>
          <w:tblHeader/>
        </w:trPr>
        <w:tc>
          <w:tcPr>
            <w:tcW w:w="1666" w:type="pct"/>
          </w:tcPr>
          <w:p w14:paraId="68653D82" w14:textId="77777777" w:rsidR="00030587" w:rsidRPr="0006336F" w:rsidRDefault="00030587">
            <w:pPr>
              <w:pStyle w:val="TableColumnHeadingLeft"/>
            </w:pPr>
            <w:r w:rsidRPr="0006336F">
              <w:t xml:space="preserve">Implemented </w:t>
            </w:r>
          </w:p>
        </w:tc>
        <w:tc>
          <w:tcPr>
            <w:tcW w:w="1666" w:type="pct"/>
          </w:tcPr>
          <w:p w14:paraId="0EF59931" w14:textId="77777777" w:rsidR="00030587" w:rsidRPr="0006336F" w:rsidRDefault="00030587">
            <w:pPr>
              <w:pStyle w:val="TableColumnHeadingLeft"/>
            </w:pPr>
            <w:r w:rsidRPr="0006336F">
              <w:t>Underway</w:t>
            </w:r>
          </w:p>
        </w:tc>
        <w:tc>
          <w:tcPr>
            <w:tcW w:w="1667" w:type="pct"/>
          </w:tcPr>
          <w:p w14:paraId="7F02B507" w14:textId="77777777" w:rsidR="00030587" w:rsidRPr="0006336F" w:rsidRDefault="00030587">
            <w:pPr>
              <w:pStyle w:val="TableColumnHeadingLeft"/>
            </w:pPr>
            <w:r w:rsidRPr="0006336F">
              <w:t>Future reform directions</w:t>
            </w:r>
          </w:p>
        </w:tc>
      </w:tr>
      <w:tr w:rsidR="00030587" w:rsidRPr="0006336F" w14:paraId="216C1A82" w14:textId="77777777" w:rsidTr="00A715AC">
        <w:tc>
          <w:tcPr>
            <w:tcW w:w="1666" w:type="pct"/>
          </w:tcPr>
          <w:p w14:paraId="49626369" w14:textId="77777777" w:rsidR="00030587" w:rsidRPr="00ED5726" w:rsidRDefault="00030587" w:rsidP="00ED5726">
            <w:pPr>
              <w:pStyle w:val="TableTextLeft"/>
              <w:rPr>
                <w:rStyle w:val="Strong"/>
              </w:rPr>
            </w:pPr>
            <w:r w:rsidRPr="00ED5726">
              <w:rPr>
                <w:rStyle w:val="Strong"/>
              </w:rPr>
              <w:t xml:space="preserve">Set clear, strategic objectives </w:t>
            </w:r>
          </w:p>
          <w:p w14:paraId="5E8C7D06" w14:textId="09802893" w:rsidR="00030587" w:rsidRPr="0006336F" w:rsidRDefault="00030587" w:rsidP="00F4496B">
            <w:pPr>
              <w:pStyle w:val="TableTextBullet"/>
            </w:pPr>
            <w:r w:rsidRPr="0006336F">
              <w:t xml:space="preserve">Introduced </w:t>
            </w:r>
            <w:r w:rsidR="001F4317" w:rsidRPr="0006336F">
              <w:t xml:space="preserve">a </w:t>
            </w:r>
            <w:r w:rsidRPr="0006336F">
              <w:t>new, bolder full employment objective</w:t>
            </w:r>
          </w:p>
          <w:p w14:paraId="4EA52CC4" w14:textId="77981708" w:rsidR="00030587" w:rsidRPr="0006336F" w:rsidRDefault="00030587" w:rsidP="00F4496B">
            <w:pPr>
              <w:pStyle w:val="TableTextBullet"/>
            </w:pPr>
            <w:r w:rsidRPr="0006336F">
              <w:t>Made full employment, real wages growth, and women</w:t>
            </w:r>
            <w:r w:rsidR="00B16861">
              <w:t>’</w:t>
            </w:r>
            <w:r w:rsidRPr="0006336F">
              <w:t>s economic equality core objectiv</w:t>
            </w:r>
            <w:r w:rsidRPr="0006336F">
              <w:rPr>
                <w:bCs/>
              </w:rPr>
              <w:t>es of our Economic and Fiscal Strategy</w:t>
            </w:r>
          </w:p>
          <w:p w14:paraId="31B33006" w14:textId="212AA029" w:rsidR="00030587" w:rsidRPr="0006336F" w:rsidRDefault="00030587" w:rsidP="00F4496B">
            <w:pPr>
              <w:pStyle w:val="TableTextBullet"/>
            </w:pPr>
            <w:r w:rsidRPr="0006336F">
              <w:t>Added job security and gender equ</w:t>
            </w:r>
            <w:r w:rsidR="009F37EF" w:rsidRPr="0006336F">
              <w:t>al</w:t>
            </w:r>
            <w:r w:rsidRPr="0006336F">
              <w:t>ity</w:t>
            </w:r>
            <w:r w:rsidRPr="0006336F">
              <w:rPr>
                <w:bCs/>
              </w:rPr>
              <w:t xml:space="preserve"> to the object</w:t>
            </w:r>
            <w:r w:rsidR="009C5D1F">
              <w:rPr>
                <w:bCs/>
              </w:rPr>
              <w:t>s</w:t>
            </w:r>
            <w:r w:rsidRPr="0006336F">
              <w:rPr>
                <w:bCs/>
              </w:rPr>
              <w:t xml:space="preserve"> of the Fair Work </w:t>
            </w:r>
            <w:r w:rsidR="00B30BCC" w:rsidRPr="0006336F">
              <w:rPr>
                <w:bCs/>
              </w:rPr>
              <w:t>Act</w:t>
            </w:r>
          </w:p>
          <w:p w14:paraId="42462155" w14:textId="6A9DE2EC" w:rsidR="00030587" w:rsidRPr="00ED5726" w:rsidRDefault="00366A5C" w:rsidP="00ED5726">
            <w:pPr>
              <w:pStyle w:val="TableTextLeft"/>
              <w:rPr>
                <w:rStyle w:val="Strong"/>
              </w:rPr>
            </w:pPr>
            <w:r w:rsidRPr="00ED5726">
              <w:rPr>
                <w:rStyle w:val="Strong"/>
              </w:rPr>
              <w:t xml:space="preserve">Established </w:t>
            </w:r>
            <w:r w:rsidR="009E6590" w:rsidRPr="00ED5726">
              <w:rPr>
                <w:rStyle w:val="Strong"/>
              </w:rPr>
              <w:t xml:space="preserve">a </w:t>
            </w:r>
            <w:r w:rsidR="00DC0909" w:rsidRPr="00ED5726">
              <w:rPr>
                <w:rStyle w:val="Strong"/>
              </w:rPr>
              <w:t>better evidence</w:t>
            </w:r>
            <w:r w:rsidR="009E6590" w:rsidRPr="00ED5726">
              <w:rPr>
                <w:rStyle w:val="Strong"/>
              </w:rPr>
              <w:t xml:space="preserve"> base for policy development</w:t>
            </w:r>
          </w:p>
          <w:p w14:paraId="17799AD7" w14:textId="461755FE" w:rsidR="00030587" w:rsidRPr="0006336F" w:rsidRDefault="00030587" w:rsidP="00F4496B">
            <w:pPr>
              <w:pStyle w:val="TableTextBullet"/>
            </w:pPr>
            <w:r w:rsidRPr="0006336F">
              <w:t>Introduced gender responsive budgeting</w:t>
            </w:r>
            <w:r w:rsidR="00EB228E" w:rsidRPr="0006336F">
              <w:t xml:space="preserve"> and a national wellbeing framework: Measuring What Matters</w:t>
            </w:r>
          </w:p>
          <w:p w14:paraId="2F35DF3B" w14:textId="3B4487D7" w:rsidR="00030587" w:rsidRPr="0006336F" w:rsidRDefault="00030587" w:rsidP="00F4496B">
            <w:pPr>
              <w:pStyle w:val="TableTextBullet"/>
            </w:pPr>
            <w:r w:rsidRPr="0006336F">
              <w:rPr>
                <w:bCs/>
              </w:rPr>
              <w:t>Established the Australian Centre for Evaluation</w:t>
            </w:r>
          </w:p>
          <w:p w14:paraId="60EEA174" w14:textId="6D2315ED" w:rsidR="00030587" w:rsidRPr="0006336F" w:rsidRDefault="00030587" w:rsidP="002C523B">
            <w:pPr>
              <w:pStyle w:val="TableTextBullet"/>
            </w:pPr>
            <w:r w:rsidRPr="0006336F">
              <w:t xml:space="preserve">Refreshed </w:t>
            </w:r>
            <w:r w:rsidR="00B71AAF" w:rsidRPr="0006336F">
              <w:t>the</w:t>
            </w:r>
            <w:r w:rsidRPr="0006336F">
              <w:t xml:space="preserve"> </w:t>
            </w:r>
            <w:r w:rsidRPr="0006336F">
              <w:rPr>
                <w:bCs/>
              </w:rPr>
              <w:t>Tax Expenditures and Insights Statement</w:t>
            </w:r>
          </w:p>
          <w:p w14:paraId="7189F76A" w14:textId="760D0FF1" w:rsidR="007D794A" w:rsidRPr="00ED5726" w:rsidRDefault="007D794A" w:rsidP="00F4496B">
            <w:pPr>
              <w:pStyle w:val="TableTextBullet"/>
              <w:rPr>
                <w:bCs/>
              </w:rPr>
            </w:pPr>
            <w:r w:rsidRPr="0006336F">
              <w:t>Released a new Intergenerational Report to guide our understanding of future workforce needs and opportunities</w:t>
            </w:r>
          </w:p>
          <w:p w14:paraId="76FDE824" w14:textId="3D482B54" w:rsidR="00384FF6" w:rsidRPr="00ED5726" w:rsidRDefault="00384FF6">
            <w:pPr>
              <w:pStyle w:val="TableTextBullet"/>
              <w:rPr>
                <w:bCs/>
              </w:rPr>
            </w:pPr>
            <w:r w:rsidRPr="0006336F">
              <w:t>Established a Women</w:t>
            </w:r>
            <w:r w:rsidR="00B16861">
              <w:t>’</w:t>
            </w:r>
            <w:r w:rsidRPr="0006336F">
              <w:t>s Economic Equality Taskforce to provide advice on priorities for women</w:t>
            </w:r>
            <w:r w:rsidR="00B16861">
              <w:t>’</w:t>
            </w:r>
            <w:r w:rsidRPr="0006336F">
              <w:t>s economic equality</w:t>
            </w:r>
          </w:p>
          <w:p w14:paraId="2A0CCFAA" w14:textId="74A4880A" w:rsidR="004E0517" w:rsidRPr="00ED5726" w:rsidRDefault="00B175C8" w:rsidP="00ED5726">
            <w:pPr>
              <w:pStyle w:val="TableTextLeft"/>
              <w:rPr>
                <w:rStyle w:val="Strong"/>
              </w:rPr>
            </w:pPr>
            <w:r w:rsidRPr="00ED5726">
              <w:rPr>
                <w:rStyle w:val="Strong"/>
              </w:rPr>
              <w:t>Support</w:t>
            </w:r>
            <w:r w:rsidR="007A6422" w:rsidRPr="00ED5726">
              <w:rPr>
                <w:rStyle w:val="Strong"/>
              </w:rPr>
              <w:t>ed</w:t>
            </w:r>
            <w:r w:rsidRPr="00ED5726">
              <w:rPr>
                <w:rStyle w:val="Strong"/>
              </w:rPr>
              <w:t xml:space="preserve"> </w:t>
            </w:r>
            <w:r w:rsidR="001E42EB" w:rsidRPr="00ED5726">
              <w:rPr>
                <w:rStyle w:val="Strong"/>
              </w:rPr>
              <w:t>the lowest paid</w:t>
            </w:r>
          </w:p>
          <w:p w14:paraId="293C4E19" w14:textId="33125D3C" w:rsidR="00AB6DE5" w:rsidRPr="0006336F" w:rsidRDefault="009F1FD0" w:rsidP="00AB6DE5">
            <w:pPr>
              <w:pStyle w:val="TableTextBullet"/>
            </w:pPr>
            <w:r w:rsidRPr="0006336F">
              <w:t xml:space="preserve">Advocated for </w:t>
            </w:r>
            <w:r w:rsidR="006E3D8D" w:rsidRPr="0006336F">
              <w:rPr>
                <w:bCs/>
              </w:rPr>
              <w:t>pa</w:t>
            </w:r>
            <w:r w:rsidR="00E37142" w:rsidRPr="0006336F">
              <w:rPr>
                <w:bCs/>
              </w:rPr>
              <w:t>y rises t</w:t>
            </w:r>
            <w:r w:rsidR="00A365B5" w:rsidRPr="0006336F">
              <w:rPr>
                <w:bCs/>
              </w:rPr>
              <w:t>hrough submission</w:t>
            </w:r>
            <w:r w:rsidR="00C92C9E" w:rsidRPr="0006336F">
              <w:rPr>
                <w:bCs/>
              </w:rPr>
              <w:t>s</w:t>
            </w:r>
            <w:r w:rsidR="00A365B5" w:rsidRPr="0006336F">
              <w:rPr>
                <w:bCs/>
              </w:rPr>
              <w:t xml:space="preserve"> to </w:t>
            </w:r>
            <w:r w:rsidR="000B22A6" w:rsidRPr="0006336F">
              <w:rPr>
                <w:bCs/>
              </w:rPr>
              <w:t xml:space="preserve">Fair Work Commission </w:t>
            </w:r>
            <w:r w:rsidR="00A365B5" w:rsidRPr="0006336F">
              <w:rPr>
                <w:bCs/>
              </w:rPr>
              <w:t>Annual Wage Review</w:t>
            </w:r>
            <w:r w:rsidR="00C92C9E" w:rsidRPr="0006336F">
              <w:rPr>
                <w:bCs/>
              </w:rPr>
              <w:t>s</w:t>
            </w:r>
          </w:p>
          <w:p w14:paraId="7943CA2F" w14:textId="0DA959F4" w:rsidR="007D794A" w:rsidRPr="0006336F" w:rsidRDefault="00EC3BE6" w:rsidP="00F4496B">
            <w:pPr>
              <w:pStyle w:val="TableTextBullet"/>
            </w:pPr>
            <w:r>
              <w:t xml:space="preserve">Fully funded </w:t>
            </w:r>
            <w:r w:rsidR="00D00140" w:rsidRPr="0006336F">
              <w:t>the</w:t>
            </w:r>
            <w:r w:rsidR="00A365B5" w:rsidRPr="0006336F">
              <w:t xml:space="preserve"> </w:t>
            </w:r>
            <w:r w:rsidR="007504A3" w:rsidRPr="0006336F">
              <w:t xml:space="preserve">largest ever increase to award minimum wages </w:t>
            </w:r>
            <w:r w:rsidR="006B39D3" w:rsidRPr="0006336F">
              <w:t>through</w:t>
            </w:r>
            <w:r w:rsidR="007504A3" w:rsidRPr="0006336F">
              <w:t xml:space="preserve"> aged care </w:t>
            </w:r>
            <w:r w:rsidR="006B39D3" w:rsidRPr="0006336F">
              <w:t>work value case</w:t>
            </w:r>
            <w:r w:rsidR="00A365B5" w:rsidRPr="0006336F">
              <w:t xml:space="preserve"> </w:t>
            </w:r>
          </w:p>
          <w:p w14:paraId="44B58F29" w14:textId="6F09C97F" w:rsidR="00030587" w:rsidRPr="0006336F" w:rsidRDefault="00C77C05" w:rsidP="00C7066D">
            <w:pPr>
              <w:pStyle w:val="TableTextBullet"/>
            </w:pPr>
            <w:r w:rsidRPr="0006336F">
              <w:t>Legislated to expand access to bargaining for small businesses and industries with low levels of bargaining</w:t>
            </w:r>
          </w:p>
        </w:tc>
        <w:tc>
          <w:tcPr>
            <w:tcW w:w="1666" w:type="pct"/>
          </w:tcPr>
          <w:p w14:paraId="32ADE5E9" w14:textId="65840D30" w:rsidR="005A0766" w:rsidRPr="00ED5726" w:rsidRDefault="00030587" w:rsidP="00ED5726">
            <w:pPr>
              <w:pStyle w:val="TableTextLeft"/>
              <w:rPr>
                <w:rStyle w:val="Strong"/>
              </w:rPr>
            </w:pPr>
            <w:r w:rsidRPr="00ED5726">
              <w:rPr>
                <w:rStyle w:val="Strong"/>
              </w:rPr>
              <w:t>Strengthening economic institutions</w:t>
            </w:r>
          </w:p>
          <w:p w14:paraId="6DF82C97" w14:textId="5717448E" w:rsidR="00030587" w:rsidRPr="0006336F" w:rsidRDefault="00030587" w:rsidP="00C7066D">
            <w:pPr>
              <w:pStyle w:val="TableTextBullet"/>
            </w:pPr>
            <w:r w:rsidRPr="0006336F">
              <w:rPr>
                <w:rStyle w:val="BulletChar"/>
              </w:rPr>
              <w:t>Implementing RBA Review recommendations</w:t>
            </w:r>
            <w:r w:rsidRPr="0006336F">
              <w:rPr>
                <w:bCs/>
              </w:rPr>
              <w:t xml:space="preserve"> </w:t>
            </w:r>
          </w:p>
          <w:p w14:paraId="64D399E9" w14:textId="5AB5B098" w:rsidR="00030587" w:rsidRPr="0006336F" w:rsidRDefault="00030587" w:rsidP="00F4496B">
            <w:pPr>
              <w:pStyle w:val="TableTextBullet"/>
            </w:pPr>
            <w:r w:rsidRPr="0006336F">
              <w:t xml:space="preserve">Renewing the Productivity Commission </w:t>
            </w:r>
          </w:p>
          <w:p w14:paraId="24C45FA1" w14:textId="34ECA1BC" w:rsidR="00030587" w:rsidRPr="0006336F" w:rsidRDefault="00030587" w:rsidP="00F4496B">
            <w:pPr>
              <w:pStyle w:val="TableTextBullet"/>
            </w:pPr>
            <w:r w:rsidRPr="0006336F">
              <w:rPr>
                <w:bCs/>
              </w:rPr>
              <w:t xml:space="preserve">Empowering the </w:t>
            </w:r>
            <w:r w:rsidR="00710955" w:rsidRPr="0006336F">
              <w:rPr>
                <w:bCs/>
              </w:rPr>
              <w:t>Fair Work Commissio</w:t>
            </w:r>
            <w:r w:rsidR="00710955">
              <w:rPr>
                <w:bCs/>
              </w:rPr>
              <w:t>n</w:t>
            </w:r>
            <w:r w:rsidR="000B22A6" w:rsidRPr="0006336F">
              <w:rPr>
                <w:bCs/>
              </w:rPr>
              <w:t xml:space="preserve"> </w:t>
            </w:r>
            <w:r w:rsidRPr="0006336F">
              <w:rPr>
                <w:bCs/>
              </w:rPr>
              <w:t>to set minimum standards for employee</w:t>
            </w:r>
            <w:r w:rsidR="00B16861">
              <w:rPr>
                <w:bCs/>
              </w:rPr>
              <w:noBreakHyphen/>
            </w:r>
            <w:r w:rsidRPr="0006336F">
              <w:rPr>
                <w:bCs/>
              </w:rPr>
              <w:t xml:space="preserve">like work </w:t>
            </w:r>
          </w:p>
          <w:p w14:paraId="1C95711E" w14:textId="62D99A87" w:rsidR="00030587" w:rsidRPr="0006336F" w:rsidRDefault="00030587" w:rsidP="00F4496B">
            <w:pPr>
              <w:pStyle w:val="TableTextBullet"/>
            </w:pPr>
            <w:r w:rsidRPr="0006336F">
              <w:t xml:space="preserve">Better coordinating strategic planning across economic </w:t>
            </w:r>
            <w:r w:rsidRPr="0006336F">
              <w:rPr>
                <w:bCs/>
              </w:rPr>
              <w:t xml:space="preserve">institutions, including Jobs and Skills Australia and the new </w:t>
            </w:r>
            <w:r w:rsidR="000F0ED2">
              <w:rPr>
                <w:bCs/>
              </w:rPr>
              <w:t>Net Zero</w:t>
            </w:r>
            <w:r w:rsidRPr="0006336F">
              <w:rPr>
                <w:bCs/>
              </w:rPr>
              <w:t xml:space="preserve"> Authority</w:t>
            </w:r>
          </w:p>
          <w:p w14:paraId="5C615B7D" w14:textId="2B5F9DB4" w:rsidR="00320B93" w:rsidRPr="0006336F" w:rsidRDefault="005D213B" w:rsidP="00F4496B">
            <w:pPr>
              <w:pStyle w:val="TableTextBullet"/>
            </w:pPr>
            <w:r w:rsidRPr="0006336F">
              <w:rPr>
                <w:bCs/>
              </w:rPr>
              <w:t>Promoting inclusion by working</w:t>
            </w:r>
            <w:r w:rsidR="0035699E" w:rsidRPr="0006336F">
              <w:rPr>
                <w:bCs/>
              </w:rPr>
              <w:t xml:space="preserve"> with </w:t>
            </w:r>
            <w:r w:rsidR="00320B93" w:rsidRPr="0006336F">
              <w:rPr>
                <w:bCs/>
              </w:rPr>
              <w:t xml:space="preserve">new </w:t>
            </w:r>
            <w:r w:rsidR="00BD6448" w:rsidRPr="0006336F">
              <w:rPr>
                <w:bCs/>
              </w:rPr>
              <w:t xml:space="preserve">advisory forums, including </w:t>
            </w:r>
            <w:r w:rsidR="00BE0303" w:rsidRPr="0006336F">
              <w:rPr>
                <w:bCs/>
              </w:rPr>
              <w:t xml:space="preserve">the </w:t>
            </w:r>
            <w:r w:rsidR="00BD6448" w:rsidRPr="0006336F">
              <w:rPr>
                <w:bCs/>
              </w:rPr>
              <w:t xml:space="preserve">Economic </w:t>
            </w:r>
            <w:r w:rsidR="000C4B5F" w:rsidRPr="0006336F">
              <w:rPr>
                <w:bCs/>
              </w:rPr>
              <w:t xml:space="preserve">Inclusion Advisory </w:t>
            </w:r>
            <w:r w:rsidR="00BB059C" w:rsidRPr="0006336F">
              <w:rPr>
                <w:bCs/>
              </w:rPr>
              <w:t>Committee</w:t>
            </w:r>
            <w:r w:rsidR="0035699E" w:rsidRPr="0006336F">
              <w:rPr>
                <w:bCs/>
              </w:rPr>
              <w:t xml:space="preserve"> </w:t>
            </w:r>
          </w:p>
          <w:p w14:paraId="2731C6CB" w14:textId="66AFDB27" w:rsidR="00F0797D" w:rsidRPr="0006336F" w:rsidRDefault="00F0797D" w:rsidP="00F0797D">
            <w:pPr>
              <w:pStyle w:val="TableTextBullet"/>
            </w:pPr>
            <w:r w:rsidRPr="0006336F">
              <w:rPr>
                <w:bCs/>
              </w:rPr>
              <w:t>Legislat</w:t>
            </w:r>
            <w:r w:rsidR="002E7C42" w:rsidRPr="0006336F">
              <w:rPr>
                <w:bCs/>
              </w:rPr>
              <w:t>ing</w:t>
            </w:r>
            <w:r w:rsidRPr="0006336F">
              <w:rPr>
                <w:bCs/>
              </w:rPr>
              <w:t xml:space="preserve"> reforms to close loopholes that undercut wages and conditions</w:t>
            </w:r>
            <w:r w:rsidR="00E717D2" w:rsidRPr="0006336F">
              <w:rPr>
                <w:bCs/>
              </w:rPr>
              <w:t>,</w:t>
            </w:r>
            <w:r w:rsidRPr="0006336F">
              <w:rPr>
                <w:bCs/>
              </w:rPr>
              <w:t xml:space="preserve"> </w:t>
            </w:r>
            <w:r w:rsidR="00E717D2" w:rsidRPr="0006336F">
              <w:rPr>
                <w:bCs/>
              </w:rPr>
              <w:t>and to criminalise intentional wage theft</w:t>
            </w:r>
          </w:p>
          <w:p w14:paraId="06DC4110" w14:textId="77777777" w:rsidR="00237DD0" w:rsidRPr="0006336F" w:rsidRDefault="00237DD0" w:rsidP="00237DD0">
            <w:pPr>
              <w:pStyle w:val="TableTextBullet"/>
            </w:pPr>
            <w:r w:rsidRPr="0006336F">
              <w:t xml:space="preserve">Funding the ABS to address priority gaps in labour market data </w:t>
            </w:r>
          </w:p>
          <w:p w14:paraId="2C214645" w14:textId="76262848" w:rsidR="00030587" w:rsidRPr="00ED5726" w:rsidRDefault="00030587" w:rsidP="00ED5726">
            <w:pPr>
              <w:pStyle w:val="TableTextLeft"/>
              <w:rPr>
                <w:rStyle w:val="Strong"/>
              </w:rPr>
            </w:pPr>
            <w:r w:rsidRPr="00ED5726">
              <w:rPr>
                <w:rStyle w:val="Strong"/>
              </w:rPr>
              <w:t xml:space="preserve">Improving </w:t>
            </w:r>
            <w:r w:rsidR="0075204B" w:rsidRPr="00ED5726">
              <w:rPr>
                <w:rStyle w:val="Strong"/>
              </w:rPr>
              <w:t>productivity</w:t>
            </w:r>
          </w:p>
          <w:p w14:paraId="6E8840B9" w14:textId="6DA77CDA" w:rsidR="009834A0" w:rsidRPr="0006336F" w:rsidRDefault="009834A0" w:rsidP="009834A0">
            <w:pPr>
              <w:pStyle w:val="TableTextBullet"/>
            </w:pPr>
            <w:r w:rsidRPr="0006336F">
              <w:t>Elevating productivity</w:t>
            </w:r>
            <w:r w:rsidR="000F5FCE">
              <w:t xml:space="preserve"> reform</w:t>
            </w:r>
            <w:r w:rsidR="00F25845">
              <w:t xml:space="preserve"> on</w:t>
            </w:r>
            <w:r w:rsidRPr="0006336F">
              <w:t xml:space="preserve">  National Cabinet</w:t>
            </w:r>
            <w:r w:rsidR="00F25845">
              <w:t>’s agenda</w:t>
            </w:r>
          </w:p>
          <w:p w14:paraId="33CDFC05" w14:textId="0A94084F" w:rsidR="00030587" w:rsidRPr="0006336F" w:rsidRDefault="009834A0" w:rsidP="001965A3">
            <w:pPr>
              <w:pStyle w:val="TableTextBullet"/>
              <w:rPr>
                <w:b/>
                <w:bCs/>
              </w:rPr>
            </w:pPr>
            <w:r w:rsidRPr="0006336F">
              <w:t>Working across portfolios to realise productivity g</w:t>
            </w:r>
            <w:r w:rsidRPr="00ED5726">
              <w:rPr>
                <w:bCs/>
              </w:rPr>
              <w:t xml:space="preserve">rowth opportunities, including through the </w:t>
            </w:r>
            <w:r w:rsidR="00A71AF5" w:rsidRPr="00ED5726">
              <w:rPr>
                <w:bCs/>
              </w:rPr>
              <w:t>Competition Review,</w:t>
            </w:r>
            <w:r w:rsidRPr="00ED5726">
              <w:rPr>
                <w:bCs/>
              </w:rPr>
              <w:t xml:space="preserve"> Migration Strategy</w:t>
            </w:r>
            <w:r w:rsidR="00D706BE" w:rsidRPr="00ED5726">
              <w:rPr>
                <w:bCs/>
              </w:rPr>
              <w:t xml:space="preserve">, </w:t>
            </w:r>
            <w:r w:rsidR="00D57C7E" w:rsidRPr="00ED5726">
              <w:rPr>
                <w:bCs/>
              </w:rPr>
              <w:t xml:space="preserve">National </w:t>
            </w:r>
            <w:r w:rsidR="00FA7C46" w:rsidRPr="0006336F">
              <w:t xml:space="preserve">Strategy for the </w:t>
            </w:r>
            <w:r w:rsidR="00BE325C" w:rsidRPr="0006336F">
              <w:t>Care and Support Economy</w:t>
            </w:r>
            <w:r w:rsidR="00D13160" w:rsidRPr="0006336F">
              <w:t xml:space="preserve"> </w:t>
            </w:r>
            <w:r w:rsidR="008915AE" w:rsidRPr="00ED5726">
              <w:rPr>
                <w:bCs/>
              </w:rPr>
              <w:t xml:space="preserve">and </w:t>
            </w:r>
            <w:r w:rsidR="00823299" w:rsidRPr="00ED5726">
              <w:rPr>
                <w:bCs/>
              </w:rPr>
              <w:t xml:space="preserve">a </w:t>
            </w:r>
            <w:r w:rsidR="000F0ED2">
              <w:rPr>
                <w:bCs/>
              </w:rPr>
              <w:t>Net Zero</w:t>
            </w:r>
            <w:r w:rsidR="00823299" w:rsidRPr="00ED5726">
              <w:rPr>
                <w:bCs/>
              </w:rPr>
              <w:t xml:space="preserve"> 2050 plan</w:t>
            </w:r>
          </w:p>
        </w:tc>
        <w:tc>
          <w:tcPr>
            <w:tcW w:w="1667" w:type="pct"/>
          </w:tcPr>
          <w:p w14:paraId="004A280F" w14:textId="2D183C26" w:rsidR="00030587" w:rsidRPr="00ED5726" w:rsidRDefault="003D194C" w:rsidP="00ED5726">
            <w:pPr>
              <w:pStyle w:val="TableTextLeft"/>
              <w:rPr>
                <w:rStyle w:val="Strong"/>
              </w:rPr>
            </w:pPr>
            <w:r w:rsidRPr="00ED5726">
              <w:rPr>
                <w:rStyle w:val="Strong"/>
              </w:rPr>
              <w:t xml:space="preserve">Elevate full employment in </w:t>
            </w:r>
            <w:r w:rsidR="004A6A32" w:rsidRPr="00ED5726">
              <w:rPr>
                <w:rStyle w:val="Strong"/>
              </w:rPr>
              <w:t>decision</w:t>
            </w:r>
            <w:r w:rsidR="00B16861">
              <w:rPr>
                <w:rStyle w:val="Strong"/>
              </w:rPr>
              <w:noBreakHyphen/>
            </w:r>
            <w:r w:rsidR="004A6A32" w:rsidRPr="00ED5726">
              <w:rPr>
                <w:rStyle w:val="Strong"/>
              </w:rPr>
              <w:t xml:space="preserve">making </w:t>
            </w:r>
          </w:p>
          <w:p w14:paraId="7B32C248" w14:textId="705E8440" w:rsidR="00663C7A" w:rsidRPr="0006336F" w:rsidRDefault="007C2F26" w:rsidP="00F4496B">
            <w:pPr>
              <w:pStyle w:val="TableTextBullet"/>
            </w:pPr>
            <w:r w:rsidRPr="0006336F">
              <w:t>Embed</w:t>
            </w:r>
            <w:r w:rsidR="00663C7A" w:rsidRPr="0006336F">
              <w:t xml:space="preserve"> </w:t>
            </w:r>
            <w:r w:rsidR="00915102" w:rsidRPr="0006336F">
              <w:t>sustained and inclusive full empl</w:t>
            </w:r>
            <w:r w:rsidR="005F4945" w:rsidRPr="0006336F">
              <w:t>o</w:t>
            </w:r>
            <w:r w:rsidR="00915102" w:rsidRPr="0006336F">
              <w:t>yment</w:t>
            </w:r>
            <w:r w:rsidR="00663C7A" w:rsidRPr="0006336F">
              <w:t xml:space="preserve"> as a strategic objective </w:t>
            </w:r>
          </w:p>
          <w:p w14:paraId="76FE6248" w14:textId="54F82F64" w:rsidR="00030587" w:rsidRPr="0006336F" w:rsidRDefault="00030587" w:rsidP="00F4496B">
            <w:pPr>
              <w:pStyle w:val="TableTextBullet"/>
            </w:pPr>
            <w:r w:rsidRPr="0006336F">
              <w:t xml:space="preserve">Better </w:t>
            </w:r>
            <w:r w:rsidR="00540142" w:rsidRPr="0006336F">
              <w:t>measur</w:t>
            </w:r>
            <w:r w:rsidR="00291C23" w:rsidRPr="0006336F">
              <w:t>e</w:t>
            </w:r>
            <w:r w:rsidR="00540142" w:rsidRPr="0006336F">
              <w:t xml:space="preserve"> and</w:t>
            </w:r>
            <w:r w:rsidRPr="0006336F">
              <w:t xml:space="preserve"> monitor </w:t>
            </w:r>
            <w:r w:rsidR="00C018C6" w:rsidRPr="0006336F">
              <w:t xml:space="preserve">progress to </w:t>
            </w:r>
            <w:r w:rsidRPr="0006336F">
              <w:t xml:space="preserve">full employment, especially underemployment and outcomes across cohorts </w:t>
            </w:r>
          </w:p>
          <w:p w14:paraId="7980E041" w14:textId="44CC76C4" w:rsidR="00382C85" w:rsidRPr="0006336F" w:rsidRDefault="00382C85" w:rsidP="00F4496B">
            <w:pPr>
              <w:pStyle w:val="TableTextBullet"/>
            </w:pPr>
            <w:r w:rsidRPr="0006336F">
              <w:t>Address structural sources of underutilisation</w:t>
            </w:r>
          </w:p>
          <w:p w14:paraId="514677D5" w14:textId="7F2B5095" w:rsidR="00030587" w:rsidRPr="00ED5726" w:rsidRDefault="00382C85" w:rsidP="00ED5726">
            <w:pPr>
              <w:pStyle w:val="TableTextLeft"/>
              <w:rPr>
                <w:rStyle w:val="Strong"/>
              </w:rPr>
            </w:pPr>
            <w:r w:rsidRPr="00ED5726">
              <w:rPr>
                <w:rStyle w:val="Strong"/>
              </w:rPr>
              <w:t xml:space="preserve">Progress </w:t>
            </w:r>
            <w:r w:rsidR="00E601F1" w:rsidRPr="00ED5726">
              <w:rPr>
                <w:rStyle w:val="Strong"/>
              </w:rPr>
              <w:t>a</w:t>
            </w:r>
            <w:r w:rsidR="0026468C" w:rsidRPr="00ED5726">
              <w:rPr>
                <w:rStyle w:val="Strong"/>
              </w:rPr>
              <w:t xml:space="preserve"> five pillar </w:t>
            </w:r>
            <w:r w:rsidR="00030587" w:rsidRPr="00ED5726">
              <w:rPr>
                <w:rStyle w:val="Strong"/>
              </w:rPr>
              <w:t>productivity agenda</w:t>
            </w:r>
          </w:p>
          <w:p w14:paraId="3AA5D00A" w14:textId="1197CB56" w:rsidR="00C02921" w:rsidRPr="0006336F" w:rsidRDefault="00235D68" w:rsidP="00C02921">
            <w:pPr>
              <w:pStyle w:val="TableTextBullet"/>
            </w:pPr>
            <w:r w:rsidRPr="0006336F">
              <w:t>Create</w:t>
            </w:r>
            <w:r w:rsidR="00BE7524" w:rsidRPr="0006336F">
              <w:t xml:space="preserve"> a more dynamic and resilient economy</w:t>
            </w:r>
          </w:p>
          <w:p w14:paraId="062ADEB0" w14:textId="07606EAC" w:rsidR="00C02921" w:rsidRPr="0006336F" w:rsidRDefault="00BE7524" w:rsidP="00C02921">
            <w:pPr>
              <w:pStyle w:val="TableTextBullet"/>
            </w:pPr>
            <w:r w:rsidRPr="0006336F">
              <w:t>Build a</w:t>
            </w:r>
            <w:r w:rsidR="00C02921" w:rsidRPr="0006336F">
              <w:t xml:space="preserve"> skilled and adaptable workforce</w:t>
            </w:r>
          </w:p>
          <w:p w14:paraId="35ADAB41" w14:textId="19827A74" w:rsidR="00C02921" w:rsidRPr="0006336F" w:rsidRDefault="00BE7524" w:rsidP="00C02921">
            <w:pPr>
              <w:pStyle w:val="TableTextBullet"/>
            </w:pPr>
            <w:r w:rsidRPr="0006336F">
              <w:t>Harness d</w:t>
            </w:r>
            <w:r w:rsidR="00C02921" w:rsidRPr="0006336F">
              <w:t xml:space="preserve">ata and digital technologies </w:t>
            </w:r>
          </w:p>
          <w:p w14:paraId="628FA19F" w14:textId="3DA06FEF" w:rsidR="00C02921" w:rsidRPr="0006336F" w:rsidRDefault="0011565A" w:rsidP="00C02921">
            <w:pPr>
              <w:pStyle w:val="TableTextBullet"/>
            </w:pPr>
            <w:r w:rsidRPr="0006336F">
              <w:t>Deliver quality care more efficiently</w:t>
            </w:r>
          </w:p>
          <w:p w14:paraId="6DD83F6C" w14:textId="18937832" w:rsidR="0026468C" w:rsidRPr="0006336F" w:rsidRDefault="00452E03" w:rsidP="00DD6E84">
            <w:pPr>
              <w:pStyle w:val="TableTextBullet"/>
            </w:pPr>
            <w:r w:rsidRPr="0006336F">
              <w:t>Invest in</w:t>
            </w:r>
            <w:r w:rsidR="00235D68" w:rsidRPr="0006336F">
              <w:t xml:space="preserve"> </w:t>
            </w:r>
            <w:r w:rsidR="00DA171E" w:rsidRPr="0006336F">
              <w:t>c</w:t>
            </w:r>
            <w:r w:rsidR="00063FBB" w:rsidRPr="0006336F">
              <w:t>heaper, cleaner energy and the net zero transformation</w:t>
            </w:r>
            <w:r w:rsidR="00C02921" w:rsidRPr="0006336F">
              <w:t xml:space="preserve"> </w:t>
            </w:r>
          </w:p>
          <w:p w14:paraId="74291AA5" w14:textId="3ED7A925" w:rsidR="00030587" w:rsidRPr="00ED5726" w:rsidRDefault="00A923CB" w:rsidP="00ED5726">
            <w:pPr>
              <w:pStyle w:val="TableTextLeft"/>
              <w:rPr>
                <w:rStyle w:val="Strong"/>
              </w:rPr>
            </w:pPr>
            <w:r w:rsidRPr="00ED5726">
              <w:rPr>
                <w:rStyle w:val="Strong"/>
              </w:rPr>
              <w:t>Embed</w:t>
            </w:r>
            <w:r w:rsidR="00E601F1" w:rsidRPr="00ED5726">
              <w:rPr>
                <w:rStyle w:val="Strong"/>
              </w:rPr>
              <w:t xml:space="preserve"> </w:t>
            </w:r>
            <w:r w:rsidR="00223379" w:rsidRPr="00ED5726">
              <w:rPr>
                <w:rStyle w:val="Strong"/>
              </w:rPr>
              <w:t>the fundamentals for</w:t>
            </w:r>
            <w:r w:rsidR="00030587" w:rsidRPr="00ED5726">
              <w:rPr>
                <w:rStyle w:val="Strong"/>
              </w:rPr>
              <w:t xml:space="preserve"> secure, well</w:t>
            </w:r>
            <w:r w:rsidR="00B16861">
              <w:rPr>
                <w:rStyle w:val="Strong"/>
              </w:rPr>
              <w:noBreakHyphen/>
            </w:r>
            <w:r w:rsidR="00030587" w:rsidRPr="00ED5726">
              <w:rPr>
                <w:rStyle w:val="Strong"/>
              </w:rPr>
              <w:t xml:space="preserve">paid jobs </w:t>
            </w:r>
          </w:p>
          <w:p w14:paraId="02B80654" w14:textId="4FF733AF" w:rsidR="00030587" w:rsidRPr="0006336F" w:rsidRDefault="00030587" w:rsidP="00F4496B">
            <w:pPr>
              <w:pStyle w:val="TableTextBullet"/>
            </w:pPr>
            <w:r w:rsidRPr="0006336F">
              <w:t>Promot</w:t>
            </w:r>
            <w:r w:rsidR="002411DC" w:rsidRPr="0006336F">
              <w:t>e</w:t>
            </w:r>
            <w:r w:rsidRPr="0006336F">
              <w:t xml:space="preserve"> labour market dynamism, including </w:t>
            </w:r>
            <w:r w:rsidRPr="0006336F">
              <w:rPr>
                <w:bCs/>
              </w:rPr>
              <w:t>investigating non</w:t>
            </w:r>
            <w:r w:rsidR="00B16861">
              <w:rPr>
                <w:bCs/>
              </w:rPr>
              <w:noBreakHyphen/>
            </w:r>
            <w:r w:rsidR="001A4262" w:rsidRPr="0006336F">
              <w:rPr>
                <w:bCs/>
              </w:rPr>
              <w:t xml:space="preserve">compete </w:t>
            </w:r>
            <w:r w:rsidRPr="0006336F">
              <w:rPr>
                <w:bCs/>
              </w:rPr>
              <w:t>agreements</w:t>
            </w:r>
          </w:p>
          <w:p w14:paraId="129A8269" w14:textId="6E2AAC1D" w:rsidR="004F3F74" w:rsidRPr="0006336F" w:rsidRDefault="000A4343" w:rsidP="00F4496B">
            <w:pPr>
              <w:pStyle w:val="TableTextBullet"/>
            </w:pPr>
            <w:r w:rsidRPr="0006336F">
              <w:t>Further a</w:t>
            </w:r>
            <w:r w:rsidR="00030587" w:rsidRPr="0006336F">
              <w:t>ddress</w:t>
            </w:r>
            <w:r w:rsidR="00030587" w:rsidRPr="0006336F">
              <w:rPr>
                <w:bCs/>
              </w:rPr>
              <w:t xml:space="preserve"> migrant worker exploitation through Migration Strategy </w:t>
            </w:r>
            <w:r w:rsidR="004005F7" w:rsidRPr="0006336F">
              <w:t>initiatives</w:t>
            </w:r>
          </w:p>
          <w:p w14:paraId="5DA1C0BE" w14:textId="172B49A6" w:rsidR="00030587" w:rsidRPr="0006336F" w:rsidRDefault="006C0AC9" w:rsidP="00F4496B">
            <w:pPr>
              <w:pStyle w:val="TableTextBullet"/>
            </w:pPr>
            <w:r w:rsidRPr="0006336F">
              <w:rPr>
                <w:bCs/>
              </w:rPr>
              <w:t>Improve gender equality and safety in the workplace</w:t>
            </w:r>
          </w:p>
        </w:tc>
      </w:tr>
    </w:tbl>
    <w:p w14:paraId="358B005D" w14:textId="77777777" w:rsidR="00A73B6C" w:rsidRDefault="00A73B6C" w:rsidP="00A73B6C">
      <w:pPr>
        <w:pStyle w:val="ChartTableFiguresectionline"/>
      </w:pPr>
    </w:p>
    <w:p w14:paraId="48033271" w14:textId="7B3B47E8" w:rsidR="00257859" w:rsidRPr="0006336F" w:rsidRDefault="00FD3514" w:rsidP="00257859">
      <w:r>
        <w:t>The Government</w:t>
      </w:r>
      <w:r w:rsidR="00295A86" w:rsidRPr="0006336F">
        <w:t xml:space="preserve"> has an ambitious vision</w:t>
      </w:r>
      <w:r>
        <w:t xml:space="preserve"> – </w:t>
      </w:r>
      <w:r w:rsidR="00295A86" w:rsidRPr="0006336F">
        <w:t>one centred on creating more opportunities for more Australians to have secure jobs with growing wages.</w:t>
      </w:r>
      <w:r w:rsidR="009A0B68" w:rsidRPr="0006336F">
        <w:t xml:space="preserve"> </w:t>
      </w:r>
      <w:r w:rsidR="00960A8A" w:rsidRPr="0006336F">
        <w:t>Sound economic management</w:t>
      </w:r>
      <w:r w:rsidR="00414F8D" w:rsidRPr="0006336F">
        <w:t xml:space="preserve"> </w:t>
      </w:r>
      <w:r w:rsidR="00960A8A" w:rsidRPr="0006336F">
        <w:t>and a well</w:t>
      </w:r>
      <w:r w:rsidR="00B16861">
        <w:noBreakHyphen/>
      </w:r>
      <w:r w:rsidR="00960A8A" w:rsidRPr="0006336F">
        <w:t>functioning labour market are essential</w:t>
      </w:r>
      <w:r w:rsidR="00407454" w:rsidRPr="0006336F">
        <w:t xml:space="preserve"> to realising </w:t>
      </w:r>
      <w:r w:rsidR="00BB3314" w:rsidRPr="0006336F">
        <w:t>this vision</w:t>
      </w:r>
      <w:r w:rsidR="004F3EB9" w:rsidRPr="0006336F">
        <w:t xml:space="preserve">, and </w:t>
      </w:r>
      <w:r w:rsidR="004841DA" w:rsidRPr="0006336F">
        <w:t xml:space="preserve">complement other policy areas explored in this </w:t>
      </w:r>
      <w:r w:rsidR="006F1461" w:rsidRPr="0006336F">
        <w:t xml:space="preserve">Roadmap </w:t>
      </w:r>
      <w:r w:rsidR="004841DA" w:rsidRPr="0006336F">
        <w:t xml:space="preserve">which </w:t>
      </w:r>
      <w:r w:rsidR="00B655CA" w:rsidRPr="0006336F">
        <w:t>creat</w:t>
      </w:r>
      <w:r w:rsidR="003F4A3E" w:rsidRPr="0006336F">
        <w:t>e</w:t>
      </w:r>
      <w:r w:rsidR="00B655CA" w:rsidRPr="0006336F">
        <w:t xml:space="preserve"> jobs,</w:t>
      </w:r>
      <w:r w:rsidR="00313DDF" w:rsidRPr="0006336F">
        <w:t xml:space="preserve"> boost productivity </w:t>
      </w:r>
      <w:r w:rsidR="00E92D34" w:rsidRPr="0006336F">
        <w:t>a</w:t>
      </w:r>
      <w:r w:rsidR="00313DDF" w:rsidRPr="0006336F">
        <w:t>nd wages,</w:t>
      </w:r>
      <w:r w:rsidR="00B655CA" w:rsidRPr="0006336F">
        <w:t xml:space="preserve"> build skills and broaden opportunities to work. </w:t>
      </w:r>
    </w:p>
    <w:p w14:paraId="1845C752" w14:textId="32E08573" w:rsidR="00257859" w:rsidRPr="0006336F" w:rsidRDefault="006A4BB9" w:rsidP="00257859">
      <w:r w:rsidRPr="0006336F">
        <w:lastRenderedPageBreak/>
        <w:t>For too long, t</w:t>
      </w:r>
      <w:r w:rsidR="006B46C1" w:rsidRPr="0006336F">
        <w:t xml:space="preserve">he debate around full employment has </w:t>
      </w:r>
      <w:r w:rsidR="00BC4D02" w:rsidRPr="0006336F">
        <w:t xml:space="preserve">been </w:t>
      </w:r>
      <w:r w:rsidR="006B46C1" w:rsidRPr="0006336F">
        <w:t xml:space="preserve">too narrowly focused on statistical </w:t>
      </w:r>
      <w:r w:rsidR="0073158C" w:rsidRPr="0006336F">
        <w:t>estimates</w:t>
      </w:r>
      <w:r w:rsidR="006B46C1" w:rsidRPr="0006336F">
        <w:t xml:space="preserve"> of cyclical unemployment. </w:t>
      </w:r>
      <w:r w:rsidR="004A648C" w:rsidRPr="0006336F">
        <w:t>The</w:t>
      </w:r>
      <w:r w:rsidR="00257859" w:rsidRPr="0006336F">
        <w:t xml:space="preserve"> national unemployment </w:t>
      </w:r>
      <w:r w:rsidR="00363BE8" w:rsidRPr="0006336F">
        <w:t>rate</w:t>
      </w:r>
      <w:r w:rsidR="00257859" w:rsidRPr="0006336F">
        <w:t xml:space="preserve"> is near record lows</w:t>
      </w:r>
      <w:r w:rsidR="004A648C" w:rsidRPr="0006336F">
        <w:t>,</w:t>
      </w:r>
      <w:r w:rsidR="00257859" w:rsidRPr="0006336F">
        <w:t xml:space="preserve"> </w:t>
      </w:r>
      <w:r w:rsidR="004A648C" w:rsidRPr="0006336F">
        <w:t>although is expected to rise modestly over the coming year. Even though</w:t>
      </w:r>
      <w:r w:rsidR="00257859" w:rsidRPr="0006336F">
        <w:t xml:space="preserve"> more people are participating in paid work than ever before, we know that there are still many Australians who want work, or to work more hours, and there are stark differences in employment outcomes across different groups of people in our society. The last decade produced the slowest productivity growth in 60</w:t>
      </w:r>
      <w:r w:rsidR="000F0ED2">
        <w:t> year</w:t>
      </w:r>
      <w:r w:rsidR="00257859" w:rsidRPr="0006336F">
        <w:t xml:space="preserve">s, which has contributed to slower real wage growth. </w:t>
      </w:r>
    </w:p>
    <w:p w14:paraId="43A29DEE" w14:textId="10EED524" w:rsidR="003E63E4" w:rsidRPr="0006336F" w:rsidRDefault="00FD3514" w:rsidP="003E63E4">
      <w:r>
        <w:t>The Government</w:t>
      </w:r>
      <w:r w:rsidR="003E63E4" w:rsidRPr="0006336F">
        <w:t xml:space="preserve"> ha</w:t>
      </w:r>
      <w:r w:rsidR="00F842AB" w:rsidRPr="0006336F">
        <w:t>s</w:t>
      </w:r>
      <w:r w:rsidR="003E63E4" w:rsidRPr="0006336F">
        <w:t xml:space="preserve"> bolder ambitions for </w:t>
      </w:r>
      <w:r w:rsidR="00D433B7" w:rsidRPr="0006336F">
        <w:t>our labour market. We</w:t>
      </w:r>
      <w:r w:rsidR="006D3485" w:rsidRPr="0006336F">
        <w:t xml:space="preserve"> have set a </w:t>
      </w:r>
      <w:r w:rsidR="00CB6815" w:rsidRPr="0006336F">
        <w:t>new, broader</w:t>
      </w:r>
      <w:r w:rsidR="006D3485" w:rsidRPr="0006336F">
        <w:t xml:space="preserve"> definition for our full employment objective of </w:t>
      </w:r>
      <w:r w:rsidR="003E63E4" w:rsidRPr="0006336F">
        <w:t xml:space="preserve">sustained and inclusive full employment </w:t>
      </w:r>
      <w:r w:rsidR="00D9741C" w:rsidRPr="0006336F">
        <w:t>and</w:t>
      </w:r>
      <w:r w:rsidR="00462E60" w:rsidRPr="0006336F">
        <w:t xml:space="preserve"> </w:t>
      </w:r>
      <w:r w:rsidR="00B37A01" w:rsidRPr="0006336F">
        <w:t>we</w:t>
      </w:r>
      <w:r w:rsidR="00462E60" w:rsidRPr="0006336F">
        <w:t xml:space="preserve"> are pursuing a broad</w:t>
      </w:r>
      <w:r w:rsidR="00B16861">
        <w:noBreakHyphen/>
      </w:r>
      <w:r w:rsidR="00462E60" w:rsidRPr="0006336F">
        <w:t>based agenda to boost productivity and drive strong and sustain</w:t>
      </w:r>
      <w:r w:rsidR="006F6906" w:rsidRPr="0006336F">
        <w:t>a</w:t>
      </w:r>
      <w:r w:rsidR="00462E60" w:rsidRPr="0006336F">
        <w:t>ble wage growth</w:t>
      </w:r>
      <w:r w:rsidR="003E63E4" w:rsidRPr="0006336F">
        <w:t xml:space="preserve">. </w:t>
      </w:r>
    </w:p>
    <w:p w14:paraId="7C5062CE" w14:textId="598C163E" w:rsidR="007B5134" w:rsidRPr="0006336F" w:rsidRDefault="002F649C" w:rsidP="000F1D67">
      <w:r w:rsidRPr="0006336F">
        <w:t xml:space="preserve">Sound and effective </w:t>
      </w:r>
      <w:r w:rsidR="00557EBB" w:rsidRPr="0006336F">
        <w:t>economic</w:t>
      </w:r>
      <w:r w:rsidR="001250F8" w:rsidRPr="0006336F">
        <w:t xml:space="preserve"> institutions and </w:t>
      </w:r>
      <w:r w:rsidRPr="0006336F">
        <w:t>policy</w:t>
      </w:r>
      <w:r w:rsidR="001250F8" w:rsidRPr="0006336F">
        <w:t xml:space="preserve"> frameworks </w:t>
      </w:r>
      <w:r w:rsidRPr="0006336F">
        <w:t xml:space="preserve">that promote </w:t>
      </w:r>
      <w:r w:rsidR="003D10D0" w:rsidRPr="0006336F">
        <w:t>robust and inclusive</w:t>
      </w:r>
      <w:r w:rsidRPr="0006336F">
        <w:t xml:space="preserve"> </w:t>
      </w:r>
      <w:r w:rsidR="002D2988" w:rsidRPr="0006336F">
        <w:t xml:space="preserve">growth </w:t>
      </w:r>
      <w:r w:rsidR="001250F8" w:rsidRPr="0006336F">
        <w:t xml:space="preserve">are </w:t>
      </w:r>
      <w:r w:rsidR="0060206C" w:rsidRPr="0006336F">
        <w:t>essential</w:t>
      </w:r>
      <w:r w:rsidR="000B7A7B" w:rsidRPr="0006336F">
        <w:t xml:space="preserve"> to </w:t>
      </w:r>
      <w:r w:rsidR="00723A6E" w:rsidRPr="0006336F">
        <w:t xml:space="preserve">achieving </w:t>
      </w:r>
      <w:r w:rsidR="003D2A46" w:rsidRPr="0006336F">
        <w:t>these outcomes</w:t>
      </w:r>
      <w:r w:rsidR="00276B88" w:rsidRPr="0006336F">
        <w:t>.</w:t>
      </w:r>
    </w:p>
    <w:p w14:paraId="0EEA3638" w14:textId="3682D716" w:rsidR="00295A86" w:rsidRPr="0006336F" w:rsidRDefault="000F1D67" w:rsidP="00295A86">
      <w:r w:rsidRPr="0006336F">
        <w:t xml:space="preserve">To strengthen </w:t>
      </w:r>
      <w:r w:rsidR="00C11B42" w:rsidRPr="0006336F">
        <w:t>our economic</w:t>
      </w:r>
      <w:r w:rsidRPr="0006336F">
        <w:t xml:space="preserve"> foundations,</w:t>
      </w:r>
      <w:r w:rsidR="001250F8" w:rsidRPr="0006336F">
        <w:t xml:space="preserve"> </w:t>
      </w:r>
      <w:r w:rsidR="00295A86" w:rsidRPr="0006336F">
        <w:t xml:space="preserve">the Government is: </w:t>
      </w:r>
    </w:p>
    <w:p w14:paraId="4A2EAD5A" w14:textId="4D6DB081" w:rsidR="00295A86" w:rsidRPr="0006336F" w:rsidRDefault="00AE7291" w:rsidP="00420675">
      <w:pPr>
        <w:pStyle w:val="Bullet"/>
      </w:pPr>
      <w:r>
        <w:t>p</w:t>
      </w:r>
      <w:r w:rsidR="00295A86" w:rsidRPr="00420675">
        <w:t>lacing</w:t>
      </w:r>
      <w:r w:rsidR="00295A86" w:rsidRPr="0006336F">
        <w:t xml:space="preserve"> full employment at the heart of our institutions and policy frameworks </w:t>
      </w:r>
    </w:p>
    <w:p w14:paraId="7BBD3992" w14:textId="041921B4" w:rsidR="00295A86" w:rsidRPr="0006336F" w:rsidRDefault="00AE7291" w:rsidP="00F4496B">
      <w:pPr>
        <w:pStyle w:val="Bullet"/>
      </w:pPr>
      <w:r>
        <w:t>p</w:t>
      </w:r>
      <w:r w:rsidR="00595A13" w:rsidRPr="0006336F">
        <w:t>rogressing</w:t>
      </w:r>
      <w:r w:rsidR="00774D7C" w:rsidRPr="0006336F">
        <w:t xml:space="preserve"> a five pillar productivity agenda </w:t>
      </w:r>
    </w:p>
    <w:p w14:paraId="71A12765" w14:textId="532EABE3" w:rsidR="00F965FB" w:rsidRPr="0006336F" w:rsidRDefault="00AE7291" w:rsidP="00F4496B">
      <w:pPr>
        <w:pStyle w:val="Bullet"/>
      </w:pPr>
      <w:r>
        <w:t>s</w:t>
      </w:r>
      <w:r w:rsidR="00B5061D" w:rsidRPr="0006336F">
        <w:t>tren</w:t>
      </w:r>
      <w:r w:rsidR="000A1DCA" w:rsidRPr="0006336F">
        <w:t>g</w:t>
      </w:r>
      <w:r w:rsidR="00B5061D" w:rsidRPr="0006336F">
        <w:t xml:space="preserve">thening </w:t>
      </w:r>
      <w:r w:rsidR="00774D7C" w:rsidRPr="0006336F">
        <w:t>the foundations for secure, well</w:t>
      </w:r>
      <w:r w:rsidR="00B16861">
        <w:noBreakHyphen/>
      </w:r>
      <w:r w:rsidR="00774D7C" w:rsidRPr="0006336F">
        <w:t>paid jobs</w:t>
      </w:r>
      <w:r w:rsidR="00FE6B5E" w:rsidRPr="0006336F">
        <w:t>.</w:t>
      </w:r>
      <w:r w:rsidR="00774D7C" w:rsidRPr="0006336F">
        <w:t xml:space="preserve"> </w:t>
      </w:r>
    </w:p>
    <w:p w14:paraId="5C1DCB29" w14:textId="408517D4" w:rsidR="002C2991" w:rsidRPr="0006336F" w:rsidRDefault="002C2991" w:rsidP="00295A86">
      <w:r w:rsidRPr="0006336F">
        <w:t xml:space="preserve">Our actions to date have set clear strategic objectives, invested in </w:t>
      </w:r>
      <w:r w:rsidR="005B3E10" w:rsidRPr="0006336F">
        <w:t xml:space="preserve">stronger economic </w:t>
      </w:r>
      <w:r w:rsidRPr="0006336F">
        <w:t xml:space="preserve">institutional and policy frameworks, improved the quality of analysis available to inform policy </w:t>
      </w:r>
      <w:r w:rsidR="005B3E10" w:rsidRPr="0006336F">
        <w:t>development</w:t>
      </w:r>
      <w:r w:rsidRPr="0006336F">
        <w:t>, and set</w:t>
      </w:r>
      <w:r w:rsidR="00B42AD4" w:rsidRPr="0006336F">
        <w:t xml:space="preserve"> </w:t>
      </w:r>
      <w:r w:rsidRPr="0006336F">
        <w:t>up mechanisms to ensure all voices are heard.</w:t>
      </w:r>
      <w:r w:rsidRPr="0006336F" w:rsidDel="007125C8">
        <w:t xml:space="preserve"> </w:t>
      </w:r>
      <w:r w:rsidR="00161C1D" w:rsidRPr="0006336F">
        <w:t>S</w:t>
      </w:r>
      <w:r w:rsidRPr="0006336F">
        <w:t xml:space="preserve">ignificant work </w:t>
      </w:r>
      <w:r w:rsidR="00161C1D" w:rsidRPr="0006336F">
        <w:t xml:space="preserve">is </w:t>
      </w:r>
      <w:r w:rsidRPr="0006336F">
        <w:t xml:space="preserve">underway to </w:t>
      </w:r>
      <w:r w:rsidR="00AD137C" w:rsidRPr="0006336F">
        <w:t xml:space="preserve">embed our </w:t>
      </w:r>
      <w:r w:rsidRPr="0006336F">
        <w:t xml:space="preserve">full employment </w:t>
      </w:r>
      <w:r w:rsidR="00AD137C" w:rsidRPr="0006336F">
        <w:t>objective</w:t>
      </w:r>
      <w:r w:rsidRPr="0006336F">
        <w:t xml:space="preserve"> across Government polic</w:t>
      </w:r>
      <w:r w:rsidR="00CA015C" w:rsidRPr="0006336F">
        <w:t>ies</w:t>
      </w:r>
      <w:r w:rsidRPr="0006336F">
        <w:t>, to lift productivity through a five pillar ag</w:t>
      </w:r>
      <w:r w:rsidR="005947CC" w:rsidRPr="0006336F">
        <w:t>enda</w:t>
      </w:r>
      <w:r w:rsidRPr="0006336F">
        <w:t xml:space="preserve">, and to </w:t>
      </w:r>
      <w:r w:rsidR="00140B31" w:rsidRPr="0006336F">
        <w:t xml:space="preserve">strengthen </w:t>
      </w:r>
      <w:r w:rsidRPr="0006336F">
        <w:t>the foundations for secure, well</w:t>
      </w:r>
      <w:r w:rsidR="00B16861">
        <w:noBreakHyphen/>
      </w:r>
      <w:r w:rsidRPr="0006336F">
        <w:t>paid jobs</w:t>
      </w:r>
      <w:r w:rsidR="00FD3514">
        <w:t xml:space="preserve"> – </w:t>
      </w:r>
      <w:r w:rsidRPr="0006336F">
        <w:t>including by promoting pay equity and addressing exploitation</w:t>
      </w:r>
      <w:r w:rsidR="00FD3514">
        <w:t xml:space="preserve"> – </w:t>
      </w:r>
      <w:r w:rsidR="00382781" w:rsidRPr="0006336F">
        <w:t>and to drive women</w:t>
      </w:r>
      <w:r w:rsidR="00B16861">
        <w:t>’</w:t>
      </w:r>
      <w:r w:rsidR="00382781" w:rsidRPr="0006336F">
        <w:t>s economic equality</w:t>
      </w:r>
      <w:r w:rsidRPr="0006336F">
        <w:t xml:space="preserve">. </w:t>
      </w:r>
    </w:p>
    <w:p w14:paraId="3D63CA54" w14:textId="58A97965" w:rsidR="00DF4950" w:rsidRPr="0006336F" w:rsidRDefault="00473A30" w:rsidP="00295A86">
      <w:r w:rsidRPr="0006336F">
        <w:t xml:space="preserve">Strong institutions, </w:t>
      </w:r>
      <w:r w:rsidR="00EB3854" w:rsidRPr="0006336F">
        <w:t>frameworks</w:t>
      </w:r>
      <w:r w:rsidRPr="0006336F">
        <w:t xml:space="preserve"> and </w:t>
      </w:r>
      <w:r w:rsidR="00082326" w:rsidRPr="0006336F">
        <w:t xml:space="preserve">a robust </w:t>
      </w:r>
      <w:r w:rsidRPr="0006336F">
        <w:t xml:space="preserve">evidence </w:t>
      </w:r>
      <w:r w:rsidR="00082326" w:rsidRPr="0006336F">
        <w:t>base</w:t>
      </w:r>
      <w:r w:rsidRPr="0006336F">
        <w:t xml:space="preserve"> </w:t>
      </w:r>
      <w:r w:rsidR="006301CA" w:rsidRPr="0006336F">
        <w:t>provide</w:t>
      </w:r>
      <w:r w:rsidR="00EB3854" w:rsidRPr="0006336F">
        <w:t xml:space="preserve"> </w:t>
      </w:r>
      <w:r w:rsidR="00BC4EAE" w:rsidRPr="0006336F">
        <w:t xml:space="preserve">the bedrock </w:t>
      </w:r>
      <w:r w:rsidR="00DA712A" w:rsidRPr="0006336F">
        <w:t>for effective policies and better</w:t>
      </w:r>
      <w:r w:rsidR="00BC4EAE" w:rsidRPr="0006336F">
        <w:t xml:space="preserve"> economic and labour market outcomes. </w:t>
      </w:r>
      <w:r w:rsidR="00EB3854" w:rsidRPr="0006336F">
        <w:t>Th</w:t>
      </w:r>
      <w:r w:rsidR="00D51979" w:rsidRPr="0006336F">
        <w:t>e</w:t>
      </w:r>
      <w:r w:rsidR="000850FD" w:rsidRPr="0006336F">
        <w:t>y are</w:t>
      </w:r>
      <w:r w:rsidR="00893338" w:rsidRPr="0006336F">
        <w:t xml:space="preserve"> being</w:t>
      </w:r>
      <w:r w:rsidR="000850FD" w:rsidRPr="0006336F">
        <w:t xml:space="preserve"> complemented by </w:t>
      </w:r>
      <w:r w:rsidR="007C3339" w:rsidRPr="0006336F">
        <w:t>a full suite of actions across the policy</w:t>
      </w:r>
      <w:r w:rsidR="00EB3854" w:rsidRPr="0006336F">
        <w:t xml:space="preserve"> areas detailed in this </w:t>
      </w:r>
      <w:r w:rsidR="00896420" w:rsidRPr="0006336F">
        <w:t>R</w:t>
      </w:r>
      <w:r w:rsidR="00D51979" w:rsidRPr="0006336F">
        <w:t>oadmap</w:t>
      </w:r>
      <w:r w:rsidR="007C3339" w:rsidRPr="0006336F">
        <w:t>. This includes building</w:t>
      </w:r>
      <w:r w:rsidR="00D51979" w:rsidRPr="0006336F">
        <w:t xml:space="preserve"> </w:t>
      </w:r>
      <w:r w:rsidR="000850FD" w:rsidRPr="0006336F">
        <w:t>people</w:t>
      </w:r>
      <w:r w:rsidR="00B16861">
        <w:t>’</w:t>
      </w:r>
      <w:r w:rsidR="000850FD" w:rsidRPr="0006336F">
        <w:t>s</w:t>
      </w:r>
      <w:r w:rsidR="00D51979" w:rsidRPr="0006336F">
        <w:t xml:space="preserve"> skills and capabilities</w:t>
      </w:r>
      <w:r w:rsidR="00126836">
        <w:t>,</w:t>
      </w:r>
      <w:r w:rsidR="00B57B79" w:rsidRPr="0006336F">
        <w:t xml:space="preserve"> </w:t>
      </w:r>
      <w:r w:rsidR="001B5150" w:rsidRPr="0006336F">
        <w:t>creating the conditions for businesses t</w:t>
      </w:r>
      <w:r w:rsidR="00845D7A" w:rsidRPr="0006336F">
        <w:t>o</w:t>
      </w:r>
      <w:r w:rsidR="001B5150" w:rsidRPr="0006336F">
        <w:t xml:space="preserve"> grow</w:t>
      </w:r>
      <w:r w:rsidR="00845D7A" w:rsidRPr="0006336F">
        <w:t xml:space="preserve"> and realise </w:t>
      </w:r>
      <w:r w:rsidR="001378BB" w:rsidRPr="0006336F">
        <w:t xml:space="preserve">the </w:t>
      </w:r>
      <w:r w:rsidR="007C3339" w:rsidRPr="0006336F">
        <w:t>benefits from</w:t>
      </w:r>
      <w:r w:rsidR="001378BB" w:rsidRPr="0006336F">
        <w:t xml:space="preserve"> emerging </w:t>
      </w:r>
      <w:r w:rsidR="000850FD" w:rsidRPr="0006336F">
        <w:t>industries and technologies</w:t>
      </w:r>
      <w:r w:rsidR="00126836">
        <w:t>,</w:t>
      </w:r>
      <w:r w:rsidR="000850FD" w:rsidRPr="0006336F">
        <w:t xml:space="preserve"> </w:t>
      </w:r>
      <w:r w:rsidR="00306370" w:rsidRPr="0006336F">
        <w:t xml:space="preserve">overcoming barriers to work </w:t>
      </w:r>
      <w:r w:rsidR="002808AD" w:rsidRPr="0006336F">
        <w:t xml:space="preserve">and working with communities and businesses to promote a more </w:t>
      </w:r>
      <w:r w:rsidR="000E6802" w:rsidRPr="0006336F">
        <w:t xml:space="preserve">inclusive </w:t>
      </w:r>
      <w:r w:rsidR="002808AD" w:rsidRPr="0006336F">
        <w:t>and dynamic labour market</w:t>
      </w:r>
      <w:r w:rsidR="00276B88" w:rsidRPr="0006336F">
        <w:t xml:space="preserve">. </w:t>
      </w:r>
      <w:r w:rsidR="00912F1A" w:rsidRPr="0006336F">
        <w:t>Together, these efforts will</w:t>
      </w:r>
      <w:r w:rsidR="003313A7" w:rsidRPr="0006336F">
        <w:t xml:space="preserve"> help drive sustained and inclusive full employment, reinvigorate productivity and ensure strong</w:t>
      </w:r>
      <w:r w:rsidR="00F3380D">
        <w:t xml:space="preserve">, </w:t>
      </w:r>
      <w:r w:rsidR="003313A7" w:rsidRPr="0006336F">
        <w:t>sustainable wage growth.</w:t>
      </w:r>
    </w:p>
    <w:p w14:paraId="7B288B97" w14:textId="40BE9CFC" w:rsidR="00544428" w:rsidRPr="0006336F" w:rsidRDefault="00F12D94" w:rsidP="004154F5">
      <w:pPr>
        <w:pStyle w:val="Heading4"/>
      </w:pPr>
      <w:r w:rsidRPr="0006336F">
        <w:t>Elevat</w:t>
      </w:r>
      <w:r w:rsidR="00544428" w:rsidRPr="0006336F">
        <w:t>ing</w:t>
      </w:r>
      <w:r w:rsidRPr="0006336F">
        <w:t xml:space="preserve"> full employment in decision</w:t>
      </w:r>
      <w:r w:rsidR="00B16861">
        <w:noBreakHyphen/>
      </w:r>
      <w:r w:rsidRPr="0006336F">
        <w:t xml:space="preserve">making </w:t>
      </w:r>
    </w:p>
    <w:p w14:paraId="2E091C35" w14:textId="19FB4E01" w:rsidR="00057D52" w:rsidRPr="0006336F" w:rsidRDefault="009D27FB" w:rsidP="00071B72">
      <w:r w:rsidRPr="0006336F">
        <w:t>We are setting clear objectives</w:t>
      </w:r>
      <w:r w:rsidR="0003466D" w:rsidRPr="0006336F">
        <w:t xml:space="preserve"> and</w:t>
      </w:r>
      <w:r w:rsidRPr="0006336F">
        <w:t xml:space="preserve"> building strong institutions and frameworks</w:t>
      </w:r>
      <w:r w:rsidR="00C9731B" w:rsidRPr="0006336F">
        <w:t>. Th</w:t>
      </w:r>
      <w:r w:rsidR="004F2208" w:rsidRPr="0006336F">
        <w:t>e</w:t>
      </w:r>
      <w:r w:rsidR="00C9731B" w:rsidRPr="0006336F">
        <w:t>s</w:t>
      </w:r>
      <w:r w:rsidR="004F2208" w:rsidRPr="0006336F">
        <w:t>e</w:t>
      </w:r>
      <w:r w:rsidR="00C9731B" w:rsidRPr="0006336F">
        <w:t xml:space="preserve"> </w:t>
      </w:r>
      <w:r w:rsidR="00E23C18" w:rsidRPr="0006336F">
        <w:t>actions</w:t>
      </w:r>
      <w:r w:rsidR="0003466D" w:rsidRPr="0006336F">
        <w:t xml:space="preserve"> support a strong economy</w:t>
      </w:r>
      <w:r w:rsidR="008848C9" w:rsidRPr="0006336F">
        <w:t xml:space="preserve">, </w:t>
      </w:r>
      <w:r w:rsidR="0003466D" w:rsidRPr="0006336F">
        <w:t>drive better labour market outcomes</w:t>
      </w:r>
      <w:r w:rsidR="008848C9" w:rsidRPr="0006336F">
        <w:t xml:space="preserve">, and ensure our </w:t>
      </w:r>
      <w:r w:rsidR="0003466D" w:rsidRPr="0006336F">
        <w:t>people</w:t>
      </w:r>
      <w:r w:rsidR="008848C9" w:rsidRPr="0006336F">
        <w:t>, businesses and communities are beneficiaries of the big structural changes underway</w:t>
      </w:r>
      <w:r w:rsidRPr="0006336F">
        <w:t xml:space="preserve">. </w:t>
      </w:r>
      <w:r w:rsidR="00312314" w:rsidRPr="0006336F">
        <w:t>This includes a</w:t>
      </w:r>
      <w:r w:rsidR="009704D2" w:rsidRPr="0006336F">
        <w:t xml:space="preserve"> new, broader definition for</w:t>
      </w:r>
      <w:r w:rsidR="001C1FF1" w:rsidRPr="0006336F">
        <w:t xml:space="preserve"> </w:t>
      </w:r>
      <w:r w:rsidR="00071B72" w:rsidRPr="0006336F">
        <w:t>the Government</w:t>
      </w:r>
      <w:r w:rsidR="00B16861">
        <w:t>’</w:t>
      </w:r>
      <w:r w:rsidR="00071B72" w:rsidRPr="0006336F">
        <w:t xml:space="preserve">s full employment objective </w:t>
      </w:r>
      <w:r w:rsidR="001E1ADF" w:rsidRPr="0006336F">
        <w:t xml:space="preserve">and </w:t>
      </w:r>
      <w:r w:rsidR="001C1FF1" w:rsidRPr="0006336F">
        <w:t>elevating this as a strategic objective across the core decision</w:t>
      </w:r>
      <w:r w:rsidR="00152290">
        <w:t>-</w:t>
      </w:r>
      <w:r w:rsidR="001C1FF1" w:rsidRPr="0006336F">
        <w:t xml:space="preserve">making frameworks that guide policymaking. </w:t>
      </w:r>
    </w:p>
    <w:p w14:paraId="64D82B4E" w14:textId="5928D9A5" w:rsidR="001C1FF1" w:rsidRPr="0006336F" w:rsidRDefault="00EC42D4" w:rsidP="00071B72">
      <w:r w:rsidRPr="0006336F">
        <w:t xml:space="preserve">We </w:t>
      </w:r>
      <w:r w:rsidR="00292320" w:rsidRPr="0006336F">
        <w:t>are improving our policy development process</w:t>
      </w:r>
      <w:r w:rsidR="00EC2F5D" w:rsidRPr="0006336F">
        <w:t xml:space="preserve">, </w:t>
      </w:r>
      <w:r w:rsidR="00A0609E" w:rsidRPr="0006336F">
        <w:t xml:space="preserve">and </w:t>
      </w:r>
      <w:r w:rsidR="00C350FA" w:rsidRPr="0006336F">
        <w:t xml:space="preserve">improving the data and analysis we have to </w:t>
      </w:r>
      <w:r w:rsidR="00D449EC" w:rsidRPr="0006336F">
        <w:t>measur</w:t>
      </w:r>
      <w:r w:rsidR="00C350FA" w:rsidRPr="0006336F">
        <w:t>e</w:t>
      </w:r>
      <w:r w:rsidR="00D449EC" w:rsidRPr="0006336F">
        <w:t xml:space="preserve"> progress and highlight shortfalls</w:t>
      </w:r>
      <w:r w:rsidR="00A0609E" w:rsidRPr="0006336F">
        <w:t xml:space="preserve"> in </w:t>
      </w:r>
      <w:r w:rsidR="002B2830" w:rsidRPr="0006336F">
        <w:t>pursuit of full employment</w:t>
      </w:r>
      <w:r w:rsidR="00D449EC" w:rsidRPr="0006336F">
        <w:t>. Together, these are the foundational enablers of other priority actions</w:t>
      </w:r>
      <w:r w:rsidR="00276B88" w:rsidRPr="0006336F">
        <w:t xml:space="preserve">. </w:t>
      </w:r>
    </w:p>
    <w:p w14:paraId="1F800199" w14:textId="0259510C" w:rsidR="00716A19" w:rsidRPr="0006336F" w:rsidRDefault="00716A19" w:rsidP="0007529A">
      <w:pPr>
        <w:pStyle w:val="Heading4"/>
      </w:pPr>
      <w:r w:rsidRPr="0006336F">
        <w:lastRenderedPageBreak/>
        <w:t>Sustained and inclus</w:t>
      </w:r>
      <w:r w:rsidR="0031152C" w:rsidRPr="0006336F">
        <w:t>iv</w:t>
      </w:r>
      <w:r w:rsidRPr="0006336F">
        <w:t xml:space="preserve">e full employment is </w:t>
      </w:r>
      <w:r w:rsidR="00CD3162" w:rsidRPr="0006336F">
        <w:t>a</w:t>
      </w:r>
      <w:r w:rsidR="009E71F8" w:rsidRPr="0006336F">
        <w:t>n overarching</w:t>
      </w:r>
      <w:r w:rsidR="00CD3162" w:rsidRPr="0006336F">
        <w:t xml:space="preserve"> policy</w:t>
      </w:r>
      <w:r w:rsidRPr="0006336F">
        <w:t xml:space="preserve"> objective</w:t>
      </w:r>
      <w:r w:rsidR="00CD3162" w:rsidRPr="0006336F">
        <w:t xml:space="preserve"> </w:t>
      </w:r>
    </w:p>
    <w:p w14:paraId="68DA5024" w14:textId="2BC89A37" w:rsidR="00071B72" w:rsidRPr="0006336F" w:rsidRDefault="00FD3514" w:rsidP="00071B72">
      <w:r>
        <w:t>The Government</w:t>
      </w:r>
      <w:r w:rsidR="00B16861">
        <w:t>’</w:t>
      </w:r>
      <w:r w:rsidR="001C1FF1" w:rsidRPr="0006336F">
        <w:t xml:space="preserve">s objective </w:t>
      </w:r>
      <w:r w:rsidR="00CC7F07" w:rsidRPr="0006336F">
        <w:t>is</w:t>
      </w:r>
      <w:r w:rsidR="00071B72" w:rsidRPr="0006336F">
        <w:t xml:space="preserve"> sustained and inclusive full employment</w:t>
      </w:r>
      <w:r>
        <w:t xml:space="preserve"> – </w:t>
      </w:r>
      <w:r w:rsidR="00071B72" w:rsidRPr="0006336F">
        <w:t>where everyone who wants a job can find one without searching for too long</w:t>
      </w:r>
      <w:r w:rsidR="00276B88" w:rsidRPr="0006336F">
        <w:t xml:space="preserve">. </w:t>
      </w:r>
      <w:r w:rsidR="00CC7F07" w:rsidRPr="0006336F">
        <w:t>This</w:t>
      </w:r>
      <w:r w:rsidR="008C4061" w:rsidRPr="0006336F">
        <w:t xml:space="preserve"> recognises that there is still significant untapped potential in our labour market</w:t>
      </w:r>
      <w:r w:rsidR="00276B88" w:rsidRPr="0006336F">
        <w:t>.</w:t>
      </w:r>
    </w:p>
    <w:p w14:paraId="1A4167F2" w14:textId="39B8BFE9" w:rsidR="00071B72" w:rsidRPr="0006336F" w:rsidRDefault="00071B72" w:rsidP="00071B72">
      <w:r w:rsidRPr="0006336F">
        <w:t>Full employment is a core objective in the Government</w:t>
      </w:r>
      <w:r w:rsidR="00B16861">
        <w:t>’</w:t>
      </w:r>
      <w:r w:rsidRPr="0006336F">
        <w:t xml:space="preserve">s Economic and Fiscal Strategy, </w:t>
      </w:r>
      <w:r w:rsidR="007B1F6D" w:rsidRPr="0006336F">
        <w:t>along with</w:t>
      </w:r>
      <w:r w:rsidR="0028125C" w:rsidRPr="0006336F">
        <w:t xml:space="preserve"> </w:t>
      </w:r>
      <w:r w:rsidR="00B454C8" w:rsidRPr="0006336F">
        <w:t xml:space="preserve">growing real wages, and </w:t>
      </w:r>
      <w:r w:rsidR="000D08FB" w:rsidRPr="0006336F">
        <w:t>ensuring women</w:t>
      </w:r>
      <w:r w:rsidR="00B16861">
        <w:t>’</w:t>
      </w:r>
      <w:r w:rsidR="000D08FB" w:rsidRPr="0006336F">
        <w:t>s economic participation and equality. W</w:t>
      </w:r>
      <w:r w:rsidRPr="0006336F">
        <w:t xml:space="preserve">e </w:t>
      </w:r>
      <w:r w:rsidR="000D08FB" w:rsidRPr="0006336F">
        <w:t xml:space="preserve">are implementing the recommendations of the </w:t>
      </w:r>
      <w:r w:rsidR="001C00E8">
        <w:t>R</w:t>
      </w:r>
      <w:r w:rsidR="00CD5361" w:rsidRPr="0006336F">
        <w:t>BA</w:t>
      </w:r>
      <w:r w:rsidR="007A5C7E">
        <w:t>’s</w:t>
      </w:r>
      <w:r w:rsidR="00CD5361" w:rsidRPr="0006336F">
        <w:t xml:space="preserve"> review</w:t>
      </w:r>
      <w:r w:rsidR="004356DD" w:rsidRPr="0006336F">
        <w:t xml:space="preserve">, including clarifying </w:t>
      </w:r>
      <w:r w:rsidR="00A570F1" w:rsidRPr="0006336F">
        <w:t>that</w:t>
      </w:r>
      <w:r w:rsidR="004356DD" w:rsidRPr="0006336F">
        <w:t xml:space="preserve"> </w:t>
      </w:r>
      <w:r w:rsidR="00154041" w:rsidRPr="0006336F">
        <w:t>the RBA</w:t>
      </w:r>
      <w:r w:rsidR="00B16861">
        <w:t>’</w:t>
      </w:r>
      <w:r w:rsidR="00154041" w:rsidRPr="0006336F">
        <w:t xml:space="preserve">s dual mandate </w:t>
      </w:r>
      <w:r w:rsidR="00026A65" w:rsidRPr="0006336F">
        <w:t>for monetary policy</w:t>
      </w:r>
      <w:r w:rsidR="00235FED" w:rsidRPr="0006336F">
        <w:t xml:space="preserve"> </w:t>
      </w:r>
      <w:r w:rsidR="00A570F1" w:rsidRPr="0006336F">
        <w:t xml:space="preserve">is </w:t>
      </w:r>
      <w:r w:rsidR="00154041" w:rsidRPr="0006336F">
        <w:t>price</w:t>
      </w:r>
      <w:r w:rsidR="000D08FB" w:rsidRPr="0006336F">
        <w:t xml:space="preserve"> </w:t>
      </w:r>
      <w:r w:rsidR="00CD5361" w:rsidRPr="0006336F">
        <w:t>stability and full employment</w:t>
      </w:r>
      <w:r w:rsidR="00154041" w:rsidRPr="0006336F">
        <w:t xml:space="preserve">. </w:t>
      </w:r>
      <w:r w:rsidR="000160C0" w:rsidRPr="0006336F">
        <w:t>This will ensure we have the most effective central bank</w:t>
      </w:r>
      <w:r w:rsidR="00461B34" w:rsidRPr="0006336F">
        <w:t>,</w:t>
      </w:r>
      <w:r w:rsidR="000160C0" w:rsidRPr="0006336F">
        <w:t xml:space="preserve"> monetary policy framework</w:t>
      </w:r>
      <w:r w:rsidR="00461B34" w:rsidRPr="0006336F">
        <w:t>,</w:t>
      </w:r>
      <w:r w:rsidR="000160C0" w:rsidRPr="0006336F">
        <w:t xml:space="preserve"> and processes now and into the future. </w:t>
      </w:r>
      <w:r w:rsidRPr="0006336F">
        <w:t xml:space="preserve">As is longstanding practice and consistent with the RBA </w:t>
      </w:r>
      <w:r w:rsidR="00860BD0" w:rsidRPr="0006336F">
        <w:t>R</w:t>
      </w:r>
      <w:r w:rsidRPr="0006336F">
        <w:t xml:space="preserve">eview, the Reserve Bank will remain operationally independent. </w:t>
      </w:r>
    </w:p>
    <w:p w14:paraId="7094570E" w14:textId="669D161C" w:rsidR="00B778A1" w:rsidRPr="0006336F" w:rsidRDefault="005E40BC" w:rsidP="00B778A1">
      <w:r w:rsidRPr="0006336F">
        <w:t>Through s</w:t>
      </w:r>
      <w:r w:rsidR="00414F8D" w:rsidRPr="0006336F">
        <w:t xml:space="preserve">ound </w:t>
      </w:r>
      <w:r w:rsidR="00910777" w:rsidRPr="0006336F">
        <w:t>macro</w:t>
      </w:r>
      <w:r w:rsidR="00414F8D" w:rsidRPr="0006336F">
        <w:t xml:space="preserve">economic management and </w:t>
      </w:r>
      <w:r w:rsidR="00910777" w:rsidRPr="0006336F">
        <w:t xml:space="preserve">policy </w:t>
      </w:r>
      <w:r w:rsidR="00414F8D" w:rsidRPr="0006336F">
        <w:t>settings that promote strong and sustainable economic growth</w:t>
      </w:r>
      <w:r w:rsidRPr="0006336F">
        <w:t>, we</w:t>
      </w:r>
      <w:r w:rsidR="000308A9" w:rsidRPr="0006336F">
        <w:t xml:space="preserve"> can help </w:t>
      </w:r>
      <w:r w:rsidR="00414F8D" w:rsidRPr="0006336F">
        <w:t xml:space="preserve">keep employment as close as possible to its </w:t>
      </w:r>
      <w:r w:rsidR="000308A9" w:rsidRPr="0006336F">
        <w:t xml:space="preserve">current </w:t>
      </w:r>
      <w:r w:rsidR="00414F8D" w:rsidRPr="0006336F">
        <w:t>maximum sustainable level</w:t>
      </w:r>
      <w:r w:rsidR="00AF4EEE" w:rsidRPr="0006336F">
        <w:t>.</w:t>
      </w:r>
      <w:r w:rsidR="00386EC2" w:rsidRPr="0006336F">
        <w:t xml:space="preserve"> </w:t>
      </w:r>
      <w:r w:rsidR="00B778A1" w:rsidRPr="0006336F">
        <w:t xml:space="preserve">While economic shocks can sometimes occur and </w:t>
      </w:r>
      <w:r w:rsidR="00B63B60" w:rsidRPr="0006336F">
        <w:t xml:space="preserve">cause cyclical deviations from </w:t>
      </w:r>
      <w:r w:rsidR="00E05F36" w:rsidRPr="0006336F">
        <w:t>this level</w:t>
      </w:r>
      <w:r w:rsidR="00B63B60" w:rsidRPr="0006336F">
        <w:t xml:space="preserve">, </w:t>
      </w:r>
      <w:r w:rsidR="000779A6" w:rsidRPr="0006336F">
        <w:t xml:space="preserve">effective macroeconomic policy </w:t>
      </w:r>
      <w:r w:rsidR="00B44A8D" w:rsidRPr="0006336F">
        <w:t>management</w:t>
      </w:r>
      <w:r w:rsidR="000779A6" w:rsidRPr="0006336F">
        <w:t xml:space="preserve"> can minimise the </w:t>
      </w:r>
      <w:r w:rsidR="00B778A1" w:rsidRPr="0006336F">
        <w:t xml:space="preserve">adverse impact these cycles have on </w:t>
      </w:r>
      <w:r w:rsidR="00627661" w:rsidRPr="0006336F">
        <w:t>employment</w:t>
      </w:r>
      <w:r w:rsidR="00B778A1" w:rsidRPr="0006336F">
        <w:t xml:space="preserve"> and provide the best environment to sustain full employment.</w:t>
      </w:r>
      <w:r w:rsidR="00B44A8D" w:rsidRPr="0006336F">
        <w:t xml:space="preserve"> We will ensure that fiscal policy</w:t>
      </w:r>
      <w:r w:rsidR="00B04F6A" w:rsidRPr="0006336F">
        <w:t xml:space="preserve"> </w:t>
      </w:r>
      <w:r w:rsidR="0057033D" w:rsidRPr="0006336F">
        <w:t xml:space="preserve">and </w:t>
      </w:r>
      <w:r w:rsidR="00B44A8D" w:rsidRPr="0006336F">
        <w:t xml:space="preserve">monetary policy </w:t>
      </w:r>
      <w:r w:rsidR="0057033D" w:rsidRPr="0006336F">
        <w:t xml:space="preserve">are working together </w:t>
      </w:r>
      <w:r w:rsidR="00B44A8D" w:rsidRPr="0006336F">
        <w:t xml:space="preserve">to </w:t>
      </w:r>
      <w:r w:rsidR="00B04F6A" w:rsidRPr="0006336F">
        <w:t xml:space="preserve">help </w:t>
      </w:r>
      <w:r w:rsidR="00B44A8D" w:rsidRPr="0006336F">
        <w:t xml:space="preserve">achieve this. </w:t>
      </w:r>
    </w:p>
    <w:p w14:paraId="24D519DA" w14:textId="72AB3EEF" w:rsidR="003511CB" w:rsidRPr="0006336F" w:rsidRDefault="00EC015C" w:rsidP="00F4496B">
      <w:pPr>
        <w:pStyle w:val="Heading4"/>
      </w:pPr>
      <w:r w:rsidRPr="0006336F">
        <w:t xml:space="preserve">Better measuring and monitoring employment </w:t>
      </w:r>
    </w:p>
    <w:p w14:paraId="440C31DB" w14:textId="41862A67" w:rsidR="00E65783" w:rsidRPr="0006336F" w:rsidRDefault="00817222" w:rsidP="00071B72">
      <w:r w:rsidRPr="0006336F">
        <w:t xml:space="preserve">Our approach to </w:t>
      </w:r>
      <w:r w:rsidR="00BC5AEE" w:rsidRPr="0006336F">
        <w:t>achieving</w:t>
      </w:r>
      <w:r w:rsidRPr="0006336F">
        <w:t xml:space="preserve"> sustained and inclusive full employment recog</w:t>
      </w:r>
      <w:r w:rsidR="00D7150C" w:rsidRPr="0006336F">
        <w:t>n</w:t>
      </w:r>
      <w:r w:rsidRPr="0006336F">
        <w:t xml:space="preserve">ises </w:t>
      </w:r>
      <w:r w:rsidR="00A31AEB" w:rsidRPr="0006336F">
        <w:t xml:space="preserve">that underemployment has become a more </w:t>
      </w:r>
      <w:r w:rsidR="00F33A1B" w:rsidRPr="0006336F">
        <w:t>significant</w:t>
      </w:r>
      <w:r w:rsidR="00A31AEB" w:rsidRPr="0006336F">
        <w:t xml:space="preserve"> source of spare capacity and that</w:t>
      </w:r>
      <w:r w:rsidR="00DE46DA" w:rsidRPr="0006336F">
        <w:t xml:space="preserve"> </w:t>
      </w:r>
      <w:r w:rsidR="002B1A78" w:rsidRPr="0006336F">
        <w:t>a broader focus on</w:t>
      </w:r>
      <w:r w:rsidR="00747AD7" w:rsidRPr="0006336F">
        <w:t>, and better measures of,</w:t>
      </w:r>
      <w:r w:rsidR="002B1A78" w:rsidRPr="0006336F">
        <w:t xml:space="preserve"> </w:t>
      </w:r>
      <w:r w:rsidR="00E65783" w:rsidRPr="0006336F">
        <w:t>underutilisation</w:t>
      </w:r>
      <w:r w:rsidR="002B1A78" w:rsidRPr="0006336F">
        <w:t xml:space="preserve"> and </w:t>
      </w:r>
      <w:r w:rsidR="00747AD7" w:rsidRPr="0006336F">
        <w:t xml:space="preserve">its causes </w:t>
      </w:r>
      <w:r w:rsidR="0010102D" w:rsidRPr="0006336F">
        <w:t>are needed</w:t>
      </w:r>
      <w:r w:rsidR="00276B88" w:rsidRPr="0006336F">
        <w:t xml:space="preserve">. </w:t>
      </w:r>
    </w:p>
    <w:p w14:paraId="58B7BBF6" w14:textId="58EC432B" w:rsidR="00297CF6" w:rsidRPr="0006336F" w:rsidRDefault="007E6589" w:rsidP="006A4645">
      <w:r w:rsidRPr="0006336F">
        <w:t>Limitations in the level</w:t>
      </w:r>
      <w:r w:rsidR="0040260C" w:rsidRPr="0006336F">
        <w:t xml:space="preserve"> of</w:t>
      </w:r>
      <w:r w:rsidR="0003287A" w:rsidRPr="0006336F">
        <w:t xml:space="preserve"> labour market</w:t>
      </w:r>
      <w:r w:rsidRPr="0006336F">
        <w:t xml:space="preserve"> information available ha</w:t>
      </w:r>
      <w:r w:rsidR="007910C0">
        <w:t>ve</w:t>
      </w:r>
      <w:r w:rsidRPr="0006336F">
        <w:t xml:space="preserve"> </w:t>
      </w:r>
      <w:r w:rsidR="007C05DE" w:rsidRPr="0006336F">
        <w:t>constrained policymakers</w:t>
      </w:r>
      <w:r w:rsidR="00B16861">
        <w:t>’</w:t>
      </w:r>
      <w:r w:rsidR="007C05DE" w:rsidRPr="0006336F">
        <w:t xml:space="preserve"> ability to account for underemployment and variation in employment ou</w:t>
      </w:r>
      <w:r w:rsidR="00BC5AEE" w:rsidRPr="0006336F">
        <w:t>t</w:t>
      </w:r>
      <w:r w:rsidR="007C05DE" w:rsidRPr="0006336F">
        <w:t>comes acr</w:t>
      </w:r>
      <w:r w:rsidR="009B69A0" w:rsidRPr="0006336F">
        <w:t>o</w:t>
      </w:r>
      <w:r w:rsidR="007C05DE" w:rsidRPr="0006336F">
        <w:t>ss cohorts. To address this, t</w:t>
      </w:r>
      <w:r w:rsidR="003334E4" w:rsidRPr="0006336F">
        <w:t xml:space="preserve">he Government </w:t>
      </w:r>
      <w:r w:rsidR="001343F4" w:rsidRPr="0006336F">
        <w:t>will invest in</w:t>
      </w:r>
      <w:r w:rsidR="003334E4" w:rsidRPr="0006336F">
        <w:t xml:space="preserve"> significantly </w:t>
      </w:r>
      <w:r w:rsidR="002A2E50" w:rsidRPr="0006336F">
        <w:t xml:space="preserve">improving </w:t>
      </w:r>
      <w:r w:rsidR="003334E4" w:rsidRPr="0006336F">
        <w:t xml:space="preserve">the data available to policymakers </w:t>
      </w:r>
      <w:r w:rsidR="00014515" w:rsidRPr="0006336F">
        <w:t>through expand</w:t>
      </w:r>
      <w:r w:rsidR="00014515" w:rsidRPr="0006336F" w:rsidDel="00DC5454">
        <w:t>ing</w:t>
      </w:r>
      <w:r w:rsidR="00014515" w:rsidRPr="0006336F">
        <w:t xml:space="preserve"> </w:t>
      </w:r>
      <w:r w:rsidR="00803CA6" w:rsidRPr="0006336F">
        <w:t xml:space="preserve">the </w:t>
      </w:r>
      <w:r w:rsidR="003121FD" w:rsidRPr="0006336F">
        <w:t>ABS</w:t>
      </w:r>
      <w:r w:rsidR="00B16861">
        <w:t>’</w:t>
      </w:r>
      <w:r w:rsidR="00CE0640" w:rsidRPr="0006336F">
        <w:t>s</w:t>
      </w:r>
      <w:r w:rsidR="003121FD" w:rsidRPr="0006336F">
        <w:t xml:space="preserve"> </w:t>
      </w:r>
      <w:r w:rsidR="00803CA6" w:rsidRPr="0006336F">
        <w:t>data</w:t>
      </w:r>
      <w:r w:rsidR="00803CA6" w:rsidRPr="0006336F" w:rsidDel="00D91749">
        <w:t xml:space="preserve"> </w:t>
      </w:r>
      <w:r w:rsidR="00FE3496" w:rsidRPr="0006336F">
        <w:t xml:space="preserve">on </w:t>
      </w:r>
      <w:r w:rsidR="00A6564A" w:rsidRPr="0006336F">
        <w:t>barriers to job mobility and career progression,</w:t>
      </w:r>
      <w:r w:rsidR="00470C89" w:rsidRPr="0006336F">
        <w:t xml:space="preserve"> job security and the quality of employment</w:t>
      </w:r>
      <w:r w:rsidR="001A2EFE" w:rsidRPr="0006336F">
        <w:t xml:space="preserve">. This </w:t>
      </w:r>
      <w:r w:rsidR="007915B7" w:rsidRPr="0006336F">
        <w:t xml:space="preserve">will improve </w:t>
      </w:r>
      <w:r w:rsidR="00780A76" w:rsidRPr="0006336F">
        <w:t>the data available on the amount and value of unpaid care</w:t>
      </w:r>
      <w:r w:rsidR="00357372" w:rsidRPr="0006336F">
        <w:t xml:space="preserve">, </w:t>
      </w:r>
      <w:r w:rsidR="00780A76" w:rsidRPr="0006336F">
        <w:t xml:space="preserve">and </w:t>
      </w:r>
      <w:r w:rsidR="002E424B" w:rsidRPr="0006336F">
        <w:t>include consulting</w:t>
      </w:r>
      <w:r w:rsidR="0043144D" w:rsidRPr="0006336F">
        <w:t xml:space="preserve"> </w:t>
      </w:r>
      <w:r w:rsidR="002E424B" w:rsidRPr="0006336F">
        <w:t xml:space="preserve">on more </w:t>
      </w:r>
      <w:r w:rsidR="00780A76" w:rsidRPr="0006336F">
        <w:t xml:space="preserve">frequent employment data </w:t>
      </w:r>
      <w:r w:rsidR="00780A76" w:rsidRPr="009F46EF">
        <w:t xml:space="preserve">for </w:t>
      </w:r>
      <w:r w:rsidR="00FD3514" w:rsidRPr="009F46EF">
        <w:t>First Nation</w:t>
      </w:r>
      <w:r w:rsidR="00780A76" w:rsidRPr="009F46EF">
        <w:t>s people.</w:t>
      </w:r>
      <w:r w:rsidR="006C741B" w:rsidRPr="0006336F">
        <w:t xml:space="preserve"> This builds on our earlier actions to improve ABS data </w:t>
      </w:r>
      <w:r w:rsidR="00661D90" w:rsidRPr="0006336F">
        <w:t>on</w:t>
      </w:r>
      <w:r w:rsidR="006C741B" w:rsidRPr="0006336F">
        <w:t xml:space="preserve"> </w:t>
      </w:r>
      <w:r w:rsidR="00661D90" w:rsidRPr="0006336F">
        <w:t xml:space="preserve">factors preventing people entering the workforce, including </w:t>
      </w:r>
      <w:r w:rsidR="001A2EFE" w:rsidRPr="0006336F">
        <w:t xml:space="preserve">barriers </w:t>
      </w:r>
      <w:r w:rsidR="00661D90" w:rsidRPr="0006336F">
        <w:t>facing</w:t>
      </w:r>
      <w:r w:rsidR="001A2EFE" w:rsidRPr="0006336F">
        <w:t xml:space="preserve"> </w:t>
      </w:r>
      <w:r w:rsidR="00803CA6" w:rsidRPr="0006336F">
        <w:t xml:space="preserve">women, unpaid carers, people with disability, older people, </w:t>
      </w:r>
      <w:r w:rsidR="00FD3514">
        <w:t>First Nation</w:t>
      </w:r>
      <w:r w:rsidR="00803CA6" w:rsidRPr="0006336F">
        <w:t>s people, culturally and linguistically diverse people and those living in remote areas</w:t>
      </w:r>
      <w:r w:rsidR="003C33FE">
        <w:t>,</w:t>
      </w:r>
      <w:r w:rsidR="00661D90" w:rsidRPr="0006336F">
        <w:t xml:space="preserve"> as an outcome of the Jobs and Skills Summit</w:t>
      </w:r>
      <w:r w:rsidR="001A2EFE" w:rsidRPr="0006336F">
        <w:t>.</w:t>
      </w:r>
    </w:p>
    <w:p w14:paraId="7CC0A844" w14:textId="70F95DA6" w:rsidR="00A37D56" w:rsidRPr="0006336F" w:rsidRDefault="00B17800" w:rsidP="00F4496B">
      <w:pPr>
        <w:pStyle w:val="Heading4"/>
      </w:pPr>
      <w:r w:rsidRPr="0006336F">
        <w:t>Addressing structural sources of underutilisation</w:t>
      </w:r>
    </w:p>
    <w:p w14:paraId="5AD64D1D" w14:textId="6FA41ACD" w:rsidR="00AA1D95" w:rsidRPr="0006336F" w:rsidRDefault="00FD3514" w:rsidP="00071B72">
      <w:r>
        <w:t>The Government</w:t>
      </w:r>
      <w:r w:rsidR="00CC40F4" w:rsidRPr="0006336F">
        <w:t xml:space="preserve"> is placing more emphasis on addressing the sources of structural underutilisation, to </w:t>
      </w:r>
      <w:r w:rsidR="005C5A71" w:rsidRPr="0006336F">
        <w:t xml:space="preserve">raise the level of employment we can sustain over time and broaden labour market opportunities. </w:t>
      </w:r>
      <w:r w:rsidR="002351C1" w:rsidRPr="0006336F">
        <w:t>We are addressing the structural sources of underutilisation, from helping people to acquire new skills and capabilities to breaking down barriers to work that prevent people from realising their potential. While strengthening Australia</w:t>
      </w:r>
      <w:r w:rsidR="00B16861">
        <w:t>’</w:t>
      </w:r>
      <w:r w:rsidR="002351C1" w:rsidRPr="0006336F">
        <w:t xml:space="preserve">s skills system is at the centre of this effort, a broad suite of policy levers will play important roles in supporting growth in jobs and addressing barriers to employment. </w:t>
      </w:r>
      <w:r w:rsidR="00AA1D95" w:rsidRPr="0006336F">
        <w:t xml:space="preserve">This will </w:t>
      </w:r>
      <w:r w:rsidR="00BC615F" w:rsidRPr="0006336F">
        <w:t>require</w:t>
      </w:r>
      <w:r w:rsidR="00450844" w:rsidRPr="0006336F">
        <w:t xml:space="preserve"> </w:t>
      </w:r>
      <w:r w:rsidR="00AA1D95" w:rsidRPr="0006336F">
        <w:t xml:space="preserve">action across all </w:t>
      </w:r>
      <w:r w:rsidR="00D62E2E" w:rsidRPr="0006336F">
        <w:t>10</w:t>
      </w:r>
      <w:r w:rsidR="00AA1D95" w:rsidRPr="0006336F">
        <w:t xml:space="preserve"> policy areas presented in this </w:t>
      </w:r>
      <w:r w:rsidR="00405FF2" w:rsidRPr="0006336F">
        <w:t>R</w:t>
      </w:r>
      <w:r w:rsidR="00AA1D95" w:rsidRPr="0006336F">
        <w:t>oadmap.</w:t>
      </w:r>
      <w:r w:rsidR="00040753" w:rsidRPr="0006336F">
        <w:t xml:space="preserve"> </w:t>
      </w:r>
    </w:p>
    <w:p w14:paraId="3C5D01EA" w14:textId="7AD9BB68" w:rsidR="00071B72" w:rsidRPr="0006336F" w:rsidRDefault="00A41928" w:rsidP="00BF3380">
      <w:r w:rsidRPr="0006336F">
        <w:t xml:space="preserve">We are </w:t>
      </w:r>
      <w:r w:rsidR="004154F5" w:rsidRPr="0006336F">
        <w:t>establishing</w:t>
      </w:r>
      <w:r w:rsidR="00E7625A" w:rsidRPr="0006336F">
        <w:t xml:space="preserve"> new institutions </w:t>
      </w:r>
      <w:r w:rsidR="00FC3DCA" w:rsidRPr="0006336F">
        <w:t>that</w:t>
      </w:r>
      <w:r w:rsidR="00E7625A" w:rsidRPr="0006336F">
        <w:t xml:space="preserve"> </w:t>
      </w:r>
      <w:r w:rsidR="00DE4DDD" w:rsidRPr="0006336F">
        <w:t xml:space="preserve">will provide new focus and coordination </w:t>
      </w:r>
      <w:r w:rsidR="00460109" w:rsidRPr="0006336F">
        <w:t>to</w:t>
      </w:r>
      <w:r w:rsidR="00DE4DDD" w:rsidRPr="0006336F">
        <w:t xml:space="preserve"> </w:t>
      </w:r>
      <w:r w:rsidR="00993CC4" w:rsidRPr="0006336F">
        <w:t xml:space="preserve">ensure </w:t>
      </w:r>
      <w:r w:rsidR="006E52E2" w:rsidRPr="0006336F">
        <w:t>we are building the workforce we need for the future, and that all Australian</w:t>
      </w:r>
      <w:r w:rsidR="00196765" w:rsidRPr="0006336F">
        <w:t>s</w:t>
      </w:r>
      <w:r w:rsidR="006E52E2" w:rsidRPr="0006336F">
        <w:t xml:space="preserve"> are well </w:t>
      </w:r>
      <w:r w:rsidR="00943614" w:rsidRPr="0006336F">
        <w:t>placed to benefit from our changing economy</w:t>
      </w:r>
      <w:r w:rsidR="00D76820" w:rsidRPr="0006336F" w:rsidDel="00993CC4">
        <w:t>.</w:t>
      </w:r>
      <w:r w:rsidR="00071B72" w:rsidRPr="0006336F">
        <w:t xml:space="preserve"> </w:t>
      </w:r>
      <w:r w:rsidR="00675275" w:rsidRPr="0006336F">
        <w:t>JSA</w:t>
      </w:r>
      <w:r w:rsidR="00071B72" w:rsidRPr="0006336F">
        <w:t xml:space="preserve"> </w:t>
      </w:r>
      <w:r w:rsidR="004154F5" w:rsidRPr="0006336F">
        <w:t>is improving</w:t>
      </w:r>
      <w:r w:rsidR="00071B72" w:rsidRPr="0006336F">
        <w:t xml:space="preserve"> our ability to anticipate </w:t>
      </w:r>
      <w:r w:rsidR="00D76820" w:rsidRPr="0006336F">
        <w:t xml:space="preserve">and influence </w:t>
      </w:r>
      <w:r w:rsidR="00071B72" w:rsidRPr="0006336F">
        <w:t>the skills needs associated with our changing economy</w:t>
      </w:r>
      <w:r w:rsidR="00D76820" w:rsidRPr="0006336F">
        <w:t>,</w:t>
      </w:r>
      <w:r w:rsidR="00071B72" w:rsidRPr="0006336F">
        <w:t xml:space="preserve"> and the </w:t>
      </w:r>
      <w:r w:rsidR="000F0ED2">
        <w:t>Net Zero</w:t>
      </w:r>
      <w:r w:rsidR="00071B72" w:rsidRPr="0006336F">
        <w:t xml:space="preserve"> </w:t>
      </w:r>
      <w:r w:rsidR="00CC66B7" w:rsidRPr="0006336F">
        <w:t>Authority will</w:t>
      </w:r>
      <w:r w:rsidR="00071B72" w:rsidRPr="0006336F">
        <w:t xml:space="preserve"> promote an orderly and positive transformation through decarbonisation. </w:t>
      </w:r>
      <w:r w:rsidR="00371839" w:rsidRPr="0006336F">
        <w:t>This will</w:t>
      </w:r>
      <w:r w:rsidR="00ED7B5A" w:rsidRPr="0006336F">
        <w:t xml:space="preserve"> better</w:t>
      </w:r>
      <w:r w:rsidR="00371839" w:rsidRPr="0006336F">
        <w:t xml:space="preserve"> ensure that the skills needed by our </w:t>
      </w:r>
      <w:r w:rsidR="00371839" w:rsidRPr="0006336F">
        <w:lastRenderedPageBreak/>
        <w:t>economy match the skills of workers</w:t>
      </w:r>
      <w:r w:rsidR="00ED7B5A" w:rsidRPr="0006336F">
        <w:t xml:space="preserve"> now and into the future, </w:t>
      </w:r>
      <w:r w:rsidR="00A22F03" w:rsidRPr="0006336F">
        <w:t xml:space="preserve">facilitating </w:t>
      </w:r>
      <w:r w:rsidR="00ED7B5A" w:rsidRPr="0006336F">
        <w:t>better matching, and</w:t>
      </w:r>
      <w:r w:rsidR="00CC549C" w:rsidRPr="0006336F">
        <w:t xml:space="preserve"> lowering structural underutilisation as our economy and workfo</w:t>
      </w:r>
      <w:r w:rsidR="00BC5AEE" w:rsidRPr="0006336F">
        <w:t>r</w:t>
      </w:r>
      <w:r w:rsidR="00CC549C" w:rsidRPr="0006336F">
        <w:t>ce needs continue to evolve.</w:t>
      </w:r>
    </w:p>
    <w:p w14:paraId="3076DA29" w14:textId="49E5455B" w:rsidR="00C45C25" w:rsidRPr="0006336F" w:rsidRDefault="00943614" w:rsidP="00C45C25">
      <w:r w:rsidRPr="0006336F">
        <w:t xml:space="preserve">Some of our actions, such as our commitment to the National Agreement on Closing the Gap for </w:t>
      </w:r>
      <w:r w:rsidR="00FD3514">
        <w:t>First Nation</w:t>
      </w:r>
      <w:r w:rsidRPr="0006336F">
        <w:t>s People (Closing the Gap Agreement), are cross</w:t>
      </w:r>
      <w:r w:rsidR="00B16861">
        <w:noBreakHyphen/>
      </w:r>
      <w:r w:rsidRPr="0006336F">
        <w:t>cutting</w:t>
      </w:r>
      <w:r w:rsidR="00FD3514">
        <w:t> </w:t>
      </w:r>
      <w:r w:rsidR="006C22F3">
        <w:t>–</w:t>
      </w:r>
      <w:r w:rsidR="00FD3514">
        <w:t xml:space="preserve"> </w:t>
      </w:r>
      <w:r w:rsidRPr="0006336F">
        <w:t xml:space="preserve">delivering on </w:t>
      </w:r>
      <w:r w:rsidR="007A7C42" w:rsidRPr="0006336F">
        <w:t>these commitments</w:t>
      </w:r>
      <w:r w:rsidRPr="0006336F">
        <w:t xml:space="preserve"> helps meet multiple objectives.</w:t>
      </w:r>
      <w:r w:rsidR="002E6B7C" w:rsidRPr="0006336F">
        <w:t xml:space="preserve"> </w:t>
      </w:r>
      <w:r w:rsidR="00D14C1B" w:rsidRPr="0006336F">
        <w:t xml:space="preserve">The Closing the Gap </w:t>
      </w:r>
      <w:r w:rsidR="001A3F1A" w:rsidRPr="0006336F">
        <w:t>Agreement</w:t>
      </w:r>
      <w:r w:rsidR="00D14C1B" w:rsidRPr="0006336F">
        <w:t xml:space="preserve">, agreed by the Commonwealth, the states and territories, the Australian Local Government Association, and the Coalition of Peaks is the overarching policy framework to overcome the inequality experienced by </w:t>
      </w:r>
      <w:r w:rsidR="00FD3514">
        <w:t>First Nation</w:t>
      </w:r>
      <w:r w:rsidR="00D14C1B" w:rsidRPr="0006336F">
        <w:t>s people and achieve life outcomes equal to all Australians, including in employment.</w:t>
      </w:r>
      <w:r w:rsidR="00BC5AEE" w:rsidRPr="0006336F">
        <w:t xml:space="preserve"> </w:t>
      </w:r>
      <w:r w:rsidR="006277D9" w:rsidRPr="0006336F">
        <w:t>The</w:t>
      </w:r>
      <w:r w:rsidR="003A1DE1" w:rsidRPr="0006336F">
        <w:t>re</w:t>
      </w:r>
      <w:r w:rsidR="006C22F3">
        <w:t> </w:t>
      </w:r>
      <w:r w:rsidR="003A1DE1" w:rsidRPr="0006336F">
        <w:t xml:space="preserve">are </w:t>
      </w:r>
      <w:r w:rsidR="00C45C25" w:rsidRPr="0006336F">
        <w:t>four Priority Reform areas</w:t>
      </w:r>
      <w:r w:rsidR="003158FE" w:rsidRPr="0006336F">
        <w:t xml:space="preserve">, </w:t>
      </w:r>
      <w:r w:rsidR="005B58FA" w:rsidRPr="0006336F">
        <w:t>17 socio</w:t>
      </w:r>
      <w:r w:rsidR="00B16861">
        <w:noBreakHyphen/>
      </w:r>
      <w:r w:rsidR="005B58FA" w:rsidRPr="0006336F">
        <w:t>economic outcome areas</w:t>
      </w:r>
      <w:r w:rsidR="003158FE" w:rsidRPr="0006336F">
        <w:t xml:space="preserve">, </w:t>
      </w:r>
      <w:r w:rsidR="005B58FA" w:rsidRPr="0006336F">
        <w:t xml:space="preserve">and 19 </w:t>
      </w:r>
      <w:r w:rsidR="009E72A2" w:rsidRPr="0006336F">
        <w:t>socio</w:t>
      </w:r>
      <w:r w:rsidR="00B16861">
        <w:noBreakHyphen/>
      </w:r>
      <w:r w:rsidR="009E72A2" w:rsidRPr="0006336F">
        <w:t xml:space="preserve">economic </w:t>
      </w:r>
      <w:r w:rsidR="005B58FA" w:rsidRPr="0006336F">
        <w:t>targets</w:t>
      </w:r>
      <w:r w:rsidR="008E16A2" w:rsidRPr="0006336F">
        <w:t xml:space="preserve"> aimed at addressing specific areas of disadvantage</w:t>
      </w:r>
      <w:r w:rsidR="00880031" w:rsidRPr="0006336F">
        <w:t xml:space="preserve"> including </w:t>
      </w:r>
      <w:r w:rsidR="00B510E2" w:rsidRPr="0006336F">
        <w:t>education and employment outcomes</w:t>
      </w:r>
      <w:r w:rsidR="008E16A2" w:rsidRPr="0006336F">
        <w:t>. As</w:t>
      </w:r>
      <w:r w:rsidR="006C22F3">
        <w:t> </w:t>
      </w:r>
      <w:r w:rsidR="008E16A2" w:rsidRPr="0006336F">
        <w:t xml:space="preserve">at </w:t>
      </w:r>
      <w:r w:rsidR="00E3381E" w:rsidRPr="0006336F">
        <w:t xml:space="preserve">June 2023, only </w:t>
      </w:r>
      <w:r w:rsidR="00403E4D" w:rsidRPr="0006336F">
        <w:t>four</w:t>
      </w:r>
      <w:r w:rsidR="00E3381E" w:rsidRPr="0006336F">
        <w:t xml:space="preserve"> of the </w:t>
      </w:r>
      <w:r w:rsidR="00D535CF" w:rsidRPr="0006336F">
        <w:t>19</w:t>
      </w:r>
      <w:r w:rsidR="0081261F" w:rsidRPr="0006336F">
        <w:t> </w:t>
      </w:r>
      <w:r w:rsidR="00E3381E" w:rsidRPr="0006336F">
        <w:t xml:space="preserve">targets are on track </w:t>
      </w:r>
      <w:r w:rsidR="00791D1E" w:rsidRPr="0006336F">
        <w:t xml:space="preserve">to be met by 2031. </w:t>
      </w:r>
      <w:r w:rsidR="00E17634" w:rsidRPr="0006336F">
        <w:t xml:space="preserve">Achieving sustained and inclusive full employment will contribute to meeting these targets. </w:t>
      </w:r>
      <w:r w:rsidR="00992031" w:rsidRPr="0006336F">
        <w:t xml:space="preserve">Closing the </w:t>
      </w:r>
      <w:r w:rsidR="00F33FD1" w:rsidRPr="0006336F">
        <w:t>G</w:t>
      </w:r>
      <w:r w:rsidR="00992031" w:rsidRPr="0006336F">
        <w:t xml:space="preserve">ap </w:t>
      </w:r>
      <w:r w:rsidR="002B1B15" w:rsidRPr="0006336F">
        <w:t>re</w:t>
      </w:r>
      <w:r w:rsidR="00510512" w:rsidRPr="0006336F">
        <w:t xml:space="preserve">presents a significant opportunity to improve </w:t>
      </w:r>
      <w:r w:rsidR="00FD3514">
        <w:t>First Nation</w:t>
      </w:r>
      <w:r w:rsidR="00510512" w:rsidRPr="0006336F">
        <w:t>s people</w:t>
      </w:r>
      <w:r w:rsidR="00B16861">
        <w:t>’</w:t>
      </w:r>
      <w:r w:rsidR="00510512" w:rsidRPr="0006336F">
        <w:t>s lives</w:t>
      </w:r>
      <w:r w:rsidR="00464655">
        <w:t>,</w:t>
      </w:r>
      <w:r w:rsidR="00510512" w:rsidRPr="0006336F">
        <w:t xml:space="preserve"> </w:t>
      </w:r>
      <w:r w:rsidR="00532C23" w:rsidRPr="0006336F">
        <w:t xml:space="preserve">including </w:t>
      </w:r>
      <w:r w:rsidR="00464655">
        <w:t xml:space="preserve">through </w:t>
      </w:r>
      <w:r w:rsidR="00532C23" w:rsidRPr="0006336F">
        <w:t xml:space="preserve">improved </w:t>
      </w:r>
      <w:r w:rsidR="00355D2C" w:rsidRPr="0006336F">
        <w:t>economic participation</w:t>
      </w:r>
      <w:r w:rsidR="00276B88" w:rsidRPr="0006336F">
        <w:t xml:space="preserve">. </w:t>
      </w:r>
    </w:p>
    <w:p w14:paraId="430BD8B0" w14:textId="3DFEA4CC" w:rsidR="007A09CE" w:rsidRPr="0006336F" w:rsidRDefault="009873E7" w:rsidP="00F4496B">
      <w:pPr>
        <w:pStyle w:val="Heading3"/>
        <w:rPr>
          <w:lang w:eastAsia="en-US"/>
        </w:rPr>
      </w:pPr>
      <w:r w:rsidRPr="0006336F">
        <w:rPr>
          <w:lang w:eastAsia="en-US"/>
        </w:rPr>
        <w:t>Progress</w:t>
      </w:r>
      <w:r w:rsidR="00AE0F2C" w:rsidRPr="0006336F">
        <w:rPr>
          <w:lang w:eastAsia="en-US"/>
        </w:rPr>
        <w:t>ing</w:t>
      </w:r>
      <w:r w:rsidRPr="0006336F">
        <w:rPr>
          <w:lang w:eastAsia="en-US"/>
        </w:rPr>
        <w:t xml:space="preserve"> a </w:t>
      </w:r>
      <w:r w:rsidR="0037534F" w:rsidRPr="0006336F">
        <w:rPr>
          <w:lang w:eastAsia="en-US"/>
        </w:rPr>
        <w:t>five pillar productivity agenda</w:t>
      </w:r>
    </w:p>
    <w:p w14:paraId="6B3B3C69" w14:textId="65A3E9D9" w:rsidR="003C555F" w:rsidRPr="0006336F" w:rsidRDefault="000D6315" w:rsidP="00B60CB2">
      <w:pPr>
        <w:rPr>
          <w:lang w:eastAsia="en-US"/>
        </w:rPr>
      </w:pPr>
      <w:r w:rsidRPr="0006336F">
        <w:rPr>
          <w:lang w:eastAsia="en-US"/>
        </w:rPr>
        <w:t>P</w:t>
      </w:r>
      <w:r w:rsidR="00FB1FC2" w:rsidRPr="0006336F">
        <w:rPr>
          <w:lang w:eastAsia="en-US"/>
        </w:rPr>
        <w:t xml:space="preserve">roductivity growth </w:t>
      </w:r>
      <w:r w:rsidRPr="0006336F">
        <w:rPr>
          <w:lang w:eastAsia="en-US"/>
        </w:rPr>
        <w:t xml:space="preserve">is central to </w:t>
      </w:r>
      <w:r w:rsidR="00815461" w:rsidRPr="0006336F">
        <w:rPr>
          <w:lang w:eastAsia="en-US"/>
        </w:rPr>
        <w:t>the Government</w:t>
      </w:r>
      <w:r w:rsidR="00B16861">
        <w:rPr>
          <w:lang w:eastAsia="en-US"/>
        </w:rPr>
        <w:t>’</w:t>
      </w:r>
      <w:r w:rsidR="00815461" w:rsidRPr="0006336F">
        <w:rPr>
          <w:lang w:eastAsia="en-US"/>
        </w:rPr>
        <w:t xml:space="preserve">s objective of </w:t>
      </w:r>
      <w:r w:rsidR="00A66029" w:rsidRPr="0006336F">
        <w:rPr>
          <w:lang w:eastAsia="en-US"/>
        </w:rPr>
        <w:t xml:space="preserve">delivering strong and sustainable wage growth, as well as </w:t>
      </w:r>
      <w:r w:rsidR="00FF0125" w:rsidRPr="0006336F">
        <w:rPr>
          <w:lang w:eastAsia="en-US"/>
        </w:rPr>
        <w:t>support</w:t>
      </w:r>
      <w:r w:rsidR="003C555F" w:rsidRPr="0006336F">
        <w:rPr>
          <w:lang w:eastAsia="en-US"/>
        </w:rPr>
        <w:t>ing</w:t>
      </w:r>
      <w:r w:rsidR="00FF0125" w:rsidRPr="0006336F">
        <w:rPr>
          <w:lang w:eastAsia="en-US"/>
        </w:rPr>
        <w:t xml:space="preserve"> job</w:t>
      </w:r>
      <w:r w:rsidR="00DB2F2F" w:rsidRPr="0006336F">
        <w:rPr>
          <w:lang w:eastAsia="en-US"/>
        </w:rPr>
        <w:t xml:space="preserve"> creation</w:t>
      </w:r>
      <w:r w:rsidR="00FF0125" w:rsidRPr="0006336F">
        <w:rPr>
          <w:lang w:eastAsia="en-US"/>
        </w:rPr>
        <w:t xml:space="preserve">. </w:t>
      </w:r>
      <w:r w:rsidR="00DD22FE" w:rsidRPr="0006336F">
        <w:rPr>
          <w:lang w:eastAsia="en-US"/>
        </w:rPr>
        <w:t>N</w:t>
      </w:r>
      <w:r w:rsidR="003C555F" w:rsidRPr="0006336F">
        <w:rPr>
          <w:lang w:eastAsia="en-US"/>
        </w:rPr>
        <w:t xml:space="preserve">o single policy decision determines overall productivity outcomes. Instead, reinvigorating productivity growth will require focused and systematic efforts across a wide range of policy areas, often working in partnership with states and territories. </w:t>
      </w:r>
    </w:p>
    <w:p w14:paraId="010B9DFC" w14:textId="26B559FA" w:rsidR="00D12BF2" w:rsidRPr="0006336F" w:rsidRDefault="00FD3514" w:rsidP="00D12BF2">
      <w:pPr>
        <w:rPr>
          <w:lang w:eastAsia="en-US"/>
        </w:rPr>
      </w:pPr>
      <w:r>
        <w:rPr>
          <w:lang w:eastAsia="en-US"/>
        </w:rPr>
        <w:t>The Government</w:t>
      </w:r>
      <w:r w:rsidR="001C6BD2" w:rsidRPr="0006336F">
        <w:rPr>
          <w:lang w:eastAsia="en-US"/>
        </w:rPr>
        <w:t xml:space="preserve"> </w:t>
      </w:r>
      <w:r w:rsidR="00083ADB" w:rsidRPr="0006336F">
        <w:rPr>
          <w:lang w:eastAsia="en-US"/>
        </w:rPr>
        <w:t xml:space="preserve">has </w:t>
      </w:r>
      <w:r w:rsidR="001C6BD2" w:rsidRPr="0006336F">
        <w:rPr>
          <w:lang w:eastAsia="en-US"/>
        </w:rPr>
        <w:t>a five</w:t>
      </w:r>
      <w:r w:rsidR="002D16F3" w:rsidRPr="0006336F">
        <w:rPr>
          <w:lang w:eastAsia="en-US"/>
        </w:rPr>
        <w:t xml:space="preserve"> </w:t>
      </w:r>
      <w:r w:rsidR="001C6BD2" w:rsidRPr="0006336F">
        <w:rPr>
          <w:lang w:eastAsia="en-US"/>
        </w:rPr>
        <w:t xml:space="preserve">pillar </w:t>
      </w:r>
      <w:r w:rsidR="00DB0B2A" w:rsidRPr="0006336F">
        <w:rPr>
          <w:lang w:eastAsia="en-US"/>
        </w:rPr>
        <w:t xml:space="preserve">productivity </w:t>
      </w:r>
      <w:r w:rsidR="001C6BD2" w:rsidRPr="0006336F">
        <w:rPr>
          <w:lang w:eastAsia="en-US"/>
        </w:rPr>
        <w:t>agenda</w:t>
      </w:r>
      <w:r w:rsidR="002806B7" w:rsidRPr="0006336F">
        <w:rPr>
          <w:lang w:eastAsia="en-US"/>
        </w:rPr>
        <w:t xml:space="preserve"> (Box </w:t>
      </w:r>
      <w:r w:rsidR="008C0CD2" w:rsidRPr="0006336F">
        <w:rPr>
          <w:lang w:eastAsia="en-US"/>
        </w:rPr>
        <w:t>R.</w:t>
      </w:r>
      <w:r w:rsidR="00D12BF2" w:rsidRPr="0006336F">
        <w:rPr>
          <w:lang w:eastAsia="en-US"/>
        </w:rPr>
        <w:t>2</w:t>
      </w:r>
      <w:r w:rsidR="002806B7" w:rsidRPr="0006336F">
        <w:rPr>
          <w:lang w:eastAsia="en-US"/>
        </w:rPr>
        <w:t>)</w:t>
      </w:r>
      <w:r w:rsidR="001C3D60" w:rsidRPr="0006336F">
        <w:rPr>
          <w:lang w:eastAsia="en-US"/>
        </w:rPr>
        <w:t xml:space="preserve"> to </w:t>
      </w:r>
      <w:r w:rsidR="00F01E4A" w:rsidRPr="0006336F">
        <w:rPr>
          <w:lang w:eastAsia="en-US"/>
        </w:rPr>
        <w:t xml:space="preserve">catalyse and </w:t>
      </w:r>
      <w:r w:rsidR="001C3D60" w:rsidRPr="0006336F">
        <w:rPr>
          <w:lang w:eastAsia="en-US"/>
        </w:rPr>
        <w:t>accelerate productivity</w:t>
      </w:r>
      <w:r w:rsidR="00B16861">
        <w:rPr>
          <w:lang w:eastAsia="en-US"/>
        </w:rPr>
        <w:noBreakHyphen/>
      </w:r>
      <w:r w:rsidR="001C3D60" w:rsidRPr="0006336F">
        <w:rPr>
          <w:lang w:eastAsia="en-US"/>
        </w:rPr>
        <w:t>enhancing reforms</w:t>
      </w:r>
      <w:r w:rsidR="001C6BD2" w:rsidRPr="0006336F">
        <w:rPr>
          <w:lang w:eastAsia="en-US"/>
        </w:rPr>
        <w:t xml:space="preserve">. </w:t>
      </w:r>
      <w:r w:rsidR="003C555F" w:rsidRPr="0006336F">
        <w:rPr>
          <w:lang w:eastAsia="en-US"/>
        </w:rPr>
        <w:t xml:space="preserve">This agenda </w:t>
      </w:r>
      <w:r w:rsidR="00CB6C99" w:rsidRPr="0006336F">
        <w:rPr>
          <w:lang w:eastAsia="en-US"/>
        </w:rPr>
        <w:t xml:space="preserve">focuses on enduring </w:t>
      </w:r>
      <w:r w:rsidR="001A1969" w:rsidRPr="0006336F">
        <w:rPr>
          <w:lang w:eastAsia="en-US"/>
        </w:rPr>
        <w:t>drivers of productivity growth</w:t>
      </w:r>
      <w:r w:rsidR="00C718D7">
        <w:rPr>
          <w:lang w:eastAsia="en-US"/>
        </w:rPr>
        <w:t>,</w:t>
      </w:r>
      <w:r w:rsidR="001A1969" w:rsidRPr="0006336F">
        <w:rPr>
          <w:lang w:eastAsia="en-US"/>
        </w:rPr>
        <w:t xml:space="preserve"> including effective investment in physical and human capital, </w:t>
      </w:r>
      <w:r w:rsidR="00D93EB5" w:rsidRPr="0006336F">
        <w:rPr>
          <w:lang w:eastAsia="en-US"/>
        </w:rPr>
        <w:t>boosting</w:t>
      </w:r>
      <w:r w:rsidR="001A1969" w:rsidRPr="0006336F">
        <w:rPr>
          <w:lang w:eastAsia="en-US"/>
        </w:rPr>
        <w:t xml:space="preserve"> innovation and </w:t>
      </w:r>
      <w:r w:rsidR="00D93EB5" w:rsidRPr="0006336F">
        <w:rPr>
          <w:lang w:eastAsia="en-US"/>
        </w:rPr>
        <w:t xml:space="preserve">promoting dynamic and competitive markets. </w:t>
      </w:r>
      <w:r w:rsidR="004B011C" w:rsidRPr="0006336F">
        <w:rPr>
          <w:lang w:eastAsia="en-US"/>
        </w:rPr>
        <w:t xml:space="preserve">However, it </w:t>
      </w:r>
      <w:r w:rsidR="003C555F" w:rsidRPr="0006336F">
        <w:rPr>
          <w:lang w:eastAsia="en-US"/>
        </w:rPr>
        <w:t>recognises that</w:t>
      </w:r>
      <w:r w:rsidR="00CB6C99" w:rsidRPr="0006336F">
        <w:rPr>
          <w:lang w:eastAsia="en-US"/>
        </w:rPr>
        <w:t xml:space="preserve"> </w:t>
      </w:r>
      <w:r w:rsidR="005333AB" w:rsidRPr="0006336F">
        <w:rPr>
          <w:lang w:eastAsia="en-US"/>
        </w:rPr>
        <w:t xml:space="preserve">the policy actions required to </w:t>
      </w:r>
      <w:r w:rsidR="00626068" w:rsidRPr="0006336F">
        <w:rPr>
          <w:lang w:eastAsia="en-US"/>
        </w:rPr>
        <w:t xml:space="preserve">bring about these </w:t>
      </w:r>
      <w:r w:rsidR="00D12BF2" w:rsidRPr="0006336F">
        <w:rPr>
          <w:lang w:eastAsia="en-US"/>
        </w:rPr>
        <w:t>outcomes change over time. Realising Australia</w:t>
      </w:r>
      <w:r w:rsidR="00B16861">
        <w:rPr>
          <w:lang w:eastAsia="en-US"/>
        </w:rPr>
        <w:t>’</w:t>
      </w:r>
      <w:r w:rsidR="00D12BF2" w:rsidRPr="0006336F">
        <w:rPr>
          <w:lang w:eastAsia="en-US"/>
        </w:rPr>
        <w:t xml:space="preserve">s productivity potential will require responding to </w:t>
      </w:r>
      <w:r w:rsidR="000A4E9E" w:rsidRPr="0006336F">
        <w:rPr>
          <w:lang w:eastAsia="en-US"/>
        </w:rPr>
        <w:t xml:space="preserve">our </w:t>
      </w:r>
      <w:r w:rsidR="00D12BF2" w:rsidRPr="0006336F">
        <w:rPr>
          <w:lang w:eastAsia="en-US"/>
        </w:rPr>
        <w:t>changing economic structure: capturing new opportunities presented by the growth of the care and support economy, the net zero transformation and the increased use of digital technologies,</w:t>
      </w:r>
      <w:r w:rsidR="00D12BF2" w:rsidRPr="0006336F">
        <w:t xml:space="preserve"> and tailoring efforts to boost investments in physical capital, skills and innovation to the prevailing challenges in these areas</w:t>
      </w:r>
      <w:r w:rsidR="00D12BF2" w:rsidRPr="0006336F">
        <w:rPr>
          <w:lang w:eastAsia="en-US"/>
        </w:rPr>
        <w:t>.</w:t>
      </w:r>
    </w:p>
    <w:p w14:paraId="073B9FE5" w14:textId="32F67EEB" w:rsidR="00D12BF2" w:rsidRPr="0006336F" w:rsidRDefault="00FD3514" w:rsidP="00D12BF2">
      <w:pPr>
        <w:rPr>
          <w:lang w:eastAsia="en-US"/>
        </w:rPr>
      </w:pPr>
      <w:r>
        <w:rPr>
          <w:lang w:eastAsia="en-US"/>
        </w:rPr>
        <w:t>The Government</w:t>
      </w:r>
      <w:r w:rsidR="00D12BF2" w:rsidRPr="0006336F">
        <w:rPr>
          <w:lang w:eastAsia="en-US"/>
        </w:rPr>
        <w:t xml:space="preserve"> is already taking action to implement this agenda. Working with states and territories, we have </w:t>
      </w:r>
      <w:r w:rsidR="005B78C7" w:rsidRPr="0006336F">
        <w:rPr>
          <w:lang w:eastAsia="en-US"/>
        </w:rPr>
        <w:t xml:space="preserve">elevated </w:t>
      </w:r>
      <w:r w:rsidR="00D12BF2" w:rsidRPr="0006336F">
        <w:rPr>
          <w:lang w:eastAsia="en-US"/>
        </w:rPr>
        <w:t xml:space="preserve">productivity reform </w:t>
      </w:r>
      <w:r w:rsidR="00126DE5" w:rsidRPr="0006336F">
        <w:rPr>
          <w:lang w:eastAsia="en-US"/>
        </w:rPr>
        <w:t xml:space="preserve">on </w:t>
      </w:r>
      <w:r w:rsidR="00D12BF2" w:rsidRPr="0006336F">
        <w:rPr>
          <w:lang w:eastAsia="en-US"/>
        </w:rPr>
        <w:t>National Cabinet</w:t>
      </w:r>
      <w:r w:rsidR="00B16861">
        <w:rPr>
          <w:lang w:eastAsia="en-US"/>
        </w:rPr>
        <w:t>’</w:t>
      </w:r>
      <w:r w:rsidR="00D12BF2" w:rsidRPr="0006336F">
        <w:rPr>
          <w:lang w:eastAsia="en-US"/>
        </w:rPr>
        <w:t xml:space="preserve">s </w:t>
      </w:r>
      <w:r w:rsidR="00AD714A" w:rsidRPr="0006336F">
        <w:rPr>
          <w:lang w:eastAsia="en-US"/>
        </w:rPr>
        <w:t>agenda</w:t>
      </w:r>
      <w:r w:rsidR="00D12BF2" w:rsidRPr="0006336F">
        <w:rPr>
          <w:lang w:eastAsia="en-US"/>
        </w:rPr>
        <w:t xml:space="preserve"> and instigated cross</w:t>
      </w:r>
      <w:r w:rsidR="00B16861">
        <w:rPr>
          <w:lang w:eastAsia="en-US"/>
        </w:rPr>
        <w:noBreakHyphen/>
      </w:r>
      <w:r w:rsidR="00D12BF2" w:rsidRPr="0006336F">
        <w:rPr>
          <w:lang w:eastAsia="en-US"/>
        </w:rPr>
        <w:t xml:space="preserve">jurisdictional initiatives such as the Better Planning for Stronger Growth reforms to support coordinated and effective investments in our cities, towns, and suburbs. We are helping to realise the productivity benefits of data and digital technologies in the care and support economy. For example, investment in </w:t>
      </w:r>
      <w:r w:rsidR="00D12BF2" w:rsidRPr="0006336F">
        <w:rPr>
          <w:i/>
          <w:iCs/>
          <w:lang w:eastAsia="en-US"/>
        </w:rPr>
        <w:t xml:space="preserve">My Health Record </w:t>
      </w:r>
      <w:r w:rsidR="00D12BF2" w:rsidRPr="0006336F">
        <w:rPr>
          <w:lang w:eastAsia="en-US"/>
        </w:rPr>
        <w:t>is supporting a more integrated and person</w:t>
      </w:r>
      <w:r w:rsidR="00B16861">
        <w:rPr>
          <w:lang w:eastAsia="en-US"/>
        </w:rPr>
        <w:noBreakHyphen/>
      </w:r>
      <w:r w:rsidR="00D12BF2" w:rsidRPr="0006336F">
        <w:rPr>
          <w:lang w:eastAsia="en-US"/>
        </w:rPr>
        <w:t xml:space="preserve">centred healthcare system. </w:t>
      </w:r>
    </w:p>
    <w:p w14:paraId="1571C473" w14:textId="0DF78F7A" w:rsidR="00D12BF2" w:rsidRPr="0006336F" w:rsidRDefault="00D12BF2" w:rsidP="00D12BF2">
      <w:pPr>
        <w:rPr>
          <w:lang w:eastAsia="en-US"/>
        </w:rPr>
      </w:pPr>
      <w:r w:rsidRPr="0006336F">
        <w:rPr>
          <w:lang w:eastAsia="en-US"/>
        </w:rPr>
        <w:t xml:space="preserve">Going forward, the Government is focused on driving reforms across all five pillars of </w:t>
      </w:r>
      <w:r w:rsidR="00B700A1" w:rsidRPr="0006336F">
        <w:rPr>
          <w:lang w:eastAsia="en-US"/>
        </w:rPr>
        <w:t xml:space="preserve">our </w:t>
      </w:r>
      <w:r w:rsidRPr="0006336F">
        <w:rPr>
          <w:lang w:eastAsia="en-US"/>
        </w:rPr>
        <w:t xml:space="preserve">productivity agenda. The 10 areas for reform outlined in this </w:t>
      </w:r>
      <w:r w:rsidR="008E555A">
        <w:rPr>
          <w:lang w:eastAsia="en-US"/>
        </w:rPr>
        <w:t>Roadmap</w:t>
      </w:r>
      <w:r w:rsidR="008E555A" w:rsidRPr="0006336F">
        <w:rPr>
          <w:lang w:eastAsia="en-US"/>
        </w:rPr>
        <w:t xml:space="preserve"> </w:t>
      </w:r>
      <w:r w:rsidRPr="0006336F">
        <w:rPr>
          <w:lang w:eastAsia="en-US"/>
        </w:rPr>
        <w:t>have been shaped by this five pillar productivity agenda. This section outlines our strategy, and provides examples of how it is being progressed.</w:t>
      </w:r>
    </w:p>
    <w:p w14:paraId="040B1B62" w14:textId="5E819CEA" w:rsidR="00420675" w:rsidRDefault="00420675">
      <w:pPr>
        <w:spacing w:before="0" w:after="160" w:line="259" w:lineRule="auto"/>
        <w:rPr>
          <w:lang w:eastAsia="en-US"/>
        </w:rPr>
      </w:pPr>
      <w:r>
        <w:rPr>
          <w:lang w:eastAsia="en-US"/>
        </w:rPr>
        <w:br w:type="page"/>
      </w:r>
    </w:p>
    <w:tbl>
      <w:tblPr>
        <w:tblStyle w:val="TableGrid"/>
        <w:tblW w:w="5000" w:type="pct"/>
        <w:shd w:val="clear" w:color="auto" w:fill="F2F2F2" w:themeFill="background1" w:themeFillShade="F2"/>
        <w:tblCellMar>
          <w:top w:w="227" w:type="dxa"/>
          <w:left w:w="227" w:type="dxa"/>
          <w:bottom w:w="227" w:type="dxa"/>
          <w:right w:w="227" w:type="dxa"/>
        </w:tblCellMar>
        <w:tblLook w:val="0620" w:firstRow="1" w:lastRow="0" w:firstColumn="0" w:lastColumn="0" w:noHBand="1" w:noVBand="1"/>
      </w:tblPr>
      <w:tblGrid>
        <w:gridCol w:w="9070"/>
      </w:tblGrid>
      <w:tr w:rsidR="003014D8" w:rsidRPr="0006336F" w14:paraId="1CD1B356" w14:textId="77777777" w:rsidTr="00A715A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068E16D8" w14:textId="11B380E9" w:rsidR="00426984" w:rsidRPr="0006336F" w:rsidRDefault="003014D8" w:rsidP="00060AA3">
            <w:pPr>
              <w:pStyle w:val="BoxHeadingBoxR1Roadmap"/>
            </w:pPr>
            <w:r w:rsidRPr="0006336F">
              <w:lastRenderedPageBreak/>
              <w:t>Our five pillar productivity agenda</w:t>
            </w:r>
          </w:p>
          <w:p w14:paraId="16EDE0CC" w14:textId="182E4533" w:rsidR="00132E57" w:rsidRPr="0006336F" w:rsidRDefault="00132E57" w:rsidP="00060AA3">
            <w:pPr>
              <w:pStyle w:val="BoxText"/>
            </w:pPr>
            <w:r w:rsidRPr="0006336F">
              <w:t>Our five pillar</w:t>
            </w:r>
            <w:r w:rsidR="00F1348C" w:rsidRPr="0006336F">
              <w:t xml:space="preserve"> agenda </w:t>
            </w:r>
            <w:r w:rsidR="00D66332" w:rsidRPr="0006336F">
              <w:t>provides strategic focus</w:t>
            </w:r>
            <w:r w:rsidR="009A3965" w:rsidRPr="0006336F">
              <w:t xml:space="preserve"> </w:t>
            </w:r>
            <w:r w:rsidR="0038435B" w:rsidRPr="0006336F">
              <w:t xml:space="preserve">for a program of </w:t>
            </w:r>
            <w:r w:rsidR="00BC5AEE" w:rsidRPr="0006336F">
              <w:t>ongoing</w:t>
            </w:r>
            <w:r w:rsidR="0038435B" w:rsidRPr="0006336F">
              <w:t xml:space="preserve"> productivity reform. Examples of current priority areas of </w:t>
            </w:r>
            <w:r w:rsidR="00F06762" w:rsidRPr="0006336F">
              <w:t xml:space="preserve">work </w:t>
            </w:r>
            <w:r w:rsidR="00F06762" w:rsidRPr="00060AA3">
              <w:t>include</w:t>
            </w:r>
            <w:r w:rsidR="00F06762" w:rsidRPr="0006336F">
              <w:t>:</w:t>
            </w:r>
            <w:r w:rsidR="009A3965" w:rsidRPr="0006336F">
              <w:t xml:space="preserve"> </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906"/>
              <w:gridCol w:w="6710"/>
            </w:tblGrid>
            <w:tr w:rsidR="003014D8" w:rsidRPr="0006336F" w14:paraId="2042A324" w14:textId="77777777" w:rsidTr="00916C8C">
              <w:tc>
                <w:tcPr>
                  <w:tcW w:w="1106" w:type="pct"/>
                </w:tcPr>
                <w:p w14:paraId="0D3E0CA2" w14:textId="72509372" w:rsidR="003014D8" w:rsidRPr="0006336F" w:rsidRDefault="00373AF0" w:rsidP="005C2CCB">
                  <w:pPr>
                    <w:pStyle w:val="BoxSubheading"/>
                    <w:spacing w:before="120"/>
                    <w:ind w:right="170"/>
                  </w:pPr>
                  <w:r w:rsidRPr="0006336F">
                    <w:t>Creating a more dynamic and resilient economy</w:t>
                  </w:r>
                </w:p>
              </w:tc>
              <w:tc>
                <w:tcPr>
                  <w:tcW w:w="3894" w:type="pct"/>
                </w:tcPr>
                <w:p w14:paraId="52883E5C" w14:textId="77777777" w:rsidR="00373AF0" w:rsidRPr="00060AA3" w:rsidRDefault="00373AF0" w:rsidP="002B6349">
                  <w:pPr>
                    <w:pStyle w:val="BoxText"/>
                    <w:spacing w:before="80" w:after="80"/>
                  </w:pPr>
                  <w:r w:rsidRPr="00060AA3">
                    <w:t>Strengthening competition by ensuring our laws, policies and institutions are fit for purpose, and providing a favourable environment for doing business</w:t>
                  </w:r>
                </w:p>
                <w:p w14:paraId="4FCD1E19" w14:textId="77777777" w:rsidR="00373AF0" w:rsidRPr="00060AA3" w:rsidRDefault="00373AF0" w:rsidP="002B6349">
                  <w:pPr>
                    <w:pStyle w:val="BoxText"/>
                    <w:spacing w:before="80" w:after="80"/>
                  </w:pPr>
                  <w:r w:rsidRPr="00060AA3">
                    <w:t>Renewing and strengthening the Productivity Commission</w:t>
                  </w:r>
                </w:p>
                <w:p w14:paraId="0B087449" w14:textId="77777777" w:rsidR="00373AF0" w:rsidRPr="00060AA3" w:rsidRDefault="00373AF0" w:rsidP="002B6349">
                  <w:pPr>
                    <w:pStyle w:val="BoxText"/>
                    <w:spacing w:before="80" w:after="80"/>
                  </w:pPr>
                  <w:r w:rsidRPr="00060AA3">
                    <w:t xml:space="preserve">Reducing barriers to labour mobility, including through increasing the supply of secure, affordable housing </w:t>
                  </w:r>
                </w:p>
                <w:p w14:paraId="5E61C7C5" w14:textId="77777777" w:rsidR="00373AF0" w:rsidRPr="00060AA3" w:rsidRDefault="00373AF0" w:rsidP="002B6349">
                  <w:pPr>
                    <w:pStyle w:val="BoxText"/>
                    <w:spacing w:before="80" w:after="80"/>
                  </w:pPr>
                  <w:r w:rsidRPr="00060AA3">
                    <w:t>Boosting private sector investment and ensuring that public investment delivers better value for money</w:t>
                  </w:r>
                </w:p>
                <w:p w14:paraId="20776AA3" w14:textId="6D59F56A" w:rsidR="003014D8" w:rsidRPr="00060AA3" w:rsidRDefault="00373AF0" w:rsidP="002B6349">
                  <w:pPr>
                    <w:pStyle w:val="BoxText"/>
                    <w:spacing w:before="80" w:after="80"/>
                  </w:pPr>
                  <w:r w:rsidRPr="00060AA3">
                    <w:t>Modernising markets so people and businesses can trade more efficiently and safely, through payments systems reforms, a simplified trade system and digital</w:t>
                  </w:r>
                  <w:r w:rsidR="000602AE">
                    <w:t> </w:t>
                  </w:r>
                  <w:r w:rsidRPr="00060AA3">
                    <w:t>markets</w:t>
                  </w:r>
                </w:p>
              </w:tc>
            </w:tr>
            <w:tr w:rsidR="00373AF0" w:rsidRPr="0006336F" w14:paraId="455DF16D" w14:textId="77777777" w:rsidTr="00916C8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1106" w:type="pct"/>
                  <w:tcBorders>
                    <w:top w:val="nil"/>
                    <w:left w:val="nil"/>
                    <w:bottom w:val="nil"/>
                    <w:right w:val="nil"/>
                  </w:tcBorders>
                </w:tcPr>
                <w:p w14:paraId="4A58101B" w14:textId="2BC630E6" w:rsidR="00373AF0" w:rsidRPr="0006336F" w:rsidRDefault="00373AF0" w:rsidP="005C2CCB">
                  <w:pPr>
                    <w:pStyle w:val="BoxSubheading"/>
                    <w:spacing w:before="120"/>
                    <w:ind w:right="170"/>
                  </w:pPr>
                  <w:r w:rsidRPr="0006336F">
                    <w:t xml:space="preserve">Building a skilled and adaptable workforce </w:t>
                  </w:r>
                </w:p>
              </w:tc>
              <w:tc>
                <w:tcPr>
                  <w:tcW w:w="3894" w:type="pct"/>
                  <w:tcBorders>
                    <w:top w:val="nil"/>
                    <w:left w:val="nil"/>
                    <w:bottom w:val="nil"/>
                    <w:right w:val="nil"/>
                  </w:tcBorders>
                </w:tcPr>
                <w:p w14:paraId="66BE5B22" w14:textId="686B817B" w:rsidR="00373AF0" w:rsidRPr="00060AA3" w:rsidRDefault="00373AF0" w:rsidP="002B6349">
                  <w:pPr>
                    <w:pStyle w:val="BoxText"/>
                    <w:spacing w:before="80" w:after="80"/>
                  </w:pPr>
                  <w:r w:rsidRPr="00060AA3">
                    <w:t>Investing in better educational outcomes from early childhood, to schools, to</w:t>
                  </w:r>
                  <w:r w:rsidR="000602AE">
                    <w:t> </w:t>
                  </w:r>
                  <w:r w:rsidRPr="00060AA3">
                    <w:t>tertiary education and lifelong learning</w:t>
                  </w:r>
                </w:p>
                <w:p w14:paraId="2FBB21A3" w14:textId="311A4761" w:rsidR="00373AF0" w:rsidRPr="00060AA3" w:rsidRDefault="00373AF0" w:rsidP="002B6349">
                  <w:pPr>
                    <w:pStyle w:val="BoxText"/>
                    <w:spacing w:before="80" w:after="80"/>
                  </w:pPr>
                  <w:r w:rsidRPr="00060AA3">
                    <w:t>Reinvigorating foundation skills programs and improving access to tertiary</w:t>
                  </w:r>
                  <w:r w:rsidR="000602AE">
                    <w:t> </w:t>
                  </w:r>
                  <w:r w:rsidRPr="00060AA3">
                    <w:t>education</w:t>
                  </w:r>
                </w:p>
                <w:p w14:paraId="39062E7A" w14:textId="77777777" w:rsidR="00373AF0" w:rsidRPr="00060AA3" w:rsidRDefault="00373AF0" w:rsidP="002B6349">
                  <w:pPr>
                    <w:pStyle w:val="BoxText"/>
                    <w:spacing w:before="80" w:after="80"/>
                  </w:pPr>
                  <w:r w:rsidRPr="00060AA3">
                    <w:t>Better targeting skills needs through workforce planning and tailored responses to industry challenges</w:t>
                  </w:r>
                </w:p>
                <w:p w14:paraId="2F6EB68C" w14:textId="3D31C401" w:rsidR="00373AF0" w:rsidRPr="00060AA3" w:rsidRDefault="00373AF0" w:rsidP="002B6349">
                  <w:pPr>
                    <w:pStyle w:val="BoxText"/>
                    <w:spacing w:before="80" w:after="80"/>
                  </w:pPr>
                  <w:r w:rsidRPr="00060AA3">
                    <w:t>Reforming the migration system to better attract highly skilled workers and combat worker exploitation</w:t>
                  </w:r>
                </w:p>
              </w:tc>
            </w:tr>
            <w:tr w:rsidR="003014D8" w:rsidRPr="0006336F" w14:paraId="7E419245" w14:textId="77777777" w:rsidTr="00916C8C">
              <w:tc>
                <w:tcPr>
                  <w:tcW w:w="1106" w:type="pct"/>
                </w:tcPr>
                <w:p w14:paraId="37797133" w14:textId="7CE2CB4B" w:rsidR="003014D8" w:rsidRPr="0006336F" w:rsidRDefault="003014D8" w:rsidP="005C2CCB">
                  <w:pPr>
                    <w:pStyle w:val="BoxSubheading"/>
                    <w:spacing w:before="120"/>
                    <w:ind w:right="170"/>
                  </w:pPr>
                  <w:r w:rsidRPr="0006336F">
                    <w:t>Harnessing data</w:t>
                  </w:r>
                  <w:r w:rsidR="00746895">
                    <w:t xml:space="preserve"> and</w:t>
                  </w:r>
                  <w:r w:rsidRPr="0006336F">
                    <w:t xml:space="preserve"> digital technology </w:t>
                  </w:r>
                </w:p>
              </w:tc>
              <w:tc>
                <w:tcPr>
                  <w:tcW w:w="3894" w:type="pct"/>
                </w:tcPr>
                <w:p w14:paraId="67196917" w14:textId="21DCDB46" w:rsidR="003014D8" w:rsidRPr="00060AA3" w:rsidRDefault="003014D8" w:rsidP="002B6349">
                  <w:pPr>
                    <w:pStyle w:val="BoxText"/>
                    <w:spacing w:before="80" w:after="80"/>
                  </w:pPr>
                  <w:r w:rsidRPr="00060AA3">
                    <w:t>Improving access to high</w:t>
                  </w:r>
                  <w:r w:rsidR="00B16861">
                    <w:noBreakHyphen/>
                  </w:r>
                  <w:r w:rsidRPr="00060AA3">
                    <w:t>speed internet connectivity, especially in regional areas</w:t>
                  </w:r>
                </w:p>
                <w:p w14:paraId="54E17EAE" w14:textId="77777777" w:rsidR="003014D8" w:rsidRPr="00060AA3" w:rsidRDefault="003014D8" w:rsidP="002B6349">
                  <w:pPr>
                    <w:pStyle w:val="BoxText"/>
                    <w:spacing w:before="80" w:after="80"/>
                  </w:pPr>
                  <w:r w:rsidRPr="00060AA3">
                    <w:t>Supporting businesses to adopt digital technologies and improving cyber security</w:t>
                  </w:r>
                </w:p>
                <w:p w14:paraId="69C5C58E" w14:textId="45776D45" w:rsidR="003014D8" w:rsidRPr="00060AA3" w:rsidRDefault="003014D8" w:rsidP="002B6349">
                  <w:pPr>
                    <w:pStyle w:val="BoxText"/>
                    <w:spacing w:before="80" w:after="80"/>
                  </w:pPr>
                  <w:r w:rsidRPr="00060AA3">
                    <w:t xml:space="preserve">Raising digital </w:t>
                  </w:r>
                  <w:r w:rsidR="00D63C86" w:rsidRPr="00060AA3">
                    <w:t xml:space="preserve">foundation </w:t>
                  </w:r>
                  <w:r w:rsidRPr="00060AA3">
                    <w:t>skills across our workforce and expanding the supply of workers with specialist digital skills in our economy</w:t>
                  </w:r>
                </w:p>
                <w:p w14:paraId="48F87231" w14:textId="494045F0" w:rsidR="003014D8" w:rsidRPr="00060AA3" w:rsidRDefault="003014D8" w:rsidP="002B6349">
                  <w:pPr>
                    <w:pStyle w:val="BoxText"/>
                    <w:spacing w:before="80" w:after="80"/>
                  </w:pPr>
                  <w:r w:rsidRPr="00060AA3">
                    <w:t xml:space="preserve">Growing our critical technologies industries such as quantum, robotics, and </w:t>
                  </w:r>
                  <w:r w:rsidR="00F85981" w:rsidRPr="00060AA3">
                    <w:t>Artificial Intelligence (</w:t>
                  </w:r>
                  <w:r w:rsidRPr="00060AA3">
                    <w:t>AI</w:t>
                  </w:r>
                  <w:r w:rsidR="00F85981" w:rsidRPr="00060AA3">
                    <w:t>)</w:t>
                  </w:r>
                  <w:r w:rsidRPr="00060AA3">
                    <w:t xml:space="preserve"> </w:t>
                  </w:r>
                </w:p>
              </w:tc>
            </w:tr>
            <w:tr w:rsidR="003014D8" w:rsidRPr="0006336F" w14:paraId="01AB058F" w14:textId="77777777" w:rsidTr="00916C8C">
              <w:tc>
                <w:tcPr>
                  <w:tcW w:w="1106" w:type="pct"/>
                </w:tcPr>
                <w:p w14:paraId="123D0C7F" w14:textId="07F55A4D" w:rsidR="003014D8" w:rsidRPr="0006336F" w:rsidRDefault="003014D8" w:rsidP="005C2CCB">
                  <w:pPr>
                    <w:pStyle w:val="BoxSubheading"/>
                    <w:spacing w:before="120"/>
                    <w:ind w:right="170"/>
                  </w:pPr>
                  <w:r w:rsidRPr="0006336F">
                    <w:t>Deliver</w:t>
                  </w:r>
                  <w:r w:rsidR="00E73B76" w:rsidRPr="0006336F">
                    <w:t>ing</w:t>
                  </w:r>
                  <w:r w:rsidRPr="0006336F">
                    <w:t xml:space="preserve"> quality care more efficiently</w:t>
                  </w:r>
                </w:p>
              </w:tc>
              <w:tc>
                <w:tcPr>
                  <w:tcW w:w="3894" w:type="pct"/>
                </w:tcPr>
                <w:p w14:paraId="5360D1EE" w14:textId="697E4DA1" w:rsidR="003014D8" w:rsidRPr="00060AA3" w:rsidRDefault="003014D8" w:rsidP="002B6349">
                  <w:pPr>
                    <w:pStyle w:val="BoxText"/>
                    <w:spacing w:before="80" w:after="80"/>
                  </w:pPr>
                  <w:r w:rsidRPr="00060AA3">
                    <w:t xml:space="preserve">Developing a strategy to </w:t>
                  </w:r>
                  <w:r w:rsidR="00BC5AEE" w:rsidRPr="00060AA3">
                    <w:t>holistically</w:t>
                  </w:r>
                  <w:r w:rsidRPr="00060AA3">
                    <w:t xml:space="preserve"> build the care and support economy and</w:t>
                  </w:r>
                  <w:r w:rsidR="000602AE">
                    <w:t> </w:t>
                  </w:r>
                  <w:r w:rsidRPr="00060AA3">
                    <w:t>workforce</w:t>
                  </w:r>
                </w:p>
                <w:p w14:paraId="44627AAB" w14:textId="50FB5AB4" w:rsidR="003014D8" w:rsidRPr="00060AA3" w:rsidRDefault="003014D8" w:rsidP="002B6349">
                  <w:pPr>
                    <w:pStyle w:val="BoxText"/>
                    <w:spacing w:before="80" w:after="80"/>
                  </w:pPr>
                  <w:r w:rsidRPr="00060AA3">
                    <w:t>Developing strategies to assist the sector to adopt technologies that can reduce strenuous, repetitive or administrative tasks</w:t>
                  </w:r>
                </w:p>
                <w:p w14:paraId="1108B87B" w14:textId="77777777" w:rsidR="003014D8" w:rsidRPr="00060AA3" w:rsidRDefault="003014D8" w:rsidP="002B6349">
                  <w:pPr>
                    <w:pStyle w:val="BoxText"/>
                    <w:spacing w:before="80" w:after="80"/>
                  </w:pPr>
                  <w:r w:rsidRPr="00060AA3">
                    <w:t>Streamlining regulatory burden, without compromising quality</w:t>
                  </w:r>
                </w:p>
                <w:p w14:paraId="4B150D46" w14:textId="169A0FAB" w:rsidR="003014D8" w:rsidRPr="00060AA3" w:rsidRDefault="003014D8" w:rsidP="002B6349">
                  <w:pPr>
                    <w:pStyle w:val="BoxText"/>
                    <w:spacing w:before="80" w:after="80"/>
                  </w:pPr>
                  <w:r w:rsidRPr="00060AA3">
                    <w:t>Improving models of care to lift the quality and efficiency of services</w:t>
                  </w:r>
                </w:p>
              </w:tc>
            </w:tr>
            <w:tr w:rsidR="003014D8" w:rsidRPr="0006336F" w14:paraId="4E26880A" w14:textId="77777777" w:rsidTr="00916C8C">
              <w:tc>
                <w:tcPr>
                  <w:tcW w:w="1106" w:type="pct"/>
                </w:tcPr>
                <w:p w14:paraId="7F733B4F" w14:textId="4CC3B27D" w:rsidR="003014D8" w:rsidRPr="0006336F" w:rsidRDefault="00452E03" w:rsidP="005C2CCB">
                  <w:pPr>
                    <w:pStyle w:val="BoxSubheading"/>
                    <w:spacing w:before="120"/>
                    <w:ind w:right="170"/>
                  </w:pPr>
                  <w:r w:rsidRPr="0006336F">
                    <w:t>Investing in c</w:t>
                  </w:r>
                  <w:r w:rsidR="003014D8" w:rsidRPr="0006336F">
                    <w:t>heaper, cleaner energy and the net zero transformation</w:t>
                  </w:r>
                </w:p>
              </w:tc>
              <w:tc>
                <w:tcPr>
                  <w:tcW w:w="3894" w:type="pct"/>
                </w:tcPr>
                <w:p w14:paraId="27A17C13" w14:textId="77777777" w:rsidR="003014D8" w:rsidRPr="00060AA3" w:rsidRDefault="003014D8" w:rsidP="002B6349">
                  <w:pPr>
                    <w:pStyle w:val="BoxText"/>
                    <w:spacing w:before="80" w:after="80"/>
                  </w:pPr>
                  <w:r w:rsidRPr="00060AA3">
                    <w:t>Committing to net zero by 2050 and providing clarity on the pathway</w:t>
                  </w:r>
                </w:p>
                <w:p w14:paraId="7921AB1B" w14:textId="311D9DEA" w:rsidR="003014D8" w:rsidRPr="00060AA3" w:rsidRDefault="003014D8" w:rsidP="002B6349">
                  <w:pPr>
                    <w:pStyle w:val="BoxText"/>
                    <w:spacing w:before="80" w:after="80"/>
                  </w:pPr>
                  <w:r w:rsidRPr="00060AA3">
                    <w:t xml:space="preserve">Investing in </w:t>
                  </w:r>
                  <w:r w:rsidR="003B4556" w:rsidRPr="00060AA3">
                    <w:t>new</w:t>
                  </w:r>
                  <w:r w:rsidR="006809DB" w:rsidRPr="00060AA3">
                    <w:t xml:space="preserve"> cheaper</w:t>
                  </w:r>
                  <w:r w:rsidRPr="00060AA3">
                    <w:t>, cleaner energy</w:t>
                  </w:r>
                </w:p>
                <w:p w14:paraId="6B275137" w14:textId="52D7B0CB" w:rsidR="003014D8" w:rsidRPr="00060AA3" w:rsidRDefault="003014D8" w:rsidP="002B6349">
                  <w:pPr>
                    <w:pStyle w:val="BoxText"/>
                    <w:spacing w:before="80" w:after="80"/>
                  </w:pPr>
                  <w:r w:rsidRPr="00060AA3">
                    <w:t xml:space="preserve">Promoting efficient decarbonisation, including through ensuring the integrity </w:t>
                  </w:r>
                  <w:r w:rsidR="00F22736" w:rsidRPr="00060AA3">
                    <w:t xml:space="preserve">of </w:t>
                  </w:r>
                  <w:r w:rsidRPr="00060AA3">
                    <w:t>carbon credits</w:t>
                  </w:r>
                </w:p>
                <w:p w14:paraId="5E63AD94" w14:textId="54DDE701" w:rsidR="003014D8" w:rsidRPr="00060AA3" w:rsidRDefault="003014D8" w:rsidP="002B6349">
                  <w:pPr>
                    <w:pStyle w:val="BoxText"/>
                    <w:spacing w:before="80" w:after="80"/>
                  </w:pPr>
                  <w:r w:rsidRPr="00060AA3">
                    <w:t>Growing high</w:t>
                  </w:r>
                  <w:r w:rsidR="00B16861">
                    <w:noBreakHyphen/>
                  </w:r>
                  <w:r w:rsidRPr="00060AA3">
                    <w:t>productivity low</w:t>
                  </w:r>
                  <w:r w:rsidR="00B16861">
                    <w:noBreakHyphen/>
                  </w:r>
                  <w:r w:rsidRPr="00060AA3">
                    <w:t>emissions industries</w:t>
                  </w:r>
                </w:p>
                <w:p w14:paraId="02B75438" w14:textId="267B9AF5" w:rsidR="003014D8" w:rsidRPr="00060AA3" w:rsidRDefault="003014D8" w:rsidP="002B6349">
                  <w:pPr>
                    <w:pStyle w:val="BoxText"/>
                    <w:spacing w:before="80" w:after="80"/>
                  </w:pPr>
                  <w:r w:rsidRPr="00060AA3">
                    <w:t>Supporting efficient adaptation and investments in resilience</w:t>
                  </w:r>
                </w:p>
              </w:tc>
            </w:tr>
          </w:tbl>
          <w:p w14:paraId="2CA6FA01" w14:textId="0B4EFD44" w:rsidR="003014D8" w:rsidRPr="0006336F" w:rsidRDefault="003014D8" w:rsidP="00F4496B">
            <w:pPr>
              <w:pStyle w:val="BoxText"/>
            </w:pPr>
          </w:p>
        </w:tc>
      </w:tr>
    </w:tbl>
    <w:p w14:paraId="49100C5E" w14:textId="77777777" w:rsidR="00420675" w:rsidRPr="00420675" w:rsidRDefault="00420675" w:rsidP="00420675">
      <w:r w:rsidRPr="00420675">
        <w:br w:type="page"/>
      </w:r>
    </w:p>
    <w:p w14:paraId="6706D2AB" w14:textId="3DF2E3C4" w:rsidR="0025459F" w:rsidRPr="0006336F" w:rsidRDefault="0025459F" w:rsidP="00D457F4">
      <w:pPr>
        <w:pStyle w:val="Heading4"/>
        <w:rPr>
          <w:lang w:eastAsia="en-US"/>
        </w:rPr>
      </w:pPr>
      <w:r w:rsidRPr="0006336F">
        <w:rPr>
          <w:lang w:eastAsia="en-US"/>
        </w:rPr>
        <w:lastRenderedPageBreak/>
        <w:t>Creating a more dynamic and resilient economy</w:t>
      </w:r>
    </w:p>
    <w:p w14:paraId="0BCCCF81" w14:textId="1C9D7B71" w:rsidR="0025459F" w:rsidRPr="0006336F" w:rsidRDefault="0025459F" w:rsidP="0025459F">
      <w:pPr>
        <w:rPr>
          <w:lang w:eastAsia="en-US"/>
        </w:rPr>
      </w:pPr>
      <w:r w:rsidRPr="0006336F">
        <w:rPr>
          <w:lang w:eastAsia="en-US"/>
        </w:rPr>
        <w:t xml:space="preserve">Dynamic and competitive markets lay the foundation for businesses to innovate and </w:t>
      </w:r>
      <w:r w:rsidR="000D668C" w:rsidRPr="0006336F">
        <w:rPr>
          <w:lang w:eastAsia="en-US"/>
        </w:rPr>
        <w:t>boost</w:t>
      </w:r>
      <w:r w:rsidRPr="0006336F">
        <w:rPr>
          <w:lang w:eastAsia="en-US"/>
        </w:rPr>
        <w:t xml:space="preserve"> productivity. </w:t>
      </w:r>
      <w:r w:rsidR="00FD3514">
        <w:rPr>
          <w:lang w:eastAsia="en-US"/>
        </w:rPr>
        <w:t>The Government</w:t>
      </w:r>
      <w:r w:rsidRPr="0006336F">
        <w:rPr>
          <w:lang w:eastAsia="en-US"/>
        </w:rPr>
        <w:t xml:space="preserve"> is taking action to get this enabling environment right</w:t>
      </w:r>
      <w:r w:rsidR="00276B88" w:rsidRPr="0006336F">
        <w:rPr>
          <w:lang w:eastAsia="en-US"/>
        </w:rPr>
        <w:t>.</w:t>
      </w:r>
    </w:p>
    <w:p w14:paraId="4B41321F" w14:textId="60868A4C" w:rsidR="0025459F" w:rsidRPr="0006336F" w:rsidRDefault="0025459F" w:rsidP="0025459F">
      <w:pPr>
        <w:rPr>
          <w:lang w:eastAsia="en-US"/>
        </w:rPr>
      </w:pPr>
      <w:r w:rsidRPr="0006336F">
        <w:rPr>
          <w:lang w:eastAsia="en-US"/>
        </w:rPr>
        <w:t xml:space="preserve">We are reviewing competition laws, policies and institutions to ensure they remain fit for purpose, with a focus on reforms that </w:t>
      </w:r>
      <w:r w:rsidR="00F1624D" w:rsidRPr="0006336F">
        <w:rPr>
          <w:lang w:eastAsia="en-US"/>
        </w:rPr>
        <w:t xml:space="preserve">will </w:t>
      </w:r>
      <w:r w:rsidRPr="0006336F">
        <w:rPr>
          <w:lang w:eastAsia="en-US"/>
        </w:rPr>
        <w:t xml:space="preserve">increase productivity, reduce the cost of living and boost wages. </w:t>
      </w:r>
      <w:r w:rsidR="00514DCF" w:rsidRPr="0006336F">
        <w:rPr>
          <w:lang w:eastAsia="en-US"/>
        </w:rPr>
        <w:br/>
      </w:r>
      <w:r w:rsidR="0073601D" w:rsidRPr="0006336F">
        <w:rPr>
          <w:lang w:eastAsia="en-US"/>
        </w:rPr>
        <w:t>The</w:t>
      </w:r>
      <w:r w:rsidRPr="0006336F">
        <w:rPr>
          <w:lang w:eastAsia="en-US"/>
        </w:rPr>
        <w:t xml:space="preserve"> Competition Taskforce </w:t>
      </w:r>
      <w:r w:rsidR="0042020A" w:rsidRPr="0006336F">
        <w:rPr>
          <w:lang w:eastAsia="en-US"/>
        </w:rPr>
        <w:t xml:space="preserve">in Treasury </w:t>
      </w:r>
      <w:r w:rsidR="0073601D" w:rsidRPr="0006336F">
        <w:rPr>
          <w:lang w:eastAsia="en-US"/>
        </w:rPr>
        <w:t>is advising on reform</w:t>
      </w:r>
      <w:r w:rsidR="006651A7" w:rsidRPr="0006336F">
        <w:rPr>
          <w:lang w:eastAsia="en-US"/>
        </w:rPr>
        <w:t>s to</w:t>
      </w:r>
      <w:r w:rsidR="005173FB" w:rsidRPr="0006336F">
        <w:rPr>
          <w:lang w:eastAsia="en-US"/>
        </w:rPr>
        <w:t xml:space="preserve"> </w:t>
      </w:r>
      <w:r w:rsidRPr="0006336F">
        <w:rPr>
          <w:lang w:eastAsia="en-US"/>
        </w:rPr>
        <w:t>non</w:t>
      </w:r>
      <w:r w:rsidR="00B16861">
        <w:rPr>
          <w:lang w:eastAsia="en-US"/>
        </w:rPr>
        <w:noBreakHyphen/>
      </w:r>
      <w:r w:rsidRPr="0006336F">
        <w:rPr>
          <w:lang w:eastAsia="en-US"/>
        </w:rPr>
        <w:t>compete clauses that restrict workers from shifting to a better</w:t>
      </w:r>
      <w:r w:rsidR="00B16861">
        <w:rPr>
          <w:lang w:eastAsia="en-US"/>
        </w:rPr>
        <w:noBreakHyphen/>
      </w:r>
      <w:r w:rsidRPr="0006336F">
        <w:rPr>
          <w:lang w:eastAsia="en-US"/>
        </w:rPr>
        <w:t xml:space="preserve">paying job, merger </w:t>
      </w:r>
      <w:r w:rsidR="006651A7" w:rsidRPr="0006336F">
        <w:rPr>
          <w:lang w:eastAsia="en-US"/>
        </w:rPr>
        <w:t>settings</w:t>
      </w:r>
      <w:r w:rsidR="009232F3" w:rsidRPr="0006336F">
        <w:rPr>
          <w:lang w:eastAsia="en-US"/>
        </w:rPr>
        <w:t xml:space="preserve"> </w:t>
      </w:r>
      <w:r w:rsidRPr="0006336F">
        <w:rPr>
          <w:lang w:eastAsia="en-US"/>
        </w:rPr>
        <w:t>and competition issues raised by new technologies</w:t>
      </w:r>
      <w:r w:rsidR="00276B88" w:rsidRPr="0006336F">
        <w:rPr>
          <w:lang w:eastAsia="en-US"/>
        </w:rPr>
        <w:t xml:space="preserve">. </w:t>
      </w:r>
      <w:r w:rsidRPr="0006336F">
        <w:rPr>
          <w:lang w:eastAsia="en-US"/>
        </w:rPr>
        <w:t xml:space="preserve">We are </w:t>
      </w:r>
      <w:r w:rsidR="00205C1C" w:rsidRPr="0006336F">
        <w:rPr>
          <w:lang w:eastAsia="en-US"/>
        </w:rPr>
        <w:t>also</w:t>
      </w:r>
      <w:r w:rsidRPr="0006336F">
        <w:rPr>
          <w:lang w:eastAsia="en-US"/>
        </w:rPr>
        <w:t xml:space="preserve"> committed to renewing and strengthening the Productivity Commission, to ensure it</w:t>
      </w:r>
      <w:r w:rsidR="00845994" w:rsidRPr="0006336F">
        <w:rPr>
          <w:lang w:eastAsia="en-US"/>
        </w:rPr>
        <w:t xml:space="preserve"> i</w:t>
      </w:r>
      <w:r w:rsidRPr="0006336F">
        <w:rPr>
          <w:lang w:eastAsia="en-US"/>
        </w:rPr>
        <w:t>s well placed to provide robust advice in the changing global economic landscape.</w:t>
      </w:r>
    </w:p>
    <w:p w14:paraId="1F2CBA30" w14:textId="239DFAF4" w:rsidR="0025459F" w:rsidRPr="0006336F" w:rsidRDefault="0025459F" w:rsidP="0025459F">
      <w:pPr>
        <w:rPr>
          <w:lang w:eastAsia="en-US"/>
        </w:rPr>
      </w:pPr>
      <w:r w:rsidRPr="0006336F">
        <w:rPr>
          <w:lang w:eastAsia="en-US"/>
        </w:rPr>
        <w:t>We are removing barriers to labour mobility in partnership with the states and territories, including through increasing the supply of secure, affordable housing. This includes setting a target of 1.2</w:t>
      </w:r>
      <w:r w:rsidR="000F0ED2">
        <w:rPr>
          <w:lang w:eastAsia="en-US"/>
        </w:rPr>
        <w:t> million</w:t>
      </w:r>
      <w:r w:rsidRPr="0006336F">
        <w:rPr>
          <w:lang w:eastAsia="en-US"/>
        </w:rPr>
        <w:t xml:space="preserve"> new homes</w:t>
      </w:r>
      <w:r w:rsidR="007251FD" w:rsidRPr="0006336F">
        <w:rPr>
          <w:lang w:eastAsia="en-US"/>
        </w:rPr>
        <w:t xml:space="preserve"> over five</w:t>
      </w:r>
      <w:r w:rsidR="000F0ED2">
        <w:rPr>
          <w:lang w:eastAsia="en-US"/>
        </w:rPr>
        <w:t> year</w:t>
      </w:r>
      <w:r w:rsidR="007251FD" w:rsidRPr="0006336F">
        <w:rPr>
          <w:lang w:eastAsia="en-US"/>
        </w:rPr>
        <w:t>s</w:t>
      </w:r>
      <w:r w:rsidRPr="0006336F">
        <w:rPr>
          <w:lang w:eastAsia="en-US"/>
        </w:rPr>
        <w:t xml:space="preserve"> from</w:t>
      </w:r>
      <w:r w:rsidR="00385D38" w:rsidRPr="0006336F">
        <w:rPr>
          <w:lang w:eastAsia="en-US"/>
        </w:rPr>
        <w:t xml:space="preserve"> 1 July</w:t>
      </w:r>
      <w:r w:rsidRPr="0006336F">
        <w:rPr>
          <w:lang w:eastAsia="en-US"/>
        </w:rPr>
        <w:t xml:space="preserve"> 2024</w:t>
      </w:r>
      <w:r w:rsidR="00385D38" w:rsidRPr="0006336F">
        <w:rPr>
          <w:lang w:eastAsia="en-US"/>
        </w:rPr>
        <w:t xml:space="preserve"> and</w:t>
      </w:r>
      <w:r w:rsidRPr="0006336F">
        <w:rPr>
          <w:lang w:eastAsia="en-US"/>
        </w:rPr>
        <w:t xml:space="preserve"> increasing investment in social and affordable housing</w:t>
      </w:r>
      <w:r w:rsidR="00385D38" w:rsidRPr="0006336F">
        <w:rPr>
          <w:lang w:eastAsia="en-US"/>
        </w:rPr>
        <w:t xml:space="preserve"> including through the Housing Australia Future Fund, Social Housing Accelerator and National Housing Infrastructure Facility</w:t>
      </w:r>
      <w:r w:rsidRPr="0006336F">
        <w:rPr>
          <w:lang w:eastAsia="en-US"/>
        </w:rPr>
        <w:t xml:space="preserve">. </w:t>
      </w:r>
      <w:r w:rsidR="00FD3514">
        <w:rPr>
          <w:lang w:eastAsia="en-US"/>
        </w:rPr>
        <w:t>The Government</w:t>
      </w:r>
      <w:r w:rsidR="00835D34" w:rsidRPr="0006336F">
        <w:rPr>
          <w:lang w:eastAsia="en-US"/>
        </w:rPr>
        <w:t xml:space="preserve"> is working with National Cabinet to</w:t>
      </w:r>
      <w:r w:rsidRPr="0006336F">
        <w:rPr>
          <w:lang w:eastAsia="en-US"/>
        </w:rPr>
        <w:t xml:space="preserve"> support this momentum through the National Housing Accord. We are improving cross</w:t>
      </w:r>
      <w:r w:rsidR="00B16861">
        <w:rPr>
          <w:lang w:eastAsia="en-US"/>
        </w:rPr>
        <w:noBreakHyphen/>
      </w:r>
      <w:r w:rsidRPr="0006336F">
        <w:rPr>
          <w:lang w:eastAsia="en-US"/>
        </w:rPr>
        <w:t xml:space="preserve">jurisdictional worker mobility through digitalisation of occupational licensing and improved worker screening in the care and support sector. </w:t>
      </w:r>
    </w:p>
    <w:p w14:paraId="42146AD5" w14:textId="5AC31052" w:rsidR="007A693D" w:rsidRPr="0006336F" w:rsidRDefault="0025459F" w:rsidP="0025459F">
      <w:pPr>
        <w:rPr>
          <w:lang w:eastAsia="en-US"/>
        </w:rPr>
      </w:pPr>
      <w:r w:rsidRPr="0006336F">
        <w:rPr>
          <w:lang w:eastAsia="en-US"/>
        </w:rPr>
        <w:t xml:space="preserve">Reforms are underway to boost private sector investment in Australia and ensure public investment delivers better value for money. For example, </w:t>
      </w:r>
      <w:r w:rsidR="002D16F1" w:rsidRPr="0006336F">
        <w:rPr>
          <w:lang w:eastAsia="en-US"/>
        </w:rPr>
        <w:t xml:space="preserve">we have boosted </w:t>
      </w:r>
      <w:r w:rsidRPr="0006336F">
        <w:rPr>
          <w:lang w:eastAsia="en-US"/>
        </w:rPr>
        <w:t>tax incentives to support Build</w:t>
      </w:r>
      <w:r w:rsidR="00B16861">
        <w:rPr>
          <w:lang w:eastAsia="en-US"/>
        </w:rPr>
        <w:noBreakHyphen/>
      </w:r>
      <w:r w:rsidRPr="0006336F">
        <w:rPr>
          <w:lang w:eastAsia="en-US"/>
        </w:rPr>
        <w:t>to</w:t>
      </w:r>
      <w:r w:rsidR="00B16861">
        <w:rPr>
          <w:lang w:eastAsia="en-US"/>
        </w:rPr>
        <w:noBreakHyphen/>
      </w:r>
      <w:r w:rsidRPr="0006336F">
        <w:rPr>
          <w:lang w:eastAsia="en-US"/>
        </w:rPr>
        <w:t xml:space="preserve">Rent developments to reduce barriers to new supply in the private rental market, </w:t>
      </w:r>
      <w:r w:rsidR="002D16F1" w:rsidRPr="0006336F">
        <w:rPr>
          <w:lang w:eastAsia="en-US"/>
        </w:rPr>
        <w:t>and we are</w:t>
      </w:r>
      <w:r w:rsidR="00105277" w:rsidRPr="0006336F">
        <w:rPr>
          <w:lang w:eastAsia="en-US"/>
        </w:rPr>
        <w:t xml:space="preserve"> </w:t>
      </w:r>
      <w:r w:rsidRPr="0006336F">
        <w:rPr>
          <w:lang w:eastAsia="en-US"/>
        </w:rPr>
        <w:t xml:space="preserve">streamlining the </w:t>
      </w:r>
      <w:r w:rsidR="008C0A30" w:rsidRPr="0006336F">
        <w:rPr>
          <w:lang w:eastAsia="en-US"/>
        </w:rPr>
        <w:t xml:space="preserve">Foreign Investment Review </w:t>
      </w:r>
      <w:r w:rsidRPr="0006336F">
        <w:rPr>
          <w:lang w:eastAsia="en-US"/>
        </w:rPr>
        <w:t xml:space="preserve">process and </w:t>
      </w:r>
      <w:r w:rsidR="000B6705" w:rsidRPr="0006336F">
        <w:rPr>
          <w:lang w:eastAsia="en-US"/>
        </w:rPr>
        <w:t>strengthening</w:t>
      </w:r>
      <w:r w:rsidRPr="0006336F">
        <w:rPr>
          <w:lang w:eastAsia="en-US"/>
        </w:rPr>
        <w:t xml:space="preserve"> foreign relationships to attract overseas capital</w:t>
      </w:r>
      <w:r w:rsidR="00EB2C62" w:rsidRPr="0006336F">
        <w:rPr>
          <w:lang w:eastAsia="en-US"/>
        </w:rPr>
        <w:t>. We are</w:t>
      </w:r>
      <w:r w:rsidRPr="0006336F">
        <w:rPr>
          <w:lang w:eastAsia="en-US"/>
        </w:rPr>
        <w:t xml:space="preserve"> </w:t>
      </w:r>
      <w:r w:rsidR="0044178F" w:rsidRPr="0006336F">
        <w:rPr>
          <w:lang w:eastAsia="en-US"/>
        </w:rPr>
        <w:t>completing</w:t>
      </w:r>
      <w:r w:rsidRPr="0006336F">
        <w:rPr>
          <w:lang w:eastAsia="en-US"/>
        </w:rPr>
        <w:t xml:space="preserve"> a</w:t>
      </w:r>
      <w:r w:rsidR="0044178F" w:rsidRPr="0006336F">
        <w:rPr>
          <w:lang w:eastAsia="en-US"/>
        </w:rPr>
        <w:t>n independent</w:t>
      </w:r>
      <w:r w:rsidRPr="0006336F">
        <w:rPr>
          <w:lang w:eastAsia="en-US"/>
        </w:rPr>
        <w:t xml:space="preserve"> strategic review of the </w:t>
      </w:r>
      <w:r w:rsidR="000312A8" w:rsidRPr="0006336F">
        <w:rPr>
          <w:lang w:eastAsia="en-US"/>
        </w:rPr>
        <w:t>I</w:t>
      </w:r>
      <w:r w:rsidRPr="0006336F">
        <w:rPr>
          <w:lang w:eastAsia="en-US"/>
        </w:rPr>
        <w:t xml:space="preserve">nfrastructure </w:t>
      </w:r>
      <w:r w:rsidR="000312A8" w:rsidRPr="0006336F">
        <w:rPr>
          <w:lang w:eastAsia="en-US"/>
        </w:rPr>
        <w:t>I</w:t>
      </w:r>
      <w:r w:rsidRPr="0006336F">
        <w:rPr>
          <w:lang w:eastAsia="en-US"/>
        </w:rPr>
        <w:t xml:space="preserve">nvestment </w:t>
      </w:r>
      <w:r w:rsidR="000312A8" w:rsidRPr="0006336F">
        <w:rPr>
          <w:lang w:eastAsia="en-US"/>
        </w:rPr>
        <w:t>P</w:t>
      </w:r>
      <w:r w:rsidRPr="0006336F">
        <w:rPr>
          <w:lang w:eastAsia="en-US"/>
        </w:rPr>
        <w:t>rogram</w:t>
      </w:r>
      <w:r w:rsidR="007C66E0" w:rsidRPr="0006336F">
        <w:rPr>
          <w:lang w:eastAsia="en-US"/>
        </w:rPr>
        <w:t>, and preparing an Infrastructure Policy Statement that will ensure the Government</w:t>
      </w:r>
      <w:r w:rsidR="00B16861">
        <w:rPr>
          <w:lang w:eastAsia="en-US"/>
        </w:rPr>
        <w:t>’</w:t>
      </w:r>
      <w:r w:rsidR="007C66E0" w:rsidRPr="0006336F">
        <w:rPr>
          <w:lang w:eastAsia="en-US"/>
        </w:rPr>
        <w:t xml:space="preserve">s investments in infrastructure deliver </w:t>
      </w:r>
      <w:r w:rsidR="00C4700E" w:rsidRPr="0006336F">
        <w:rPr>
          <w:lang w:eastAsia="en-US"/>
        </w:rPr>
        <w:t>productivity</w:t>
      </w:r>
      <w:r w:rsidR="007C66E0" w:rsidRPr="0006336F">
        <w:rPr>
          <w:lang w:eastAsia="en-US"/>
        </w:rPr>
        <w:t>, sustainability and liveability outcomes</w:t>
      </w:r>
      <w:r w:rsidRPr="0006336F">
        <w:rPr>
          <w:lang w:eastAsia="en-US"/>
        </w:rPr>
        <w:t xml:space="preserve">. We are supporting small businesses to </w:t>
      </w:r>
      <w:r w:rsidR="005D34CF" w:rsidRPr="0006336F">
        <w:rPr>
          <w:lang w:eastAsia="en-US"/>
        </w:rPr>
        <w:t>invest in energy efficiency and storage</w:t>
      </w:r>
      <w:r w:rsidRPr="0006336F">
        <w:rPr>
          <w:lang w:eastAsia="en-US"/>
        </w:rPr>
        <w:t xml:space="preserve"> through our Small Business Energy Incentive. </w:t>
      </w:r>
    </w:p>
    <w:p w14:paraId="11EF7EA2" w14:textId="6883AA36" w:rsidR="0025459F" w:rsidRPr="0006336F" w:rsidRDefault="0025459F" w:rsidP="0025459F">
      <w:pPr>
        <w:rPr>
          <w:lang w:eastAsia="en-US"/>
        </w:rPr>
      </w:pPr>
      <w:r w:rsidRPr="0006336F">
        <w:rPr>
          <w:lang w:eastAsia="en-US"/>
        </w:rPr>
        <w:t xml:space="preserve">These actions have been supported by </w:t>
      </w:r>
      <w:r w:rsidR="007A693D" w:rsidRPr="0006336F">
        <w:rPr>
          <w:lang w:eastAsia="en-US"/>
        </w:rPr>
        <w:t>the Treasurer</w:t>
      </w:r>
      <w:r w:rsidR="00B16861">
        <w:rPr>
          <w:lang w:eastAsia="en-US"/>
        </w:rPr>
        <w:t>’</w:t>
      </w:r>
      <w:r w:rsidR="007A693D" w:rsidRPr="0006336F">
        <w:rPr>
          <w:lang w:eastAsia="en-US"/>
        </w:rPr>
        <w:t>s Investor Roundtables</w:t>
      </w:r>
      <w:r w:rsidR="004F2E59" w:rsidRPr="0006336F">
        <w:rPr>
          <w:lang w:eastAsia="en-US"/>
        </w:rPr>
        <w:t>,</w:t>
      </w:r>
      <w:r w:rsidRPr="0006336F">
        <w:rPr>
          <w:lang w:eastAsia="en-US"/>
        </w:rPr>
        <w:t xml:space="preserve"> </w:t>
      </w:r>
      <w:r w:rsidR="004F2E59" w:rsidRPr="0006336F">
        <w:rPr>
          <w:lang w:eastAsia="en-US"/>
        </w:rPr>
        <w:t>which bring together</w:t>
      </w:r>
      <w:r w:rsidRPr="0006336F">
        <w:rPr>
          <w:lang w:eastAsia="en-US"/>
        </w:rPr>
        <w:t xml:space="preserve"> global asset managers, investors, superannuation funds</w:t>
      </w:r>
      <w:r w:rsidR="00151003" w:rsidRPr="0006336F">
        <w:rPr>
          <w:lang w:eastAsia="en-US"/>
        </w:rPr>
        <w:t>,</w:t>
      </w:r>
      <w:r w:rsidRPr="0006336F">
        <w:rPr>
          <w:lang w:eastAsia="en-US"/>
        </w:rPr>
        <w:t xml:space="preserve"> banks </w:t>
      </w:r>
      <w:r w:rsidR="00151003" w:rsidRPr="0006336F">
        <w:rPr>
          <w:lang w:eastAsia="en-US"/>
        </w:rPr>
        <w:t>and relevant experts</w:t>
      </w:r>
      <w:r w:rsidRPr="0006336F">
        <w:rPr>
          <w:lang w:eastAsia="en-US"/>
        </w:rPr>
        <w:t xml:space="preserve"> to help</w:t>
      </w:r>
      <w:r w:rsidR="00151003" w:rsidRPr="0006336F">
        <w:rPr>
          <w:lang w:eastAsia="en-US"/>
        </w:rPr>
        <w:t xml:space="preserve"> identify and overcome barriers to </w:t>
      </w:r>
      <w:r w:rsidRPr="0006336F">
        <w:rPr>
          <w:lang w:eastAsia="en-US"/>
        </w:rPr>
        <w:t xml:space="preserve">investment in </w:t>
      </w:r>
      <w:r w:rsidR="00151003" w:rsidRPr="0006336F">
        <w:rPr>
          <w:lang w:eastAsia="en-US"/>
        </w:rPr>
        <w:t>priority</w:t>
      </w:r>
      <w:r w:rsidRPr="0006336F">
        <w:rPr>
          <w:lang w:eastAsia="en-US"/>
        </w:rPr>
        <w:t xml:space="preserve"> areas</w:t>
      </w:r>
      <w:r w:rsidR="00151003" w:rsidRPr="0006336F">
        <w:rPr>
          <w:lang w:eastAsia="en-US"/>
        </w:rPr>
        <w:t>,</w:t>
      </w:r>
      <w:r w:rsidRPr="0006336F">
        <w:rPr>
          <w:lang w:eastAsia="en-US"/>
        </w:rPr>
        <w:t xml:space="preserve"> including </w:t>
      </w:r>
      <w:r w:rsidR="00CC4753" w:rsidRPr="0006336F">
        <w:rPr>
          <w:lang w:eastAsia="en-US"/>
        </w:rPr>
        <w:t>in</w:t>
      </w:r>
      <w:r w:rsidRPr="0006336F">
        <w:rPr>
          <w:lang w:eastAsia="en-US"/>
        </w:rPr>
        <w:t xml:space="preserve"> housing and the net zero </w:t>
      </w:r>
      <w:r w:rsidR="00B7053C" w:rsidRPr="0006336F">
        <w:rPr>
          <w:lang w:eastAsia="en-US"/>
        </w:rPr>
        <w:t>transformation</w:t>
      </w:r>
      <w:r w:rsidRPr="0006336F">
        <w:rPr>
          <w:lang w:eastAsia="en-US"/>
        </w:rPr>
        <w:t>.</w:t>
      </w:r>
    </w:p>
    <w:p w14:paraId="2BD9D35C" w14:textId="7EB11C1B" w:rsidR="0025459F" w:rsidRPr="0006336F" w:rsidRDefault="0025459F" w:rsidP="00835FDB">
      <w:pPr>
        <w:tabs>
          <w:tab w:val="left" w:pos="7088"/>
        </w:tabs>
        <w:rPr>
          <w:lang w:eastAsia="en-US"/>
        </w:rPr>
      </w:pPr>
      <w:r w:rsidRPr="0006336F">
        <w:rPr>
          <w:lang w:eastAsia="en-US"/>
        </w:rPr>
        <w:t xml:space="preserve">We are modernising markets so people and businesses can trade </w:t>
      </w:r>
      <w:r w:rsidR="0070462B" w:rsidRPr="0006336F">
        <w:rPr>
          <w:lang w:eastAsia="en-US"/>
        </w:rPr>
        <w:t xml:space="preserve">more </w:t>
      </w:r>
      <w:r w:rsidR="00F71545" w:rsidRPr="0006336F">
        <w:rPr>
          <w:lang w:eastAsia="en-US"/>
        </w:rPr>
        <w:t>efficiently</w:t>
      </w:r>
      <w:r w:rsidRPr="0006336F">
        <w:rPr>
          <w:lang w:eastAsia="en-US"/>
        </w:rPr>
        <w:t xml:space="preserve"> and safe</w:t>
      </w:r>
      <w:r w:rsidR="005A7791" w:rsidRPr="0006336F">
        <w:rPr>
          <w:lang w:eastAsia="en-US"/>
        </w:rPr>
        <w:t>ly</w:t>
      </w:r>
      <w:r w:rsidRPr="0006336F">
        <w:rPr>
          <w:lang w:eastAsia="en-US"/>
        </w:rPr>
        <w:t>. The</w:t>
      </w:r>
      <w:r w:rsidR="000602AE">
        <w:rPr>
          <w:lang w:eastAsia="en-US"/>
        </w:rPr>
        <w:t> </w:t>
      </w:r>
      <w:r w:rsidRPr="0006336F">
        <w:rPr>
          <w:lang w:eastAsia="en-US"/>
        </w:rPr>
        <w:t xml:space="preserve">Strategic Plan for the Payments System </w:t>
      </w:r>
      <w:r w:rsidR="00C159DE" w:rsidRPr="0006336F">
        <w:rPr>
          <w:lang w:eastAsia="en-US"/>
        </w:rPr>
        <w:t>is</w:t>
      </w:r>
      <w:r w:rsidRPr="0006336F">
        <w:rPr>
          <w:lang w:eastAsia="en-US"/>
        </w:rPr>
        <w:t xml:space="preserve"> modernis</w:t>
      </w:r>
      <w:r w:rsidR="00C159DE" w:rsidRPr="0006336F">
        <w:rPr>
          <w:lang w:eastAsia="en-US"/>
        </w:rPr>
        <w:t>ing</w:t>
      </w:r>
      <w:r w:rsidRPr="0006336F">
        <w:rPr>
          <w:lang w:eastAsia="en-US"/>
        </w:rPr>
        <w:t xml:space="preserve"> our payments system, enabl</w:t>
      </w:r>
      <w:r w:rsidR="00C159DE" w:rsidRPr="0006336F">
        <w:rPr>
          <w:lang w:eastAsia="en-US"/>
        </w:rPr>
        <w:t>ing</w:t>
      </w:r>
      <w:r w:rsidRPr="0006336F">
        <w:rPr>
          <w:lang w:eastAsia="en-US"/>
        </w:rPr>
        <w:t xml:space="preserve"> greater competition, innovation and productivity across the economy, provid</w:t>
      </w:r>
      <w:r w:rsidR="00C159DE" w:rsidRPr="0006336F">
        <w:rPr>
          <w:lang w:eastAsia="en-US"/>
        </w:rPr>
        <w:t>ing</w:t>
      </w:r>
      <w:r w:rsidRPr="0006336F">
        <w:rPr>
          <w:lang w:eastAsia="en-US"/>
        </w:rPr>
        <w:t xml:space="preserve"> certainty for industry investment, and support</w:t>
      </w:r>
      <w:r w:rsidR="00C159DE" w:rsidRPr="0006336F">
        <w:rPr>
          <w:lang w:eastAsia="en-US"/>
        </w:rPr>
        <w:t>ing</w:t>
      </w:r>
      <w:r w:rsidRPr="0006336F">
        <w:rPr>
          <w:lang w:eastAsia="en-US"/>
        </w:rPr>
        <w:t xml:space="preserve"> new entrants to navigate the regulatory landscape. We are supporting improved competition in our financial markets, </w:t>
      </w:r>
      <w:r w:rsidR="00716216" w:rsidRPr="0006336F">
        <w:rPr>
          <w:lang w:eastAsia="en-US"/>
        </w:rPr>
        <w:t>including</w:t>
      </w:r>
      <w:r w:rsidRPr="0006336F">
        <w:rPr>
          <w:lang w:eastAsia="en-US"/>
        </w:rPr>
        <w:t xml:space="preserve"> in clearing and settlement services, to provide any emerging competitors with fair, transparent and non</w:t>
      </w:r>
      <w:r w:rsidR="00B16861">
        <w:rPr>
          <w:lang w:eastAsia="en-US"/>
        </w:rPr>
        <w:noBreakHyphen/>
      </w:r>
      <w:r w:rsidRPr="0006336F">
        <w:rPr>
          <w:lang w:eastAsia="en-US"/>
        </w:rPr>
        <w:t xml:space="preserve">discriminatory access to market infrastructure. </w:t>
      </w:r>
      <w:r w:rsidR="00CF54D0" w:rsidRPr="0006336F">
        <w:t>And we will strengthen Australia</w:t>
      </w:r>
      <w:r w:rsidR="00B16861">
        <w:t>’</w:t>
      </w:r>
      <w:r w:rsidR="00CF54D0" w:rsidRPr="0006336F">
        <w:t>s sustainable finance markets through a Sustainable Finance Strategy, which will seek to ensure Australia</w:t>
      </w:r>
      <w:r w:rsidR="00B16861">
        <w:t>’</w:t>
      </w:r>
      <w:r w:rsidR="00CF54D0" w:rsidRPr="0006336F">
        <w:t xml:space="preserve">s financial markets keep pace with global developments and can effectively support the transition to net zero. </w:t>
      </w:r>
      <w:r w:rsidR="00446B9C" w:rsidRPr="0006336F">
        <w:t xml:space="preserve">Actions underway </w:t>
      </w:r>
      <w:r w:rsidR="00CF54D0" w:rsidRPr="0006336F">
        <w:t xml:space="preserve">include </w:t>
      </w:r>
      <w:r w:rsidR="00C35C78" w:rsidRPr="0006336F">
        <w:t xml:space="preserve">the development of </w:t>
      </w:r>
      <w:r w:rsidR="00CF54D0" w:rsidRPr="0006336F">
        <w:t>a Sovereign Green Bond program</w:t>
      </w:r>
      <w:r w:rsidR="00FD3514">
        <w:t xml:space="preserve"> – </w:t>
      </w:r>
      <w:r w:rsidR="00446B9C" w:rsidRPr="0006336F">
        <w:t xml:space="preserve">this </w:t>
      </w:r>
      <w:r w:rsidR="00202CD0" w:rsidRPr="0006336F">
        <w:t>will enable</w:t>
      </w:r>
      <w:r w:rsidR="00CF54D0" w:rsidRPr="0006336F">
        <w:t xml:space="preserve"> investors to back public projects driving Australia</w:t>
      </w:r>
      <w:r w:rsidR="00B16861">
        <w:t>’</w:t>
      </w:r>
      <w:r w:rsidR="00CF54D0" w:rsidRPr="0006336F">
        <w:t>s net zero transformation and boost the scale and credibility of Australia</w:t>
      </w:r>
      <w:r w:rsidR="00B16861">
        <w:t>’</w:t>
      </w:r>
      <w:r w:rsidR="00CF54D0" w:rsidRPr="0006336F">
        <w:t>s green finance market</w:t>
      </w:r>
      <w:r w:rsidR="00CF54D0" w:rsidRPr="0006336F">
        <w:rPr>
          <w:lang w:eastAsia="en-US"/>
        </w:rPr>
        <w:t>.</w:t>
      </w:r>
      <w:r w:rsidRPr="0006336F">
        <w:rPr>
          <w:lang w:eastAsia="en-US"/>
        </w:rPr>
        <w:t xml:space="preserve"> </w:t>
      </w:r>
    </w:p>
    <w:p w14:paraId="1353A30F" w14:textId="2B1390ED" w:rsidR="0025459F" w:rsidRPr="0006336F" w:rsidRDefault="0025459F" w:rsidP="00D457F4">
      <w:pPr>
        <w:pStyle w:val="Heading4"/>
        <w:rPr>
          <w:lang w:eastAsia="en-US"/>
        </w:rPr>
      </w:pPr>
      <w:r w:rsidRPr="0006336F">
        <w:rPr>
          <w:lang w:eastAsia="en-US"/>
        </w:rPr>
        <w:t>A skilled and adaptable workforce</w:t>
      </w:r>
    </w:p>
    <w:p w14:paraId="0AA330BF" w14:textId="68F55D77" w:rsidR="0025459F" w:rsidRPr="0006336F" w:rsidRDefault="0025459F" w:rsidP="0025459F">
      <w:pPr>
        <w:rPr>
          <w:lang w:eastAsia="en-US"/>
        </w:rPr>
      </w:pPr>
      <w:r w:rsidRPr="0006336F">
        <w:rPr>
          <w:lang w:eastAsia="en-US"/>
        </w:rPr>
        <w:t>The skills of our workforce are a key determinant of productivity growth. A skilled</w:t>
      </w:r>
      <w:r w:rsidR="005959C8" w:rsidRPr="0006336F">
        <w:rPr>
          <w:lang w:eastAsia="en-US"/>
        </w:rPr>
        <w:t>,</w:t>
      </w:r>
      <w:r w:rsidRPr="0006336F">
        <w:rPr>
          <w:lang w:eastAsia="en-US"/>
        </w:rPr>
        <w:t xml:space="preserve"> adaptable workforce will place us in the best position to innovate and diffuse ideas, making the most of the changes in the global economy.</w:t>
      </w:r>
    </w:p>
    <w:p w14:paraId="33F57222" w14:textId="34189056" w:rsidR="00CB662C" w:rsidRPr="0006336F" w:rsidRDefault="00FD3514" w:rsidP="00030C56">
      <w:pPr>
        <w:rPr>
          <w:lang w:eastAsia="en-US"/>
        </w:rPr>
      </w:pPr>
      <w:r>
        <w:rPr>
          <w:lang w:eastAsia="en-US"/>
        </w:rPr>
        <w:lastRenderedPageBreak/>
        <w:t>The Government</w:t>
      </w:r>
      <w:r w:rsidR="0025459F" w:rsidRPr="0006336F">
        <w:rPr>
          <w:lang w:eastAsia="en-US"/>
        </w:rPr>
        <w:t xml:space="preserve"> is </w:t>
      </w:r>
      <w:r w:rsidR="00D43E20" w:rsidRPr="0006336F">
        <w:rPr>
          <w:lang w:eastAsia="en-US"/>
        </w:rPr>
        <w:t xml:space="preserve">driving improvements in the delivery of </w:t>
      </w:r>
      <w:r w:rsidR="0025459F" w:rsidRPr="0006336F">
        <w:rPr>
          <w:lang w:eastAsia="en-US"/>
        </w:rPr>
        <w:t xml:space="preserve">foundation skills and </w:t>
      </w:r>
      <w:r w:rsidR="00C61F0B" w:rsidRPr="0006336F">
        <w:rPr>
          <w:lang w:eastAsia="en-US"/>
        </w:rPr>
        <w:t xml:space="preserve">reforming the </w:t>
      </w:r>
      <w:r w:rsidR="0025459F" w:rsidRPr="0006336F">
        <w:rPr>
          <w:lang w:eastAsia="en-US"/>
        </w:rPr>
        <w:t>tertiary education</w:t>
      </w:r>
      <w:r w:rsidR="00C61F0B" w:rsidRPr="0006336F">
        <w:rPr>
          <w:lang w:eastAsia="en-US"/>
        </w:rPr>
        <w:t xml:space="preserve"> sector to better meet skill needs</w:t>
      </w:r>
      <w:r w:rsidR="00C61567" w:rsidRPr="0006336F">
        <w:rPr>
          <w:lang w:eastAsia="en-US"/>
        </w:rPr>
        <w:t xml:space="preserve">. </w:t>
      </w:r>
      <w:r w:rsidR="001D5724" w:rsidRPr="0006336F">
        <w:rPr>
          <w:lang w:eastAsia="en-US"/>
        </w:rPr>
        <w:t>We are investing in more affordable, accessible, equitable and high</w:t>
      </w:r>
      <w:r w:rsidR="00B16861">
        <w:rPr>
          <w:lang w:eastAsia="en-US"/>
        </w:rPr>
        <w:noBreakHyphen/>
      </w:r>
      <w:r w:rsidR="001D5724" w:rsidRPr="0006336F">
        <w:rPr>
          <w:lang w:eastAsia="en-US"/>
        </w:rPr>
        <w:t xml:space="preserve">quality </w:t>
      </w:r>
      <w:r w:rsidR="00947C3F">
        <w:rPr>
          <w:lang w:eastAsia="en-US"/>
        </w:rPr>
        <w:t>ECEC</w:t>
      </w:r>
      <w:r w:rsidR="001D5724" w:rsidRPr="0006336F">
        <w:rPr>
          <w:lang w:eastAsia="en-US"/>
        </w:rPr>
        <w:t xml:space="preserve"> to support child learning and development, improving school outcomes and teacher </w:t>
      </w:r>
      <w:r w:rsidR="00E73998" w:rsidRPr="0006336F">
        <w:rPr>
          <w:lang w:eastAsia="en-US"/>
        </w:rPr>
        <w:t>effectiv</w:t>
      </w:r>
      <w:r w:rsidR="00160B06" w:rsidRPr="0006336F">
        <w:rPr>
          <w:lang w:eastAsia="en-US"/>
        </w:rPr>
        <w:t>e</w:t>
      </w:r>
      <w:r w:rsidR="00E73998" w:rsidRPr="0006336F">
        <w:rPr>
          <w:lang w:eastAsia="en-US"/>
        </w:rPr>
        <w:t>ness</w:t>
      </w:r>
      <w:r w:rsidR="001D5724" w:rsidRPr="0006336F">
        <w:rPr>
          <w:lang w:eastAsia="en-US"/>
        </w:rPr>
        <w:t xml:space="preserve">, and </w:t>
      </w:r>
      <w:r w:rsidR="0075378A" w:rsidRPr="0006336F">
        <w:rPr>
          <w:lang w:eastAsia="en-US"/>
        </w:rPr>
        <w:t>lifting foundation skills</w:t>
      </w:r>
      <w:r w:rsidR="001E1CAD" w:rsidRPr="0006336F">
        <w:rPr>
          <w:lang w:eastAsia="en-US"/>
        </w:rPr>
        <w:t>, including</w:t>
      </w:r>
      <w:r w:rsidR="0075378A" w:rsidRPr="0006336F">
        <w:rPr>
          <w:lang w:eastAsia="en-US"/>
        </w:rPr>
        <w:t xml:space="preserve"> through the redesign of the Skills for Education and Employment program</w:t>
      </w:r>
      <w:r w:rsidR="001D5724" w:rsidRPr="0006336F">
        <w:rPr>
          <w:lang w:eastAsia="en-US"/>
        </w:rPr>
        <w:t>.</w:t>
      </w:r>
      <w:r w:rsidR="0075378A" w:rsidRPr="0006336F">
        <w:rPr>
          <w:lang w:eastAsia="en-US"/>
        </w:rPr>
        <w:t xml:space="preserve"> </w:t>
      </w:r>
      <w:r w:rsidR="00A63166" w:rsidRPr="0006336F">
        <w:rPr>
          <w:lang w:eastAsia="en-US"/>
        </w:rPr>
        <w:t>Through the</w:t>
      </w:r>
      <w:r w:rsidR="00B342A4" w:rsidRPr="0006336F">
        <w:rPr>
          <w:lang w:eastAsia="en-US"/>
        </w:rPr>
        <w:t xml:space="preserve"> new five</w:t>
      </w:r>
      <w:r w:rsidR="00B16861">
        <w:rPr>
          <w:lang w:eastAsia="en-US"/>
        </w:rPr>
        <w:noBreakHyphen/>
      </w:r>
      <w:r w:rsidR="00B342A4" w:rsidRPr="0006336F">
        <w:rPr>
          <w:lang w:eastAsia="en-US"/>
        </w:rPr>
        <w:t>year</w:t>
      </w:r>
      <w:r w:rsidR="00A63166" w:rsidRPr="0006336F">
        <w:rPr>
          <w:lang w:eastAsia="en-US"/>
        </w:rPr>
        <w:t xml:space="preserve"> National Skills Agreement and </w:t>
      </w:r>
      <w:r w:rsidR="00B342A4" w:rsidRPr="0006336F">
        <w:rPr>
          <w:lang w:eastAsia="en-US"/>
        </w:rPr>
        <w:t xml:space="preserve">Australian </w:t>
      </w:r>
      <w:r w:rsidR="00A63166" w:rsidRPr="0006336F">
        <w:rPr>
          <w:lang w:eastAsia="en-US"/>
        </w:rPr>
        <w:t>Universit</w:t>
      </w:r>
      <w:r w:rsidR="00B342A4" w:rsidRPr="0006336F">
        <w:rPr>
          <w:lang w:eastAsia="en-US"/>
        </w:rPr>
        <w:t>ies</w:t>
      </w:r>
      <w:r w:rsidR="00A63166" w:rsidRPr="0006336F">
        <w:rPr>
          <w:lang w:eastAsia="en-US"/>
        </w:rPr>
        <w:t xml:space="preserve"> Accord, we are also reforming the vocational education and </w:t>
      </w:r>
      <w:r w:rsidR="00B342A4" w:rsidRPr="0006336F">
        <w:rPr>
          <w:lang w:eastAsia="en-US"/>
        </w:rPr>
        <w:t xml:space="preserve">higher education </w:t>
      </w:r>
      <w:r w:rsidR="00A63166" w:rsidRPr="0006336F">
        <w:rPr>
          <w:lang w:eastAsia="en-US"/>
        </w:rPr>
        <w:t>sectors to</w:t>
      </w:r>
      <w:r w:rsidR="00834762" w:rsidRPr="0006336F">
        <w:rPr>
          <w:lang w:eastAsia="en-US"/>
        </w:rPr>
        <w:t xml:space="preserve"> meet current skill needs, </w:t>
      </w:r>
      <w:r w:rsidR="00B329DC" w:rsidRPr="0006336F">
        <w:rPr>
          <w:lang w:eastAsia="en-US"/>
        </w:rPr>
        <w:t xml:space="preserve">including by </w:t>
      </w:r>
      <w:r w:rsidR="00380F34" w:rsidRPr="0006336F">
        <w:rPr>
          <w:lang w:eastAsia="en-US"/>
        </w:rPr>
        <w:t xml:space="preserve">expanding opportunities </w:t>
      </w:r>
      <w:r w:rsidR="00B329DC" w:rsidRPr="0006336F">
        <w:rPr>
          <w:lang w:eastAsia="en-US"/>
        </w:rPr>
        <w:t xml:space="preserve">for </w:t>
      </w:r>
      <w:r w:rsidR="00C11F4C" w:rsidRPr="0006336F">
        <w:rPr>
          <w:lang w:eastAsia="en-US"/>
        </w:rPr>
        <w:t xml:space="preserve">Australians from </w:t>
      </w:r>
      <w:r w:rsidR="00380F34" w:rsidRPr="0006336F">
        <w:rPr>
          <w:lang w:eastAsia="en-US"/>
        </w:rPr>
        <w:t xml:space="preserve">regional areas and </w:t>
      </w:r>
      <w:r w:rsidR="00C11F4C" w:rsidRPr="0006336F">
        <w:rPr>
          <w:lang w:eastAsia="en-US"/>
        </w:rPr>
        <w:t>under</w:t>
      </w:r>
      <w:r w:rsidR="00B16861">
        <w:rPr>
          <w:lang w:eastAsia="en-US"/>
        </w:rPr>
        <w:noBreakHyphen/>
      </w:r>
      <w:r w:rsidR="00C11F4C" w:rsidRPr="0006336F">
        <w:rPr>
          <w:lang w:eastAsia="en-US"/>
        </w:rPr>
        <w:t xml:space="preserve">represented backgrounds to gain tertiary </w:t>
      </w:r>
      <w:r w:rsidR="00380F34" w:rsidRPr="0006336F">
        <w:rPr>
          <w:lang w:eastAsia="en-US"/>
        </w:rPr>
        <w:t>qualifications</w:t>
      </w:r>
      <w:r w:rsidR="00C11F4C" w:rsidRPr="0006336F">
        <w:rPr>
          <w:lang w:eastAsia="en-US"/>
        </w:rPr>
        <w:t xml:space="preserve">. </w:t>
      </w:r>
    </w:p>
    <w:p w14:paraId="352C26DF" w14:textId="0490959B" w:rsidR="00A90E35" w:rsidRPr="0006336F" w:rsidRDefault="00A90E35" w:rsidP="00A90E35">
      <w:pPr>
        <w:rPr>
          <w:lang w:eastAsia="en-US"/>
        </w:rPr>
      </w:pPr>
      <w:r w:rsidRPr="0006336F">
        <w:rPr>
          <w:lang w:eastAsia="en-US"/>
        </w:rPr>
        <w:t>Australia</w:t>
      </w:r>
      <w:r w:rsidR="00B16861">
        <w:rPr>
          <w:lang w:eastAsia="en-US"/>
        </w:rPr>
        <w:t>’</w:t>
      </w:r>
      <w:r w:rsidRPr="0006336F">
        <w:rPr>
          <w:lang w:eastAsia="en-US"/>
        </w:rPr>
        <w:t>s migration system can also do much more to support productivity growth. Migration is not a substitute for investing in skills, but a well</w:t>
      </w:r>
      <w:r w:rsidR="00B16861">
        <w:rPr>
          <w:lang w:eastAsia="en-US"/>
        </w:rPr>
        <w:noBreakHyphen/>
      </w:r>
      <w:r w:rsidRPr="0006336F">
        <w:rPr>
          <w:lang w:eastAsia="en-US"/>
        </w:rPr>
        <w:t xml:space="preserve">designed skilled migration </w:t>
      </w:r>
      <w:r w:rsidR="0042364A" w:rsidRPr="0006336F">
        <w:rPr>
          <w:lang w:eastAsia="en-US"/>
        </w:rPr>
        <w:t xml:space="preserve">program </w:t>
      </w:r>
      <w:r w:rsidRPr="0006336F">
        <w:rPr>
          <w:lang w:eastAsia="en-US"/>
        </w:rPr>
        <w:t xml:space="preserve">can </w:t>
      </w:r>
      <w:r w:rsidR="0042364A" w:rsidRPr="0006336F">
        <w:rPr>
          <w:lang w:eastAsia="en-US"/>
        </w:rPr>
        <w:t xml:space="preserve">complement the skills </w:t>
      </w:r>
      <w:r w:rsidR="000C18C3" w:rsidRPr="0006336F">
        <w:rPr>
          <w:lang w:eastAsia="en-US"/>
        </w:rPr>
        <w:t>of Australians</w:t>
      </w:r>
      <w:r w:rsidR="009643F3" w:rsidRPr="0006336F">
        <w:rPr>
          <w:lang w:eastAsia="en-US"/>
        </w:rPr>
        <w:t>, connect Australian businesses to international markets</w:t>
      </w:r>
      <w:r w:rsidR="000C18C3" w:rsidRPr="0006336F">
        <w:rPr>
          <w:lang w:eastAsia="en-US"/>
        </w:rPr>
        <w:t xml:space="preserve"> and </w:t>
      </w:r>
      <w:r w:rsidR="00F169A4" w:rsidRPr="0006336F">
        <w:rPr>
          <w:lang w:eastAsia="en-US"/>
        </w:rPr>
        <w:t xml:space="preserve">help spread </w:t>
      </w:r>
      <w:r w:rsidR="000C18C3" w:rsidRPr="0006336F">
        <w:rPr>
          <w:lang w:eastAsia="en-US"/>
        </w:rPr>
        <w:t xml:space="preserve">global best </w:t>
      </w:r>
      <w:r w:rsidR="00F169A4" w:rsidRPr="0006336F">
        <w:rPr>
          <w:lang w:eastAsia="en-US"/>
        </w:rPr>
        <w:t>practices</w:t>
      </w:r>
      <w:r w:rsidR="009643F3" w:rsidRPr="0006336F">
        <w:rPr>
          <w:lang w:eastAsia="en-US"/>
        </w:rPr>
        <w:t>.</w:t>
      </w:r>
      <w:r w:rsidR="00112099" w:rsidRPr="0006336F">
        <w:rPr>
          <w:lang w:eastAsia="en-US"/>
        </w:rPr>
        <w:t xml:space="preserve"> </w:t>
      </w:r>
      <w:r w:rsidR="00FD3514">
        <w:rPr>
          <w:lang w:eastAsia="en-US"/>
        </w:rPr>
        <w:t>The Government</w:t>
      </w:r>
      <w:r w:rsidR="00112099" w:rsidRPr="0006336F">
        <w:rPr>
          <w:lang w:eastAsia="en-US"/>
        </w:rPr>
        <w:t xml:space="preserve"> has already </w:t>
      </w:r>
      <w:r w:rsidR="00A72052" w:rsidRPr="0006336F">
        <w:rPr>
          <w:lang w:eastAsia="en-US"/>
        </w:rPr>
        <w:t>taken significant steps to realign skilled migration with Australia</w:t>
      </w:r>
      <w:r w:rsidR="00B16861">
        <w:rPr>
          <w:lang w:eastAsia="en-US"/>
        </w:rPr>
        <w:t>’</w:t>
      </w:r>
      <w:r w:rsidR="00A72052" w:rsidRPr="0006336F">
        <w:rPr>
          <w:lang w:eastAsia="en-US"/>
        </w:rPr>
        <w:t xml:space="preserve">s priorities, including through raising the </w:t>
      </w:r>
      <w:r w:rsidR="002814AB" w:rsidRPr="0006336F">
        <w:rPr>
          <w:lang w:eastAsia="en-US"/>
        </w:rPr>
        <w:t>T</w:t>
      </w:r>
      <w:r w:rsidR="00A72052" w:rsidRPr="0006336F">
        <w:rPr>
          <w:lang w:eastAsia="en-US"/>
        </w:rPr>
        <w:t xml:space="preserve">emporary </w:t>
      </w:r>
      <w:r w:rsidR="002814AB" w:rsidRPr="0006336F">
        <w:rPr>
          <w:lang w:eastAsia="en-US"/>
        </w:rPr>
        <w:t>S</w:t>
      </w:r>
      <w:r w:rsidR="00A72052" w:rsidRPr="0006336F">
        <w:rPr>
          <w:lang w:eastAsia="en-US"/>
        </w:rPr>
        <w:t xml:space="preserve">killed </w:t>
      </w:r>
      <w:r w:rsidR="002814AB" w:rsidRPr="0006336F">
        <w:rPr>
          <w:lang w:eastAsia="en-US"/>
        </w:rPr>
        <w:t>M</w:t>
      </w:r>
      <w:r w:rsidR="00A72052" w:rsidRPr="0006336F">
        <w:rPr>
          <w:lang w:eastAsia="en-US"/>
        </w:rPr>
        <w:t>igration</w:t>
      </w:r>
      <w:r w:rsidR="00A72052" w:rsidRPr="0006336F" w:rsidDel="002814AB">
        <w:rPr>
          <w:lang w:eastAsia="en-US"/>
        </w:rPr>
        <w:t xml:space="preserve"> </w:t>
      </w:r>
      <w:r w:rsidR="002814AB" w:rsidRPr="0006336F">
        <w:rPr>
          <w:lang w:eastAsia="en-US"/>
        </w:rPr>
        <w:t>Income Threshold</w:t>
      </w:r>
      <w:r w:rsidR="00A72052" w:rsidRPr="0006336F">
        <w:rPr>
          <w:lang w:eastAsia="en-US"/>
        </w:rPr>
        <w:t xml:space="preserve"> and </w:t>
      </w:r>
      <w:r w:rsidR="00AB4D37" w:rsidRPr="0006336F">
        <w:rPr>
          <w:lang w:eastAsia="en-US"/>
        </w:rPr>
        <w:t>extending post</w:t>
      </w:r>
      <w:r w:rsidR="00B16861">
        <w:rPr>
          <w:lang w:eastAsia="en-US"/>
        </w:rPr>
        <w:noBreakHyphen/>
      </w:r>
      <w:r w:rsidR="00AB4D37" w:rsidRPr="0006336F">
        <w:rPr>
          <w:lang w:eastAsia="en-US"/>
        </w:rPr>
        <w:t xml:space="preserve">graduation work rights for international students </w:t>
      </w:r>
      <w:r w:rsidR="00847F5F" w:rsidRPr="0006336F">
        <w:rPr>
          <w:lang w:eastAsia="en-US"/>
        </w:rPr>
        <w:t xml:space="preserve">studying in </w:t>
      </w:r>
      <w:r w:rsidR="00AB4D37" w:rsidRPr="0006336F">
        <w:rPr>
          <w:lang w:eastAsia="en-US"/>
        </w:rPr>
        <w:t>priority areas</w:t>
      </w:r>
      <w:r w:rsidR="00847F5F" w:rsidRPr="0006336F">
        <w:rPr>
          <w:lang w:eastAsia="en-US"/>
        </w:rPr>
        <w:t xml:space="preserve">. </w:t>
      </w:r>
      <w:r w:rsidR="00AD360E" w:rsidRPr="0006336F">
        <w:rPr>
          <w:lang w:eastAsia="en-US"/>
        </w:rPr>
        <w:t xml:space="preserve">The </w:t>
      </w:r>
      <w:r w:rsidR="00003579" w:rsidRPr="0006336F">
        <w:rPr>
          <w:lang w:eastAsia="en-US"/>
        </w:rPr>
        <w:t xml:space="preserve">next phase of reforms to the migration system will focus on realigning </w:t>
      </w:r>
      <w:r w:rsidR="00DD4A65" w:rsidRPr="0006336F">
        <w:rPr>
          <w:lang w:eastAsia="en-US"/>
        </w:rPr>
        <w:t>migration</w:t>
      </w:r>
      <w:r w:rsidR="00003579" w:rsidRPr="0006336F">
        <w:rPr>
          <w:lang w:eastAsia="en-US"/>
        </w:rPr>
        <w:t xml:space="preserve"> with Australia</w:t>
      </w:r>
      <w:r w:rsidR="00B16861">
        <w:rPr>
          <w:lang w:eastAsia="en-US"/>
        </w:rPr>
        <w:t>’</w:t>
      </w:r>
      <w:r w:rsidR="00003579" w:rsidRPr="0006336F">
        <w:rPr>
          <w:lang w:eastAsia="en-US"/>
        </w:rPr>
        <w:t xml:space="preserve">s strategic </w:t>
      </w:r>
      <w:r w:rsidR="007D32E3" w:rsidRPr="0006336F">
        <w:rPr>
          <w:lang w:eastAsia="en-US"/>
        </w:rPr>
        <w:t xml:space="preserve">priorities and </w:t>
      </w:r>
      <w:r w:rsidR="00DD4A65" w:rsidRPr="0006336F">
        <w:rPr>
          <w:lang w:eastAsia="en-US"/>
        </w:rPr>
        <w:t xml:space="preserve">amplifying its contribution to productivity growth. </w:t>
      </w:r>
    </w:p>
    <w:p w14:paraId="3CB472C4" w14:textId="0D2983EC" w:rsidR="0025459F" w:rsidRPr="0006336F" w:rsidRDefault="0025459F" w:rsidP="0025459F">
      <w:pPr>
        <w:rPr>
          <w:lang w:eastAsia="en-US"/>
        </w:rPr>
      </w:pPr>
      <w:r w:rsidRPr="0006336F">
        <w:rPr>
          <w:lang w:eastAsia="en-US"/>
        </w:rPr>
        <w:t>These priority areas are discussed in greater detail in</w:t>
      </w:r>
      <w:r w:rsidR="0022228C" w:rsidRPr="0006336F">
        <w:rPr>
          <w:lang w:eastAsia="en-US"/>
        </w:rPr>
        <w:t xml:space="preserve"> </w:t>
      </w:r>
      <w:r w:rsidR="00A64B9A" w:rsidRPr="0006336F">
        <w:rPr>
          <w:lang w:eastAsia="en-US"/>
        </w:rPr>
        <w:t xml:space="preserve">sections on </w:t>
      </w:r>
      <w:r w:rsidR="0022228C" w:rsidRPr="0006336F">
        <w:rPr>
          <w:lang w:eastAsia="en-US"/>
        </w:rPr>
        <w:t xml:space="preserve">Planning for our future workforce, </w:t>
      </w:r>
      <w:r w:rsidR="00AC0CAE" w:rsidRPr="0006336F">
        <w:rPr>
          <w:lang w:eastAsia="en-US"/>
        </w:rPr>
        <w:t>Broadening access to foundation skills, Investing in skills</w:t>
      </w:r>
      <w:r w:rsidR="004E6477" w:rsidRPr="0006336F">
        <w:rPr>
          <w:lang w:eastAsia="en-US"/>
        </w:rPr>
        <w:t>,</w:t>
      </w:r>
      <w:r w:rsidR="00AC0CAE" w:rsidRPr="0006336F">
        <w:rPr>
          <w:lang w:eastAsia="en-US"/>
        </w:rPr>
        <w:t xml:space="preserve"> </w:t>
      </w:r>
      <w:r w:rsidR="00510508" w:rsidRPr="0006336F">
        <w:rPr>
          <w:lang w:eastAsia="en-US"/>
        </w:rPr>
        <w:t>tertiary</w:t>
      </w:r>
      <w:r w:rsidR="00AC0CAE" w:rsidRPr="0006336F">
        <w:rPr>
          <w:lang w:eastAsia="en-US"/>
        </w:rPr>
        <w:t xml:space="preserve"> education and lifelong learning, and </w:t>
      </w:r>
      <w:r w:rsidR="000B3982" w:rsidRPr="0006336F">
        <w:rPr>
          <w:lang w:eastAsia="en-US"/>
        </w:rPr>
        <w:t>Reforming the migration system</w:t>
      </w:r>
      <w:r w:rsidRPr="0006336F">
        <w:rPr>
          <w:lang w:eastAsia="en-US"/>
        </w:rPr>
        <w:t xml:space="preserve">. </w:t>
      </w:r>
    </w:p>
    <w:p w14:paraId="71A399E6" w14:textId="3AE92027" w:rsidR="0025459F" w:rsidRPr="0006336F" w:rsidRDefault="0025459F" w:rsidP="00E933C1">
      <w:pPr>
        <w:pStyle w:val="Heading4"/>
        <w:rPr>
          <w:lang w:eastAsia="en-US"/>
        </w:rPr>
      </w:pPr>
      <w:r w:rsidRPr="0006336F">
        <w:rPr>
          <w:lang w:eastAsia="en-US"/>
        </w:rPr>
        <w:t xml:space="preserve">Harnessing </w:t>
      </w:r>
      <w:r w:rsidR="009E5205">
        <w:rPr>
          <w:lang w:eastAsia="en-US"/>
        </w:rPr>
        <w:t>data and</w:t>
      </w:r>
      <w:r w:rsidRPr="0006336F">
        <w:rPr>
          <w:lang w:eastAsia="en-US"/>
        </w:rPr>
        <w:t xml:space="preserve"> digital technology </w:t>
      </w:r>
    </w:p>
    <w:p w14:paraId="2C53FE72" w14:textId="3EC5FD4B" w:rsidR="0025459F" w:rsidRPr="0006336F" w:rsidRDefault="0025459F" w:rsidP="00D37887">
      <w:pPr>
        <w:keepNext/>
        <w:keepLines/>
        <w:rPr>
          <w:lang w:eastAsia="en-US"/>
        </w:rPr>
      </w:pPr>
      <w:r w:rsidRPr="0006336F">
        <w:rPr>
          <w:lang w:eastAsia="en-US"/>
        </w:rPr>
        <w:t>Data and digital technologies provide opportunities for transformational change in the way we produce goods and services and how market players compete.</w:t>
      </w:r>
      <w:r w:rsidR="000E7FD8" w:rsidRPr="0006336F">
        <w:rPr>
          <w:lang w:eastAsia="en-US"/>
        </w:rPr>
        <w:t xml:space="preserve"> To maximise the impact of this transformation on productivity, the Government is focused on expanding adoption </w:t>
      </w:r>
      <w:r w:rsidR="00030974" w:rsidRPr="0006336F">
        <w:rPr>
          <w:lang w:eastAsia="en-US"/>
        </w:rPr>
        <w:t>across all parts of Australia.</w:t>
      </w:r>
    </w:p>
    <w:p w14:paraId="2D5538DA" w14:textId="1E8E7064" w:rsidR="0025459F" w:rsidRPr="0006336F" w:rsidRDefault="00030974" w:rsidP="0025459F">
      <w:pPr>
        <w:rPr>
          <w:lang w:eastAsia="en-US"/>
        </w:rPr>
      </w:pPr>
      <w:r w:rsidRPr="0006336F">
        <w:rPr>
          <w:lang w:eastAsia="en-US"/>
        </w:rPr>
        <w:t xml:space="preserve">High speed internet connectivity is </w:t>
      </w:r>
      <w:r w:rsidR="005C1B1B" w:rsidRPr="0006336F">
        <w:rPr>
          <w:lang w:eastAsia="en-US"/>
        </w:rPr>
        <w:t xml:space="preserve">the </w:t>
      </w:r>
      <w:r w:rsidRPr="0006336F">
        <w:rPr>
          <w:lang w:eastAsia="en-US"/>
        </w:rPr>
        <w:t xml:space="preserve">backbone of digital </w:t>
      </w:r>
      <w:r w:rsidR="00510508" w:rsidRPr="0006336F">
        <w:rPr>
          <w:lang w:eastAsia="en-US"/>
        </w:rPr>
        <w:t>transformation</w:t>
      </w:r>
      <w:r w:rsidRPr="0006336F">
        <w:rPr>
          <w:lang w:eastAsia="en-US"/>
        </w:rPr>
        <w:t xml:space="preserve">, and </w:t>
      </w:r>
      <w:r w:rsidR="00003A32" w:rsidRPr="0006336F">
        <w:rPr>
          <w:lang w:eastAsia="en-US"/>
        </w:rPr>
        <w:t xml:space="preserve">the Government is </w:t>
      </w:r>
      <w:r w:rsidR="0025459F" w:rsidRPr="0006336F">
        <w:rPr>
          <w:lang w:eastAsia="en-US"/>
        </w:rPr>
        <w:t>expand</w:t>
      </w:r>
      <w:r w:rsidR="00003A32" w:rsidRPr="0006336F">
        <w:rPr>
          <w:lang w:eastAsia="en-US"/>
        </w:rPr>
        <w:t>ing</w:t>
      </w:r>
      <w:r w:rsidR="0025459F" w:rsidRPr="0006336F">
        <w:rPr>
          <w:lang w:eastAsia="en-US"/>
        </w:rPr>
        <w:t xml:space="preserve"> full</w:t>
      </w:r>
      <w:r w:rsidR="00B16861">
        <w:rPr>
          <w:lang w:eastAsia="en-US"/>
        </w:rPr>
        <w:noBreakHyphen/>
      </w:r>
      <w:r w:rsidR="0025459F" w:rsidRPr="0006336F">
        <w:rPr>
          <w:lang w:eastAsia="en-US"/>
        </w:rPr>
        <w:t>fibre NBN access to an additional 1.5</w:t>
      </w:r>
      <w:r w:rsidR="000F0ED2">
        <w:rPr>
          <w:lang w:eastAsia="en-US"/>
        </w:rPr>
        <w:t> million</w:t>
      </w:r>
      <w:r w:rsidR="0025459F" w:rsidRPr="0006336F">
        <w:rPr>
          <w:lang w:eastAsia="en-US"/>
        </w:rPr>
        <w:t xml:space="preserve"> premises by late 2025</w:t>
      </w:r>
      <w:r w:rsidR="00AD1642">
        <w:rPr>
          <w:lang w:eastAsia="en-US"/>
        </w:rPr>
        <w:t>,</w:t>
      </w:r>
      <w:r w:rsidR="0025459F" w:rsidRPr="0006336F">
        <w:rPr>
          <w:lang w:eastAsia="en-US"/>
        </w:rPr>
        <w:t xml:space="preserve"> including at least 660,000</w:t>
      </w:r>
      <w:r w:rsidR="000602AE">
        <w:rPr>
          <w:lang w:eastAsia="en-US"/>
        </w:rPr>
        <w:t> </w:t>
      </w:r>
      <w:r w:rsidR="0025459F" w:rsidRPr="0006336F">
        <w:rPr>
          <w:lang w:eastAsia="en-US"/>
        </w:rPr>
        <w:t>premises in regional Australia.</w:t>
      </w:r>
    </w:p>
    <w:p w14:paraId="3972CA14" w14:textId="1C8347D2" w:rsidR="0025459F" w:rsidRPr="0006336F" w:rsidRDefault="00FD3514" w:rsidP="0025459F">
      <w:pPr>
        <w:rPr>
          <w:lang w:eastAsia="en-US"/>
        </w:rPr>
      </w:pPr>
      <w:r>
        <w:rPr>
          <w:lang w:eastAsia="en-US"/>
        </w:rPr>
        <w:t>The Government</w:t>
      </w:r>
      <w:r w:rsidR="0025459F" w:rsidRPr="0006336F">
        <w:rPr>
          <w:lang w:eastAsia="en-US"/>
        </w:rPr>
        <w:t xml:space="preserve"> is helping all businesses to adopt digital technologies. This includes championing data sharing</w:t>
      </w:r>
      <w:r w:rsidR="008743C3" w:rsidRPr="0006336F">
        <w:rPr>
          <w:lang w:eastAsia="en-US"/>
        </w:rPr>
        <w:t xml:space="preserve">, </w:t>
      </w:r>
      <w:r w:rsidR="0025459F" w:rsidRPr="0006336F">
        <w:rPr>
          <w:lang w:eastAsia="en-US"/>
        </w:rPr>
        <w:t>improv</w:t>
      </w:r>
      <w:r w:rsidR="008743C3" w:rsidRPr="0006336F">
        <w:rPr>
          <w:lang w:eastAsia="en-US"/>
        </w:rPr>
        <w:t>ing</w:t>
      </w:r>
      <w:r w:rsidR="0025459F" w:rsidRPr="0006336F">
        <w:rPr>
          <w:lang w:eastAsia="en-US"/>
        </w:rPr>
        <w:t xml:space="preserve"> the infrastructure and security for data sharing, and supporting innovation, the diffusion of knowledge, and the development of a workforce skilled in adopting digital technologies. </w:t>
      </w:r>
      <w:r>
        <w:rPr>
          <w:lang w:eastAsia="en-US"/>
        </w:rPr>
        <w:t>The Government</w:t>
      </w:r>
      <w:r w:rsidR="00D5744B" w:rsidRPr="0006336F">
        <w:rPr>
          <w:lang w:eastAsia="en-US"/>
        </w:rPr>
        <w:t xml:space="preserve"> is expanding Digital ID into a national, whole</w:t>
      </w:r>
      <w:r w:rsidR="00B16861">
        <w:rPr>
          <w:lang w:eastAsia="en-US"/>
        </w:rPr>
        <w:noBreakHyphen/>
      </w:r>
      <w:r w:rsidR="00D5744B" w:rsidRPr="0006336F">
        <w:rPr>
          <w:lang w:eastAsia="en-US"/>
        </w:rPr>
        <w:t>of</w:t>
      </w:r>
      <w:r w:rsidR="00B16861">
        <w:rPr>
          <w:lang w:eastAsia="en-US"/>
        </w:rPr>
        <w:noBreakHyphen/>
      </w:r>
      <w:r w:rsidR="00D5744B" w:rsidRPr="0006336F">
        <w:rPr>
          <w:lang w:eastAsia="en-US"/>
        </w:rPr>
        <w:t xml:space="preserve">economy system that provides Australians with a secure, convenient, voluntary and inclusive way to verify who they are when accessing services online, without having to provide copies of their personal identity documents to business and government. This has significant productivity benefits, including </w:t>
      </w:r>
      <w:r w:rsidR="00752DBF" w:rsidRPr="0006336F">
        <w:rPr>
          <w:lang w:eastAsia="en-US"/>
        </w:rPr>
        <w:t>streamlined government service delivery.</w:t>
      </w:r>
      <w:r w:rsidR="00276B88" w:rsidRPr="0006336F">
        <w:rPr>
          <w:lang w:eastAsia="en-US"/>
        </w:rPr>
        <w:t xml:space="preserve"> </w:t>
      </w:r>
      <w:r w:rsidR="008F40F3" w:rsidRPr="0006336F">
        <w:rPr>
          <w:lang w:eastAsia="en-US"/>
        </w:rPr>
        <w:t>We</w:t>
      </w:r>
      <w:r w:rsidR="00396C64" w:rsidRPr="0006336F">
        <w:rPr>
          <w:lang w:eastAsia="en-US"/>
        </w:rPr>
        <w:t xml:space="preserve"> a</w:t>
      </w:r>
      <w:r w:rsidR="008F40F3" w:rsidRPr="0006336F">
        <w:rPr>
          <w:lang w:eastAsia="en-US"/>
        </w:rPr>
        <w:t>re also helping businesses adopt advanced and cutting</w:t>
      </w:r>
      <w:r w:rsidR="00B16861">
        <w:rPr>
          <w:lang w:eastAsia="en-US"/>
        </w:rPr>
        <w:noBreakHyphen/>
      </w:r>
      <w:r w:rsidR="008F40F3" w:rsidRPr="0006336F">
        <w:rPr>
          <w:lang w:eastAsia="en-US"/>
        </w:rPr>
        <w:t xml:space="preserve">edge digital technologies, </w:t>
      </w:r>
      <w:r w:rsidR="00FA6D3C" w:rsidRPr="0006336F">
        <w:rPr>
          <w:lang w:eastAsia="en-US"/>
        </w:rPr>
        <w:t xml:space="preserve">through </w:t>
      </w:r>
      <w:r w:rsidR="008F40F3" w:rsidRPr="0006336F">
        <w:rPr>
          <w:lang w:eastAsia="en-US"/>
        </w:rPr>
        <w:t xml:space="preserve">a critical technologies package </w:t>
      </w:r>
      <w:r w:rsidR="008B15FF" w:rsidRPr="0006336F">
        <w:rPr>
          <w:lang w:eastAsia="en-US"/>
        </w:rPr>
        <w:t>that includes</w:t>
      </w:r>
      <w:r w:rsidR="008F40F3" w:rsidRPr="0006336F">
        <w:rPr>
          <w:lang w:eastAsia="en-US"/>
        </w:rPr>
        <w:t xml:space="preserve"> initiatives </w:t>
      </w:r>
      <w:r w:rsidR="00421921" w:rsidRPr="0006336F">
        <w:rPr>
          <w:lang w:eastAsia="en-US"/>
        </w:rPr>
        <w:t>such as</w:t>
      </w:r>
      <w:r w:rsidR="00F442CE" w:rsidRPr="0006336F">
        <w:rPr>
          <w:lang w:eastAsia="en-US"/>
        </w:rPr>
        <w:t xml:space="preserve"> a</w:t>
      </w:r>
      <w:r w:rsidR="00421921" w:rsidRPr="0006336F">
        <w:rPr>
          <w:lang w:eastAsia="en-US"/>
        </w:rPr>
        <w:t xml:space="preserve"> </w:t>
      </w:r>
      <w:r w:rsidR="008F40F3" w:rsidRPr="0006336F">
        <w:rPr>
          <w:lang w:eastAsia="en-US"/>
        </w:rPr>
        <w:t xml:space="preserve">National AI Centre, and we are consulting on a </w:t>
      </w:r>
      <w:r w:rsidR="00553B3A" w:rsidRPr="0006336F">
        <w:rPr>
          <w:lang w:eastAsia="en-US"/>
        </w:rPr>
        <w:t xml:space="preserve">the right guardrails and regulations </w:t>
      </w:r>
      <w:r w:rsidR="008F40F3" w:rsidRPr="0006336F">
        <w:rPr>
          <w:lang w:eastAsia="en-US"/>
        </w:rPr>
        <w:t xml:space="preserve">to promote the safe and responsible use of </w:t>
      </w:r>
      <w:r w:rsidR="00E931AE" w:rsidRPr="0006336F">
        <w:rPr>
          <w:lang w:eastAsia="en-US"/>
        </w:rPr>
        <w:t>AI</w:t>
      </w:r>
      <w:r w:rsidR="008F40F3" w:rsidRPr="0006336F">
        <w:rPr>
          <w:lang w:eastAsia="en-US"/>
        </w:rPr>
        <w:t>.</w:t>
      </w:r>
    </w:p>
    <w:p w14:paraId="3F2B92A0" w14:textId="72F43314" w:rsidR="008F40F3" w:rsidRPr="0006336F" w:rsidRDefault="00D21747" w:rsidP="008F40F3">
      <w:pPr>
        <w:rPr>
          <w:lang w:eastAsia="en-US"/>
        </w:rPr>
      </w:pPr>
      <w:r w:rsidRPr="0006336F">
        <w:rPr>
          <w:lang w:eastAsia="en-US"/>
        </w:rPr>
        <w:t>Broadening adoption also requires b</w:t>
      </w:r>
      <w:r w:rsidR="00C27B5C" w:rsidRPr="0006336F">
        <w:rPr>
          <w:lang w:eastAsia="en-US"/>
        </w:rPr>
        <w:t xml:space="preserve">uilding trust in digital technologies </w:t>
      </w:r>
      <w:r w:rsidRPr="0006336F">
        <w:rPr>
          <w:lang w:eastAsia="en-US"/>
        </w:rPr>
        <w:t>and how they can be used at work</w:t>
      </w:r>
      <w:r w:rsidR="00977B7A" w:rsidRPr="0006336F">
        <w:rPr>
          <w:lang w:eastAsia="en-US"/>
        </w:rPr>
        <w:t xml:space="preserve">. </w:t>
      </w:r>
      <w:r w:rsidR="00FD3514">
        <w:rPr>
          <w:lang w:eastAsia="en-US"/>
        </w:rPr>
        <w:t>The Government</w:t>
      </w:r>
      <w:r w:rsidR="00977B7A" w:rsidRPr="0006336F">
        <w:rPr>
          <w:lang w:eastAsia="en-US"/>
        </w:rPr>
        <w:t xml:space="preserve"> has already elevated cyber security to a national priority and made significant investments in building cyber capabilities, including </w:t>
      </w:r>
      <w:r w:rsidR="008F40F3" w:rsidRPr="0006336F">
        <w:rPr>
          <w:lang w:eastAsia="en-US"/>
        </w:rPr>
        <w:t>developing a 2030 Australian Cyber Security Strategy</w:t>
      </w:r>
      <w:r w:rsidR="003B5422" w:rsidRPr="0006336F">
        <w:rPr>
          <w:lang w:eastAsia="en-US"/>
        </w:rPr>
        <w:t xml:space="preserve"> and supporting small businesses to </w:t>
      </w:r>
      <w:r w:rsidR="00013AFF" w:rsidRPr="0006336F">
        <w:rPr>
          <w:lang w:eastAsia="en-US"/>
        </w:rPr>
        <w:t xml:space="preserve">uplift </w:t>
      </w:r>
      <w:r w:rsidR="003B5422" w:rsidRPr="0006336F">
        <w:rPr>
          <w:lang w:eastAsia="en-US"/>
        </w:rPr>
        <w:t xml:space="preserve">their </w:t>
      </w:r>
      <w:r w:rsidR="008F40F3" w:rsidRPr="0006336F">
        <w:rPr>
          <w:lang w:eastAsia="en-US"/>
        </w:rPr>
        <w:t xml:space="preserve">cyber </w:t>
      </w:r>
      <w:r w:rsidR="003B5422" w:rsidRPr="0006336F">
        <w:rPr>
          <w:lang w:eastAsia="en-US"/>
        </w:rPr>
        <w:t>skills</w:t>
      </w:r>
      <w:r w:rsidR="00013AFF" w:rsidRPr="0006336F">
        <w:rPr>
          <w:lang w:eastAsia="en-US"/>
        </w:rPr>
        <w:t>.</w:t>
      </w:r>
      <w:r w:rsidR="00D4548C" w:rsidRPr="0006336F">
        <w:rPr>
          <w:lang w:eastAsia="en-US"/>
        </w:rPr>
        <w:t xml:space="preserve"> </w:t>
      </w:r>
      <w:r w:rsidR="00C958ED" w:rsidRPr="0006336F">
        <w:rPr>
          <w:lang w:eastAsia="en-US"/>
        </w:rPr>
        <w:t>Going forward, the Government</w:t>
      </w:r>
      <w:r w:rsidR="00792B20" w:rsidRPr="0006336F">
        <w:rPr>
          <w:lang w:eastAsia="en-US"/>
        </w:rPr>
        <w:t xml:space="preserve"> </w:t>
      </w:r>
      <w:r w:rsidR="00707DC2" w:rsidRPr="0006336F">
        <w:rPr>
          <w:lang w:eastAsia="en-US"/>
        </w:rPr>
        <w:t xml:space="preserve">will focus on putting </w:t>
      </w:r>
      <w:r w:rsidR="00792B20" w:rsidRPr="0006336F">
        <w:rPr>
          <w:lang w:eastAsia="en-US"/>
        </w:rPr>
        <w:t xml:space="preserve">guardrails in place that give businesses confidence </w:t>
      </w:r>
      <w:r w:rsidR="008F600E" w:rsidRPr="0006336F">
        <w:rPr>
          <w:lang w:eastAsia="en-US"/>
        </w:rPr>
        <w:t xml:space="preserve">they can trust and leverage new technologies, such as responsible AI. </w:t>
      </w:r>
      <w:r w:rsidR="00E83AD8" w:rsidRPr="0006336F">
        <w:rPr>
          <w:lang w:eastAsia="en-US"/>
        </w:rPr>
        <w:t xml:space="preserve">Together with significant investments </w:t>
      </w:r>
      <w:r w:rsidR="00F8468B" w:rsidRPr="0006336F">
        <w:rPr>
          <w:lang w:eastAsia="en-US"/>
        </w:rPr>
        <w:t>i</w:t>
      </w:r>
      <w:r w:rsidR="00E83AD8" w:rsidRPr="0006336F">
        <w:rPr>
          <w:lang w:eastAsia="en-US"/>
        </w:rPr>
        <w:t xml:space="preserve">n </w:t>
      </w:r>
      <w:r w:rsidR="00F8468B" w:rsidRPr="0006336F">
        <w:rPr>
          <w:lang w:eastAsia="en-US"/>
        </w:rPr>
        <w:t xml:space="preserve">building </w:t>
      </w:r>
      <w:r w:rsidR="00E83AD8" w:rsidRPr="0006336F">
        <w:rPr>
          <w:lang w:eastAsia="en-US"/>
        </w:rPr>
        <w:t xml:space="preserve">digital skills, </w:t>
      </w:r>
      <w:r w:rsidR="00F8468B" w:rsidRPr="0006336F">
        <w:rPr>
          <w:lang w:eastAsia="en-US"/>
        </w:rPr>
        <w:t xml:space="preserve">these initiatives will support businesses to realise the </w:t>
      </w:r>
      <w:r w:rsidR="009C2E41" w:rsidRPr="0006336F">
        <w:rPr>
          <w:lang w:eastAsia="en-US"/>
        </w:rPr>
        <w:t xml:space="preserve">productivity improvements possible through digital technologies. </w:t>
      </w:r>
    </w:p>
    <w:p w14:paraId="2EB489B1" w14:textId="037F4B77" w:rsidR="0025459F" w:rsidRPr="0006336F" w:rsidRDefault="0025459F" w:rsidP="0025459F">
      <w:pPr>
        <w:rPr>
          <w:lang w:eastAsia="en-US"/>
        </w:rPr>
      </w:pPr>
      <w:r w:rsidRPr="0006336F">
        <w:rPr>
          <w:lang w:eastAsia="en-US"/>
        </w:rPr>
        <w:lastRenderedPageBreak/>
        <w:t>These priorities areas are discussed in greater detail in</w:t>
      </w:r>
      <w:r w:rsidR="000B3982" w:rsidRPr="0006336F">
        <w:rPr>
          <w:lang w:eastAsia="en-US"/>
        </w:rPr>
        <w:t xml:space="preserve"> </w:t>
      </w:r>
      <w:r w:rsidR="00E7665F" w:rsidRPr="0006336F">
        <w:rPr>
          <w:lang w:eastAsia="en-US"/>
        </w:rPr>
        <w:t xml:space="preserve">sections on </w:t>
      </w:r>
      <w:r w:rsidR="000B3982" w:rsidRPr="0006336F">
        <w:rPr>
          <w:lang w:eastAsia="en-US"/>
        </w:rPr>
        <w:t xml:space="preserve">Modernising industry and regional policy, Planning our future </w:t>
      </w:r>
      <w:r w:rsidR="0013567B" w:rsidRPr="0006336F">
        <w:rPr>
          <w:lang w:eastAsia="en-US"/>
        </w:rPr>
        <w:t>workforce, and Investing in skills, tertiary education and lifelong learning</w:t>
      </w:r>
      <w:r w:rsidRPr="0006336F">
        <w:rPr>
          <w:lang w:eastAsia="en-US"/>
        </w:rPr>
        <w:t xml:space="preserve">. </w:t>
      </w:r>
    </w:p>
    <w:p w14:paraId="5F131301" w14:textId="45C75B51" w:rsidR="0025459F" w:rsidRPr="0006336F" w:rsidRDefault="0025459F" w:rsidP="00E933C1">
      <w:pPr>
        <w:pStyle w:val="Heading4"/>
        <w:rPr>
          <w:lang w:eastAsia="en-US"/>
        </w:rPr>
      </w:pPr>
      <w:r w:rsidRPr="0006336F">
        <w:rPr>
          <w:lang w:eastAsia="en-US"/>
        </w:rPr>
        <w:t>Deliver</w:t>
      </w:r>
      <w:r w:rsidR="00B91380" w:rsidRPr="0006336F">
        <w:rPr>
          <w:lang w:eastAsia="en-US"/>
        </w:rPr>
        <w:t>ing</w:t>
      </w:r>
      <w:r w:rsidRPr="0006336F">
        <w:rPr>
          <w:lang w:eastAsia="en-US"/>
        </w:rPr>
        <w:t xml:space="preserve"> quality care more efficiently</w:t>
      </w:r>
    </w:p>
    <w:p w14:paraId="5519444F" w14:textId="6BEACA23" w:rsidR="0025459F" w:rsidRPr="0006336F" w:rsidRDefault="0025459F" w:rsidP="0025459F">
      <w:pPr>
        <w:rPr>
          <w:lang w:eastAsia="en-US"/>
        </w:rPr>
      </w:pPr>
      <w:r w:rsidRPr="0006336F">
        <w:rPr>
          <w:lang w:eastAsia="en-US"/>
        </w:rPr>
        <w:t>As</w:t>
      </w:r>
      <w:r w:rsidR="005C0208">
        <w:rPr>
          <w:lang w:eastAsia="en-US"/>
        </w:rPr>
        <w:t xml:space="preserve"> an</w:t>
      </w:r>
      <w:r w:rsidRPr="0006336F">
        <w:rPr>
          <w:lang w:eastAsia="en-US"/>
        </w:rPr>
        <w:t xml:space="preserve"> ageing </w:t>
      </w:r>
      <w:r w:rsidR="005C0208">
        <w:rPr>
          <w:lang w:eastAsia="en-US"/>
        </w:rPr>
        <w:t xml:space="preserve">population </w:t>
      </w:r>
      <w:r w:rsidRPr="0006336F">
        <w:rPr>
          <w:lang w:eastAsia="en-US"/>
        </w:rPr>
        <w:t xml:space="preserve">and rising demand drive growth, finding ways to improve productivity in the </w:t>
      </w:r>
      <w:r w:rsidR="00521F9E" w:rsidRPr="0006336F">
        <w:rPr>
          <w:lang w:eastAsia="en-US"/>
        </w:rPr>
        <w:t>care and support economy</w:t>
      </w:r>
      <w:r w:rsidRPr="0006336F">
        <w:rPr>
          <w:lang w:eastAsia="en-US"/>
        </w:rPr>
        <w:t xml:space="preserve"> will become increasingly important to Australia</w:t>
      </w:r>
      <w:r w:rsidR="00B16861">
        <w:rPr>
          <w:lang w:eastAsia="en-US"/>
        </w:rPr>
        <w:t>’</w:t>
      </w:r>
      <w:r w:rsidRPr="0006336F">
        <w:rPr>
          <w:lang w:eastAsia="en-US"/>
        </w:rPr>
        <w:t>s aggregate productivity performance.</w:t>
      </w:r>
      <w:r w:rsidR="00713471">
        <w:rPr>
          <w:lang w:eastAsia="en-US"/>
        </w:rPr>
        <w:t xml:space="preserve"> </w:t>
      </w:r>
      <w:r w:rsidRPr="0006336F">
        <w:rPr>
          <w:lang w:eastAsia="en-US"/>
        </w:rPr>
        <w:t>A productive and sustainable care and support economy is a core objective of the Government</w:t>
      </w:r>
      <w:r w:rsidR="00B16861">
        <w:rPr>
          <w:lang w:eastAsia="en-US"/>
        </w:rPr>
        <w:t>’</w:t>
      </w:r>
      <w:r w:rsidRPr="0006336F">
        <w:rPr>
          <w:lang w:eastAsia="en-US"/>
        </w:rPr>
        <w:t xml:space="preserve">s forthcoming National </w:t>
      </w:r>
      <w:r w:rsidR="00325A05" w:rsidRPr="0006336F">
        <w:rPr>
          <w:lang w:eastAsia="en-US"/>
        </w:rPr>
        <w:t>Strategy for the</w:t>
      </w:r>
      <w:r w:rsidRPr="0006336F">
        <w:rPr>
          <w:lang w:eastAsia="en-US"/>
        </w:rPr>
        <w:t xml:space="preserve"> Care and Support Economy 2023</w:t>
      </w:r>
      <w:r w:rsidR="005312A2" w:rsidRPr="0006336F">
        <w:rPr>
          <w:lang w:eastAsia="en-US"/>
        </w:rPr>
        <w:t>–</w:t>
      </w:r>
      <w:r w:rsidRPr="0006336F">
        <w:rPr>
          <w:lang w:eastAsia="en-US"/>
        </w:rPr>
        <w:t xml:space="preserve">2033. </w:t>
      </w:r>
      <w:r w:rsidR="003B5AC2" w:rsidRPr="0006336F">
        <w:rPr>
          <w:lang w:eastAsia="en-US"/>
        </w:rPr>
        <w:t xml:space="preserve">In support of this objective, </w:t>
      </w:r>
      <w:r w:rsidRPr="0006336F">
        <w:rPr>
          <w:lang w:eastAsia="en-US"/>
        </w:rPr>
        <w:t>National Cabinet has agreed to work together to streamline worker screening</w:t>
      </w:r>
      <w:r w:rsidR="00C27460" w:rsidRPr="0006336F">
        <w:rPr>
          <w:lang w:eastAsia="en-US"/>
        </w:rPr>
        <w:t xml:space="preserve"> </w:t>
      </w:r>
      <w:r w:rsidR="0041323C" w:rsidRPr="0006336F">
        <w:rPr>
          <w:lang w:eastAsia="en-US"/>
        </w:rPr>
        <w:t>to reduce</w:t>
      </w:r>
      <w:r w:rsidR="00C27460" w:rsidRPr="0006336F">
        <w:rPr>
          <w:lang w:eastAsia="en-US"/>
        </w:rPr>
        <w:t xml:space="preserve"> </w:t>
      </w:r>
      <w:r w:rsidR="00124516" w:rsidRPr="0006336F">
        <w:rPr>
          <w:lang w:eastAsia="en-US"/>
        </w:rPr>
        <w:t>administrative burden and</w:t>
      </w:r>
      <w:r w:rsidRPr="0006336F">
        <w:rPr>
          <w:lang w:eastAsia="en-US"/>
        </w:rPr>
        <w:t xml:space="preserve"> facilitate</w:t>
      </w:r>
      <w:r w:rsidR="00124516" w:rsidRPr="0006336F">
        <w:rPr>
          <w:lang w:eastAsia="en-US"/>
        </w:rPr>
        <w:t xml:space="preserve"> </w:t>
      </w:r>
      <w:r w:rsidRPr="0006336F">
        <w:rPr>
          <w:lang w:eastAsia="en-US"/>
        </w:rPr>
        <w:t>labour mobility</w:t>
      </w:r>
      <w:r w:rsidR="00276B88" w:rsidRPr="0006336F">
        <w:rPr>
          <w:lang w:eastAsia="en-US"/>
        </w:rPr>
        <w:t xml:space="preserve">. </w:t>
      </w:r>
    </w:p>
    <w:p w14:paraId="025B0723" w14:textId="29598605" w:rsidR="004072A6" w:rsidRPr="0006336F" w:rsidRDefault="00595651" w:rsidP="005D17B6">
      <w:pPr>
        <w:rPr>
          <w:lang w:eastAsia="en-US"/>
        </w:rPr>
      </w:pPr>
      <w:r>
        <w:rPr>
          <w:lang w:eastAsia="en-US"/>
        </w:rPr>
        <w:t>The Government is</w:t>
      </w:r>
      <w:r w:rsidR="005D17B6" w:rsidRPr="0006336F">
        <w:rPr>
          <w:lang w:eastAsia="en-US"/>
        </w:rPr>
        <w:t xml:space="preserve"> improving the quality and efficiency of spending including through improving funding and procurement approaches, and driving innovation through better policy evaluation and the diffusion of best practice. Improvements underway include</w:t>
      </w:r>
      <w:r w:rsidR="005935D7" w:rsidRPr="0006336F">
        <w:rPr>
          <w:lang w:eastAsia="en-US"/>
        </w:rPr>
        <w:t xml:space="preserve"> the</w:t>
      </w:r>
      <w:r w:rsidR="005D17B6" w:rsidRPr="0006336F">
        <w:rPr>
          <w:lang w:eastAsia="en-US"/>
        </w:rPr>
        <w:t xml:space="preserve"> introduc</w:t>
      </w:r>
      <w:r w:rsidR="005935D7" w:rsidRPr="0006336F">
        <w:rPr>
          <w:lang w:eastAsia="en-US"/>
        </w:rPr>
        <w:t>tion</w:t>
      </w:r>
      <w:r w:rsidR="00700032" w:rsidRPr="0006336F">
        <w:rPr>
          <w:lang w:eastAsia="en-US"/>
        </w:rPr>
        <w:t xml:space="preserve"> of</w:t>
      </w:r>
      <w:r w:rsidR="005D17B6" w:rsidRPr="0006336F">
        <w:rPr>
          <w:lang w:eastAsia="en-US"/>
        </w:rPr>
        <w:t xml:space="preserve"> a new residential aged care funding model</w:t>
      </w:r>
      <w:r w:rsidR="00700032" w:rsidRPr="0006336F">
        <w:rPr>
          <w:lang w:eastAsia="en-US"/>
        </w:rPr>
        <w:t>, which is targeting funding more closely at care need,</w:t>
      </w:r>
      <w:r w:rsidR="005D17B6" w:rsidRPr="0006336F">
        <w:rPr>
          <w:lang w:eastAsia="en-US"/>
        </w:rPr>
        <w:t xml:space="preserve"> </w:t>
      </w:r>
      <w:r w:rsidR="00744975" w:rsidRPr="0006336F">
        <w:rPr>
          <w:lang w:eastAsia="en-US"/>
        </w:rPr>
        <w:t xml:space="preserve">a new </w:t>
      </w:r>
      <w:r w:rsidR="005D17B6" w:rsidRPr="0006336F">
        <w:rPr>
          <w:lang w:eastAsia="en-US"/>
        </w:rPr>
        <w:t>star ratings</w:t>
      </w:r>
      <w:r w:rsidR="00744975" w:rsidRPr="0006336F">
        <w:rPr>
          <w:lang w:eastAsia="en-US"/>
        </w:rPr>
        <w:t xml:space="preserve"> system for aged care providers</w:t>
      </w:r>
      <w:r w:rsidR="005D17B6" w:rsidRPr="0006336F">
        <w:rPr>
          <w:lang w:eastAsia="en-US"/>
        </w:rPr>
        <w:t xml:space="preserve"> to drive competition</w:t>
      </w:r>
      <w:r w:rsidR="0008244C" w:rsidRPr="0006336F">
        <w:rPr>
          <w:lang w:eastAsia="en-US"/>
        </w:rPr>
        <w:t>,</w:t>
      </w:r>
      <w:r w:rsidR="005D17B6" w:rsidRPr="0006336F">
        <w:rPr>
          <w:lang w:eastAsia="en-US"/>
        </w:rPr>
        <w:t xml:space="preserve"> and increasing dispensing quantities for common medicines. The NDIS Review is looking at the design, operations and sustainability of the NDIS. </w:t>
      </w:r>
      <w:r w:rsidR="00433A53" w:rsidRPr="0006336F">
        <w:rPr>
          <w:lang w:eastAsia="en-US"/>
        </w:rPr>
        <w:t xml:space="preserve">Across the health system more </w:t>
      </w:r>
      <w:r w:rsidR="003118AB" w:rsidRPr="0006336F">
        <w:rPr>
          <w:lang w:eastAsia="en-US"/>
        </w:rPr>
        <w:t>broad</w:t>
      </w:r>
      <w:r w:rsidR="002F0B4E" w:rsidRPr="0006336F">
        <w:rPr>
          <w:lang w:eastAsia="en-US"/>
        </w:rPr>
        <w:t>l</w:t>
      </w:r>
      <w:r w:rsidR="003118AB" w:rsidRPr="0006336F">
        <w:rPr>
          <w:lang w:eastAsia="en-US"/>
        </w:rPr>
        <w:t>y, b</w:t>
      </w:r>
      <w:r w:rsidR="005D17B6" w:rsidRPr="0006336F">
        <w:rPr>
          <w:lang w:eastAsia="en-US"/>
        </w:rPr>
        <w:t xml:space="preserve">y delivering health care at the right time and in the right way, we can </w:t>
      </w:r>
      <w:r w:rsidR="00D66D68" w:rsidRPr="0006336F">
        <w:rPr>
          <w:lang w:eastAsia="en-US"/>
        </w:rPr>
        <w:t>provide</w:t>
      </w:r>
      <w:r w:rsidR="005D17B6" w:rsidRPr="0006336F">
        <w:rPr>
          <w:lang w:eastAsia="en-US"/>
        </w:rPr>
        <w:t xml:space="preserve"> better </w:t>
      </w:r>
      <w:r w:rsidR="00D66D68" w:rsidRPr="0006336F">
        <w:rPr>
          <w:lang w:eastAsia="en-US"/>
        </w:rPr>
        <w:t>care</w:t>
      </w:r>
      <w:r w:rsidR="00C62DAE" w:rsidRPr="0006336F">
        <w:rPr>
          <w:lang w:eastAsia="en-US"/>
        </w:rPr>
        <w:t>,</w:t>
      </w:r>
      <w:r w:rsidR="005D17B6" w:rsidRPr="0006336F">
        <w:rPr>
          <w:lang w:eastAsia="en-US"/>
        </w:rPr>
        <w:t xml:space="preserve"> more efficiently. </w:t>
      </w:r>
      <w:r w:rsidR="007E3BD5" w:rsidRPr="0006336F">
        <w:rPr>
          <w:lang w:eastAsia="en-US"/>
        </w:rPr>
        <w:t xml:space="preserve">This includes </w:t>
      </w:r>
      <w:r w:rsidR="005D17B6" w:rsidRPr="0006336F">
        <w:rPr>
          <w:lang w:eastAsia="en-US"/>
        </w:rPr>
        <w:t>improv</w:t>
      </w:r>
      <w:r w:rsidR="007E3BD5" w:rsidRPr="0006336F">
        <w:rPr>
          <w:lang w:eastAsia="en-US"/>
        </w:rPr>
        <w:t>ing</w:t>
      </w:r>
      <w:r w:rsidR="005D17B6" w:rsidRPr="0006336F">
        <w:rPr>
          <w:lang w:eastAsia="en-US"/>
        </w:rPr>
        <w:t xml:space="preserve"> access to multidisciplinary care for people with chronic conditions in underserviced communities</w:t>
      </w:r>
      <w:r w:rsidR="007E3BD5" w:rsidRPr="0006336F">
        <w:rPr>
          <w:lang w:eastAsia="en-US"/>
        </w:rPr>
        <w:t xml:space="preserve">, </w:t>
      </w:r>
      <w:r w:rsidR="001637E4" w:rsidRPr="0006336F">
        <w:rPr>
          <w:lang w:eastAsia="en-US"/>
        </w:rPr>
        <w:t xml:space="preserve">use of technology, and </w:t>
      </w:r>
      <w:r w:rsidR="00214ACE" w:rsidRPr="0006336F">
        <w:rPr>
          <w:lang w:eastAsia="en-US"/>
        </w:rPr>
        <w:t xml:space="preserve">enabling our health workforce </w:t>
      </w:r>
      <w:r w:rsidR="00137E38" w:rsidRPr="0006336F">
        <w:rPr>
          <w:lang w:eastAsia="en-US"/>
        </w:rPr>
        <w:t>to work as close as possible to the top of their scope</w:t>
      </w:r>
      <w:r w:rsidR="00775113" w:rsidRPr="0006336F">
        <w:rPr>
          <w:lang w:eastAsia="en-US"/>
        </w:rPr>
        <w:t xml:space="preserve"> of practice</w:t>
      </w:r>
      <w:r w:rsidR="00137E38" w:rsidRPr="0006336F">
        <w:rPr>
          <w:lang w:eastAsia="en-US"/>
        </w:rPr>
        <w:t>.</w:t>
      </w:r>
    </w:p>
    <w:p w14:paraId="28419396" w14:textId="7D260A0E" w:rsidR="0025459F" w:rsidRPr="0006336F" w:rsidRDefault="00795021" w:rsidP="0025459F">
      <w:pPr>
        <w:rPr>
          <w:lang w:eastAsia="en-US"/>
        </w:rPr>
      </w:pPr>
      <w:r w:rsidRPr="0006336F">
        <w:rPr>
          <w:lang w:eastAsia="en-US"/>
        </w:rPr>
        <w:t xml:space="preserve">Going forward, the Government is focused on </w:t>
      </w:r>
      <w:r w:rsidR="00AC513F" w:rsidRPr="0006336F">
        <w:rPr>
          <w:lang w:eastAsia="en-US"/>
        </w:rPr>
        <w:t xml:space="preserve">leveraging its </w:t>
      </w:r>
      <w:r w:rsidR="00114644" w:rsidRPr="0006336F">
        <w:rPr>
          <w:lang w:eastAsia="en-US"/>
        </w:rPr>
        <w:t>active role</w:t>
      </w:r>
      <w:r w:rsidR="00A5501D" w:rsidRPr="0006336F">
        <w:rPr>
          <w:lang w:eastAsia="en-US"/>
        </w:rPr>
        <w:t xml:space="preserve"> as a service provider, funder and regulator to</w:t>
      </w:r>
      <w:r w:rsidR="00AA484D" w:rsidRPr="0006336F">
        <w:rPr>
          <w:lang w:eastAsia="en-US"/>
        </w:rPr>
        <w:t xml:space="preserve"> </w:t>
      </w:r>
      <w:r w:rsidR="00932D64" w:rsidRPr="0006336F">
        <w:rPr>
          <w:lang w:eastAsia="en-US"/>
        </w:rPr>
        <w:t xml:space="preserve">promote </w:t>
      </w:r>
      <w:r w:rsidR="00AA484D" w:rsidRPr="0006336F">
        <w:rPr>
          <w:lang w:eastAsia="en-US"/>
        </w:rPr>
        <w:t>productivity</w:t>
      </w:r>
      <w:r w:rsidR="00B16861">
        <w:rPr>
          <w:lang w:eastAsia="en-US"/>
        </w:rPr>
        <w:noBreakHyphen/>
      </w:r>
      <w:r w:rsidR="00AA484D" w:rsidRPr="0006336F">
        <w:rPr>
          <w:lang w:eastAsia="en-US"/>
        </w:rPr>
        <w:t xml:space="preserve">enhancing practices. </w:t>
      </w:r>
      <w:r w:rsidR="0025459F" w:rsidRPr="0006336F">
        <w:rPr>
          <w:lang w:eastAsia="en-US"/>
        </w:rPr>
        <w:t>This means using funding and regulatory tools to shape market behaviour towards desired outcomes that can raise productivity, such as the entry of high</w:t>
      </w:r>
      <w:r w:rsidR="00B16861">
        <w:rPr>
          <w:lang w:eastAsia="en-US"/>
        </w:rPr>
        <w:noBreakHyphen/>
      </w:r>
      <w:r w:rsidR="0025459F" w:rsidRPr="0006336F">
        <w:rPr>
          <w:lang w:eastAsia="en-US"/>
        </w:rPr>
        <w:t>quality providers</w:t>
      </w:r>
      <w:r w:rsidR="002F1E4A" w:rsidRPr="0006336F">
        <w:rPr>
          <w:lang w:eastAsia="en-US"/>
        </w:rPr>
        <w:t xml:space="preserve"> and improved use of assistive and emerging technolog</w:t>
      </w:r>
      <w:r w:rsidR="006B480E" w:rsidRPr="0006336F">
        <w:rPr>
          <w:lang w:eastAsia="en-US"/>
        </w:rPr>
        <w:t>ies</w:t>
      </w:r>
      <w:r w:rsidR="002F1E4A" w:rsidRPr="0006336F">
        <w:rPr>
          <w:lang w:eastAsia="en-US"/>
        </w:rPr>
        <w:t>.</w:t>
      </w:r>
      <w:r w:rsidR="00C8584B" w:rsidRPr="0006336F">
        <w:rPr>
          <w:lang w:eastAsia="en-US"/>
        </w:rPr>
        <w:t xml:space="preserve"> </w:t>
      </w:r>
    </w:p>
    <w:p w14:paraId="668487E5" w14:textId="6762CC8B" w:rsidR="0025459F" w:rsidRPr="0006336F" w:rsidRDefault="0025459F" w:rsidP="0025459F">
      <w:pPr>
        <w:rPr>
          <w:lang w:eastAsia="en-US"/>
        </w:rPr>
      </w:pPr>
      <w:r w:rsidRPr="0006336F">
        <w:rPr>
          <w:lang w:eastAsia="en-US"/>
        </w:rPr>
        <w:t xml:space="preserve">Targeted actions to assist the care and support economy workforce are also discussed in </w:t>
      </w:r>
      <w:r w:rsidR="00AA5C3E" w:rsidRPr="0006336F">
        <w:rPr>
          <w:lang w:eastAsia="en-US"/>
        </w:rPr>
        <w:t>the section on</w:t>
      </w:r>
      <w:r w:rsidR="00831305" w:rsidRPr="0006336F">
        <w:rPr>
          <w:lang w:eastAsia="en-US"/>
        </w:rPr>
        <w:t xml:space="preserve"> </w:t>
      </w:r>
      <w:r w:rsidR="001B6C80" w:rsidRPr="0006336F">
        <w:rPr>
          <w:lang w:eastAsia="en-US"/>
        </w:rPr>
        <w:t>Planning for our future workforce</w:t>
      </w:r>
      <w:r w:rsidRPr="0006336F">
        <w:rPr>
          <w:lang w:eastAsia="en-US"/>
        </w:rPr>
        <w:t>.</w:t>
      </w:r>
    </w:p>
    <w:p w14:paraId="055E4C83" w14:textId="4D8A095B" w:rsidR="0025459F" w:rsidRPr="0006336F" w:rsidRDefault="007B64E9" w:rsidP="00E933C1">
      <w:pPr>
        <w:pStyle w:val="Heading4"/>
        <w:rPr>
          <w:lang w:eastAsia="en-US"/>
        </w:rPr>
      </w:pPr>
      <w:r w:rsidRPr="0006336F">
        <w:rPr>
          <w:lang w:eastAsia="en-US"/>
        </w:rPr>
        <w:t>Investing in cheaper</w:t>
      </w:r>
      <w:r w:rsidR="0025459F" w:rsidRPr="0006336F">
        <w:rPr>
          <w:lang w:eastAsia="en-US"/>
        </w:rPr>
        <w:t>, cleaner energy and the net zero transformation</w:t>
      </w:r>
    </w:p>
    <w:p w14:paraId="6E4732E8" w14:textId="480A107F" w:rsidR="00B91380" w:rsidRPr="0006336F" w:rsidRDefault="00685923" w:rsidP="0025459F">
      <w:pPr>
        <w:rPr>
          <w:lang w:eastAsia="en-US"/>
        </w:rPr>
      </w:pPr>
      <w:r w:rsidRPr="0006336F">
        <w:rPr>
          <w:lang w:eastAsia="en-US"/>
        </w:rPr>
        <w:t>Improving productivity in large and growing sectors is important</w:t>
      </w:r>
      <w:r w:rsidR="00ED2349" w:rsidRPr="0006336F">
        <w:rPr>
          <w:lang w:eastAsia="en-US"/>
        </w:rPr>
        <w:t xml:space="preserve"> because these sectors</w:t>
      </w:r>
      <w:r w:rsidRPr="0006336F">
        <w:rPr>
          <w:lang w:eastAsia="en-US"/>
        </w:rPr>
        <w:t xml:space="preserve"> will have an outsized impact on Australia</w:t>
      </w:r>
      <w:r w:rsidR="00B16861">
        <w:rPr>
          <w:lang w:eastAsia="en-US"/>
        </w:rPr>
        <w:t>’</w:t>
      </w:r>
      <w:r w:rsidRPr="0006336F">
        <w:rPr>
          <w:lang w:eastAsia="en-US"/>
        </w:rPr>
        <w:t xml:space="preserve">s overall productivity outcome. </w:t>
      </w:r>
      <w:r w:rsidR="009155B4" w:rsidRPr="0006336F">
        <w:rPr>
          <w:lang w:eastAsia="en-US"/>
        </w:rPr>
        <w:t>I</w:t>
      </w:r>
      <w:r w:rsidR="00B15F15" w:rsidRPr="0006336F">
        <w:rPr>
          <w:rFonts w:cs="Calibri Light"/>
          <w:szCs w:val="22"/>
        </w:rPr>
        <w:t>n addition</w:t>
      </w:r>
      <w:r w:rsidR="00501099" w:rsidRPr="0006336F">
        <w:rPr>
          <w:rFonts w:cs="Calibri Light"/>
          <w:szCs w:val="22"/>
        </w:rPr>
        <w:t>,</w:t>
      </w:r>
      <w:r w:rsidR="00501099" w:rsidRPr="0006336F" w:rsidDel="00E8641B">
        <w:rPr>
          <w:rFonts w:cs="Calibri Light"/>
          <w:szCs w:val="22"/>
        </w:rPr>
        <w:t xml:space="preserve"> </w:t>
      </w:r>
      <w:r w:rsidR="00E8641B" w:rsidRPr="0006336F">
        <w:rPr>
          <w:rFonts w:cs="Calibri Light"/>
          <w:szCs w:val="22"/>
        </w:rPr>
        <w:t xml:space="preserve">changes </w:t>
      </w:r>
      <w:r w:rsidR="00501099" w:rsidRPr="0006336F">
        <w:rPr>
          <w:rFonts w:cs="Calibri Light"/>
          <w:szCs w:val="22"/>
        </w:rPr>
        <w:t xml:space="preserve">underway in </w:t>
      </w:r>
      <w:r w:rsidR="00ED2349" w:rsidRPr="0006336F">
        <w:rPr>
          <w:rFonts w:cs="Calibri Light"/>
          <w:szCs w:val="22"/>
        </w:rPr>
        <w:t>Australia</w:t>
      </w:r>
      <w:r w:rsidR="00B16861">
        <w:rPr>
          <w:rFonts w:cs="Calibri Light"/>
          <w:szCs w:val="22"/>
        </w:rPr>
        <w:t>’</w:t>
      </w:r>
      <w:r w:rsidR="00ED2349" w:rsidRPr="0006336F">
        <w:rPr>
          <w:rFonts w:cs="Calibri Light"/>
          <w:szCs w:val="22"/>
        </w:rPr>
        <w:t>s</w:t>
      </w:r>
      <w:r w:rsidR="00501099" w:rsidRPr="0006336F">
        <w:rPr>
          <w:rFonts w:cs="Calibri Light"/>
          <w:szCs w:val="22"/>
        </w:rPr>
        <w:t xml:space="preserve"> economy</w:t>
      </w:r>
      <w:r w:rsidR="00C57468" w:rsidRPr="0006336F">
        <w:rPr>
          <w:rFonts w:cs="Calibri Light"/>
          <w:szCs w:val="22"/>
        </w:rPr>
        <w:t>,</w:t>
      </w:r>
      <w:r w:rsidR="00501099" w:rsidRPr="0006336F">
        <w:rPr>
          <w:rFonts w:cs="Calibri Light"/>
          <w:szCs w:val="22"/>
        </w:rPr>
        <w:t xml:space="preserve"> </w:t>
      </w:r>
      <w:r w:rsidR="00FB1104" w:rsidRPr="0006336F">
        <w:rPr>
          <w:rFonts w:cs="Calibri Light"/>
          <w:szCs w:val="22"/>
        </w:rPr>
        <w:t xml:space="preserve">such as </w:t>
      </w:r>
      <w:r w:rsidR="00501099" w:rsidRPr="0006336F">
        <w:rPr>
          <w:rFonts w:cs="Calibri Light"/>
          <w:szCs w:val="22"/>
        </w:rPr>
        <w:t>the potential to generate low</w:t>
      </w:r>
      <w:r w:rsidR="00B16861">
        <w:rPr>
          <w:rFonts w:cs="Calibri Light"/>
          <w:szCs w:val="22"/>
        </w:rPr>
        <w:noBreakHyphen/>
      </w:r>
      <w:r w:rsidR="00501099" w:rsidRPr="0006336F">
        <w:rPr>
          <w:rFonts w:cs="Calibri Light"/>
          <w:szCs w:val="22"/>
        </w:rPr>
        <w:t xml:space="preserve">cost renewable energy, </w:t>
      </w:r>
      <w:r w:rsidR="00C57468" w:rsidRPr="0006336F">
        <w:rPr>
          <w:rFonts w:cs="Calibri Light"/>
          <w:szCs w:val="22"/>
        </w:rPr>
        <w:t>matter because they</w:t>
      </w:r>
      <w:r w:rsidR="00501099" w:rsidRPr="0006336F">
        <w:rPr>
          <w:rFonts w:cs="Calibri Light"/>
          <w:szCs w:val="22"/>
        </w:rPr>
        <w:t xml:space="preserve"> present new avenues to improve productivity</w:t>
      </w:r>
      <w:r w:rsidR="00C57468" w:rsidRPr="0006336F">
        <w:rPr>
          <w:rFonts w:cs="Calibri Light"/>
          <w:szCs w:val="22"/>
        </w:rPr>
        <w:t xml:space="preserve"> and mitigate productivity headwinds</w:t>
      </w:r>
      <w:r w:rsidR="00501099" w:rsidRPr="0006336F">
        <w:rPr>
          <w:rFonts w:cs="Calibri Light"/>
          <w:szCs w:val="22"/>
        </w:rPr>
        <w:t>.</w:t>
      </w:r>
    </w:p>
    <w:p w14:paraId="695691F5" w14:textId="0C7A42F6" w:rsidR="007275EA" w:rsidRPr="0006336F" w:rsidRDefault="007275EA" w:rsidP="0025459F">
      <w:pPr>
        <w:rPr>
          <w:lang w:eastAsia="en-US"/>
        </w:rPr>
      </w:pPr>
      <w:r w:rsidRPr="0006336F">
        <w:rPr>
          <w:lang w:eastAsia="en-US"/>
        </w:rPr>
        <w:t>Australia</w:t>
      </w:r>
      <w:r w:rsidR="00B16861">
        <w:rPr>
          <w:lang w:eastAsia="en-US"/>
        </w:rPr>
        <w:t>’</w:t>
      </w:r>
      <w:r w:rsidRPr="0006336F">
        <w:rPr>
          <w:lang w:eastAsia="en-US"/>
        </w:rPr>
        <w:t xml:space="preserve">s abundant sources of renewable energy, including wind and solar, create an opportunity to become a renewable energy superpower. </w:t>
      </w:r>
      <w:r w:rsidR="00696496" w:rsidRPr="0006336F">
        <w:t xml:space="preserve">Cheaper energy, </w:t>
      </w:r>
      <w:r w:rsidR="00844CFD" w:rsidRPr="0006336F">
        <w:t xml:space="preserve">efficiency improvements and </w:t>
      </w:r>
      <w:r w:rsidR="007E40EE" w:rsidRPr="0006336F">
        <w:t xml:space="preserve">circular economy measures to reduce carbon emissions </w:t>
      </w:r>
      <w:r w:rsidR="00696496" w:rsidRPr="0006336F">
        <w:t xml:space="preserve">will </w:t>
      </w:r>
      <w:r w:rsidR="00BB782F" w:rsidRPr="0006336F">
        <w:t>unlock opportunities to produce more from less</w:t>
      </w:r>
      <w:r w:rsidR="007E40EE" w:rsidRPr="0006336F">
        <w:t xml:space="preserve">. </w:t>
      </w:r>
      <w:r w:rsidR="00C57468" w:rsidRPr="0006336F">
        <w:t>N</w:t>
      </w:r>
      <w:r w:rsidR="007E40EE" w:rsidRPr="0006336F">
        <w:t>ew industries</w:t>
      </w:r>
      <w:r w:rsidR="00485623" w:rsidRPr="0006336F">
        <w:t xml:space="preserve"> that are central to the net zero transformation</w:t>
      </w:r>
      <w:r w:rsidR="007E40EE" w:rsidRPr="0006336F">
        <w:t>, such as green metals and critical minerals</w:t>
      </w:r>
      <w:r w:rsidR="00E140E0" w:rsidRPr="0006336F">
        <w:t>,</w:t>
      </w:r>
      <w:r w:rsidR="007E40EE" w:rsidRPr="0006336F">
        <w:t xml:space="preserve"> present </w:t>
      </w:r>
      <w:r w:rsidR="00C57468" w:rsidRPr="0006336F">
        <w:t xml:space="preserve">new </w:t>
      </w:r>
      <w:r w:rsidR="007E40EE" w:rsidRPr="0006336F">
        <w:t xml:space="preserve">opportunities </w:t>
      </w:r>
      <w:r w:rsidR="00C57468" w:rsidRPr="0006336F">
        <w:t>to add value and diversify</w:t>
      </w:r>
      <w:r w:rsidR="00816BB0" w:rsidRPr="0006336F">
        <w:t xml:space="preserve">. </w:t>
      </w:r>
      <w:r w:rsidR="008435D7" w:rsidRPr="0006336F">
        <w:t xml:space="preserve">By promoting competition, innovation and dynamism through the net zero transformation, </w:t>
      </w:r>
      <w:r w:rsidR="007C3961" w:rsidRPr="0006336F">
        <w:t>Australia can use this historic</w:t>
      </w:r>
      <w:r w:rsidR="00665669" w:rsidRPr="0006336F">
        <w:t xml:space="preserve"> </w:t>
      </w:r>
      <w:r w:rsidR="00400C18" w:rsidRPr="0006336F">
        <w:t>economic</w:t>
      </w:r>
      <w:r w:rsidR="00665669" w:rsidRPr="0006336F">
        <w:t xml:space="preserve"> shift to </w:t>
      </w:r>
      <w:r w:rsidR="004D3055" w:rsidRPr="0006336F">
        <w:t xml:space="preserve">lift productivity across </w:t>
      </w:r>
      <w:r w:rsidR="00302E90" w:rsidRPr="0006336F">
        <w:t>sectors</w:t>
      </w:r>
      <w:r w:rsidR="008518F3" w:rsidRPr="0006336F">
        <w:t xml:space="preserve">. </w:t>
      </w:r>
      <w:r w:rsidR="00FD3514">
        <w:t>The Government</w:t>
      </w:r>
      <w:r w:rsidR="00050D2B" w:rsidRPr="0006336F">
        <w:t xml:space="preserve"> is investing m</w:t>
      </w:r>
      <w:r w:rsidR="008518F3" w:rsidRPr="0006336F">
        <w:t>ore than $40</w:t>
      </w:r>
      <w:r w:rsidR="000F0ED2">
        <w:t> billion</w:t>
      </w:r>
      <w:r w:rsidR="001E7EFE" w:rsidRPr="0006336F">
        <w:t xml:space="preserve"> </w:t>
      </w:r>
      <w:r w:rsidR="00F9069D" w:rsidRPr="0006336F">
        <w:t>to</w:t>
      </w:r>
      <w:r w:rsidR="001E7EFE" w:rsidRPr="0006336F">
        <w:t xml:space="preserve"> </w:t>
      </w:r>
      <w:r w:rsidR="00594C95" w:rsidRPr="0006336F">
        <w:t>realise</w:t>
      </w:r>
      <w:r w:rsidR="001E7EFE" w:rsidRPr="0006336F">
        <w:t xml:space="preserve"> </w:t>
      </w:r>
      <w:r w:rsidR="001E7EFE" w:rsidRPr="0006336F">
        <w:rPr>
          <w:lang w:eastAsia="en-US"/>
        </w:rPr>
        <w:t xml:space="preserve">our </w:t>
      </w:r>
      <w:r w:rsidR="00594C95" w:rsidRPr="0006336F">
        <w:rPr>
          <w:lang w:eastAsia="en-US"/>
        </w:rPr>
        <w:t>ambition</w:t>
      </w:r>
      <w:r w:rsidR="001E7EFE" w:rsidRPr="0006336F">
        <w:rPr>
          <w:lang w:eastAsia="en-US"/>
        </w:rPr>
        <w:t xml:space="preserve"> </w:t>
      </w:r>
      <w:r w:rsidR="00050D2B" w:rsidRPr="0006336F">
        <w:rPr>
          <w:lang w:eastAsia="en-US"/>
        </w:rPr>
        <w:t>to become</w:t>
      </w:r>
      <w:r w:rsidR="001E7EFE" w:rsidRPr="0006336F">
        <w:rPr>
          <w:lang w:eastAsia="en-US"/>
        </w:rPr>
        <w:t xml:space="preserve"> a renewable energy superpower</w:t>
      </w:r>
      <w:r w:rsidR="00594C95" w:rsidRPr="0006336F">
        <w:rPr>
          <w:lang w:eastAsia="en-US"/>
        </w:rPr>
        <w:t>.</w:t>
      </w:r>
    </w:p>
    <w:p w14:paraId="18DD89C3" w14:textId="6A773778" w:rsidR="003C10F3" w:rsidRPr="0006336F" w:rsidRDefault="004229CB" w:rsidP="0025459F">
      <w:r w:rsidRPr="0006336F">
        <w:rPr>
          <w:lang w:eastAsia="en-US"/>
        </w:rPr>
        <w:t xml:space="preserve">The net zero transformation will require significant </w:t>
      </w:r>
      <w:r w:rsidR="006A51DD" w:rsidRPr="0006336F">
        <w:rPr>
          <w:lang w:eastAsia="en-US"/>
        </w:rPr>
        <w:t xml:space="preserve">investment in physical capital. </w:t>
      </w:r>
      <w:r w:rsidR="009E64E1" w:rsidRPr="0006336F">
        <w:rPr>
          <w:lang w:eastAsia="en-US"/>
        </w:rPr>
        <w:t>Getting this right can support</w:t>
      </w:r>
      <w:r w:rsidR="00240449" w:rsidRPr="0006336F">
        <w:rPr>
          <w:lang w:eastAsia="en-US"/>
        </w:rPr>
        <w:t xml:space="preserve"> Australia</w:t>
      </w:r>
      <w:r w:rsidR="00B16861">
        <w:rPr>
          <w:lang w:eastAsia="en-US"/>
        </w:rPr>
        <w:t>’</w:t>
      </w:r>
      <w:r w:rsidR="00240449" w:rsidRPr="0006336F">
        <w:rPr>
          <w:lang w:eastAsia="en-US"/>
        </w:rPr>
        <w:t>s energy sector</w:t>
      </w:r>
      <w:r w:rsidR="0052697E" w:rsidRPr="0006336F">
        <w:rPr>
          <w:lang w:eastAsia="en-US"/>
        </w:rPr>
        <w:t xml:space="preserve"> </w:t>
      </w:r>
      <w:r w:rsidR="009E64E1" w:rsidRPr="0006336F">
        <w:rPr>
          <w:lang w:eastAsia="en-US"/>
        </w:rPr>
        <w:t>to catch</w:t>
      </w:r>
      <w:r w:rsidR="00B16861">
        <w:rPr>
          <w:lang w:eastAsia="en-US"/>
        </w:rPr>
        <w:noBreakHyphen/>
      </w:r>
      <w:r w:rsidR="009E64E1" w:rsidRPr="0006336F">
        <w:rPr>
          <w:lang w:eastAsia="en-US"/>
        </w:rPr>
        <w:t xml:space="preserve">up to </w:t>
      </w:r>
      <w:r w:rsidR="006A51DD" w:rsidRPr="0006336F">
        <w:rPr>
          <w:lang w:eastAsia="en-US"/>
        </w:rPr>
        <w:t xml:space="preserve">the </w:t>
      </w:r>
      <w:r w:rsidR="009E64E1" w:rsidRPr="0006336F">
        <w:rPr>
          <w:lang w:eastAsia="en-US"/>
        </w:rPr>
        <w:t>global</w:t>
      </w:r>
      <w:r w:rsidR="006A51DD" w:rsidRPr="0006336F">
        <w:rPr>
          <w:lang w:eastAsia="en-US"/>
        </w:rPr>
        <w:t xml:space="preserve"> productivity </w:t>
      </w:r>
      <w:r w:rsidR="009E64E1" w:rsidRPr="0006336F">
        <w:rPr>
          <w:lang w:eastAsia="en-US"/>
        </w:rPr>
        <w:t>frontier.</w:t>
      </w:r>
      <w:r w:rsidR="006A51DD" w:rsidRPr="0006336F">
        <w:rPr>
          <w:lang w:eastAsia="en-US"/>
        </w:rPr>
        <w:t xml:space="preserve"> </w:t>
      </w:r>
      <w:r w:rsidR="00FD3514">
        <w:rPr>
          <w:lang w:eastAsia="en-US"/>
        </w:rPr>
        <w:t>The Government</w:t>
      </w:r>
      <w:r w:rsidR="003C10F3" w:rsidRPr="0006336F">
        <w:rPr>
          <w:lang w:eastAsia="en-US"/>
        </w:rPr>
        <w:t xml:space="preserve"> has </w:t>
      </w:r>
      <w:r w:rsidR="005107C3" w:rsidRPr="0006336F">
        <w:rPr>
          <w:lang w:eastAsia="en-US"/>
        </w:rPr>
        <w:t xml:space="preserve">provided </w:t>
      </w:r>
      <w:r w:rsidR="009E64E1" w:rsidRPr="0006336F">
        <w:rPr>
          <w:lang w:eastAsia="en-US"/>
        </w:rPr>
        <w:t xml:space="preserve">the policy </w:t>
      </w:r>
      <w:r w:rsidR="005107C3" w:rsidRPr="0006336F">
        <w:rPr>
          <w:lang w:eastAsia="en-US"/>
        </w:rPr>
        <w:t xml:space="preserve">clarity industry </w:t>
      </w:r>
      <w:r w:rsidR="009E64E1" w:rsidRPr="0006336F">
        <w:rPr>
          <w:lang w:eastAsia="en-US"/>
        </w:rPr>
        <w:t xml:space="preserve">needs </w:t>
      </w:r>
      <w:r w:rsidR="005107C3" w:rsidRPr="0006336F">
        <w:rPr>
          <w:lang w:eastAsia="en-US"/>
        </w:rPr>
        <w:t xml:space="preserve">to </w:t>
      </w:r>
      <w:r w:rsidR="009E64E1" w:rsidRPr="0006336F">
        <w:rPr>
          <w:lang w:eastAsia="en-US"/>
        </w:rPr>
        <w:t>invest</w:t>
      </w:r>
      <w:r w:rsidR="005107C3" w:rsidRPr="0006336F">
        <w:rPr>
          <w:lang w:eastAsia="en-US"/>
        </w:rPr>
        <w:t xml:space="preserve"> by legislating its commitment to </w:t>
      </w:r>
      <w:r w:rsidR="009938B2" w:rsidRPr="0006336F">
        <w:rPr>
          <w:lang w:eastAsia="en-US"/>
        </w:rPr>
        <w:t>a </w:t>
      </w:r>
      <w:r w:rsidR="005107C3" w:rsidRPr="0006336F">
        <w:rPr>
          <w:lang w:eastAsia="en-US"/>
        </w:rPr>
        <w:t>43</w:t>
      </w:r>
      <w:r w:rsidR="00B16861">
        <w:rPr>
          <w:lang w:eastAsia="en-US"/>
        </w:rPr>
        <w:t> per c</w:t>
      </w:r>
      <w:r w:rsidR="00571D6C" w:rsidRPr="0006336F">
        <w:rPr>
          <w:lang w:eastAsia="en-US"/>
        </w:rPr>
        <w:t xml:space="preserve">ent </w:t>
      </w:r>
      <w:r w:rsidR="005107C3" w:rsidRPr="0006336F">
        <w:rPr>
          <w:lang w:eastAsia="en-US"/>
        </w:rPr>
        <w:t>emissions reduction by 2030</w:t>
      </w:r>
      <w:r w:rsidRPr="0006336F">
        <w:rPr>
          <w:lang w:eastAsia="en-US"/>
        </w:rPr>
        <w:t>,</w:t>
      </w:r>
      <w:r w:rsidR="005107C3" w:rsidRPr="0006336F">
        <w:rPr>
          <w:lang w:eastAsia="en-US"/>
        </w:rPr>
        <w:t xml:space="preserve"> reforming the Safeguard Mechanism</w:t>
      </w:r>
      <w:r w:rsidRPr="0006336F">
        <w:rPr>
          <w:lang w:eastAsia="en-US"/>
        </w:rPr>
        <w:t xml:space="preserve"> and taking action to ensure the integrity of Australian Carbon Credit Units</w:t>
      </w:r>
      <w:r w:rsidR="006C0666" w:rsidRPr="0006336F">
        <w:rPr>
          <w:lang w:eastAsia="en-US"/>
        </w:rPr>
        <w:t>.</w:t>
      </w:r>
      <w:r w:rsidR="005107C3" w:rsidRPr="0006336F">
        <w:rPr>
          <w:lang w:eastAsia="en-US"/>
        </w:rPr>
        <w:t xml:space="preserve"> </w:t>
      </w:r>
      <w:r w:rsidR="003D79C5" w:rsidRPr="0006336F">
        <w:rPr>
          <w:lang w:eastAsia="en-US"/>
        </w:rPr>
        <w:t>We are</w:t>
      </w:r>
      <w:r w:rsidR="0008445E" w:rsidRPr="0006336F">
        <w:rPr>
          <w:lang w:eastAsia="en-US"/>
        </w:rPr>
        <w:t xml:space="preserve"> also working closely with state and territory </w:t>
      </w:r>
      <w:r w:rsidR="0008445E" w:rsidRPr="0006336F">
        <w:rPr>
          <w:lang w:eastAsia="en-US"/>
        </w:rPr>
        <w:lastRenderedPageBreak/>
        <w:t>governments to ensure regulatory barriers and planning requirements are well coordinated and do not add unnecessary delays in critical investments.</w:t>
      </w:r>
      <w:r w:rsidR="00B20052" w:rsidRPr="0006336F">
        <w:rPr>
          <w:lang w:eastAsia="en-US"/>
        </w:rPr>
        <w:t xml:space="preserve"> </w:t>
      </w:r>
      <w:r w:rsidR="00FD3514">
        <w:rPr>
          <w:lang w:eastAsia="en-US"/>
        </w:rPr>
        <w:t>The Government</w:t>
      </w:r>
      <w:r w:rsidR="00B20052" w:rsidRPr="0006336F">
        <w:rPr>
          <w:lang w:eastAsia="en-US"/>
        </w:rPr>
        <w:t xml:space="preserve"> is introducing internationally aligned requirements for large companies and financial institutions to make consistent and comparable climate</w:t>
      </w:r>
      <w:r w:rsidR="00B16861">
        <w:rPr>
          <w:lang w:eastAsia="en-US"/>
        </w:rPr>
        <w:noBreakHyphen/>
      </w:r>
      <w:r w:rsidR="00B20052" w:rsidRPr="0006336F">
        <w:rPr>
          <w:lang w:eastAsia="en-US"/>
        </w:rPr>
        <w:t xml:space="preserve">related financial disclosures designed to support </w:t>
      </w:r>
      <w:r w:rsidR="0052697E" w:rsidRPr="0006336F">
        <w:rPr>
          <w:lang w:eastAsia="en-US"/>
        </w:rPr>
        <w:t>institutional</w:t>
      </w:r>
      <w:r w:rsidR="00B20052" w:rsidRPr="0006336F">
        <w:rPr>
          <w:lang w:eastAsia="en-US"/>
        </w:rPr>
        <w:t xml:space="preserve"> investment in the net zero transformation. Later this year the Government will also consult on a Sustainable Finance Strategy to reduce barriers to investment and increase the transparency and credibility of Australia</w:t>
      </w:r>
      <w:r w:rsidR="00B16861">
        <w:rPr>
          <w:lang w:eastAsia="en-US"/>
        </w:rPr>
        <w:t>’</w:t>
      </w:r>
      <w:r w:rsidR="00B20052" w:rsidRPr="0006336F">
        <w:rPr>
          <w:lang w:eastAsia="en-US"/>
        </w:rPr>
        <w:t>s sustainable finance markets.</w:t>
      </w:r>
      <w:r w:rsidR="0008445E" w:rsidRPr="0006336F">
        <w:rPr>
          <w:lang w:eastAsia="en-US"/>
        </w:rPr>
        <w:t xml:space="preserve"> </w:t>
      </w:r>
    </w:p>
    <w:p w14:paraId="6C65FD5D" w14:textId="1513BDA0" w:rsidR="0025459F" w:rsidRPr="0006336F" w:rsidRDefault="00C73195" w:rsidP="0025459F">
      <w:pPr>
        <w:rPr>
          <w:lang w:eastAsia="en-US"/>
        </w:rPr>
      </w:pPr>
      <w:r w:rsidRPr="0006336F">
        <w:t xml:space="preserve">The physical impacts of climate change will present </w:t>
      </w:r>
      <w:r w:rsidR="004B4B6D" w:rsidRPr="0006336F">
        <w:t xml:space="preserve">some </w:t>
      </w:r>
      <w:r w:rsidRPr="0006336F">
        <w:t>headwinds to productivity growth</w:t>
      </w:r>
      <w:r w:rsidR="00BB3BEF" w:rsidRPr="0006336F">
        <w:t>. E</w:t>
      </w:r>
      <w:r w:rsidR="008C1EF6" w:rsidRPr="0006336F">
        <w:t xml:space="preserve">ffective action to mitigate emissions </w:t>
      </w:r>
      <w:r w:rsidR="00BB3BEF" w:rsidRPr="0006336F">
        <w:t>and</w:t>
      </w:r>
      <w:r w:rsidR="004B4B6D" w:rsidRPr="0006336F">
        <w:t>,</w:t>
      </w:r>
      <w:r w:rsidR="00BB3BEF" w:rsidRPr="0006336F">
        <w:t xml:space="preserve"> where necessary</w:t>
      </w:r>
      <w:r w:rsidR="00B96539" w:rsidRPr="0006336F">
        <w:t>,</w:t>
      </w:r>
      <w:r w:rsidR="00BB3BEF" w:rsidRPr="0006336F">
        <w:t xml:space="preserve"> to </w:t>
      </w:r>
      <w:r w:rsidR="008C1EF6" w:rsidRPr="0006336F">
        <w:t xml:space="preserve">adapt to </w:t>
      </w:r>
      <w:r w:rsidR="00BB3BEF" w:rsidRPr="0006336F">
        <w:t>higher temperatures and build resilience, will have a significant impact on Australia</w:t>
      </w:r>
      <w:r w:rsidR="00B16861">
        <w:t>’</w:t>
      </w:r>
      <w:r w:rsidR="00BB3BEF" w:rsidRPr="0006336F">
        <w:t xml:space="preserve">s productivity potential. </w:t>
      </w:r>
      <w:r w:rsidR="00085928" w:rsidRPr="0006336F">
        <w:t xml:space="preserve">Supporting </w:t>
      </w:r>
      <w:r w:rsidR="003C10F3" w:rsidRPr="0006336F">
        <w:t>innovation and diffusion</w:t>
      </w:r>
      <w:r w:rsidR="00085928" w:rsidRPr="0006336F">
        <w:t>, such as the development of</w:t>
      </w:r>
      <w:r w:rsidR="003C10F3" w:rsidRPr="0006336F">
        <w:t xml:space="preserve"> climate</w:t>
      </w:r>
      <w:r w:rsidR="00B16861">
        <w:noBreakHyphen/>
      </w:r>
      <w:r w:rsidR="003C10F3" w:rsidRPr="0006336F">
        <w:t>smart agricultural goods</w:t>
      </w:r>
      <w:r w:rsidR="008A78D0" w:rsidRPr="0006336F">
        <w:t>, will play a</w:t>
      </w:r>
      <w:r w:rsidR="00FD7C65" w:rsidRPr="0006336F">
        <w:t xml:space="preserve">n important role in </w:t>
      </w:r>
      <w:r w:rsidR="00265DFF" w:rsidRPr="0006336F">
        <w:t xml:space="preserve">mitigating these impacts. By investing in improved disaster resilience, such as early flood warning systems, </w:t>
      </w:r>
      <w:r w:rsidR="00265DFF" w:rsidRPr="0006336F">
        <w:rPr>
          <w:lang w:eastAsia="en-US"/>
        </w:rPr>
        <w:t xml:space="preserve">and developing a National Climate Adaptation Plan, the Government is </w:t>
      </w:r>
      <w:r w:rsidR="00C40E9B" w:rsidRPr="0006336F">
        <w:rPr>
          <w:lang w:eastAsia="en-US"/>
        </w:rPr>
        <w:t>increasing Australia</w:t>
      </w:r>
      <w:r w:rsidR="00B16861">
        <w:rPr>
          <w:lang w:eastAsia="en-US"/>
        </w:rPr>
        <w:t>’</w:t>
      </w:r>
      <w:r w:rsidR="00C40E9B" w:rsidRPr="0006336F">
        <w:rPr>
          <w:lang w:eastAsia="en-US"/>
        </w:rPr>
        <w:t xml:space="preserve">s resilience to </w:t>
      </w:r>
      <w:r w:rsidR="00303913" w:rsidRPr="0006336F">
        <w:rPr>
          <w:lang w:eastAsia="en-US"/>
        </w:rPr>
        <w:t>floods, bushfires and other extreme weather events, and improving communities</w:t>
      </w:r>
      <w:r w:rsidR="00B16861">
        <w:rPr>
          <w:lang w:eastAsia="en-US"/>
        </w:rPr>
        <w:t>’</w:t>
      </w:r>
      <w:r w:rsidR="00303913" w:rsidRPr="0006336F">
        <w:rPr>
          <w:lang w:eastAsia="en-US"/>
        </w:rPr>
        <w:t xml:space="preserve"> ability to recover. </w:t>
      </w:r>
    </w:p>
    <w:p w14:paraId="2A52F3D4" w14:textId="7A97E5A2" w:rsidR="004B3341" w:rsidRPr="0006336F" w:rsidRDefault="0025459F" w:rsidP="0025459F">
      <w:pPr>
        <w:rPr>
          <w:lang w:eastAsia="en-US"/>
        </w:rPr>
      </w:pPr>
      <w:r w:rsidRPr="0006336F">
        <w:rPr>
          <w:lang w:eastAsia="en-US"/>
        </w:rPr>
        <w:t xml:space="preserve">The potential productivity gains </w:t>
      </w:r>
      <w:r w:rsidR="00C954A1" w:rsidRPr="0006336F">
        <w:rPr>
          <w:lang w:eastAsia="en-US"/>
        </w:rPr>
        <w:t xml:space="preserve">associated with the net zero transformation </w:t>
      </w:r>
      <w:r w:rsidRPr="0006336F">
        <w:rPr>
          <w:lang w:eastAsia="en-US"/>
        </w:rPr>
        <w:t xml:space="preserve">can only be </w:t>
      </w:r>
      <w:r w:rsidR="00C954A1" w:rsidRPr="0006336F">
        <w:rPr>
          <w:lang w:eastAsia="en-US"/>
        </w:rPr>
        <w:t xml:space="preserve">achieved </w:t>
      </w:r>
      <w:r w:rsidRPr="0006336F">
        <w:rPr>
          <w:lang w:eastAsia="en-US"/>
        </w:rPr>
        <w:t xml:space="preserve">if these projects have the workforce available in the right locations with the right skills. </w:t>
      </w:r>
      <w:r w:rsidR="00FD3514">
        <w:rPr>
          <w:lang w:eastAsia="en-US"/>
        </w:rPr>
        <w:t>The Government</w:t>
      </w:r>
      <w:r w:rsidRPr="0006336F">
        <w:rPr>
          <w:lang w:eastAsia="en-US"/>
        </w:rPr>
        <w:t xml:space="preserve"> is working </w:t>
      </w:r>
      <w:r w:rsidR="00AE32BF" w:rsidRPr="0006336F">
        <w:rPr>
          <w:lang w:eastAsia="en-US"/>
        </w:rPr>
        <w:t>on</w:t>
      </w:r>
      <w:r w:rsidRPr="0006336F">
        <w:rPr>
          <w:lang w:eastAsia="en-US"/>
        </w:rPr>
        <w:t xml:space="preserve"> a number of fronts to ensure that the workforce planning required is in place. JSA will </w:t>
      </w:r>
      <w:r w:rsidR="00E47F28" w:rsidRPr="0006336F">
        <w:rPr>
          <w:lang w:eastAsia="en-US"/>
        </w:rPr>
        <w:t>help us understand</w:t>
      </w:r>
      <w:r w:rsidRPr="0006336F">
        <w:rPr>
          <w:lang w:eastAsia="en-US"/>
        </w:rPr>
        <w:t xml:space="preserve"> what skills are required through its Clean Energy Capacity study</w:t>
      </w:r>
      <w:r w:rsidR="00995696" w:rsidRPr="0006336F">
        <w:rPr>
          <w:lang w:eastAsia="en-US"/>
        </w:rPr>
        <w:t>,</w:t>
      </w:r>
      <w:r w:rsidRPr="0006336F">
        <w:rPr>
          <w:lang w:eastAsia="en-US"/>
        </w:rPr>
        <w:t xml:space="preserve"> and the Government </w:t>
      </w:r>
      <w:r w:rsidR="00B033FD" w:rsidRPr="0006336F">
        <w:rPr>
          <w:lang w:eastAsia="en-US"/>
        </w:rPr>
        <w:t xml:space="preserve">is </w:t>
      </w:r>
      <w:r w:rsidR="004C6D4E" w:rsidRPr="0006336F">
        <w:rPr>
          <w:lang w:eastAsia="en-US"/>
        </w:rPr>
        <w:t>esta</w:t>
      </w:r>
      <w:r w:rsidR="002C263C" w:rsidRPr="0006336F">
        <w:rPr>
          <w:lang w:eastAsia="en-US"/>
        </w:rPr>
        <w:t>blishing</w:t>
      </w:r>
      <w:r w:rsidRPr="0006336F">
        <w:rPr>
          <w:lang w:eastAsia="en-US"/>
        </w:rPr>
        <w:t xml:space="preserve"> the </w:t>
      </w:r>
      <w:r w:rsidR="000F0ED2">
        <w:rPr>
          <w:lang w:eastAsia="en-US"/>
        </w:rPr>
        <w:t>Net Zero</w:t>
      </w:r>
      <w:r w:rsidRPr="0006336F">
        <w:rPr>
          <w:lang w:eastAsia="en-US"/>
        </w:rPr>
        <w:t xml:space="preserve"> Authority to help coordinate the transformation </w:t>
      </w:r>
      <w:r w:rsidR="00EE2547" w:rsidRPr="0006336F">
        <w:rPr>
          <w:lang w:eastAsia="en-US"/>
        </w:rPr>
        <w:t>and support</w:t>
      </w:r>
      <w:r w:rsidR="00166C9D" w:rsidRPr="0006336F">
        <w:rPr>
          <w:lang w:eastAsia="en-US"/>
        </w:rPr>
        <w:t xml:space="preserve"> workers </w:t>
      </w:r>
      <w:r w:rsidR="003B6651" w:rsidRPr="0006336F">
        <w:rPr>
          <w:lang w:eastAsia="en-US"/>
        </w:rPr>
        <w:t>into alternative employment opportunities.</w:t>
      </w:r>
      <w:r w:rsidRPr="0006336F">
        <w:rPr>
          <w:lang w:eastAsia="en-US"/>
        </w:rPr>
        <w:t xml:space="preserve"> </w:t>
      </w:r>
      <w:r w:rsidR="00FD3514">
        <w:rPr>
          <w:lang w:eastAsia="en-US"/>
        </w:rPr>
        <w:t>The Government</w:t>
      </w:r>
      <w:r w:rsidR="00F45D86" w:rsidRPr="0006336F">
        <w:rPr>
          <w:lang w:eastAsia="en-US"/>
        </w:rPr>
        <w:t xml:space="preserve"> will coordinate efforts with states and territories through the National Energy Transformation Partnership and delivery of the National Energy Workf</w:t>
      </w:r>
      <w:r w:rsidR="003436F7" w:rsidRPr="0006336F">
        <w:rPr>
          <w:lang w:eastAsia="en-US"/>
        </w:rPr>
        <w:t>or</w:t>
      </w:r>
      <w:r w:rsidR="00F45D86" w:rsidRPr="0006336F">
        <w:rPr>
          <w:lang w:eastAsia="en-US"/>
        </w:rPr>
        <w:t>ce Strategy</w:t>
      </w:r>
      <w:r w:rsidR="00080CCB">
        <w:rPr>
          <w:lang w:eastAsia="en-US"/>
        </w:rPr>
        <w:t>,</w:t>
      </w:r>
      <w:r w:rsidR="00F45D86" w:rsidRPr="0006336F">
        <w:rPr>
          <w:lang w:eastAsia="en-US"/>
        </w:rPr>
        <w:t xml:space="preserve"> which will focus on both energy generation and energy demand workforces.</w:t>
      </w:r>
      <w:r w:rsidRPr="0006336F">
        <w:rPr>
          <w:lang w:eastAsia="en-US"/>
        </w:rPr>
        <w:t xml:space="preserve"> To support the upskilling and reskilling required to achieve the net zero transformation in the most productivity</w:t>
      </w:r>
      <w:r w:rsidR="00B16861">
        <w:rPr>
          <w:lang w:eastAsia="en-US"/>
        </w:rPr>
        <w:noBreakHyphen/>
      </w:r>
      <w:r w:rsidRPr="0006336F">
        <w:rPr>
          <w:lang w:eastAsia="en-US"/>
        </w:rPr>
        <w:t xml:space="preserve">enhancing way, the Government is supporting new and innovative tertiary education programs </w:t>
      </w:r>
      <w:r w:rsidR="00412964" w:rsidRPr="0006336F">
        <w:rPr>
          <w:lang w:eastAsia="en-US"/>
        </w:rPr>
        <w:t>such as the establishment of TAFE Centres of Excellence</w:t>
      </w:r>
      <w:r w:rsidR="0038621E" w:rsidRPr="0006336F">
        <w:rPr>
          <w:lang w:eastAsia="en-US"/>
        </w:rPr>
        <w:t>.</w:t>
      </w:r>
    </w:p>
    <w:p w14:paraId="1D023B05" w14:textId="5A1E2049" w:rsidR="004B3341" w:rsidRPr="0006336F" w:rsidRDefault="004B4B6D" w:rsidP="00475796">
      <w:pPr>
        <w:rPr>
          <w:lang w:eastAsia="en-US"/>
        </w:rPr>
      </w:pPr>
      <w:r w:rsidRPr="0006336F">
        <w:rPr>
          <w:lang w:eastAsia="en-US"/>
        </w:rPr>
        <w:t>These priorit</w:t>
      </w:r>
      <w:r w:rsidR="00F40791" w:rsidRPr="0006336F">
        <w:rPr>
          <w:lang w:eastAsia="en-US"/>
        </w:rPr>
        <w:t xml:space="preserve">y </w:t>
      </w:r>
      <w:r w:rsidRPr="0006336F">
        <w:rPr>
          <w:lang w:eastAsia="en-US"/>
        </w:rPr>
        <w:t xml:space="preserve">areas are discussed in greater detail in </w:t>
      </w:r>
      <w:r w:rsidR="00152B96" w:rsidRPr="0006336F">
        <w:rPr>
          <w:lang w:eastAsia="en-US"/>
        </w:rPr>
        <w:t>the sections on</w:t>
      </w:r>
      <w:r w:rsidR="00601895" w:rsidRPr="0006336F">
        <w:rPr>
          <w:lang w:eastAsia="en-US"/>
        </w:rPr>
        <w:t xml:space="preserve"> </w:t>
      </w:r>
      <w:r w:rsidR="001B6C80" w:rsidRPr="0006336F">
        <w:rPr>
          <w:lang w:eastAsia="en-US"/>
        </w:rPr>
        <w:t xml:space="preserve">Modernising industry and regional policy, Planning for our future workforce, and Investing in skills, </w:t>
      </w:r>
      <w:r w:rsidR="00152B96" w:rsidRPr="0006336F">
        <w:rPr>
          <w:lang w:eastAsia="en-US"/>
        </w:rPr>
        <w:t xml:space="preserve">tertiary </w:t>
      </w:r>
      <w:r w:rsidR="001B6C80" w:rsidRPr="0006336F">
        <w:rPr>
          <w:lang w:eastAsia="en-US"/>
        </w:rPr>
        <w:t>education and lifelong learning</w:t>
      </w:r>
      <w:r w:rsidRPr="0006336F">
        <w:rPr>
          <w:lang w:eastAsia="en-US"/>
        </w:rPr>
        <w:t xml:space="preserve">. </w:t>
      </w:r>
    </w:p>
    <w:p w14:paraId="2A832875" w14:textId="5AAB8459" w:rsidR="0054331F" w:rsidRPr="0006336F" w:rsidRDefault="003627AC" w:rsidP="00F4496B">
      <w:pPr>
        <w:pStyle w:val="Heading3"/>
        <w:rPr>
          <w:lang w:eastAsia="en-US"/>
        </w:rPr>
      </w:pPr>
      <w:r w:rsidRPr="0006336F">
        <w:rPr>
          <w:lang w:eastAsia="en-US"/>
        </w:rPr>
        <w:t>Embed</w:t>
      </w:r>
      <w:r w:rsidR="00FC45CA" w:rsidRPr="0006336F">
        <w:rPr>
          <w:lang w:eastAsia="en-US"/>
        </w:rPr>
        <w:t>ding</w:t>
      </w:r>
      <w:r w:rsidRPr="0006336F">
        <w:rPr>
          <w:lang w:eastAsia="en-US"/>
        </w:rPr>
        <w:t xml:space="preserve"> the fundamentals for secure, well</w:t>
      </w:r>
      <w:r w:rsidR="00B16861">
        <w:rPr>
          <w:lang w:eastAsia="en-US"/>
        </w:rPr>
        <w:noBreakHyphen/>
      </w:r>
      <w:r w:rsidRPr="0006336F">
        <w:rPr>
          <w:lang w:eastAsia="en-US"/>
        </w:rPr>
        <w:t>paid jobs</w:t>
      </w:r>
    </w:p>
    <w:p w14:paraId="7AA5A9CE" w14:textId="16AE5BA8" w:rsidR="00D15E05" w:rsidRPr="0006336F" w:rsidRDefault="00D15E05" w:rsidP="00BC0048">
      <w:pPr>
        <w:pStyle w:val="Heading4"/>
        <w:keepLines/>
        <w:rPr>
          <w:rFonts w:ascii="Calibri Light" w:hAnsi="Calibri Light" w:cs="Times New Roman"/>
          <w:color w:val="auto"/>
          <w:kern w:val="0"/>
          <w:sz w:val="22"/>
          <w:szCs w:val="20"/>
          <w:lang w:eastAsia="en-US"/>
        </w:rPr>
      </w:pPr>
      <w:r w:rsidRPr="0006336F">
        <w:rPr>
          <w:rFonts w:ascii="Calibri Light" w:hAnsi="Calibri Light" w:cs="Times New Roman"/>
          <w:color w:val="auto"/>
          <w:kern w:val="0"/>
          <w:sz w:val="22"/>
          <w:szCs w:val="20"/>
          <w:lang w:eastAsia="en-US"/>
        </w:rPr>
        <w:t xml:space="preserve">A more inclusive, fair and productive labour market is key to achieving our objectives for full employment and wage growth. Reigniting productivity growth through our five pillar agenda will </w:t>
      </w:r>
      <w:r w:rsidR="00EC22BB" w:rsidRPr="0006336F">
        <w:rPr>
          <w:rFonts w:ascii="Calibri Light" w:hAnsi="Calibri Light" w:cs="Times New Roman"/>
          <w:color w:val="auto"/>
          <w:kern w:val="0"/>
          <w:sz w:val="22"/>
          <w:szCs w:val="20"/>
          <w:lang w:eastAsia="en-US"/>
        </w:rPr>
        <w:t>cont</w:t>
      </w:r>
      <w:r w:rsidR="00A80E72" w:rsidRPr="0006336F">
        <w:rPr>
          <w:rFonts w:ascii="Calibri Light" w:hAnsi="Calibri Light" w:cs="Times New Roman"/>
          <w:color w:val="auto"/>
          <w:kern w:val="0"/>
          <w:sz w:val="22"/>
          <w:szCs w:val="20"/>
          <w:lang w:eastAsia="en-US"/>
        </w:rPr>
        <w:t xml:space="preserve">ribute to </w:t>
      </w:r>
      <w:r w:rsidRPr="0006336F">
        <w:rPr>
          <w:rFonts w:ascii="Calibri Light" w:hAnsi="Calibri Light" w:cs="Times New Roman"/>
          <w:color w:val="auto"/>
          <w:kern w:val="0"/>
          <w:sz w:val="22"/>
          <w:szCs w:val="20"/>
          <w:lang w:eastAsia="en-US"/>
        </w:rPr>
        <w:t>sustainably lift</w:t>
      </w:r>
      <w:r w:rsidR="00A80E72" w:rsidRPr="0006336F">
        <w:rPr>
          <w:rFonts w:ascii="Calibri Light" w:hAnsi="Calibri Light" w:cs="Times New Roman"/>
          <w:color w:val="auto"/>
          <w:kern w:val="0"/>
          <w:sz w:val="22"/>
          <w:szCs w:val="20"/>
          <w:lang w:eastAsia="en-US"/>
        </w:rPr>
        <w:t>ing</w:t>
      </w:r>
      <w:r w:rsidRPr="0006336F">
        <w:rPr>
          <w:rFonts w:ascii="Calibri Light" w:hAnsi="Calibri Light" w:cs="Times New Roman"/>
          <w:color w:val="auto"/>
          <w:kern w:val="0"/>
          <w:sz w:val="22"/>
          <w:szCs w:val="20"/>
          <w:lang w:eastAsia="en-US"/>
        </w:rPr>
        <w:t xml:space="preserve"> wage growth. </w:t>
      </w:r>
      <w:r w:rsidR="00174935" w:rsidRPr="0006336F">
        <w:rPr>
          <w:rFonts w:ascii="Calibri Light" w:hAnsi="Calibri Light" w:cs="Times New Roman"/>
          <w:color w:val="auto"/>
          <w:kern w:val="0"/>
          <w:sz w:val="22"/>
          <w:szCs w:val="20"/>
          <w:lang w:eastAsia="en-US"/>
        </w:rPr>
        <w:t>We are</w:t>
      </w:r>
      <w:r w:rsidR="00C525EC" w:rsidRPr="0006336F">
        <w:rPr>
          <w:rFonts w:ascii="Calibri Light" w:hAnsi="Calibri Light" w:cs="Times New Roman"/>
          <w:color w:val="auto"/>
          <w:kern w:val="0"/>
          <w:sz w:val="22"/>
          <w:szCs w:val="20"/>
          <w:lang w:eastAsia="en-US"/>
        </w:rPr>
        <w:t xml:space="preserve"> </w:t>
      </w:r>
      <w:r w:rsidRPr="0006336F">
        <w:rPr>
          <w:rFonts w:ascii="Calibri Light" w:hAnsi="Calibri Light" w:cs="Times New Roman"/>
          <w:color w:val="auto"/>
          <w:kern w:val="0"/>
          <w:sz w:val="22"/>
          <w:szCs w:val="20"/>
          <w:lang w:eastAsia="en-US"/>
        </w:rPr>
        <w:t xml:space="preserve">improving equity in our labour market, including </w:t>
      </w:r>
      <w:r w:rsidR="004F1D5D" w:rsidRPr="0006336F">
        <w:rPr>
          <w:rFonts w:ascii="Calibri Light" w:hAnsi="Calibri Light" w:cs="Times New Roman"/>
          <w:color w:val="auto"/>
          <w:kern w:val="0"/>
          <w:sz w:val="22"/>
          <w:szCs w:val="20"/>
          <w:lang w:eastAsia="en-US"/>
        </w:rPr>
        <w:t xml:space="preserve">through </w:t>
      </w:r>
      <w:r w:rsidRPr="0006336F">
        <w:rPr>
          <w:rFonts w:ascii="Calibri Light" w:hAnsi="Calibri Light" w:cs="Times New Roman"/>
          <w:color w:val="auto"/>
          <w:kern w:val="0"/>
          <w:sz w:val="22"/>
          <w:szCs w:val="20"/>
          <w:lang w:eastAsia="en-US"/>
        </w:rPr>
        <w:t xml:space="preserve">reducing the gender pay gap, advocating for our lowest paid workers, promoting job security and preventing </w:t>
      </w:r>
      <w:r w:rsidR="00BF4E50" w:rsidRPr="0006336F">
        <w:rPr>
          <w:rFonts w:ascii="Calibri Light" w:hAnsi="Calibri Light" w:cs="Times New Roman"/>
          <w:color w:val="auto"/>
          <w:kern w:val="0"/>
          <w:sz w:val="22"/>
          <w:szCs w:val="20"/>
          <w:lang w:eastAsia="en-US"/>
        </w:rPr>
        <w:t>mistreatment of employees, including the exploitation of migrant workers</w:t>
      </w:r>
      <w:r w:rsidR="00E87F68" w:rsidRPr="0006336F">
        <w:rPr>
          <w:rFonts w:ascii="Calibri Light" w:hAnsi="Calibri Light" w:cs="Times New Roman"/>
          <w:color w:val="auto"/>
          <w:kern w:val="0"/>
          <w:sz w:val="22"/>
          <w:szCs w:val="20"/>
          <w:lang w:eastAsia="en-US"/>
        </w:rPr>
        <w:t>.</w:t>
      </w:r>
    </w:p>
    <w:p w14:paraId="0035BD11" w14:textId="5B9C3DB7" w:rsidR="0054331F" w:rsidRPr="0006336F" w:rsidRDefault="0054331F" w:rsidP="0054331F">
      <w:pPr>
        <w:pStyle w:val="Heading4"/>
        <w:rPr>
          <w:lang w:eastAsia="en-US"/>
        </w:rPr>
      </w:pPr>
      <w:r w:rsidRPr="0006336F">
        <w:rPr>
          <w:lang w:eastAsia="en-US"/>
        </w:rPr>
        <w:t>Supporting the lowest paid and job security</w:t>
      </w:r>
    </w:p>
    <w:p w14:paraId="0AF2754C" w14:textId="58E6C2DD" w:rsidR="0054331F" w:rsidRPr="0006336F" w:rsidRDefault="00FD3514" w:rsidP="0054331F">
      <w:pPr>
        <w:rPr>
          <w:lang w:eastAsia="en-US"/>
        </w:rPr>
      </w:pPr>
      <w:r>
        <w:rPr>
          <w:lang w:eastAsia="en-US"/>
        </w:rPr>
        <w:t>The Government</w:t>
      </w:r>
      <w:r w:rsidR="0054331F" w:rsidRPr="0006336F">
        <w:rPr>
          <w:lang w:eastAsia="en-US"/>
        </w:rPr>
        <w:t xml:space="preserve"> has taken action to </w:t>
      </w:r>
      <w:r w:rsidR="00242CB9" w:rsidRPr="0006336F">
        <w:rPr>
          <w:lang w:eastAsia="en-US"/>
        </w:rPr>
        <w:t>support Australia</w:t>
      </w:r>
      <w:r w:rsidR="00B16861">
        <w:rPr>
          <w:lang w:eastAsia="en-US"/>
        </w:rPr>
        <w:t>’</w:t>
      </w:r>
      <w:r w:rsidR="00242CB9" w:rsidRPr="0006336F">
        <w:rPr>
          <w:lang w:eastAsia="en-US"/>
        </w:rPr>
        <w:t xml:space="preserve">s lowest paid workers </w:t>
      </w:r>
      <w:r w:rsidR="0054331F" w:rsidRPr="0006336F">
        <w:rPr>
          <w:lang w:eastAsia="en-US"/>
        </w:rPr>
        <w:t>through its submissions to the Fair Work Commission</w:t>
      </w:r>
      <w:r w:rsidR="00B16861">
        <w:rPr>
          <w:lang w:eastAsia="en-US"/>
        </w:rPr>
        <w:t>’</w:t>
      </w:r>
      <w:r w:rsidR="00AB25BC" w:rsidRPr="0006336F">
        <w:rPr>
          <w:lang w:eastAsia="en-US"/>
        </w:rPr>
        <w:t>s</w:t>
      </w:r>
      <w:r w:rsidR="0054331F" w:rsidRPr="0006336F">
        <w:rPr>
          <w:lang w:eastAsia="en-US"/>
        </w:rPr>
        <w:t xml:space="preserve"> (FWC) </w:t>
      </w:r>
      <w:r w:rsidR="00AB25BC" w:rsidRPr="0006336F">
        <w:rPr>
          <w:lang w:eastAsia="en-US"/>
        </w:rPr>
        <w:t>Annual Wage Review</w:t>
      </w:r>
      <w:r w:rsidR="00213BA8" w:rsidRPr="0006336F">
        <w:rPr>
          <w:lang w:eastAsia="en-US"/>
        </w:rPr>
        <w:t xml:space="preserve"> (AWR)</w:t>
      </w:r>
      <w:r w:rsidR="00AB25BC" w:rsidRPr="0006336F">
        <w:rPr>
          <w:lang w:eastAsia="en-US"/>
        </w:rPr>
        <w:t xml:space="preserve">. </w:t>
      </w:r>
      <w:r w:rsidR="0054331F" w:rsidRPr="0006336F">
        <w:rPr>
          <w:lang w:eastAsia="en-US"/>
        </w:rPr>
        <w:t xml:space="preserve">The </w:t>
      </w:r>
      <w:r w:rsidR="0059629A" w:rsidRPr="0006336F">
        <w:rPr>
          <w:lang w:eastAsia="en-US"/>
        </w:rPr>
        <w:t xml:space="preserve">2023 </w:t>
      </w:r>
      <w:r w:rsidR="00213BA8" w:rsidRPr="0006336F">
        <w:rPr>
          <w:lang w:eastAsia="en-US"/>
        </w:rPr>
        <w:t>AWR</w:t>
      </w:r>
      <w:r w:rsidR="0054331F" w:rsidRPr="0006336F">
        <w:rPr>
          <w:lang w:eastAsia="en-US"/>
        </w:rPr>
        <w:t xml:space="preserve"> decision </w:t>
      </w:r>
      <w:r w:rsidR="000A5C8C" w:rsidRPr="0006336F">
        <w:rPr>
          <w:lang w:eastAsia="en-US"/>
        </w:rPr>
        <w:t>to increase the National Minimum Wage by 8.6</w:t>
      </w:r>
      <w:r w:rsidR="00B16861">
        <w:rPr>
          <w:lang w:eastAsia="en-US"/>
        </w:rPr>
        <w:t> per c</w:t>
      </w:r>
      <w:r w:rsidR="000A5C8C" w:rsidRPr="0006336F">
        <w:rPr>
          <w:lang w:eastAsia="en-US"/>
        </w:rPr>
        <w:t>ent and increase Modern Award wages by 5.75</w:t>
      </w:r>
      <w:r w:rsidR="00B16861">
        <w:rPr>
          <w:lang w:eastAsia="en-US"/>
        </w:rPr>
        <w:t> per c</w:t>
      </w:r>
      <w:r w:rsidR="000A5C8C" w:rsidRPr="0006336F">
        <w:rPr>
          <w:lang w:eastAsia="en-US"/>
        </w:rPr>
        <w:t xml:space="preserve">ent resulted in </w:t>
      </w:r>
      <w:r w:rsidR="0054331F" w:rsidRPr="0006336F">
        <w:rPr>
          <w:lang w:eastAsia="en-US"/>
        </w:rPr>
        <w:t xml:space="preserve">the </w:t>
      </w:r>
      <w:r w:rsidR="002B35FB" w:rsidRPr="0006336F">
        <w:rPr>
          <w:lang w:eastAsia="en-US"/>
        </w:rPr>
        <w:t>largest annual</w:t>
      </w:r>
      <w:r w:rsidR="0054331F" w:rsidRPr="0006336F">
        <w:rPr>
          <w:lang w:eastAsia="en-US"/>
        </w:rPr>
        <w:t xml:space="preserve"> increase</w:t>
      </w:r>
      <w:r w:rsidR="00B50EA7" w:rsidRPr="0006336F">
        <w:rPr>
          <w:lang w:eastAsia="en-US"/>
        </w:rPr>
        <w:t>s</w:t>
      </w:r>
      <w:r w:rsidR="0054331F" w:rsidRPr="0006336F">
        <w:rPr>
          <w:lang w:eastAsia="en-US"/>
        </w:rPr>
        <w:t xml:space="preserve"> in history.</w:t>
      </w:r>
      <w:r w:rsidR="0017059E" w:rsidRPr="0006336F">
        <w:rPr>
          <w:lang w:eastAsia="en-US"/>
        </w:rPr>
        <w:t xml:space="preserve"> </w:t>
      </w:r>
      <w:r>
        <w:rPr>
          <w:lang w:eastAsia="en-US"/>
        </w:rPr>
        <w:t>The Government</w:t>
      </w:r>
      <w:r w:rsidR="0054331F" w:rsidRPr="0006336F">
        <w:rPr>
          <w:lang w:eastAsia="en-US"/>
        </w:rPr>
        <w:t xml:space="preserve"> has also supported the largest ever increase to award </w:t>
      </w:r>
      <w:r w:rsidR="00AA4B1D" w:rsidRPr="0006336F">
        <w:rPr>
          <w:lang w:eastAsia="en-US"/>
        </w:rPr>
        <w:t xml:space="preserve">minimum </w:t>
      </w:r>
      <w:r w:rsidR="0054331F" w:rsidRPr="0006336F">
        <w:rPr>
          <w:lang w:eastAsia="en-US"/>
        </w:rPr>
        <w:t>wages, where the FWC provided an interim increase of 15</w:t>
      </w:r>
      <w:r w:rsidR="00B16861">
        <w:rPr>
          <w:lang w:eastAsia="en-US"/>
        </w:rPr>
        <w:t> per c</w:t>
      </w:r>
      <w:r w:rsidR="0054331F" w:rsidRPr="0006336F">
        <w:rPr>
          <w:lang w:eastAsia="en-US"/>
        </w:rPr>
        <w:t xml:space="preserve">ent to award </w:t>
      </w:r>
      <w:r w:rsidR="00AA4B1D" w:rsidRPr="0006336F">
        <w:rPr>
          <w:lang w:eastAsia="en-US"/>
        </w:rPr>
        <w:t xml:space="preserve">minimum </w:t>
      </w:r>
      <w:r w:rsidR="0054331F" w:rsidRPr="0006336F">
        <w:rPr>
          <w:lang w:eastAsia="en-US"/>
        </w:rPr>
        <w:t xml:space="preserve">wages for many aged care workers. </w:t>
      </w:r>
    </w:p>
    <w:p w14:paraId="128A8F19" w14:textId="41913629" w:rsidR="0054331F" w:rsidRPr="0006336F" w:rsidRDefault="0054331F" w:rsidP="0054331F">
      <w:pPr>
        <w:rPr>
          <w:lang w:eastAsia="en-US"/>
        </w:rPr>
      </w:pPr>
      <w:r w:rsidRPr="0006336F">
        <w:rPr>
          <w:lang w:eastAsia="en-US"/>
        </w:rPr>
        <w:lastRenderedPageBreak/>
        <w:t xml:space="preserve">The </w:t>
      </w:r>
      <w:r w:rsidRPr="001965A3">
        <w:rPr>
          <w:lang w:eastAsia="en-US"/>
        </w:rPr>
        <w:t>Secure Jobs, Better Pay Act</w:t>
      </w:r>
      <w:r w:rsidRPr="0006336F">
        <w:rPr>
          <w:lang w:eastAsia="en-US"/>
        </w:rPr>
        <w:t xml:space="preserve"> amended the </w:t>
      </w:r>
      <w:r w:rsidRPr="0006336F">
        <w:rPr>
          <w:i/>
          <w:lang w:eastAsia="en-US"/>
        </w:rPr>
        <w:t xml:space="preserve">Fair Work Act 2009 </w:t>
      </w:r>
      <w:r w:rsidRPr="0006336F">
        <w:rPr>
          <w:lang w:eastAsia="en-US"/>
        </w:rPr>
        <w:t>(</w:t>
      </w:r>
      <w:r w:rsidR="00796ECF" w:rsidRPr="0006336F">
        <w:rPr>
          <w:iCs/>
          <w:lang w:eastAsia="en-US"/>
        </w:rPr>
        <w:t>Fair Work Act)</w:t>
      </w:r>
      <w:r w:rsidRPr="0006336F" w:rsidDel="005C16D4">
        <w:rPr>
          <w:lang w:eastAsia="en-US"/>
        </w:rPr>
        <w:t xml:space="preserve"> </w:t>
      </w:r>
      <w:r w:rsidRPr="0006336F">
        <w:rPr>
          <w:lang w:eastAsia="en-US"/>
        </w:rPr>
        <w:t>to add the principle</w:t>
      </w:r>
      <w:r w:rsidR="001C6543">
        <w:rPr>
          <w:lang w:eastAsia="en-US"/>
        </w:rPr>
        <w:t>s</w:t>
      </w:r>
      <w:r w:rsidRPr="0006336F">
        <w:rPr>
          <w:lang w:eastAsia="en-US"/>
        </w:rPr>
        <w:t xml:space="preserve"> of job security</w:t>
      </w:r>
      <w:r w:rsidR="00AA4B1D" w:rsidRPr="0006336F">
        <w:rPr>
          <w:lang w:eastAsia="en-US"/>
        </w:rPr>
        <w:t xml:space="preserve"> and gender equality</w:t>
      </w:r>
      <w:r w:rsidRPr="0006336F">
        <w:rPr>
          <w:lang w:eastAsia="en-US"/>
        </w:rPr>
        <w:t xml:space="preserve"> in the FWC</w:t>
      </w:r>
      <w:r w:rsidR="00B16861">
        <w:rPr>
          <w:lang w:eastAsia="en-US"/>
        </w:rPr>
        <w:t>’</w:t>
      </w:r>
      <w:r w:rsidRPr="0006336F">
        <w:rPr>
          <w:lang w:eastAsia="en-US"/>
        </w:rPr>
        <w:t>s decision</w:t>
      </w:r>
      <w:r w:rsidR="00152290">
        <w:rPr>
          <w:lang w:eastAsia="en-US"/>
        </w:rPr>
        <w:t>-</w:t>
      </w:r>
      <w:r w:rsidRPr="0006336F">
        <w:rPr>
          <w:lang w:eastAsia="en-US"/>
        </w:rPr>
        <w:t xml:space="preserve">making processes. The Secure Jobs, Better Pay amendments to the Fair Work Act also included limits on the use of fixed term contracts for the same role (from 6 December 2023), to </w:t>
      </w:r>
      <w:r w:rsidR="00AA4B1D" w:rsidRPr="0006336F">
        <w:rPr>
          <w:lang w:eastAsia="en-US"/>
        </w:rPr>
        <w:t>improve</w:t>
      </w:r>
      <w:r w:rsidRPr="0006336F">
        <w:rPr>
          <w:lang w:eastAsia="en-US"/>
        </w:rPr>
        <w:t xml:space="preserve"> employees</w:t>
      </w:r>
      <w:r w:rsidR="00B16861">
        <w:rPr>
          <w:lang w:eastAsia="en-US"/>
        </w:rPr>
        <w:t>’</w:t>
      </w:r>
      <w:r w:rsidRPr="0006336F">
        <w:rPr>
          <w:lang w:eastAsia="en-US"/>
        </w:rPr>
        <w:t xml:space="preserve"> job security.</w:t>
      </w:r>
      <w:r w:rsidR="00231823" w:rsidRPr="0006336F">
        <w:rPr>
          <w:lang w:eastAsia="en-US"/>
        </w:rPr>
        <w:t xml:space="preserve"> </w:t>
      </w:r>
      <w:r w:rsidR="00FD3514">
        <w:rPr>
          <w:lang w:eastAsia="en-US"/>
        </w:rPr>
        <w:t>The Government</w:t>
      </w:r>
      <w:r w:rsidR="00B16861">
        <w:rPr>
          <w:lang w:eastAsia="en-US"/>
        </w:rPr>
        <w:t>’</w:t>
      </w:r>
      <w:r w:rsidR="00383BEA" w:rsidRPr="0006336F">
        <w:rPr>
          <w:lang w:eastAsia="en-US"/>
        </w:rPr>
        <w:t>s reforms</w:t>
      </w:r>
      <w:r w:rsidR="00231823" w:rsidRPr="0006336F">
        <w:rPr>
          <w:lang w:eastAsia="en-US"/>
        </w:rPr>
        <w:t xml:space="preserve"> </w:t>
      </w:r>
      <w:r w:rsidR="006F35C6" w:rsidRPr="0006336F">
        <w:rPr>
          <w:lang w:eastAsia="en-US"/>
        </w:rPr>
        <w:t xml:space="preserve">to the </w:t>
      </w:r>
      <w:r w:rsidR="00BB65AA">
        <w:rPr>
          <w:lang w:eastAsia="en-US"/>
        </w:rPr>
        <w:t>Fair Work</w:t>
      </w:r>
      <w:r w:rsidR="006F35C6" w:rsidRPr="0006336F">
        <w:rPr>
          <w:lang w:eastAsia="en-US"/>
        </w:rPr>
        <w:t xml:space="preserve"> Act</w:t>
      </w:r>
      <w:r w:rsidR="00231823" w:rsidRPr="0006336F">
        <w:rPr>
          <w:lang w:eastAsia="en-US"/>
        </w:rPr>
        <w:t xml:space="preserve"> ha</w:t>
      </w:r>
      <w:r w:rsidR="00383BEA" w:rsidRPr="0006336F">
        <w:rPr>
          <w:lang w:eastAsia="en-US"/>
        </w:rPr>
        <w:t>ve</w:t>
      </w:r>
      <w:r w:rsidR="00231823" w:rsidRPr="0006336F">
        <w:rPr>
          <w:lang w:eastAsia="en-US"/>
        </w:rPr>
        <w:t xml:space="preserve"> also reinvigorated bargaining</w:t>
      </w:r>
      <w:r w:rsidR="00231823" w:rsidRPr="0006336F">
        <w:rPr>
          <w:i/>
          <w:iCs/>
          <w:lang w:eastAsia="en-US"/>
        </w:rPr>
        <w:t>.</w:t>
      </w:r>
    </w:p>
    <w:p w14:paraId="2F5E77EE" w14:textId="6188EC87" w:rsidR="0079543A" w:rsidRPr="0006336F" w:rsidRDefault="00FD3514" w:rsidP="0079543A">
      <w:pPr>
        <w:rPr>
          <w:lang w:eastAsia="en-US"/>
        </w:rPr>
      </w:pPr>
      <w:r>
        <w:rPr>
          <w:lang w:eastAsia="en-US"/>
        </w:rPr>
        <w:t>The Government</w:t>
      </w:r>
      <w:r w:rsidR="0079543A" w:rsidRPr="0006336F">
        <w:rPr>
          <w:lang w:eastAsia="en-US"/>
        </w:rPr>
        <w:t xml:space="preserve"> is making the definition of casual employment fairer so the practical reality of the employment relationship is relevant </w:t>
      </w:r>
      <w:r w:rsidR="00233796" w:rsidRPr="0006336F">
        <w:rPr>
          <w:lang w:eastAsia="en-US"/>
        </w:rPr>
        <w:t xml:space="preserve">and </w:t>
      </w:r>
      <w:r w:rsidR="0079543A" w:rsidRPr="0006336F">
        <w:rPr>
          <w:lang w:eastAsia="en-US"/>
        </w:rPr>
        <w:t>creat</w:t>
      </w:r>
      <w:r w:rsidR="00A11FAF" w:rsidRPr="0006336F">
        <w:rPr>
          <w:lang w:eastAsia="en-US"/>
        </w:rPr>
        <w:t>e</w:t>
      </w:r>
      <w:r w:rsidR="0079543A" w:rsidRPr="0006336F">
        <w:rPr>
          <w:lang w:eastAsia="en-US"/>
        </w:rPr>
        <w:t xml:space="preserve"> a new pathway to permanency for casual employees if they are working like a permanent worker.</w:t>
      </w:r>
    </w:p>
    <w:p w14:paraId="468A95BC" w14:textId="20FBDC57" w:rsidR="0068707E" w:rsidRPr="0006336F" w:rsidRDefault="00FD3514" w:rsidP="0054331F">
      <w:pPr>
        <w:rPr>
          <w:lang w:eastAsia="en-US"/>
        </w:rPr>
      </w:pPr>
      <w:r>
        <w:rPr>
          <w:lang w:eastAsia="en-US"/>
        </w:rPr>
        <w:t>The Government</w:t>
      </w:r>
      <w:r w:rsidR="0054331F" w:rsidRPr="0006336F">
        <w:rPr>
          <w:lang w:eastAsia="en-US"/>
        </w:rPr>
        <w:t xml:space="preserve"> is also leading by example on job security, preferencing direct employment in aged care and will examine the drivers of insecure work and other aspects of job design and use stewardship levers to incentivise </w:t>
      </w:r>
      <w:r w:rsidR="0079543A" w:rsidRPr="0006336F">
        <w:rPr>
          <w:lang w:eastAsia="en-US"/>
        </w:rPr>
        <w:t xml:space="preserve">more secure and fairly paid </w:t>
      </w:r>
      <w:r w:rsidR="0054331F" w:rsidRPr="0006336F">
        <w:rPr>
          <w:lang w:eastAsia="en-US"/>
        </w:rPr>
        <w:t>jobs for workers.</w:t>
      </w:r>
    </w:p>
    <w:p w14:paraId="136CD504" w14:textId="3B7CEB41" w:rsidR="0068707E" w:rsidRPr="0006336F" w:rsidRDefault="0068707E" w:rsidP="0068707E">
      <w:pPr>
        <w:pStyle w:val="Heading4"/>
        <w:rPr>
          <w:lang w:eastAsia="en-US"/>
        </w:rPr>
      </w:pPr>
      <w:r w:rsidRPr="0006336F">
        <w:rPr>
          <w:lang w:eastAsia="en-US"/>
        </w:rPr>
        <w:t>Addressing wage underpayment</w:t>
      </w:r>
    </w:p>
    <w:p w14:paraId="5134BE1D" w14:textId="4E3172BE" w:rsidR="0068707E" w:rsidRPr="0006336F" w:rsidRDefault="0068707E" w:rsidP="0068707E">
      <w:pPr>
        <w:rPr>
          <w:lang w:eastAsia="en-US"/>
        </w:rPr>
      </w:pPr>
      <w:r w:rsidRPr="0006336F">
        <w:rPr>
          <w:lang w:eastAsia="en-US"/>
        </w:rPr>
        <w:t>Underpayment harms workers and forces businesses that follow the law to compete with businesses that have an unfair advantage. Underpa</w:t>
      </w:r>
      <w:r w:rsidR="00280478" w:rsidRPr="0006336F">
        <w:rPr>
          <w:lang w:eastAsia="en-US"/>
        </w:rPr>
        <w:t>y</w:t>
      </w:r>
      <w:r w:rsidRPr="0006336F">
        <w:rPr>
          <w:lang w:eastAsia="en-US"/>
        </w:rPr>
        <w:t xml:space="preserve">ment particularly </w:t>
      </w:r>
      <w:r w:rsidR="00F0014D" w:rsidRPr="0006336F">
        <w:rPr>
          <w:lang w:eastAsia="en-US"/>
        </w:rPr>
        <w:t xml:space="preserve">affects </w:t>
      </w:r>
      <w:r w:rsidRPr="0006336F">
        <w:rPr>
          <w:lang w:eastAsia="en-US"/>
        </w:rPr>
        <w:t xml:space="preserve">workers with lower bargaining power, including </w:t>
      </w:r>
      <w:r w:rsidR="00611AAD" w:rsidRPr="0006336F">
        <w:rPr>
          <w:lang w:eastAsia="en-US"/>
        </w:rPr>
        <w:t xml:space="preserve">young workers, </w:t>
      </w:r>
      <w:r w:rsidRPr="0006336F">
        <w:rPr>
          <w:lang w:eastAsia="en-US"/>
        </w:rPr>
        <w:t>migrant workers</w:t>
      </w:r>
      <w:r w:rsidR="00AA77E6" w:rsidRPr="0006336F">
        <w:rPr>
          <w:lang w:eastAsia="en-US"/>
        </w:rPr>
        <w:t xml:space="preserve"> and </w:t>
      </w:r>
      <w:r w:rsidRPr="0006336F">
        <w:rPr>
          <w:lang w:eastAsia="en-US"/>
        </w:rPr>
        <w:t>people with disability.</w:t>
      </w:r>
    </w:p>
    <w:p w14:paraId="72952B1F" w14:textId="3A96A1A3" w:rsidR="0068707E" w:rsidRPr="0006336F" w:rsidRDefault="00FD3514" w:rsidP="0068707E">
      <w:pPr>
        <w:rPr>
          <w:lang w:eastAsia="en-US"/>
        </w:rPr>
      </w:pPr>
      <w:r>
        <w:rPr>
          <w:lang w:eastAsia="en-US"/>
        </w:rPr>
        <w:t>The Government</w:t>
      </w:r>
      <w:r w:rsidR="0068707E" w:rsidRPr="0006336F">
        <w:rPr>
          <w:lang w:eastAsia="en-US"/>
        </w:rPr>
        <w:t xml:space="preserve"> is taking action to drive behavioural change, prevent underpayments, and ensure workers receive their lawful entitlements. The Secure Jobs, Better Pay Act implemented recommendation 4 of the Migrant Workers</w:t>
      </w:r>
      <w:r w:rsidR="00B16861">
        <w:rPr>
          <w:lang w:eastAsia="en-US"/>
        </w:rPr>
        <w:t>’</w:t>
      </w:r>
      <w:r w:rsidR="0068707E" w:rsidRPr="0006336F">
        <w:rPr>
          <w:lang w:eastAsia="en-US"/>
        </w:rPr>
        <w:t xml:space="preserve"> Taskforce by amending the Fair Work Act to prohibit job advertisements that include rates of pay that would breach the Fair Work Act. This prohibition reinforces the expectation that employers consider their workplace obligations, including correct rates of pay, before advertising employment.</w:t>
      </w:r>
      <w:r w:rsidR="0029248B" w:rsidRPr="0006336F">
        <w:rPr>
          <w:lang w:eastAsia="en-US"/>
        </w:rPr>
        <w:t xml:space="preserve"> </w:t>
      </w:r>
      <w:r>
        <w:rPr>
          <w:lang w:eastAsia="en-US"/>
        </w:rPr>
        <w:t>The Government</w:t>
      </w:r>
      <w:r w:rsidR="0029248B" w:rsidRPr="0006336F">
        <w:rPr>
          <w:lang w:eastAsia="en-US"/>
        </w:rPr>
        <w:t xml:space="preserve"> will </w:t>
      </w:r>
      <w:r w:rsidR="0031770B" w:rsidRPr="0006336F">
        <w:rPr>
          <w:lang w:eastAsia="en-US"/>
        </w:rPr>
        <w:t>continue to</w:t>
      </w:r>
      <w:r w:rsidR="0029248B" w:rsidRPr="0006336F">
        <w:rPr>
          <w:lang w:eastAsia="en-US"/>
        </w:rPr>
        <w:t xml:space="preserve"> address migrant worker exploitation </w:t>
      </w:r>
      <w:r w:rsidR="00843E20" w:rsidRPr="0006336F">
        <w:rPr>
          <w:lang w:eastAsia="en-US"/>
        </w:rPr>
        <w:t>through</w:t>
      </w:r>
      <w:r w:rsidR="0029248B" w:rsidRPr="0006336F">
        <w:rPr>
          <w:lang w:eastAsia="en-US"/>
        </w:rPr>
        <w:t xml:space="preserve"> the forthcoming Migration Strategy, discussed </w:t>
      </w:r>
      <w:r w:rsidR="0031770B" w:rsidRPr="0006336F">
        <w:rPr>
          <w:lang w:eastAsia="en-US"/>
        </w:rPr>
        <w:t xml:space="preserve">further </w:t>
      </w:r>
      <w:r w:rsidR="00B57976" w:rsidRPr="0006336F">
        <w:rPr>
          <w:lang w:eastAsia="en-US"/>
        </w:rPr>
        <w:t xml:space="preserve">in the Reforming the </w:t>
      </w:r>
      <w:r w:rsidR="002C422F">
        <w:rPr>
          <w:lang w:eastAsia="en-US"/>
        </w:rPr>
        <w:t>m</w:t>
      </w:r>
      <w:r w:rsidR="00B57976" w:rsidRPr="0006336F">
        <w:rPr>
          <w:lang w:eastAsia="en-US"/>
        </w:rPr>
        <w:t xml:space="preserve">igration </w:t>
      </w:r>
      <w:r w:rsidR="002C422F">
        <w:rPr>
          <w:lang w:eastAsia="en-US"/>
        </w:rPr>
        <w:t>s</w:t>
      </w:r>
      <w:r w:rsidR="00B57976" w:rsidRPr="0006336F">
        <w:rPr>
          <w:lang w:eastAsia="en-US"/>
        </w:rPr>
        <w:t>ystem section</w:t>
      </w:r>
      <w:r w:rsidR="0031770B" w:rsidRPr="0006336F">
        <w:rPr>
          <w:lang w:eastAsia="en-US"/>
        </w:rPr>
        <w:t>.</w:t>
      </w:r>
    </w:p>
    <w:p w14:paraId="5FA43D1F" w14:textId="7E1BE319" w:rsidR="0068707E" w:rsidRPr="0006336F" w:rsidRDefault="00FD3514" w:rsidP="0068707E">
      <w:pPr>
        <w:rPr>
          <w:lang w:eastAsia="en-US"/>
        </w:rPr>
      </w:pPr>
      <w:r>
        <w:rPr>
          <w:lang w:eastAsia="en-US"/>
        </w:rPr>
        <w:t>The Government</w:t>
      </w:r>
      <w:r w:rsidR="0068707E" w:rsidRPr="0006336F">
        <w:rPr>
          <w:lang w:eastAsia="en-US"/>
        </w:rPr>
        <w:t xml:space="preserve"> is undertaking a review of the Fair Work Act small claims procedure, to determine what </w:t>
      </w:r>
      <w:r w:rsidR="0052697E" w:rsidRPr="0006336F">
        <w:rPr>
          <w:lang w:eastAsia="en-US"/>
        </w:rPr>
        <w:t>enhancements</w:t>
      </w:r>
      <w:r w:rsidR="0068707E" w:rsidRPr="0006336F">
        <w:rPr>
          <w:lang w:eastAsia="en-US"/>
        </w:rPr>
        <w:t xml:space="preserve"> could be made to enable workers to more easily recover their unpaid entitlement</w:t>
      </w:r>
      <w:r w:rsidR="0012003C" w:rsidRPr="0006336F">
        <w:rPr>
          <w:lang w:eastAsia="en-US"/>
        </w:rPr>
        <w:t>s</w:t>
      </w:r>
      <w:r w:rsidR="0068707E" w:rsidRPr="0006336F">
        <w:rPr>
          <w:lang w:eastAsia="en-US"/>
        </w:rPr>
        <w:t xml:space="preserve">. </w:t>
      </w:r>
      <w:r>
        <w:rPr>
          <w:lang w:eastAsia="en-US"/>
        </w:rPr>
        <w:t>The Government</w:t>
      </w:r>
      <w:r w:rsidR="0068707E" w:rsidRPr="0006336F">
        <w:rPr>
          <w:lang w:eastAsia="en-US"/>
        </w:rPr>
        <w:t xml:space="preserve"> has also committed to </w:t>
      </w:r>
      <w:r w:rsidR="003A0A03" w:rsidRPr="0006336F">
        <w:rPr>
          <w:lang w:eastAsia="en-US"/>
        </w:rPr>
        <w:t>better regulating</w:t>
      </w:r>
      <w:r w:rsidR="0068707E" w:rsidRPr="0006336F">
        <w:rPr>
          <w:lang w:eastAsia="en-US"/>
        </w:rPr>
        <w:t xml:space="preserve"> labour hire </w:t>
      </w:r>
      <w:r w:rsidR="003A0A03" w:rsidRPr="0006336F">
        <w:rPr>
          <w:lang w:eastAsia="en-US"/>
        </w:rPr>
        <w:t>arrangements</w:t>
      </w:r>
      <w:r w:rsidR="0068707E" w:rsidRPr="0006336F">
        <w:rPr>
          <w:lang w:eastAsia="en-US"/>
        </w:rPr>
        <w:t xml:space="preserve"> to protect workers from exploitation, promote compliance with relevant laws and drive behavioural change in the labour hire industry.</w:t>
      </w:r>
    </w:p>
    <w:p w14:paraId="68A0652E" w14:textId="65B28CDE" w:rsidR="0054331F" w:rsidRPr="0006336F" w:rsidRDefault="00FD3514" w:rsidP="0054331F">
      <w:pPr>
        <w:rPr>
          <w:lang w:eastAsia="en-US"/>
        </w:rPr>
      </w:pPr>
      <w:r>
        <w:rPr>
          <w:lang w:eastAsia="en-US"/>
        </w:rPr>
        <w:t>The Government</w:t>
      </w:r>
      <w:r w:rsidR="0068707E" w:rsidRPr="0006336F">
        <w:rPr>
          <w:lang w:eastAsia="en-US"/>
        </w:rPr>
        <w:t xml:space="preserve"> has introduced legislation to create a federal criminal offence for intentional wage theft, increase maximum civil penalties for underpayment</w:t>
      </w:r>
      <w:r w:rsidR="00B16861">
        <w:rPr>
          <w:lang w:eastAsia="en-US"/>
        </w:rPr>
        <w:noBreakHyphen/>
      </w:r>
      <w:r w:rsidR="0068707E" w:rsidRPr="0006336F">
        <w:rPr>
          <w:lang w:eastAsia="en-US"/>
        </w:rPr>
        <w:t xml:space="preserve">related civil remedy </w:t>
      </w:r>
      <w:r w:rsidR="0052697E" w:rsidRPr="0006336F">
        <w:rPr>
          <w:lang w:eastAsia="en-US"/>
        </w:rPr>
        <w:t>provisions</w:t>
      </w:r>
      <w:r w:rsidR="0068707E" w:rsidRPr="0006336F">
        <w:rPr>
          <w:lang w:eastAsia="en-US"/>
        </w:rPr>
        <w:t xml:space="preserve"> in the Fair Work Act, and amend the defence to sham contracting to disincentivise employers from contracting out of paying entitlement</w:t>
      </w:r>
      <w:r w:rsidR="00D364A7" w:rsidRPr="0006336F">
        <w:rPr>
          <w:lang w:eastAsia="en-US"/>
        </w:rPr>
        <w:t>s</w:t>
      </w:r>
      <w:r w:rsidR="0068707E" w:rsidRPr="0006336F">
        <w:rPr>
          <w:lang w:eastAsia="en-US"/>
        </w:rPr>
        <w:t xml:space="preserve"> to workers who should be classified as employees.</w:t>
      </w:r>
    </w:p>
    <w:p w14:paraId="6C569144" w14:textId="62A5D0A8" w:rsidR="0054331F" w:rsidRPr="0006336F" w:rsidRDefault="0054331F" w:rsidP="0054331F">
      <w:pPr>
        <w:pStyle w:val="Heading4"/>
        <w:rPr>
          <w:lang w:eastAsia="en-US"/>
        </w:rPr>
      </w:pPr>
      <w:r w:rsidRPr="0006336F">
        <w:rPr>
          <w:lang w:eastAsia="en-US"/>
        </w:rPr>
        <w:t>Commitment to gender equ</w:t>
      </w:r>
      <w:r w:rsidR="00E156F1" w:rsidRPr="0006336F">
        <w:rPr>
          <w:lang w:eastAsia="en-US"/>
        </w:rPr>
        <w:t>al</w:t>
      </w:r>
      <w:r w:rsidRPr="0006336F">
        <w:rPr>
          <w:lang w:eastAsia="en-US"/>
        </w:rPr>
        <w:t>ity</w:t>
      </w:r>
      <w:r w:rsidR="00CF74E0" w:rsidRPr="0006336F">
        <w:rPr>
          <w:lang w:eastAsia="en-US"/>
        </w:rPr>
        <w:t xml:space="preserve"> and women</w:t>
      </w:r>
      <w:r w:rsidR="00B16861">
        <w:rPr>
          <w:lang w:eastAsia="en-US"/>
        </w:rPr>
        <w:t>’</w:t>
      </w:r>
      <w:r w:rsidR="00CF74E0" w:rsidRPr="0006336F">
        <w:rPr>
          <w:lang w:eastAsia="en-US"/>
        </w:rPr>
        <w:t>s safety in the workplace</w:t>
      </w:r>
    </w:p>
    <w:p w14:paraId="500FCBB2" w14:textId="523FB609" w:rsidR="0054331F" w:rsidRPr="0006336F" w:rsidRDefault="00FD3514" w:rsidP="0054331F">
      <w:pPr>
        <w:rPr>
          <w:lang w:eastAsia="en-US"/>
        </w:rPr>
      </w:pPr>
      <w:r>
        <w:rPr>
          <w:lang w:eastAsia="en-US"/>
        </w:rPr>
        <w:t>The Government</w:t>
      </w:r>
      <w:r w:rsidR="00B16861">
        <w:rPr>
          <w:lang w:eastAsia="en-US"/>
        </w:rPr>
        <w:t>’</w:t>
      </w:r>
      <w:r w:rsidR="00231823" w:rsidRPr="0006336F">
        <w:rPr>
          <w:lang w:eastAsia="en-US"/>
        </w:rPr>
        <w:t xml:space="preserve">s reforms </w:t>
      </w:r>
      <w:r w:rsidR="001A219D" w:rsidRPr="0006336F">
        <w:rPr>
          <w:lang w:eastAsia="en-US"/>
        </w:rPr>
        <w:t>have</w:t>
      </w:r>
      <w:r w:rsidR="0054331F" w:rsidRPr="0006336F">
        <w:rPr>
          <w:lang w:eastAsia="en-US"/>
        </w:rPr>
        <w:t xml:space="preserve"> embed</w:t>
      </w:r>
      <w:r w:rsidR="00EB6D28" w:rsidRPr="0006336F">
        <w:rPr>
          <w:lang w:eastAsia="en-US"/>
        </w:rPr>
        <w:t>d</w:t>
      </w:r>
      <w:r w:rsidR="001A219D" w:rsidRPr="0006336F">
        <w:rPr>
          <w:lang w:eastAsia="en-US"/>
        </w:rPr>
        <w:t>ed</w:t>
      </w:r>
      <w:r w:rsidR="0054331F" w:rsidRPr="0006336F">
        <w:rPr>
          <w:lang w:eastAsia="en-US"/>
        </w:rPr>
        <w:t xml:space="preserve"> principles of job security and gender equality in the FWC</w:t>
      </w:r>
      <w:r w:rsidR="00B16861">
        <w:rPr>
          <w:lang w:eastAsia="en-US"/>
        </w:rPr>
        <w:t>’</w:t>
      </w:r>
      <w:r w:rsidR="0054331F" w:rsidRPr="0006336F">
        <w:rPr>
          <w:lang w:eastAsia="en-US"/>
        </w:rPr>
        <w:t>s decision</w:t>
      </w:r>
      <w:r w:rsidR="00152290">
        <w:rPr>
          <w:lang w:eastAsia="en-US"/>
        </w:rPr>
        <w:t>-</w:t>
      </w:r>
      <w:r w:rsidR="0054331F" w:rsidRPr="0006336F">
        <w:rPr>
          <w:lang w:eastAsia="en-US"/>
        </w:rPr>
        <w:t xml:space="preserve">making processes. </w:t>
      </w:r>
      <w:r w:rsidR="00485915" w:rsidRPr="0006336F">
        <w:rPr>
          <w:lang w:eastAsia="en-US"/>
        </w:rPr>
        <w:t>T</w:t>
      </w:r>
      <w:r w:rsidR="0054331F" w:rsidRPr="0006336F">
        <w:rPr>
          <w:lang w:eastAsia="en-US"/>
        </w:rPr>
        <w:t>he FWC has commenced research on the occupations and industries where there is gender pay inequity and potential undervaluation of work and qualifications</w:t>
      </w:r>
      <w:r w:rsidR="00941AB3" w:rsidRPr="0006336F">
        <w:rPr>
          <w:lang w:eastAsia="en-US"/>
        </w:rPr>
        <w:t>.</w:t>
      </w:r>
      <w:r w:rsidR="0054331F" w:rsidRPr="0006336F">
        <w:rPr>
          <w:lang w:eastAsia="en-US"/>
        </w:rPr>
        <w:t xml:space="preserve"> </w:t>
      </w:r>
      <w:r w:rsidR="00941AB3" w:rsidRPr="0006336F">
        <w:rPr>
          <w:lang w:eastAsia="en-US"/>
        </w:rPr>
        <w:t>F</w:t>
      </w:r>
      <w:r w:rsidR="0054331F" w:rsidRPr="0006336F">
        <w:rPr>
          <w:lang w:eastAsia="en-US"/>
        </w:rPr>
        <w:t>indings</w:t>
      </w:r>
      <w:r w:rsidR="00941AB3" w:rsidRPr="0006336F">
        <w:rPr>
          <w:lang w:eastAsia="en-US"/>
        </w:rPr>
        <w:t xml:space="preserve"> will be incorporated</w:t>
      </w:r>
      <w:r w:rsidR="0054331F" w:rsidRPr="0006336F">
        <w:rPr>
          <w:lang w:eastAsia="en-US"/>
        </w:rPr>
        <w:t xml:space="preserve"> into future </w:t>
      </w:r>
      <w:r w:rsidR="00B20460">
        <w:rPr>
          <w:lang w:eastAsia="en-US"/>
        </w:rPr>
        <w:t>AWR</w:t>
      </w:r>
      <w:r w:rsidR="0054331F" w:rsidRPr="0006336F">
        <w:rPr>
          <w:lang w:eastAsia="en-US"/>
        </w:rPr>
        <w:t xml:space="preserve"> decisions. </w:t>
      </w:r>
      <w:r>
        <w:rPr>
          <w:lang w:eastAsia="en-US"/>
        </w:rPr>
        <w:t>The Government</w:t>
      </w:r>
      <w:r w:rsidR="0054331F" w:rsidRPr="0006336F">
        <w:rPr>
          <w:lang w:eastAsia="en-US"/>
        </w:rPr>
        <w:t xml:space="preserve"> has also established </w:t>
      </w:r>
      <w:r w:rsidR="00485915" w:rsidRPr="0006336F">
        <w:rPr>
          <w:lang w:eastAsia="en-US"/>
        </w:rPr>
        <w:t>e</w:t>
      </w:r>
      <w:r w:rsidR="0054331F" w:rsidRPr="0006336F">
        <w:rPr>
          <w:lang w:eastAsia="en-US"/>
        </w:rPr>
        <w:t xml:space="preserve">xpert </w:t>
      </w:r>
      <w:r w:rsidR="00485915" w:rsidRPr="0006336F">
        <w:rPr>
          <w:lang w:eastAsia="en-US"/>
        </w:rPr>
        <w:t>p</w:t>
      </w:r>
      <w:r w:rsidR="0054331F" w:rsidRPr="0006336F">
        <w:rPr>
          <w:lang w:eastAsia="en-US"/>
        </w:rPr>
        <w:t xml:space="preserve">anels for </w:t>
      </w:r>
      <w:r w:rsidR="005B21E0" w:rsidRPr="0006336F">
        <w:rPr>
          <w:lang w:eastAsia="en-US"/>
        </w:rPr>
        <w:t>Gender</w:t>
      </w:r>
      <w:r w:rsidR="0054331F" w:rsidRPr="0006336F">
        <w:rPr>
          <w:lang w:eastAsia="en-US"/>
        </w:rPr>
        <w:t xml:space="preserve"> Pay Equity and the Care and Community Sector in the FWC</w:t>
      </w:r>
      <w:r w:rsidR="00F90FCD" w:rsidRPr="0006336F">
        <w:rPr>
          <w:lang w:eastAsia="en-US"/>
        </w:rPr>
        <w:t xml:space="preserve"> and appointed gender pay equity, anti</w:t>
      </w:r>
      <w:r w:rsidR="00B16861">
        <w:rPr>
          <w:lang w:eastAsia="en-US"/>
        </w:rPr>
        <w:noBreakHyphen/>
      </w:r>
      <w:r w:rsidR="00F90FCD" w:rsidRPr="0006336F">
        <w:rPr>
          <w:lang w:eastAsia="en-US"/>
        </w:rPr>
        <w:t>discrimination and care and community sector experts to sit on these panels. These initiatives ensure the FWC has the expertise to appropriately address gender</w:t>
      </w:r>
      <w:r w:rsidR="00B16861">
        <w:rPr>
          <w:lang w:eastAsia="en-US"/>
        </w:rPr>
        <w:noBreakHyphen/>
      </w:r>
      <w:r w:rsidR="00F90FCD" w:rsidRPr="0006336F">
        <w:rPr>
          <w:lang w:eastAsia="en-US"/>
        </w:rPr>
        <w:t xml:space="preserve">based </w:t>
      </w:r>
      <w:r w:rsidR="0052697E" w:rsidRPr="0006336F">
        <w:rPr>
          <w:lang w:eastAsia="en-US"/>
        </w:rPr>
        <w:t>undervaluation</w:t>
      </w:r>
      <w:r w:rsidR="00F90FCD" w:rsidRPr="0006336F">
        <w:rPr>
          <w:lang w:eastAsia="en-US"/>
        </w:rPr>
        <w:t xml:space="preserve"> and help improve pay and conditions in low</w:t>
      </w:r>
      <w:r w:rsidR="00B16861">
        <w:rPr>
          <w:lang w:eastAsia="en-US"/>
        </w:rPr>
        <w:noBreakHyphen/>
      </w:r>
      <w:r w:rsidR="00F90FCD" w:rsidRPr="0006336F">
        <w:rPr>
          <w:lang w:eastAsia="en-US"/>
        </w:rPr>
        <w:t>paid, feminised workforces.</w:t>
      </w:r>
    </w:p>
    <w:p w14:paraId="236744E5" w14:textId="0908AA2A" w:rsidR="00043E36" w:rsidRPr="0006336F" w:rsidRDefault="001D027F" w:rsidP="0054331F">
      <w:pPr>
        <w:rPr>
          <w:lang w:eastAsia="en-US"/>
        </w:rPr>
      </w:pPr>
      <w:r w:rsidRPr="0006336F">
        <w:rPr>
          <w:lang w:eastAsia="en-US"/>
        </w:rPr>
        <w:t xml:space="preserve">In efforts to </w:t>
      </w:r>
      <w:r w:rsidR="00066CE1" w:rsidRPr="0006336F">
        <w:rPr>
          <w:lang w:eastAsia="en-US"/>
        </w:rPr>
        <w:t>promote accountability</w:t>
      </w:r>
      <w:r w:rsidRPr="0006336F">
        <w:rPr>
          <w:lang w:eastAsia="en-US"/>
        </w:rPr>
        <w:t xml:space="preserve"> and narrow the gender pay gap, the Government </w:t>
      </w:r>
      <w:r w:rsidR="00066CE1" w:rsidRPr="0006336F">
        <w:t xml:space="preserve">has passed reforms to the </w:t>
      </w:r>
      <w:r w:rsidR="00066CE1" w:rsidRPr="0006336F">
        <w:rPr>
          <w:i/>
        </w:rPr>
        <w:t>Workplace Gender Equality Act 2012</w:t>
      </w:r>
      <w:r w:rsidR="00066CE1" w:rsidRPr="0006336F">
        <w:t xml:space="preserve"> to improve the transparency of gender pay gaps. </w:t>
      </w:r>
      <w:r w:rsidR="00066CE1" w:rsidRPr="0006336F">
        <w:lastRenderedPageBreak/>
        <w:t>From early 2024, the Workplace Gender Equality Agency will publish the gender pay gaps of eligible employers with 100 or more employees.</w:t>
      </w:r>
    </w:p>
    <w:p w14:paraId="09065E62" w14:textId="112FB2E2" w:rsidR="0054331F" w:rsidRPr="0006336F" w:rsidRDefault="002D76D8" w:rsidP="0054331F">
      <w:r>
        <w:t>At the Government’s request, the FWC has started a targeted review of modern awards</w:t>
      </w:r>
      <w:r w:rsidR="00894089" w:rsidRPr="0006336F">
        <w:rPr>
          <w:lang w:eastAsia="en-US"/>
        </w:rPr>
        <w:t>. T</w:t>
      </w:r>
      <w:r w:rsidR="0054331F" w:rsidRPr="0006336F">
        <w:rPr>
          <w:lang w:eastAsia="en-US"/>
        </w:rPr>
        <w:t xml:space="preserve">he </w:t>
      </w:r>
      <w:r w:rsidR="0095487F" w:rsidRPr="0006336F">
        <w:rPr>
          <w:lang w:eastAsia="en-US"/>
        </w:rPr>
        <w:t>FWC</w:t>
      </w:r>
      <w:r w:rsidR="00894089" w:rsidRPr="0006336F">
        <w:rPr>
          <w:lang w:eastAsia="en-US"/>
        </w:rPr>
        <w:t xml:space="preserve"> will</w:t>
      </w:r>
      <w:r w:rsidR="0054331F" w:rsidRPr="0006336F">
        <w:rPr>
          <w:lang w:eastAsia="en-US"/>
        </w:rPr>
        <w:t>,</w:t>
      </w:r>
      <w:r w:rsidR="00894089" w:rsidRPr="0006336F">
        <w:rPr>
          <w:lang w:eastAsia="en-US"/>
        </w:rPr>
        <w:t xml:space="preserve"> as part of the review</w:t>
      </w:r>
      <w:r w:rsidR="00D57164" w:rsidRPr="0006336F">
        <w:rPr>
          <w:lang w:eastAsia="en-US"/>
        </w:rPr>
        <w:t>,</w:t>
      </w:r>
      <w:r w:rsidR="0054331F" w:rsidRPr="0006336F">
        <w:rPr>
          <w:lang w:eastAsia="en-US"/>
        </w:rPr>
        <w:t xml:space="preserve"> consider modern awards settings in the context of the new job security and gender equality object</w:t>
      </w:r>
      <w:r w:rsidR="001A1414">
        <w:rPr>
          <w:lang w:eastAsia="en-US"/>
        </w:rPr>
        <w:t>s</w:t>
      </w:r>
      <w:r w:rsidR="0054331F" w:rsidRPr="0006336F">
        <w:rPr>
          <w:lang w:eastAsia="en-US"/>
        </w:rPr>
        <w:t xml:space="preserve"> </w:t>
      </w:r>
      <w:r w:rsidR="009937BB" w:rsidRPr="0006336F">
        <w:rPr>
          <w:lang w:eastAsia="en-US"/>
        </w:rPr>
        <w:t>in</w:t>
      </w:r>
      <w:r w:rsidR="0054331F" w:rsidRPr="0006336F" w:rsidDel="009937BB">
        <w:rPr>
          <w:lang w:eastAsia="en-US"/>
        </w:rPr>
        <w:t xml:space="preserve"> </w:t>
      </w:r>
      <w:r w:rsidR="0054331F" w:rsidRPr="0006336F">
        <w:rPr>
          <w:lang w:eastAsia="en-US"/>
        </w:rPr>
        <w:t>the Fair Work Act</w:t>
      </w:r>
      <w:r w:rsidR="00D466C7" w:rsidRPr="0006336F">
        <w:rPr>
          <w:lang w:eastAsia="en-US"/>
        </w:rPr>
        <w:t>. The review will</w:t>
      </w:r>
      <w:r w:rsidR="0054331F" w:rsidRPr="0006336F">
        <w:rPr>
          <w:lang w:eastAsia="en-US"/>
        </w:rPr>
        <w:t xml:space="preserve"> include research on the impact of modern awards on work and care</w:t>
      </w:r>
      <w:r w:rsidR="00D466C7" w:rsidRPr="0006336F">
        <w:rPr>
          <w:lang w:eastAsia="en-US"/>
        </w:rPr>
        <w:t xml:space="preserve"> and </w:t>
      </w:r>
      <w:r w:rsidR="0054331F" w:rsidRPr="0006336F">
        <w:rPr>
          <w:lang w:eastAsia="en-US"/>
        </w:rPr>
        <w:t xml:space="preserve">explore opportunities to make awards easier to use and more accessible. </w:t>
      </w:r>
    </w:p>
    <w:p w14:paraId="545F8C99" w14:textId="1880D50B" w:rsidR="0054331F" w:rsidRPr="0006336F" w:rsidRDefault="00FD3514" w:rsidP="0054331F">
      <w:pPr>
        <w:rPr>
          <w:lang w:eastAsia="en-US"/>
        </w:rPr>
      </w:pPr>
      <w:r>
        <w:rPr>
          <w:lang w:eastAsia="en-US"/>
        </w:rPr>
        <w:t>The Government</w:t>
      </w:r>
      <w:r w:rsidR="0054331F" w:rsidRPr="0006336F">
        <w:rPr>
          <w:lang w:eastAsia="en-US"/>
        </w:rPr>
        <w:t xml:space="preserve"> has also committed to implementing all the recommendations of the Respect@Work Report</w:t>
      </w:r>
      <w:r w:rsidR="00B326A5" w:rsidRPr="0006336F">
        <w:rPr>
          <w:lang w:eastAsia="en-US"/>
        </w:rPr>
        <w:t>.</w:t>
      </w:r>
      <w:r w:rsidR="001D3B5A" w:rsidRPr="0006336F">
        <w:rPr>
          <w:lang w:eastAsia="en-US"/>
        </w:rPr>
        <w:t xml:space="preserve"> </w:t>
      </w:r>
      <w:r w:rsidR="00490CB6" w:rsidRPr="0006336F">
        <w:rPr>
          <w:lang w:eastAsia="en-US"/>
        </w:rPr>
        <w:t xml:space="preserve">We have already </w:t>
      </w:r>
      <w:r w:rsidR="00DA29A3" w:rsidRPr="0006336F">
        <w:rPr>
          <w:lang w:eastAsia="en-US"/>
        </w:rPr>
        <w:t>implement</w:t>
      </w:r>
      <w:r w:rsidR="00A04738" w:rsidRPr="0006336F">
        <w:rPr>
          <w:lang w:eastAsia="en-US"/>
        </w:rPr>
        <w:t>ed</w:t>
      </w:r>
      <w:r w:rsidR="00DA29A3" w:rsidRPr="0006336F">
        <w:rPr>
          <w:lang w:eastAsia="en-US"/>
        </w:rPr>
        <w:t xml:space="preserve"> the recommendation to strengthen the Respect@Work Council by giving business and unions a permanent seat at the table</w:t>
      </w:r>
      <w:r w:rsidR="00A04738" w:rsidRPr="0006336F">
        <w:rPr>
          <w:lang w:eastAsia="en-US"/>
        </w:rPr>
        <w:t>,</w:t>
      </w:r>
      <w:r w:rsidR="00DA29A3" w:rsidRPr="0006336F">
        <w:rPr>
          <w:lang w:eastAsia="en-US"/>
        </w:rPr>
        <w:t xml:space="preserve"> along with government and civil society. </w:t>
      </w:r>
      <w:r w:rsidR="001D3B5A" w:rsidRPr="0006336F">
        <w:rPr>
          <w:lang w:eastAsia="en-US"/>
        </w:rPr>
        <w:t xml:space="preserve">Key legislative reforms passed last year included the introduction of </w:t>
      </w:r>
      <w:r w:rsidR="0054331F" w:rsidRPr="0006336F">
        <w:rPr>
          <w:lang w:eastAsia="en-US"/>
        </w:rPr>
        <w:t xml:space="preserve">a positive duty in the </w:t>
      </w:r>
      <w:r w:rsidR="0054331F" w:rsidRPr="0006336F">
        <w:rPr>
          <w:i/>
          <w:iCs/>
          <w:lang w:eastAsia="en-US"/>
        </w:rPr>
        <w:t>Sex</w:t>
      </w:r>
      <w:r w:rsidR="000602AE">
        <w:rPr>
          <w:i/>
          <w:iCs/>
          <w:lang w:eastAsia="en-US"/>
        </w:rPr>
        <w:t> </w:t>
      </w:r>
      <w:r w:rsidR="0054331F" w:rsidRPr="0006336F">
        <w:rPr>
          <w:i/>
          <w:iCs/>
          <w:lang w:eastAsia="en-US"/>
        </w:rPr>
        <w:t>Discrimination Act 1984</w:t>
      </w:r>
      <w:r w:rsidR="0054331F" w:rsidRPr="0006336F">
        <w:rPr>
          <w:lang w:eastAsia="en-US"/>
        </w:rPr>
        <w:t xml:space="preserve"> requiring employers to take reasonable and proportionate measures to eliminate sexual harassment and an express prohibition on sexual harassment in connection with work in the Fair Work Act.</w:t>
      </w:r>
    </w:p>
    <w:p w14:paraId="70A1AFDB" w14:textId="37C55876" w:rsidR="0054331F" w:rsidRPr="0006336F" w:rsidRDefault="0054331F" w:rsidP="0054331F">
      <w:pPr>
        <w:rPr>
          <w:lang w:eastAsia="en-US"/>
        </w:rPr>
      </w:pPr>
      <w:r w:rsidRPr="0006336F">
        <w:rPr>
          <w:lang w:eastAsia="en-US"/>
        </w:rPr>
        <w:t>These actions align with the Government</w:t>
      </w:r>
      <w:r w:rsidR="00B16861">
        <w:rPr>
          <w:lang w:eastAsia="en-US"/>
        </w:rPr>
        <w:t>’</w:t>
      </w:r>
      <w:r w:rsidRPr="0006336F">
        <w:rPr>
          <w:lang w:eastAsia="en-US"/>
        </w:rPr>
        <w:t xml:space="preserve">s broader approach to gender equality discussed in </w:t>
      </w:r>
      <w:r w:rsidR="00610769" w:rsidRPr="0006336F">
        <w:rPr>
          <w:lang w:eastAsia="en-US"/>
        </w:rPr>
        <w:t>the section on</w:t>
      </w:r>
      <w:r w:rsidRPr="0006336F">
        <w:rPr>
          <w:lang w:eastAsia="en-US"/>
        </w:rPr>
        <w:t xml:space="preserve"> </w:t>
      </w:r>
      <w:r w:rsidR="001B6C80" w:rsidRPr="0006336F">
        <w:rPr>
          <w:lang w:eastAsia="en-US"/>
        </w:rPr>
        <w:t>Reducing barriers to work</w:t>
      </w:r>
      <w:r w:rsidRPr="0006336F">
        <w:rPr>
          <w:lang w:eastAsia="en-US"/>
        </w:rPr>
        <w:t>.</w:t>
      </w:r>
    </w:p>
    <w:p w14:paraId="05E46271" w14:textId="77777777" w:rsidR="0054331F" w:rsidRPr="0006336F" w:rsidRDefault="0054331F" w:rsidP="0054331F">
      <w:pPr>
        <w:pStyle w:val="Heading4"/>
        <w:rPr>
          <w:lang w:eastAsia="en-US"/>
        </w:rPr>
      </w:pPr>
      <w:r w:rsidRPr="0006336F">
        <w:rPr>
          <w:lang w:eastAsia="en-US"/>
        </w:rPr>
        <w:t>An evolving system in a changing labour market</w:t>
      </w:r>
    </w:p>
    <w:p w14:paraId="25A14286" w14:textId="2F0B85CF" w:rsidR="0054331F" w:rsidRPr="0006336F" w:rsidRDefault="00FD3514" w:rsidP="0054331F">
      <w:pPr>
        <w:rPr>
          <w:lang w:eastAsia="en-US"/>
        </w:rPr>
      </w:pPr>
      <w:r>
        <w:rPr>
          <w:lang w:eastAsia="en-US"/>
        </w:rPr>
        <w:t>The Government</w:t>
      </w:r>
      <w:r w:rsidR="0054331F" w:rsidRPr="0006336F">
        <w:rPr>
          <w:lang w:eastAsia="en-US"/>
        </w:rPr>
        <w:t xml:space="preserve"> is focused on updating Australia</w:t>
      </w:r>
      <w:r w:rsidR="00B16861">
        <w:rPr>
          <w:lang w:eastAsia="en-US"/>
        </w:rPr>
        <w:t>’</w:t>
      </w:r>
      <w:r w:rsidR="0054331F" w:rsidRPr="0006336F">
        <w:rPr>
          <w:lang w:eastAsia="en-US"/>
        </w:rPr>
        <w:t xml:space="preserve">s workplace relations system to reflect the changing nature of work, including the evolving role of the gig economy and </w:t>
      </w:r>
      <w:r w:rsidR="00DE542D" w:rsidRPr="0006336F">
        <w:rPr>
          <w:lang w:eastAsia="en-US"/>
        </w:rPr>
        <w:t xml:space="preserve">the use of </w:t>
      </w:r>
      <w:r w:rsidR="0054331F" w:rsidRPr="0006336F">
        <w:rPr>
          <w:lang w:eastAsia="en-US"/>
        </w:rPr>
        <w:t>labour hire.</w:t>
      </w:r>
    </w:p>
    <w:p w14:paraId="3681CE5F" w14:textId="46A96567" w:rsidR="0054331F" w:rsidRPr="0006336F" w:rsidRDefault="0054331F" w:rsidP="0054331F">
      <w:pPr>
        <w:rPr>
          <w:lang w:eastAsia="en-US"/>
        </w:rPr>
      </w:pPr>
      <w:r w:rsidRPr="0006336F">
        <w:rPr>
          <w:lang w:eastAsia="en-US"/>
        </w:rPr>
        <w:t xml:space="preserve">The </w:t>
      </w:r>
      <w:r w:rsidRPr="0006336F">
        <w:rPr>
          <w:i/>
          <w:lang w:eastAsia="en-US"/>
        </w:rPr>
        <w:t>Fair Work Legislation Amendment (Closing Loopholes) Bill 2023</w:t>
      </w:r>
      <w:r w:rsidRPr="0006336F">
        <w:rPr>
          <w:lang w:eastAsia="en-US"/>
        </w:rPr>
        <w:t xml:space="preserve"> will improve the workplace relations system, to provide greater certainty, fairness and a level playing field for both business and workers. </w:t>
      </w:r>
      <w:r w:rsidR="007C5C51" w:rsidRPr="0006336F">
        <w:rPr>
          <w:lang w:eastAsia="en-US"/>
        </w:rPr>
        <w:t xml:space="preserve">It is closing loopholes that undermine wages and </w:t>
      </w:r>
      <w:r w:rsidR="004D0C88" w:rsidRPr="0006336F">
        <w:rPr>
          <w:lang w:eastAsia="en-US"/>
        </w:rPr>
        <w:t>conditions</w:t>
      </w:r>
      <w:r w:rsidR="003338A2">
        <w:rPr>
          <w:lang w:eastAsia="en-US"/>
        </w:rPr>
        <w:t>,</w:t>
      </w:r>
      <w:r w:rsidR="004D0C88" w:rsidRPr="0006336F">
        <w:rPr>
          <w:lang w:eastAsia="en-US"/>
        </w:rPr>
        <w:t xml:space="preserve"> including</w:t>
      </w:r>
      <w:r w:rsidR="007C5C51" w:rsidRPr="0006336F">
        <w:rPr>
          <w:lang w:eastAsia="en-US"/>
        </w:rPr>
        <w:t xml:space="preserve"> job security</w:t>
      </w:r>
      <w:r w:rsidR="004D0C88" w:rsidRPr="0006336F">
        <w:rPr>
          <w:lang w:eastAsia="en-US"/>
        </w:rPr>
        <w:t>. These reforms</w:t>
      </w:r>
      <w:r w:rsidR="008674E7" w:rsidRPr="0006336F">
        <w:rPr>
          <w:lang w:eastAsia="en-US"/>
        </w:rPr>
        <w:t xml:space="preserve"> would also</w:t>
      </w:r>
      <w:r w:rsidR="007C5C51" w:rsidRPr="0006336F">
        <w:rPr>
          <w:lang w:eastAsia="en-US"/>
        </w:rPr>
        <w:t xml:space="preserve"> prevent the use of labour hire from undercutting bargained wages in enterprise agreements, and criminalis</w:t>
      </w:r>
      <w:r w:rsidR="008674E7" w:rsidRPr="0006336F">
        <w:rPr>
          <w:lang w:eastAsia="en-US"/>
        </w:rPr>
        <w:t>e</w:t>
      </w:r>
      <w:r w:rsidR="007C5C51" w:rsidRPr="0006336F">
        <w:rPr>
          <w:lang w:eastAsia="en-US"/>
        </w:rPr>
        <w:t xml:space="preserve"> </w:t>
      </w:r>
      <w:r w:rsidR="002938AF" w:rsidRPr="0006336F">
        <w:rPr>
          <w:lang w:eastAsia="en-US"/>
        </w:rPr>
        <w:t xml:space="preserve">intentional </w:t>
      </w:r>
      <w:r w:rsidR="007C5C51" w:rsidRPr="0006336F">
        <w:rPr>
          <w:lang w:eastAsia="en-US"/>
        </w:rPr>
        <w:t>wage theft.</w:t>
      </w:r>
    </w:p>
    <w:p w14:paraId="2CD6D520" w14:textId="6FEAA947" w:rsidR="0054331F" w:rsidRPr="0006336F" w:rsidRDefault="0054331F" w:rsidP="0054331F">
      <w:pPr>
        <w:rPr>
          <w:lang w:eastAsia="en-US"/>
        </w:rPr>
      </w:pPr>
      <w:r w:rsidRPr="0006336F">
        <w:rPr>
          <w:lang w:eastAsia="en-US"/>
        </w:rPr>
        <w:t xml:space="preserve">The reforms will also modernise how employment standards apply to the gig economy by giving the FWC jurisdiction to set minimum standards for </w:t>
      </w:r>
      <w:r w:rsidR="00ED5E78" w:rsidRPr="0006336F">
        <w:rPr>
          <w:lang w:eastAsia="en-US"/>
        </w:rPr>
        <w:t>some</w:t>
      </w:r>
      <w:r w:rsidRPr="0006336F">
        <w:rPr>
          <w:lang w:eastAsia="en-US"/>
        </w:rPr>
        <w:t xml:space="preserve"> employee</w:t>
      </w:r>
      <w:r w:rsidR="00B16861">
        <w:rPr>
          <w:lang w:eastAsia="en-US"/>
        </w:rPr>
        <w:noBreakHyphen/>
      </w:r>
      <w:r w:rsidRPr="0006336F">
        <w:rPr>
          <w:lang w:eastAsia="en-US"/>
        </w:rPr>
        <w:t xml:space="preserve">like </w:t>
      </w:r>
      <w:r w:rsidR="002E68AD" w:rsidRPr="0006336F">
        <w:rPr>
          <w:lang w:eastAsia="en-US"/>
        </w:rPr>
        <w:t>workers</w:t>
      </w:r>
      <w:r w:rsidR="00C217A5" w:rsidRPr="0006336F">
        <w:rPr>
          <w:lang w:eastAsia="en-US"/>
        </w:rPr>
        <w:t xml:space="preserve"> who perform work through </w:t>
      </w:r>
      <w:r w:rsidRPr="0006336F">
        <w:rPr>
          <w:lang w:eastAsia="en-US"/>
        </w:rPr>
        <w:t xml:space="preserve">digital </w:t>
      </w:r>
      <w:r w:rsidR="00C217A5" w:rsidRPr="0006336F">
        <w:rPr>
          <w:lang w:eastAsia="en-US"/>
        </w:rPr>
        <w:t xml:space="preserve">labour </w:t>
      </w:r>
      <w:r w:rsidRPr="0006336F">
        <w:rPr>
          <w:lang w:eastAsia="en-US"/>
        </w:rPr>
        <w:t xml:space="preserve">platforms. Currently, gig economy workers are generally </w:t>
      </w:r>
      <w:r w:rsidR="006D6840" w:rsidRPr="0006336F">
        <w:rPr>
          <w:lang w:eastAsia="en-US"/>
        </w:rPr>
        <w:t>engaged</w:t>
      </w:r>
      <w:r w:rsidRPr="0006336F">
        <w:rPr>
          <w:lang w:eastAsia="en-US"/>
        </w:rPr>
        <w:t xml:space="preserve"> as independent contractors, so employee protections such as the National Employment Standards and minimum wages do not apply. The reforms give the </w:t>
      </w:r>
      <w:r w:rsidR="00EE7260" w:rsidRPr="0006336F">
        <w:rPr>
          <w:lang w:eastAsia="en-US"/>
        </w:rPr>
        <w:t>FWC the ability</w:t>
      </w:r>
      <w:r w:rsidRPr="0006336F">
        <w:rPr>
          <w:lang w:eastAsia="en-US"/>
        </w:rPr>
        <w:t xml:space="preserve"> to set </w:t>
      </w:r>
      <w:r w:rsidR="00BE6BF1" w:rsidRPr="0006336F">
        <w:rPr>
          <w:lang w:eastAsia="en-US"/>
        </w:rPr>
        <w:t xml:space="preserve">appropriate </w:t>
      </w:r>
      <w:r w:rsidRPr="0006336F">
        <w:rPr>
          <w:lang w:eastAsia="en-US"/>
        </w:rPr>
        <w:t>minimum</w:t>
      </w:r>
      <w:r w:rsidR="00170757" w:rsidRPr="0006336F">
        <w:rPr>
          <w:lang w:eastAsia="en-US"/>
        </w:rPr>
        <w:t xml:space="preserve"> standards, which could include</w:t>
      </w:r>
      <w:r w:rsidRPr="0006336F">
        <w:rPr>
          <w:lang w:eastAsia="en-US"/>
        </w:rPr>
        <w:t xml:space="preserve"> payment terms, deductions, working time and insurance. The reforms will also allow</w:t>
      </w:r>
      <w:r w:rsidR="002938AF" w:rsidRPr="0006336F">
        <w:rPr>
          <w:lang w:eastAsia="en-US"/>
        </w:rPr>
        <w:t xml:space="preserve"> </w:t>
      </w:r>
      <w:r w:rsidR="0075013F" w:rsidRPr="0006336F">
        <w:rPr>
          <w:lang w:eastAsia="en-US"/>
        </w:rPr>
        <w:t>some</w:t>
      </w:r>
      <w:r w:rsidR="002938AF" w:rsidRPr="0006336F">
        <w:rPr>
          <w:lang w:eastAsia="en-US"/>
        </w:rPr>
        <w:t xml:space="preserve"> digital labour platforms to voluntarily make collective agreements with</w:t>
      </w:r>
      <w:r w:rsidRPr="0006336F">
        <w:rPr>
          <w:lang w:eastAsia="en-US"/>
        </w:rPr>
        <w:t xml:space="preserve"> registered organisations representing employee</w:t>
      </w:r>
      <w:r w:rsidR="00B16861">
        <w:rPr>
          <w:lang w:eastAsia="en-US"/>
        </w:rPr>
        <w:noBreakHyphen/>
      </w:r>
      <w:r w:rsidRPr="0006336F">
        <w:rPr>
          <w:lang w:eastAsia="en-US"/>
        </w:rPr>
        <w:t>like workers</w:t>
      </w:r>
      <w:r w:rsidR="00C17CDD" w:rsidRPr="0006336F">
        <w:rPr>
          <w:lang w:eastAsia="en-US"/>
        </w:rPr>
        <w:t>,</w:t>
      </w:r>
      <w:r w:rsidR="003225DC" w:rsidRPr="0006336F">
        <w:rPr>
          <w:lang w:eastAsia="en-US"/>
        </w:rPr>
        <w:t xml:space="preserve"> </w:t>
      </w:r>
      <w:r w:rsidR="00025F94" w:rsidRPr="0006336F">
        <w:rPr>
          <w:lang w:eastAsia="en-US"/>
        </w:rPr>
        <w:t>and provide protections for employee</w:t>
      </w:r>
      <w:r w:rsidR="00B16861">
        <w:rPr>
          <w:lang w:eastAsia="en-US"/>
        </w:rPr>
        <w:noBreakHyphen/>
      </w:r>
      <w:r w:rsidR="00025F94" w:rsidRPr="0006336F">
        <w:rPr>
          <w:lang w:eastAsia="en-US"/>
        </w:rPr>
        <w:t>like workers against unfair deactivation from a digital labour platform</w:t>
      </w:r>
      <w:r w:rsidRPr="0006336F">
        <w:rPr>
          <w:lang w:eastAsia="en-US"/>
        </w:rPr>
        <w:t>.</w:t>
      </w:r>
    </w:p>
    <w:p w14:paraId="6D4E3B5A" w14:textId="6D2A1F96" w:rsidR="00520F61" w:rsidRPr="0006336F" w:rsidRDefault="0054331F" w:rsidP="00E64070">
      <w:pPr>
        <w:rPr>
          <w:lang w:eastAsia="en-US"/>
        </w:rPr>
      </w:pPr>
      <w:r w:rsidRPr="0006336F">
        <w:rPr>
          <w:lang w:eastAsia="en-US"/>
        </w:rPr>
        <w:t xml:space="preserve">These reforms acknowledge the legitimacy and ongoing value of the gig economy. They do not convert gig workers to </w:t>
      </w:r>
      <w:r w:rsidR="00B16861">
        <w:rPr>
          <w:lang w:eastAsia="en-US"/>
        </w:rPr>
        <w:t>‘</w:t>
      </w:r>
      <w:r w:rsidRPr="0006336F">
        <w:rPr>
          <w:lang w:eastAsia="en-US"/>
        </w:rPr>
        <w:t>employees</w:t>
      </w:r>
      <w:r w:rsidR="00B16861">
        <w:rPr>
          <w:lang w:eastAsia="en-US"/>
        </w:rPr>
        <w:t>’</w:t>
      </w:r>
      <w:r w:rsidRPr="0006336F">
        <w:rPr>
          <w:lang w:eastAsia="en-US"/>
        </w:rPr>
        <w:t xml:space="preserve"> of platforms or add requirements that undermine the flexible nature of this work, such as setting rostering or </w:t>
      </w:r>
      <w:r w:rsidR="00C17CDD" w:rsidRPr="0006336F">
        <w:rPr>
          <w:lang w:eastAsia="en-US"/>
        </w:rPr>
        <w:t xml:space="preserve">overtime </w:t>
      </w:r>
      <w:r w:rsidRPr="0006336F">
        <w:rPr>
          <w:lang w:eastAsia="en-US"/>
        </w:rPr>
        <w:t xml:space="preserve">requirements. Instead, they recognise the evolution of forms of work and allow core workplace relations </w:t>
      </w:r>
      <w:r w:rsidR="000D5515" w:rsidRPr="0006336F">
        <w:rPr>
          <w:lang w:eastAsia="en-US"/>
        </w:rPr>
        <w:t>practices</w:t>
      </w:r>
      <w:r w:rsidRPr="0006336F">
        <w:rPr>
          <w:lang w:eastAsia="en-US"/>
        </w:rPr>
        <w:t>, including bargaining, to apply in appropriate ways.</w:t>
      </w:r>
    </w:p>
    <w:p w14:paraId="215391A9" w14:textId="284A040B" w:rsidR="00A11F7D" w:rsidRPr="0006336F" w:rsidRDefault="000D5515" w:rsidP="00E64070">
      <w:pPr>
        <w:rPr>
          <w:lang w:eastAsia="en-US"/>
        </w:rPr>
      </w:pPr>
      <w:r w:rsidRPr="0006336F">
        <w:rPr>
          <w:lang w:eastAsia="en-US"/>
        </w:rPr>
        <w:t>R</w:t>
      </w:r>
      <w:r w:rsidR="00A11F7D" w:rsidRPr="0006336F">
        <w:rPr>
          <w:lang w:eastAsia="en-US"/>
        </w:rPr>
        <w:t xml:space="preserve">eforms to </w:t>
      </w:r>
      <w:r w:rsidR="007738D4" w:rsidRPr="0006336F">
        <w:rPr>
          <w:lang w:eastAsia="en-US"/>
        </w:rPr>
        <w:t>labour market</w:t>
      </w:r>
      <w:r w:rsidR="00A11F7D" w:rsidRPr="0006336F">
        <w:rPr>
          <w:lang w:eastAsia="en-US"/>
        </w:rPr>
        <w:t xml:space="preserve"> institutions and frameworks set the foundations for more secure, well</w:t>
      </w:r>
      <w:r w:rsidR="00B16861">
        <w:rPr>
          <w:lang w:eastAsia="en-US"/>
        </w:rPr>
        <w:noBreakHyphen/>
      </w:r>
      <w:r w:rsidR="00A11F7D" w:rsidRPr="0006336F">
        <w:rPr>
          <w:lang w:eastAsia="en-US"/>
        </w:rPr>
        <w:t xml:space="preserve">paid jobs, and form a part of a broader strategy set out in the remainder of this </w:t>
      </w:r>
      <w:r w:rsidR="00B7668F" w:rsidRPr="0006336F">
        <w:rPr>
          <w:lang w:eastAsia="en-US"/>
        </w:rPr>
        <w:t>Roadmap</w:t>
      </w:r>
      <w:r w:rsidR="00276B88" w:rsidRPr="0006336F">
        <w:rPr>
          <w:lang w:eastAsia="en-US"/>
        </w:rPr>
        <w:t xml:space="preserve">. </w:t>
      </w:r>
    </w:p>
    <w:p w14:paraId="13F0A3B4" w14:textId="3F3E73ED" w:rsidR="00520F61" w:rsidRPr="0006336F" w:rsidRDefault="0054331F">
      <w:pPr>
        <w:spacing w:before="0" w:after="160" w:line="259" w:lineRule="auto"/>
        <w:rPr>
          <w:lang w:eastAsia="en-US"/>
        </w:rPr>
      </w:pPr>
      <w:r w:rsidRPr="0006336F">
        <w:rPr>
          <w:lang w:eastAsia="en-US"/>
        </w:rPr>
        <w:br w:type="page"/>
      </w:r>
    </w:p>
    <w:p w14:paraId="59F22071" w14:textId="401A9CD3" w:rsidR="00047944" w:rsidRPr="0006336F" w:rsidRDefault="00CB3DF7" w:rsidP="00F4496B">
      <w:pPr>
        <w:pStyle w:val="Heading2"/>
        <w:rPr>
          <w:lang w:eastAsia="en-US"/>
        </w:rPr>
      </w:pPr>
      <w:bookmarkStart w:id="7" w:name="_Toc146292916"/>
      <w:r w:rsidRPr="0006336F">
        <w:lastRenderedPageBreak/>
        <w:t xml:space="preserve">2 </w:t>
      </w:r>
      <w:r w:rsidR="00BF40C1">
        <w:tab/>
      </w:r>
      <w:r w:rsidR="000D0AEC" w:rsidRPr="0006336F">
        <w:rPr>
          <w:lang w:eastAsia="en-US"/>
        </w:rPr>
        <w:t>Modernising industry and regional policy</w:t>
      </w:r>
      <w:bookmarkEnd w:id="7"/>
    </w:p>
    <w:p w14:paraId="6FD818B2" w14:textId="7B0160BC" w:rsidR="004D7E6A" w:rsidRPr="0006336F" w:rsidRDefault="007353F6" w:rsidP="00E840EC">
      <w:pPr>
        <w:pStyle w:val="TableMainHeadingRoadmap"/>
        <w:rPr>
          <w:lang w:eastAsia="en-US"/>
        </w:rPr>
      </w:pPr>
      <w:r w:rsidRPr="0006336F">
        <w:rPr>
          <w:lang w:eastAsia="en-US"/>
        </w:rPr>
        <w:t>Actions</w:t>
      </w:r>
      <w:r w:rsidR="00E97F4F" w:rsidRPr="0006336F">
        <w:rPr>
          <w:lang w:eastAsia="en-US"/>
        </w:rPr>
        <w:t xml:space="preserve"> to modernise industry and regional policy</w:t>
      </w:r>
    </w:p>
    <w:tbl>
      <w:tblPr>
        <w:tblStyle w:val="TableGrid"/>
        <w:tblW w:w="5000" w:type="pct"/>
        <w:tblLook w:val="01E0" w:firstRow="1" w:lastRow="1" w:firstColumn="1" w:lastColumn="1" w:noHBand="0" w:noVBand="0"/>
      </w:tblPr>
      <w:tblGrid>
        <w:gridCol w:w="3023"/>
        <w:gridCol w:w="3023"/>
        <w:gridCol w:w="3024"/>
      </w:tblGrid>
      <w:tr w:rsidR="00B166D3" w:rsidRPr="0006336F" w14:paraId="516D222D" w14:textId="77777777" w:rsidTr="00A715AC">
        <w:trPr>
          <w:cnfStyle w:val="100000000000" w:firstRow="1" w:lastRow="0" w:firstColumn="0" w:lastColumn="0" w:oddVBand="0" w:evenVBand="0" w:oddHBand="0" w:evenHBand="0" w:firstRowFirstColumn="0" w:firstRowLastColumn="0" w:lastRowFirstColumn="0" w:lastRowLastColumn="0"/>
          <w:tblHeader/>
        </w:trPr>
        <w:tc>
          <w:tcPr>
            <w:tcW w:w="1666" w:type="pct"/>
          </w:tcPr>
          <w:p w14:paraId="07D22110" w14:textId="3251638F" w:rsidR="00B166D3" w:rsidRPr="0006336F" w:rsidRDefault="00B166D3" w:rsidP="00EE19B9">
            <w:pPr>
              <w:pStyle w:val="TableColumnHeadingLeft"/>
            </w:pPr>
            <w:r w:rsidRPr="0006336F">
              <w:t xml:space="preserve">Implemented </w:t>
            </w:r>
          </w:p>
        </w:tc>
        <w:tc>
          <w:tcPr>
            <w:tcW w:w="1666" w:type="pct"/>
          </w:tcPr>
          <w:p w14:paraId="234B1577" w14:textId="0772D59F" w:rsidR="00B166D3" w:rsidRPr="0006336F" w:rsidRDefault="00B166D3" w:rsidP="00EE19B9">
            <w:pPr>
              <w:pStyle w:val="TableColumnHeadingLeft"/>
            </w:pPr>
            <w:r w:rsidRPr="0006336F">
              <w:t>Underway</w:t>
            </w:r>
          </w:p>
        </w:tc>
        <w:tc>
          <w:tcPr>
            <w:tcW w:w="1667" w:type="pct"/>
          </w:tcPr>
          <w:p w14:paraId="128347FB" w14:textId="41B483EE" w:rsidR="00B166D3" w:rsidRPr="0006336F" w:rsidRDefault="00B166D3" w:rsidP="00EE19B9">
            <w:pPr>
              <w:pStyle w:val="TableColumnHeadingLeft"/>
            </w:pPr>
            <w:r w:rsidRPr="0006336F">
              <w:t>Future reform directions</w:t>
            </w:r>
          </w:p>
        </w:tc>
      </w:tr>
      <w:tr w:rsidR="00B166D3" w:rsidRPr="0006336F" w14:paraId="62D213C5" w14:textId="77777777" w:rsidTr="00A715AC">
        <w:tc>
          <w:tcPr>
            <w:tcW w:w="1666" w:type="pct"/>
          </w:tcPr>
          <w:p w14:paraId="571814F8" w14:textId="2B0EA604" w:rsidR="00880B85" w:rsidRPr="0006336F" w:rsidRDefault="001A37E3" w:rsidP="00880B85">
            <w:pPr>
              <w:pStyle w:val="TableTextLeft"/>
              <w:rPr>
                <w:b/>
                <w:bCs/>
              </w:rPr>
            </w:pPr>
            <w:r w:rsidRPr="0006336F">
              <w:rPr>
                <w:b/>
                <w:bCs/>
              </w:rPr>
              <w:t xml:space="preserve">Set </w:t>
            </w:r>
            <w:r w:rsidR="00CA70E1" w:rsidRPr="0006336F">
              <w:rPr>
                <w:b/>
                <w:bCs/>
              </w:rPr>
              <w:t>national priorities</w:t>
            </w:r>
          </w:p>
          <w:p w14:paraId="51E962E8" w14:textId="1E3288CE" w:rsidR="00880B85" w:rsidRPr="0006336F" w:rsidRDefault="00880B85" w:rsidP="00F4496B">
            <w:pPr>
              <w:pStyle w:val="TableTextBullet"/>
            </w:pPr>
            <w:r w:rsidRPr="0006336F">
              <w:t>Legislated emissions reduction targets of 43</w:t>
            </w:r>
            <w:r w:rsidR="00B16861">
              <w:t> per c</w:t>
            </w:r>
            <w:r w:rsidRPr="0006336F">
              <w:t>ent by 2030 and net zero by 2050</w:t>
            </w:r>
          </w:p>
          <w:p w14:paraId="496F632A" w14:textId="56796BA6" w:rsidR="00880B85" w:rsidRPr="0006336F" w:rsidRDefault="00880B85" w:rsidP="00F4496B">
            <w:pPr>
              <w:pStyle w:val="TableTextBullet"/>
            </w:pPr>
            <w:r w:rsidRPr="0006336F">
              <w:t>Defined</w:t>
            </w:r>
            <w:r w:rsidRPr="0006336F" w:rsidDel="00515E1B">
              <w:t xml:space="preserve"> </w:t>
            </w:r>
            <w:r w:rsidR="00515E1B" w:rsidRPr="0006336F">
              <w:t>seven</w:t>
            </w:r>
            <w:r w:rsidRPr="0006336F">
              <w:t xml:space="preserve"> national priority areas through the National Reconstruction Fund, ranging from </w:t>
            </w:r>
            <w:r w:rsidR="00286038" w:rsidRPr="0006336F">
              <w:t>value</w:t>
            </w:r>
            <w:r w:rsidR="00B16861">
              <w:noBreakHyphen/>
            </w:r>
            <w:r w:rsidR="00286038" w:rsidRPr="0006336F">
              <w:t>add in resources</w:t>
            </w:r>
            <w:r w:rsidRPr="0006336F">
              <w:t xml:space="preserve"> to medical </w:t>
            </w:r>
            <w:r w:rsidR="00286038" w:rsidRPr="0006336F">
              <w:t>science</w:t>
            </w:r>
          </w:p>
          <w:p w14:paraId="513C2444" w14:textId="4D413028" w:rsidR="00880B85" w:rsidRPr="0006336F" w:rsidRDefault="00880B85" w:rsidP="00F4496B">
            <w:pPr>
              <w:pStyle w:val="TableTextBullet"/>
            </w:pPr>
            <w:r w:rsidRPr="0006336F">
              <w:t xml:space="preserve">Established the </w:t>
            </w:r>
            <w:r w:rsidR="000933BA" w:rsidRPr="0006336F">
              <w:t>C</w:t>
            </w:r>
            <w:r w:rsidRPr="0006336F">
              <w:t xml:space="preserve">ritical </w:t>
            </w:r>
            <w:r w:rsidR="000933BA" w:rsidRPr="0006336F">
              <w:t xml:space="preserve">Technologies List, </w:t>
            </w:r>
            <w:r w:rsidR="002C1166" w:rsidRPr="0006336F">
              <w:t>including</w:t>
            </w:r>
            <w:r w:rsidR="000933BA" w:rsidRPr="0006336F">
              <w:t xml:space="preserve"> </w:t>
            </w:r>
            <w:r w:rsidR="00615FFB" w:rsidRPr="0006336F">
              <w:t xml:space="preserve">AI, quantum, robotics, </w:t>
            </w:r>
            <w:r w:rsidR="000933BA" w:rsidRPr="0006336F">
              <w:t xml:space="preserve">advanced manufacturing, </w:t>
            </w:r>
            <w:r w:rsidR="00615FFB" w:rsidRPr="0006336F">
              <w:t>clean energy tech</w:t>
            </w:r>
            <w:r w:rsidR="002C1166" w:rsidRPr="0006336F">
              <w:t xml:space="preserve"> and</w:t>
            </w:r>
            <w:r w:rsidRPr="0006336F">
              <w:t xml:space="preserve"> biotech</w:t>
            </w:r>
            <w:r w:rsidR="002C1166" w:rsidRPr="0006336F">
              <w:t>nology</w:t>
            </w:r>
          </w:p>
          <w:p w14:paraId="0B481A20" w14:textId="259DAD91" w:rsidR="00880B85" w:rsidRPr="0006336F" w:rsidRDefault="00880B85" w:rsidP="00F4496B">
            <w:pPr>
              <w:pStyle w:val="TableTextBullet"/>
            </w:pPr>
            <w:r w:rsidRPr="0006336F">
              <w:t xml:space="preserve">Introduced the Regional Investment Framework to </w:t>
            </w:r>
            <w:r w:rsidR="00DD0A66" w:rsidRPr="0006336F">
              <w:t xml:space="preserve">ensure </w:t>
            </w:r>
            <w:r w:rsidRPr="0006336F">
              <w:t>investments are delivering for regions</w:t>
            </w:r>
          </w:p>
          <w:p w14:paraId="681EF3CC" w14:textId="1D0E940D" w:rsidR="00880B85" w:rsidRPr="0006336F" w:rsidRDefault="00880B85" w:rsidP="00F4496B">
            <w:pPr>
              <w:pStyle w:val="TableTextBullet"/>
            </w:pPr>
            <w:r w:rsidRPr="0006336F">
              <w:t>Established the National Energy Transformation Partnership and National Transformation Principles with states and territories to coordinate the renewable energy and broader net zero transition</w:t>
            </w:r>
          </w:p>
          <w:p w14:paraId="067BBF77" w14:textId="50033B16" w:rsidR="00880B85" w:rsidRPr="0006336F" w:rsidRDefault="00880B85" w:rsidP="00F4496B">
            <w:pPr>
              <w:pStyle w:val="TableTextBullet"/>
            </w:pPr>
            <w:r w:rsidRPr="0006336F">
              <w:t xml:space="preserve">Established </w:t>
            </w:r>
            <w:r w:rsidR="00A07C0B">
              <w:t xml:space="preserve">the </w:t>
            </w:r>
            <w:r w:rsidRPr="0006336F">
              <w:t xml:space="preserve">National Cyber Security Coordinator </w:t>
            </w:r>
          </w:p>
          <w:p w14:paraId="1F2F5283" w14:textId="6A118BD5" w:rsidR="005202C5" w:rsidRPr="0006336F" w:rsidRDefault="005202C5" w:rsidP="005202C5">
            <w:pPr>
              <w:pStyle w:val="TableTextBullet"/>
            </w:pPr>
            <w:r w:rsidRPr="0006336F">
              <w:t>Made targeted investments in priority areas, including $100</w:t>
            </w:r>
            <w:r w:rsidR="000F0ED2">
              <w:t> million</w:t>
            </w:r>
            <w:r w:rsidRPr="0006336F">
              <w:t xml:space="preserve"> equity investment in the Australian Made Battery precinct</w:t>
            </w:r>
          </w:p>
          <w:p w14:paraId="62C508D0" w14:textId="6DEE51AE" w:rsidR="00B166D3" w:rsidRPr="0006336F" w:rsidRDefault="00577051" w:rsidP="00A73B6C">
            <w:pPr>
              <w:pStyle w:val="TableTextBullet"/>
            </w:pPr>
            <w:r w:rsidRPr="0006336F">
              <w:t>Established Music Australia and Creative Workplaces, and delivered a National Cultur</w:t>
            </w:r>
            <w:r w:rsidR="00926D33">
              <w:t>al</w:t>
            </w:r>
            <w:r w:rsidRPr="0006336F">
              <w:t xml:space="preserve"> Policy</w:t>
            </w:r>
          </w:p>
        </w:tc>
        <w:tc>
          <w:tcPr>
            <w:tcW w:w="1666" w:type="pct"/>
          </w:tcPr>
          <w:p w14:paraId="724D8868" w14:textId="6B0EBF89" w:rsidR="00880B85" w:rsidRPr="0006336F" w:rsidRDefault="00880B85" w:rsidP="00880B85">
            <w:pPr>
              <w:pStyle w:val="TableTextLeft"/>
              <w:rPr>
                <w:b/>
                <w:bCs/>
              </w:rPr>
            </w:pPr>
            <w:r w:rsidRPr="0006336F">
              <w:rPr>
                <w:b/>
                <w:bCs/>
              </w:rPr>
              <w:t>Coordinating strategic investment</w:t>
            </w:r>
          </w:p>
          <w:p w14:paraId="1966CD56" w14:textId="77777777" w:rsidR="00E07EBC" w:rsidRPr="0006336F" w:rsidRDefault="00E07EBC" w:rsidP="00E07EBC">
            <w:pPr>
              <w:pStyle w:val="TableTextBullet"/>
            </w:pPr>
            <w:r w:rsidRPr="0006336F">
              <w:t>Convening investor roundtables to unlock investment in priority areas</w:t>
            </w:r>
          </w:p>
          <w:p w14:paraId="5B966FB1" w14:textId="6AC06849" w:rsidR="0065677C" w:rsidRPr="0006336F" w:rsidRDefault="0065677C" w:rsidP="0065677C">
            <w:pPr>
              <w:pStyle w:val="TableTextBullet"/>
              <w:rPr>
                <w:rFonts w:ascii="Times New Roman" w:eastAsiaTheme="minorHAnsi" w:hAnsi="Times New Roman"/>
                <w:sz w:val="16"/>
                <w:szCs w:val="16"/>
              </w:rPr>
            </w:pPr>
            <w:r w:rsidRPr="0006336F">
              <w:t>Invest</w:t>
            </w:r>
            <w:r w:rsidR="00EF30C9">
              <w:t>ing</w:t>
            </w:r>
            <w:r w:rsidRPr="0006336F">
              <w:t xml:space="preserve"> in net zero through initiatives like the Capacity Investment Scheme</w:t>
            </w:r>
          </w:p>
          <w:p w14:paraId="0BE11BB5" w14:textId="3D4D7504" w:rsidR="00103FA9" w:rsidRPr="0006336F" w:rsidRDefault="00103FA9" w:rsidP="00103FA9">
            <w:pPr>
              <w:pStyle w:val="TableTextBullet"/>
              <w:rPr>
                <w:rFonts w:eastAsiaTheme="minorHAnsi"/>
              </w:rPr>
            </w:pPr>
            <w:r w:rsidRPr="0006336F">
              <w:t>Establishing a Sustainable Finance Strategy to attract green finance</w:t>
            </w:r>
          </w:p>
          <w:p w14:paraId="56A288BB" w14:textId="500994B5" w:rsidR="004D7B58" w:rsidRPr="0006336F" w:rsidRDefault="004D7B58" w:rsidP="004D7B58">
            <w:pPr>
              <w:pStyle w:val="TableTextBullet"/>
            </w:pPr>
            <w:r w:rsidRPr="0006336F">
              <w:t xml:space="preserve">Rebuilding capabilities through the National Reconstruction Fund and the Industry Growth </w:t>
            </w:r>
            <w:r w:rsidR="00283866" w:rsidRPr="0006336F">
              <w:t>Program</w:t>
            </w:r>
          </w:p>
          <w:p w14:paraId="245BB5AA" w14:textId="2A5E6FF3" w:rsidR="00880B85" w:rsidRPr="0006336F" w:rsidRDefault="00283866" w:rsidP="00F4496B">
            <w:pPr>
              <w:pStyle w:val="TableTextBullet"/>
            </w:pPr>
            <w:r w:rsidRPr="0006336F">
              <w:t xml:space="preserve">Refreshing </w:t>
            </w:r>
            <w:r w:rsidR="00880B85" w:rsidRPr="0006336F">
              <w:t>Australia</w:t>
            </w:r>
            <w:r w:rsidR="00B16861">
              <w:t>’</w:t>
            </w:r>
            <w:r w:rsidR="00880B85" w:rsidRPr="0006336F">
              <w:t xml:space="preserve">s National Science and Research Priorities </w:t>
            </w:r>
          </w:p>
          <w:p w14:paraId="6D54F6B3" w14:textId="51BCD0E5" w:rsidR="00880B85" w:rsidRPr="0006336F" w:rsidRDefault="00880B85" w:rsidP="00F4496B">
            <w:pPr>
              <w:pStyle w:val="TableTextBullet"/>
            </w:pPr>
            <w:r w:rsidRPr="0006336F">
              <w:t xml:space="preserve">Developing strategies for </w:t>
            </w:r>
            <w:r w:rsidR="00234726" w:rsidRPr="0006336F">
              <w:t>AI</w:t>
            </w:r>
            <w:r w:rsidRPr="0006336F">
              <w:t xml:space="preserve"> and cyber security</w:t>
            </w:r>
          </w:p>
          <w:p w14:paraId="324F58E2" w14:textId="76158A99" w:rsidR="009D5581" w:rsidRPr="0006336F" w:rsidRDefault="009D5581" w:rsidP="00F4496B">
            <w:pPr>
              <w:pStyle w:val="TableTextBullet"/>
            </w:pPr>
            <w:r w:rsidRPr="0006336F">
              <w:t xml:space="preserve">Delivering the Buy Australian Plan </w:t>
            </w:r>
          </w:p>
          <w:p w14:paraId="4DE7D5BA" w14:textId="14E5BC96" w:rsidR="00743895" w:rsidRPr="0006336F" w:rsidRDefault="00D307E0" w:rsidP="00882D0B">
            <w:pPr>
              <w:pStyle w:val="TableTextBullet"/>
              <w:rPr>
                <w:rFonts w:ascii="Times New Roman" w:eastAsiaTheme="minorHAnsi" w:hAnsi="Times New Roman"/>
                <w:sz w:val="20"/>
              </w:rPr>
            </w:pPr>
            <w:r w:rsidRPr="0006336F">
              <w:rPr>
                <w:szCs w:val="16"/>
              </w:rPr>
              <w:t>Supporting Australia</w:t>
            </w:r>
            <w:r w:rsidR="00B16861">
              <w:rPr>
                <w:szCs w:val="16"/>
              </w:rPr>
              <w:t>’</w:t>
            </w:r>
            <w:r w:rsidRPr="0006336F">
              <w:rPr>
                <w:szCs w:val="16"/>
              </w:rPr>
              <w:t xml:space="preserve">s transition to a circular economy by 2030 </w:t>
            </w:r>
          </w:p>
          <w:p w14:paraId="793EA3B3" w14:textId="77777777" w:rsidR="00880B85" w:rsidRPr="00ED5726" w:rsidRDefault="00880B85" w:rsidP="00880B85">
            <w:pPr>
              <w:pStyle w:val="TableTextLeft"/>
              <w:rPr>
                <w:b/>
                <w:bCs/>
                <w:color w:val="auto"/>
              </w:rPr>
            </w:pPr>
            <w:r w:rsidRPr="00ED5726">
              <w:rPr>
                <w:b/>
                <w:bCs/>
                <w:color w:val="auto"/>
              </w:rPr>
              <w:t>Investing in modern infrastructure</w:t>
            </w:r>
          </w:p>
          <w:p w14:paraId="731B09A1" w14:textId="724F512D" w:rsidR="00880B85" w:rsidRPr="0006336F" w:rsidRDefault="00980D19" w:rsidP="00F4496B">
            <w:pPr>
              <w:pStyle w:val="TableTextBullet"/>
            </w:pPr>
            <w:r w:rsidRPr="0006336F">
              <w:t>$120</w:t>
            </w:r>
            <w:r w:rsidR="000F0ED2">
              <w:t> billion</w:t>
            </w:r>
            <w:r w:rsidRPr="0006336F">
              <w:t xml:space="preserve"> </w:t>
            </w:r>
            <w:r w:rsidR="00750F6F" w:rsidRPr="0006336F">
              <w:t xml:space="preserve">infrastructure pipeline </w:t>
            </w:r>
            <w:r w:rsidR="00330E03" w:rsidRPr="0006336F">
              <w:t xml:space="preserve">focused on </w:t>
            </w:r>
            <w:r w:rsidR="000B53A4" w:rsidRPr="0006336F">
              <w:t xml:space="preserve">improving </w:t>
            </w:r>
            <w:r w:rsidR="00330E03" w:rsidRPr="0006336F">
              <w:t>productivity,</w:t>
            </w:r>
            <w:r w:rsidR="000B53A4" w:rsidRPr="0006336F">
              <w:t xml:space="preserve"> supply chains and economic growth</w:t>
            </w:r>
          </w:p>
          <w:p w14:paraId="6F4D4C36" w14:textId="19CABE03" w:rsidR="00880B85" w:rsidRPr="0006336F" w:rsidRDefault="00880B85" w:rsidP="00880B85">
            <w:pPr>
              <w:pStyle w:val="TableTextBullet"/>
            </w:pPr>
            <w:r w:rsidRPr="0006336F">
              <w:t>$20</w:t>
            </w:r>
            <w:r w:rsidR="000F0ED2">
              <w:t> billion</w:t>
            </w:r>
            <w:r w:rsidRPr="0006336F">
              <w:t xml:space="preserve"> Rewiring the Nation to modernise our electricity grid </w:t>
            </w:r>
          </w:p>
          <w:p w14:paraId="0371B506" w14:textId="299C9C41" w:rsidR="00880B85" w:rsidRPr="0006336F" w:rsidRDefault="00880B85" w:rsidP="00880B85">
            <w:pPr>
              <w:pStyle w:val="TableTextBullet"/>
            </w:pPr>
            <w:r w:rsidRPr="0006336F">
              <w:t>$1.1</w:t>
            </w:r>
            <w:r w:rsidR="000F0ED2">
              <w:t> billion</w:t>
            </w:r>
            <w:r w:rsidRPr="0006336F">
              <w:t xml:space="preserve"> Better Connectivity Plan to </w:t>
            </w:r>
            <w:r w:rsidR="002E5BF1" w:rsidRPr="0006336F">
              <w:t xml:space="preserve">boost </w:t>
            </w:r>
            <w:r w:rsidRPr="0006336F">
              <w:t xml:space="preserve">digital foundations </w:t>
            </w:r>
          </w:p>
          <w:p w14:paraId="23E2116B" w14:textId="1D210226" w:rsidR="00B166D3" w:rsidRPr="0006336F" w:rsidRDefault="00880B85" w:rsidP="002036E9">
            <w:pPr>
              <w:pStyle w:val="TableTextBullet"/>
            </w:pPr>
            <w:r w:rsidRPr="0006336F">
              <w:t>$4</w:t>
            </w:r>
            <w:r w:rsidR="000F0ED2">
              <w:t> billion</w:t>
            </w:r>
            <w:r w:rsidRPr="0006336F">
              <w:t xml:space="preserve"> in Northern Australia Infrastructure Facility </w:t>
            </w:r>
          </w:p>
          <w:p w14:paraId="540D683F" w14:textId="75908B05" w:rsidR="00E9032B" w:rsidRPr="0006336F" w:rsidRDefault="00085077" w:rsidP="002036E9">
            <w:pPr>
              <w:pStyle w:val="TableTextBullet"/>
            </w:pPr>
            <w:r w:rsidRPr="0006336F">
              <w:t>$1</w:t>
            </w:r>
            <w:r w:rsidR="000F0ED2">
              <w:t> billion</w:t>
            </w:r>
            <w:r w:rsidRPr="0006336F">
              <w:t xml:space="preserve"> in the Growing Regions and </w:t>
            </w:r>
            <w:r w:rsidR="008E6260" w:rsidRPr="0006336F">
              <w:t xml:space="preserve">Regional Precincts and Partnerships </w:t>
            </w:r>
            <w:r w:rsidR="00613512" w:rsidRPr="0006336F">
              <w:t>Program</w:t>
            </w:r>
          </w:p>
          <w:p w14:paraId="1BC22E3B" w14:textId="26BF7104" w:rsidR="00554E0B" w:rsidRPr="0006336F" w:rsidRDefault="00554E0B" w:rsidP="00554E0B">
            <w:pPr>
              <w:pStyle w:val="TableTextBullet"/>
            </w:pPr>
            <w:r w:rsidRPr="0006336F">
              <w:t>Delivering a mission</w:t>
            </w:r>
            <w:r w:rsidR="00B16861">
              <w:noBreakHyphen/>
            </w:r>
            <w:r w:rsidRPr="0006336F">
              <w:t>based approach to innovation through $3.4</w:t>
            </w:r>
            <w:r w:rsidR="000F0ED2">
              <w:t> billion</w:t>
            </w:r>
            <w:r w:rsidRPr="0006336F">
              <w:t xml:space="preserve"> Defence Advanced Strategic Capabilities Accelerator</w:t>
            </w:r>
          </w:p>
          <w:p w14:paraId="3BF0060E" w14:textId="6865F34B" w:rsidR="00B166D3" w:rsidRPr="0006336F" w:rsidRDefault="00D3735A" w:rsidP="002036E9">
            <w:pPr>
              <w:pStyle w:val="TableTextBullet"/>
            </w:pPr>
            <w:r w:rsidRPr="0006336F">
              <w:t>Strengthen</w:t>
            </w:r>
            <w:r w:rsidR="00550902" w:rsidRPr="0006336F">
              <w:t>ing</w:t>
            </w:r>
            <w:r w:rsidRPr="0006336F">
              <w:t xml:space="preserve"> biosecurity and disaster resilience systems</w:t>
            </w:r>
          </w:p>
        </w:tc>
        <w:tc>
          <w:tcPr>
            <w:tcW w:w="1667" w:type="pct"/>
          </w:tcPr>
          <w:p w14:paraId="11027D63" w14:textId="0A577928" w:rsidR="00043B99" w:rsidRPr="0006336F" w:rsidRDefault="00043B99" w:rsidP="00043B99">
            <w:pPr>
              <w:pStyle w:val="TableTextLeft"/>
              <w:rPr>
                <w:b/>
                <w:bCs/>
              </w:rPr>
            </w:pPr>
            <w:r w:rsidRPr="0006336F">
              <w:rPr>
                <w:b/>
                <w:bCs/>
              </w:rPr>
              <w:t>Back people</w:t>
            </w:r>
            <w:r w:rsidR="006A596A" w:rsidRPr="0006336F">
              <w:rPr>
                <w:b/>
                <w:bCs/>
              </w:rPr>
              <w:t xml:space="preserve">, </w:t>
            </w:r>
            <w:r w:rsidRPr="0006336F">
              <w:rPr>
                <w:b/>
                <w:bCs/>
              </w:rPr>
              <w:t xml:space="preserve">regions </w:t>
            </w:r>
            <w:r w:rsidR="006A596A" w:rsidRPr="0006336F">
              <w:rPr>
                <w:b/>
                <w:bCs/>
              </w:rPr>
              <w:t>and industries</w:t>
            </w:r>
          </w:p>
          <w:p w14:paraId="31064C53" w14:textId="77777777" w:rsidR="0000079E" w:rsidRPr="0006336F" w:rsidRDefault="0000079E" w:rsidP="0000079E">
            <w:pPr>
              <w:pStyle w:val="TableTextBullet"/>
            </w:pPr>
            <w:r w:rsidRPr="0006336F">
              <w:t>Invest in people, their mobility and adaptability</w:t>
            </w:r>
          </w:p>
          <w:p w14:paraId="59AACE50" w14:textId="77777777" w:rsidR="0000079E" w:rsidRPr="0006336F" w:rsidRDefault="0000079E" w:rsidP="0000079E">
            <w:pPr>
              <w:pStyle w:val="TableTextBullet"/>
            </w:pPr>
            <w:r w:rsidRPr="0006336F">
              <w:t>Invest in places, especially through periods of transition</w:t>
            </w:r>
          </w:p>
          <w:p w14:paraId="08B9BBD1" w14:textId="7BDBE256" w:rsidR="0000079E" w:rsidRPr="0006336F" w:rsidRDefault="0000079E" w:rsidP="0000079E">
            <w:pPr>
              <w:pStyle w:val="TableTextBullet"/>
              <w:rPr>
                <w:rFonts w:ascii="Calibri" w:hAnsi="Calibri"/>
              </w:rPr>
            </w:pPr>
            <w:r w:rsidRPr="0006336F">
              <w:t>Broaden and deepen Australia</w:t>
            </w:r>
            <w:r w:rsidR="00B16861">
              <w:t>’</w:t>
            </w:r>
            <w:r w:rsidRPr="0006336F">
              <w:t>s industrial base, including through the Critical Minerals Strategy</w:t>
            </w:r>
            <w:r w:rsidR="00990A53" w:rsidRPr="0006336F">
              <w:t xml:space="preserve"> and National Battery Stra</w:t>
            </w:r>
            <w:r w:rsidR="0040003D" w:rsidRPr="0006336F">
              <w:t>tegy</w:t>
            </w:r>
          </w:p>
          <w:p w14:paraId="334549B0" w14:textId="2692BB9B" w:rsidR="008A7DEA" w:rsidRPr="0006336F" w:rsidRDefault="00E345B5" w:rsidP="008A7DEA">
            <w:pPr>
              <w:pStyle w:val="TableTextLeft"/>
              <w:rPr>
                <w:b/>
                <w:bCs/>
              </w:rPr>
            </w:pPr>
            <w:r w:rsidRPr="0006336F">
              <w:rPr>
                <w:b/>
                <w:bCs/>
              </w:rPr>
              <w:t xml:space="preserve">Become </w:t>
            </w:r>
            <w:r w:rsidR="008A7DEA" w:rsidRPr="0006336F">
              <w:rPr>
                <w:b/>
                <w:bCs/>
              </w:rPr>
              <w:t>a renewable energy superpower</w:t>
            </w:r>
          </w:p>
          <w:p w14:paraId="14D0C076" w14:textId="1A6536B3" w:rsidR="00A1213C" w:rsidRPr="0006336F" w:rsidRDefault="00A1213C" w:rsidP="00A1213C">
            <w:pPr>
              <w:pStyle w:val="TableTextBullet"/>
            </w:pPr>
            <w:r w:rsidRPr="0006336F">
              <w:t xml:space="preserve">Set strong foundations for a net zero economy, </w:t>
            </w:r>
            <w:r>
              <w:t>including through</w:t>
            </w:r>
            <w:r w:rsidRPr="0006336F">
              <w:t xml:space="preserve"> sectoral decarbonisation plans</w:t>
            </w:r>
          </w:p>
          <w:p w14:paraId="25AC566E" w14:textId="77777777" w:rsidR="00C73CD3" w:rsidRPr="0006336F" w:rsidRDefault="00C73CD3" w:rsidP="00C73CD3">
            <w:pPr>
              <w:pStyle w:val="TableTextBullet"/>
            </w:pPr>
            <w:r w:rsidRPr="0006336F">
              <w:t>Realise net zero industrial opportunities</w:t>
            </w:r>
          </w:p>
          <w:p w14:paraId="5F7C8018" w14:textId="6DA53D95" w:rsidR="00C73CD3" w:rsidRPr="0006336F" w:rsidRDefault="00C73CD3" w:rsidP="00C73CD3">
            <w:pPr>
              <w:pStyle w:val="TableTextBullet"/>
            </w:pPr>
            <w:r w:rsidRPr="0006336F">
              <w:t xml:space="preserve">Provide strategic coordination through the </w:t>
            </w:r>
            <w:r w:rsidR="000F0ED2">
              <w:t>Net Zero</w:t>
            </w:r>
            <w:r w:rsidRPr="0006336F">
              <w:t xml:space="preserve"> Authority</w:t>
            </w:r>
          </w:p>
          <w:p w14:paraId="42CA5E9F" w14:textId="6222FE30" w:rsidR="008A7DEA" w:rsidRPr="0006336F" w:rsidRDefault="008A7DEA" w:rsidP="008A7DEA">
            <w:pPr>
              <w:pStyle w:val="TableTextLeft"/>
              <w:rPr>
                <w:b/>
                <w:bCs/>
              </w:rPr>
            </w:pPr>
            <w:r w:rsidRPr="0006336F">
              <w:rPr>
                <w:b/>
                <w:bCs/>
              </w:rPr>
              <w:t>Promot</w:t>
            </w:r>
            <w:r w:rsidR="00740A20" w:rsidRPr="0006336F">
              <w:rPr>
                <w:b/>
                <w:bCs/>
              </w:rPr>
              <w:t>e</w:t>
            </w:r>
            <w:r w:rsidRPr="0006336F">
              <w:rPr>
                <w:b/>
                <w:bCs/>
              </w:rPr>
              <w:t xml:space="preserve"> tech adoption</w:t>
            </w:r>
          </w:p>
          <w:p w14:paraId="1D19F89F" w14:textId="07C7CAA4" w:rsidR="00A81FA7" w:rsidRPr="0006336F" w:rsidRDefault="0066795A" w:rsidP="00A81FA7">
            <w:pPr>
              <w:pStyle w:val="TableTextBullet"/>
            </w:pPr>
            <w:r w:rsidRPr="0006336F">
              <w:t>Support</w:t>
            </w:r>
            <w:r w:rsidR="00A81FA7" w:rsidRPr="0006336F">
              <w:t xml:space="preserve"> businesses to adopt technologies</w:t>
            </w:r>
          </w:p>
          <w:p w14:paraId="0863BEDC" w14:textId="77777777" w:rsidR="00A81FA7" w:rsidRPr="0006336F" w:rsidRDefault="00A81FA7" w:rsidP="00A81FA7">
            <w:pPr>
              <w:pStyle w:val="TableTextBullet"/>
            </w:pPr>
            <w:r w:rsidRPr="0006336F">
              <w:t>Foster an innovative science and technology sector</w:t>
            </w:r>
          </w:p>
          <w:p w14:paraId="759DC241" w14:textId="77777777" w:rsidR="00A81FA7" w:rsidRPr="0006336F" w:rsidRDefault="00A81FA7" w:rsidP="00A81FA7">
            <w:pPr>
              <w:pStyle w:val="TableTextBullet"/>
            </w:pPr>
            <w:r w:rsidRPr="0006336F">
              <w:t>Build trust and certainty in technologies, including by developing responsible AI guardrails and cyber security capabilities</w:t>
            </w:r>
          </w:p>
          <w:p w14:paraId="02250F8C" w14:textId="098620D0" w:rsidR="00B166D3" w:rsidRPr="0006336F" w:rsidRDefault="00A81FA7" w:rsidP="00A73B6C">
            <w:pPr>
              <w:pStyle w:val="TableTextBullet"/>
            </w:pPr>
            <w:r w:rsidRPr="0006336F">
              <w:t>Improve access to digital skills</w:t>
            </w:r>
          </w:p>
        </w:tc>
      </w:tr>
    </w:tbl>
    <w:p w14:paraId="6265C5FB" w14:textId="77777777" w:rsidR="00A73B6C" w:rsidRDefault="00A73B6C" w:rsidP="00A73B6C">
      <w:pPr>
        <w:pStyle w:val="ChartTableFiguresectionline"/>
        <w:jc w:val="left"/>
        <w:rPr>
          <w:lang w:eastAsia="en-US"/>
        </w:rPr>
      </w:pPr>
    </w:p>
    <w:p w14:paraId="46519CD0" w14:textId="7B65D63C" w:rsidR="0034567B" w:rsidRPr="0006336F" w:rsidRDefault="0034567B" w:rsidP="0034567B">
      <w:pPr>
        <w:rPr>
          <w:lang w:eastAsia="en-US"/>
        </w:rPr>
      </w:pPr>
      <w:r w:rsidRPr="0006336F">
        <w:rPr>
          <w:lang w:eastAsia="en-US"/>
        </w:rPr>
        <w:t xml:space="preserve">A broader and deeper industrial base </w:t>
      </w:r>
      <w:r w:rsidR="00D9426B" w:rsidRPr="0006336F">
        <w:rPr>
          <w:lang w:eastAsia="en-US"/>
        </w:rPr>
        <w:t>will</w:t>
      </w:r>
      <w:r w:rsidRPr="0006336F">
        <w:rPr>
          <w:lang w:eastAsia="en-US"/>
        </w:rPr>
        <w:t xml:space="preserve"> increase national resilience and build capacity </w:t>
      </w:r>
      <w:r w:rsidR="00194FED" w:rsidRPr="0006336F">
        <w:rPr>
          <w:lang w:eastAsia="en-US"/>
        </w:rPr>
        <w:t xml:space="preserve">for people </w:t>
      </w:r>
      <w:r w:rsidRPr="0006336F">
        <w:rPr>
          <w:lang w:eastAsia="en-US"/>
        </w:rPr>
        <w:t xml:space="preserve">to adapt to change. </w:t>
      </w:r>
      <w:r w:rsidR="002E16EE" w:rsidRPr="0006336F">
        <w:rPr>
          <w:lang w:eastAsia="en-US"/>
        </w:rPr>
        <w:t>Significant forces, including the net zero transformation</w:t>
      </w:r>
      <w:r w:rsidR="00095908" w:rsidRPr="0006336F">
        <w:rPr>
          <w:lang w:eastAsia="en-US"/>
        </w:rPr>
        <w:t xml:space="preserve"> and the fragmentation of supply chains</w:t>
      </w:r>
      <w:r w:rsidR="002E16EE" w:rsidRPr="0006336F">
        <w:rPr>
          <w:lang w:eastAsia="en-US"/>
        </w:rPr>
        <w:t xml:space="preserve">, present both challenges and opportunities for our economy. </w:t>
      </w:r>
      <w:r w:rsidRPr="0006336F">
        <w:rPr>
          <w:lang w:eastAsia="en-US"/>
        </w:rPr>
        <w:t xml:space="preserve">Sound and </w:t>
      </w:r>
      <w:r w:rsidR="004A2F17" w:rsidRPr="0006336F">
        <w:rPr>
          <w:lang w:eastAsia="en-US"/>
        </w:rPr>
        <w:t>coordinated</w:t>
      </w:r>
      <w:r w:rsidRPr="0006336F">
        <w:rPr>
          <w:lang w:eastAsia="en-US"/>
        </w:rPr>
        <w:t xml:space="preserve"> </w:t>
      </w:r>
      <w:r w:rsidR="00FA5D5D" w:rsidRPr="0006336F">
        <w:rPr>
          <w:lang w:eastAsia="en-US"/>
        </w:rPr>
        <w:t xml:space="preserve">industry and </w:t>
      </w:r>
      <w:r w:rsidRPr="0006336F">
        <w:rPr>
          <w:lang w:eastAsia="en-US"/>
        </w:rPr>
        <w:t>regional policy, combined with a strong enabling environment, policy certainty and leadership, will position Australia</w:t>
      </w:r>
      <w:r w:rsidR="00B16861">
        <w:rPr>
          <w:lang w:eastAsia="en-US"/>
        </w:rPr>
        <w:t>’</w:t>
      </w:r>
      <w:r w:rsidRPr="0006336F">
        <w:rPr>
          <w:lang w:eastAsia="en-US"/>
        </w:rPr>
        <w:t>s industrial base for the future</w:t>
      </w:r>
      <w:r w:rsidR="0027521D" w:rsidRPr="0006336F">
        <w:rPr>
          <w:lang w:eastAsia="en-US"/>
        </w:rPr>
        <w:t>. This will</w:t>
      </w:r>
      <w:r w:rsidRPr="0006336F">
        <w:rPr>
          <w:lang w:eastAsia="en-US"/>
        </w:rPr>
        <w:t xml:space="preserve"> </w:t>
      </w:r>
      <w:r w:rsidR="002F29B8" w:rsidRPr="0006336F">
        <w:rPr>
          <w:lang w:eastAsia="en-US"/>
        </w:rPr>
        <w:t xml:space="preserve">support our vision for a </w:t>
      </w:r>
      <w:r w:rsidR="002F29B8" w:rsidRPr="0006336F">
        <w:rPr>
          <w:lang w:eastAsia="en-US"/>
        </w:rPr>
        <w:lastRenderedPageBreak/>
        <w:t>dynamic and inclusive labour market in which everyone has the opportunity for secure, fairly paid work and people, businesses and communities can be beneficiaries of change and thrive</w:t>
      </w:r>
      <w:r w:rsidRPr="0006336F">
        <w:rPr>
          <w:lang w:eastAsia="en-US"/>
        </w:rPr>
        <w:t xml:space="preserve">. </w:t>
      </w:r>
    </w:p>
    <w:p w14:paraId="43F9AB42" w14:textId="169AADA9" w:rsidR="0034567B" w:rsidRPr="0006336F" w:rsidRDefault="00FD3514" w:rsidP="0034567B">
      <w:pPr>
        <w:rPr>
          <w:lang w:eastAsia="en-US"/>
        </w:rPr>
      </w:pPr>
      <w:r>
        <w:rPr>
          <w:lang w:eastAsia="en-US"/>
        </w:rPr>
        <w:t>The Government</w:t>
      </w:r>
      <w:r w:rsidR="0034567B" w:rsidRPr="0006336F">
        <w:rPr>
          <w:lang w:eastAsia="en-US"/>
        </w:rPr>
        <w:t xml:space="preserve"> has made significant progress in defining a clear vision for Australia</w:t>
      </w:r>
      <w:r w:rsidR="00B16861">
        <w:rPr>
          <w:lang w:eastAsia="en-US"/>
        </w:rPr>
        <w:t>’</w:t>
      </w:r>
      <w:r w:rsidR="0034567B" w:rsidRPr="0006336F">
        <w:rPr>
          <w:lang w:eastAsia="en-US"/>
        </w:rPr>
        <w:t xml:space="preserve">s industrial and regional potential. We are laying the foundations to realise </w:t>
      </w:r>
      <w:r w:rsidR="00EC36D7" w:rsidRPr="0006336F">
        <w:rPr>
          <w:lang w:eastAsia="en-US"/>
        </w:rPr>
        <w:t xml:space="preserve">this </w:t>
      </w:r>
      <w:r w:rsidR="0034567B" w:rsidRPr="0006336F">
        <w:rPr>
          <w:lang w:eastAsia="en-US"/>
        </w:rPr>
        <w:t xml:space="preserve">potential through the National Reconstruction Fund, Industry Growth Program and the </w:t>
      </w:r>
      <w:r w:rsidR="000F0ED2">
        <w:rPr>
          <w:lang w:eastAsia="en-US"/>
        </w:rPr>
        <w:t>Net Zero</w:t>
      </w:r>
      <w:r w:rsidR="0034567B" w:rsidRPr="0006336F">
        <w:rPr>
          <w:lang w:eastAsia="en-US"/>
        </w:rPr>
        <w:t xml:space="preserve"> Authority. Through our ambitions for a future </w:t>
      </w:r>
      <w:r w:rsidR="00921BFA" w:rsidRPr="0006336F">
        <w:rPr>
          <w:lang w:eastAsia="en-US"/>
        </w:rPr>
        <w:t>where more is</w:t>
      </w:r>
      <w:r w:rsidR="0034567B" w:rsidRPr="0006336F">
        <w:rPr>
          <w:lang w:eastAsia="en-US"/>
        </w:rPr>
        <w:t xml:space="preserve"> made in Australia, we have invested in regional foundations </w:t>
      </w:r>
      <w:r w:rsidR="00F277B8" w:rsidRPr="0006336F">
        <w:rPr>
          <w:lang w:eastAsia="en-US"/>
        </w:rPr>
        <w:t xml:space="preserve">such as </w:t>
      </w:r>
      <w:r w:rsidR="0034567B" w:rsidRPr="0006336F">
        <w:rPr>
          <w:lang w:eastAsia="en-US"/>
        </w:rPr>
        <w:t>the NBN, and over $40</w:t>
      </w:r>
      <w:r w:rsidR="000F0ED2">
        <w:rPr>
          <w:lang w:eastAsia="en-US"/>
        </w:rPr>
        <w:t> billion</w:t>
      </w:r>
      <w:r w:rsidR="0034567B" w:rsidRPr="0006336F">
        <w:rPr>
          <w:lang w:eastAsia="en-US"/>
        </w:rPr>
        <w:t xml:space="preserve"> </w:t>
      </w:r>
      <w:r w:rsidR="00806F91" w:rsidRPr="0006336F">
        <w:rPr>
          <w:lang w:eastAsia="en-US"/>
        </w:rPr>
        <w:t xml:space="preserve">across over 50 policies and measures </w:t>
      </w:r>
      <w:r w:rsidR="0034567B" w:rsidRPr="0006336F">
        <w:rPr>
          <w:lang w:eastAsia="en-US"/>
        </w:rPr>
        <w:t xml:space="preserve">in our plan for becoming a renewable energy superpower. </w:t>
      </w:r>
      <w:r w:rsidR="00D3399A" w:rsidRPr="0006336F">
        <w:rPr>
          <w:lang w:eastAsia="en-US"/>
        </w:rPr>
        <w:t>W</w:t>
      </w:r>
      <w:r w:rsidR="0034567B" w:rsidRPr="0006336F">
        <w:rPr>
          <w:lang w:eastAsia="en-US"/>
        </w:rPr>
        <w:t>e are putting regions and their people at the centre of decision</w:t>
      </w:r>
      <w:r w:rsidR="00152290">
        <w:rPr>
          <w:lang w:eastAsia="en-US"/>
        </w:rPr>
        <w:t>-</w:t>
      </w:r>
      <w:r w:rsidR="0034567B" w:rsidRPr="0006336F">
        <w:rPr>
          <w:lang w:eastAsia="en-US"/>
        </w:rPr>
        <w:t>making which is formalised through the Regional Investment Framework. We are supporting people through economic transformation</w:t>
      </w:r>
      <w:r w:rsidR="00DC26D8" w:rsidRPr="0006336F">
        <w:rPr>
          <w:lang w:eastAsia="en-US"/>
        </w:rPr>
        <w:t>,</w:t>
      </w:r>
      <w:r w:rsidR="0034567B" w:rsidRPr="0006336F">
        <w:rPr>
          <w:lang w:eastAsia="en-US"/>
        </w:rPr>
        <w:t xml:space="preserve"> equipping our workforce to benefit from productivity</w:t>
      </w:r>
      <w:r w:rsidR="00B16861">
        <w:rPr>
          <w:lang w:eastAsia="en-US"/>
        </w:rPr>
        <w:noBreakHyphen/>
      </w:r>
      <w:r w:rsidR="0034567B" w:rsidRPr="0006336F">
        <w:rPr>
          <w:lang w:eastAsia="en-US"/>
        </w:rPr>
        <w:t>enhancing technologies</w:t>
      </w:r>
      <w:r w:rsidR="00DC26D8" w:rsidRPr="0006336F">
        <w:rPr>
          <w:lang w:eastAsia="en-US"/>
        </w:rPr>
        <w:t>, and expanding access to critical and emerging technologies</w:t>
      </w:r>
      <w:r w:rsidR="0034567B" w:rsidRPr="0006336F">
        <w:rPr>
          <w:lang w:eastAsia="en-US"/>
        </w:rPr>
        <w:t xml:space="preserve">. This will </w:t>
      </w:r>
      <w:r w:rsidR="006E626C">
        <w:rPr>
          <w:lang w:eastAsia="en-US"/>
        </w:rPr>
        <w:t>create</w:t>
      </w:r>
      <w:r w:rsidR="003D3C9D" w:rsidRPr="0006336F">
        <w:rPr>
          <w:lang w:eastAsia="en-US"/>
        </w:rPr>
        <w:t xml:space="preserve"> </w:t>
      </w:r>
      <w:r w:rsidR="0034567B" w:rsidRPr="0006336F">
        <w:rPr>
          <w:lang w:eastAsia="en-US"/>
        </w:rPr>
        <w:t xml:space="preserve">opportunities across our nation, increase our productivity, and support our decarbonisation ambitions. </w:t>
      </w:r>
    </w:p>
    <w:p w14:paraId="5C2BD8B1" w14:textId="4704FB38" w:rsidR="0034567B" w:rsidRPr="0006336F" w:rsidRDefault="00FD3514" w:rsidP="0034567B">
      <w:pPr>
        <w:rPr>
          <w:lang w:eastAsia="en-US"/>
        </w:rPr>
      </w:pPr>
      <w:r>
        <w:rPr>
          <w:lang w:eastAsia="en-US"/>
        </w:rPr>
        <w:t>The Government</w:t>
      </w:r>
      <w:r w:rsidR="0034567B" w:rsidRPr="0006336F">
        <w:rPr>
          <w:lang w:eastAsia="en-US"/>
        </w:rPr>
        <w:t xml:space="preserve"> is taking a coordinated and strategic approach to industry and regional policy. We</w:t>
      </w:r>
      <w:r w:rsidR="002B00B9">
        <w:rPr>
          <w:lang w:eastAsia="en-US"/>
        </w:rPr>
        <w:t> </w:t>
      </w:r>
      <w:r w:rsidR="0034567B" w:rsidRPr="0006336F">
        <w:rPr>
          <w:lang w:eastAsia="en-US"/>
        </w:rPr>
        <w:t xml:space="preserve">are bringing a clearer perspective on the role of Government: promoting and </w:t>
      </w:r>
      <w:r w:rsidR="0034567B" w:rsidRPr="00436958">
        <w:rPr>
          <w:lang w:eastAsia="en-US"/>
        </w:rPr>
        <w:t>crowding</w:t>
      </w:r>
      <w:r w:rsidR="00436958" w:rsidRPr="001965A3">
        <w:rPr>
          <w:lang w:eastAsia="en-US"/>
        </w:rPr>
        <w:t>-</w:t>
      </w:r>
      <w:r w:rsidR="0034567B" w:rsidRPr="00436958">
        <w:rPr>
          <w:lang w:eastAsia="en-US"/>
        </w:rPr>
        <w:t>in</w:t>
      </w:r>
      <w:r w:rsidR="0034567B" w:rsidRPr="0006336F">
        <w:rPr>
          <w:lang w:eastAsia="en-US"/>
        </w:rPr>
        <w:t xml:space="preserve"> investment, supporting </w:t>
      </w:r>
      <w:r w:rsidR="006813D2" w:rsidRPr="0006336F">
        <w:rPr>
          <w:lang w:eastAsia="en-US"/>
        </w:rPr>
        <w:t>commercialisation</w:t>
      </w:r>
      <w:r w:rsidR="00BC42F8" w:rsidRPr="0006336F">
        <w:rPr>
          <w:lang w:eastAsia="en-US"/>
        </w:rPr>
        <w:t xml:space="preserve"> and</w:t>
      </w:r>
      <w:r w:rsidR="0034567B" w:rsidRPr="0006336F">
        <w:rPr>
          <w:lang w:eastAsia="en-US"/>
        </w:rPr>
        <w:t xml:space="preserve"> innovation, modernising national infrastructure</w:t>
      </w:r>
      <w:r w:rsidR="00C45D62" w:rsidRPr="0006336F">
        <w:rPr>
          <w:lang w:eastAsia="en-US"/>
        </w:rPr>
        <w:t>, and enabling place</w:t>
      </w:r>
      <w:r w:rsidR="00B16861">
        <w:rPr>
          <w:lang w:eastAsia="en-US"/>
        </w:rPr>
        <w:noBreakHyphen/>
      </w:r>
      <w:r w:rsidR="00C45D62" w:rsidRPr="0006336F">
        <w:rPr>
          <w:lang w:eastAsia="en-US"/>
        </w:rPr>
        <w:t>based solutions</w:t>
      </w:r>
      <w:r w:rsidR="0034567B" w:rsidRPr="0006336F">
        <w:rPr>
          <w:lang w:eastAsia="en-US"/>
        </w:rPr>
        <w:t xml:space="preserve">. </w:t>
      </w:r>
    </w:p>
    <w:p w14:paraId="1924F6B7" w14:textId="55484F9F" w:rsidR="0034567B" w:rsidRPr="0006336F" w:rsidRDefault="00FD3514" w:rsidP="0034567B">
      <w:pPr>
        <w:rPr>
          <w:lang w:eastAsia="en-US"/>
        </w:rPr>
      </w:pPr>
      <w:r>
        <w:rPr>
          <w:lang w:eastAsia="en-US"/>
        </w:rPr>
        <w:t>The Government</w:t>
      </w:r>
      <w:r w:rsidR="00B16861">
        <w:rPr>
          <w:lang w:eastAsia="en-US"/>
        </w:rPr>
        <w:t>’</w:t>
      </w:r>
      <w:r w:rsidR="0034567B" w:rsidRPr="0006336F">
        <w:rPr>
          <w:lang w:eastAsia="en-US"/>
        </w:rPr>
        <w:t xml:space="preserve">s approach </w:t>
      </w:r>
      <w:r w:rsidR="006C264C" w:rsidRPr="0006336F">
        <w:rPr>
          <w:lang w:eastAsia="en-US"/>
        </w:rPr>
        <w:t xml:space="preserve">recognises that </w:t>
      </w:r>
      <w:r w:rsidR="0034567B" w:rsidRPr="0006336F">
        <w:rPr>
          <w:lang w:eastAsia="en-US"/>
        </w:rPr>
        <w:t>tailored industry and regional policies have an important national role when:</w:t>
      </w:r>
    </w:p>
    <w:p w14:paraId="3A1979FC" w14:textId="4EB5F00E" w:rsidR="0034567B" w:rsidRPr="0006336F" w:rsidRDefault="0034567B" w:rsidP="0034567B">
      <w:pPr>
        <w:pStyle w:val="Bullet"/>
        <w:rPr>
          <w:lang w:eastAsia="en-US"/>
        </w:rPr>
      </w:pPr>
      <w:r w:rsidRPr="0006336F">
        <w:rPr>
          <w:rStyle w:val="Emphasis"/>
        </w:rPr>
        <w:t>There are significant opportunities to build Australia</w:t>
      </w:r>
      <w:r w:rsidR="00B16861">
        <w:rPr>
          <w:rStyle w:val="Emphasis"/>
        </w:rPr>
        <w:t>’</w:t>
      </w:r>
      <w:r w:rsidRPr="0006336F">
        <w:rPr>
          <w:rStyle w:val="Emphasis"/>
        </w:rPr>
        <w:t>s future prosperity</w:t>
      </w:r>
      <w:r w:rsidRPr="0006336F">
        <w:rPr>
          <w:lang w:eastAsia="en-US"/>
        </w:rPr>
        <w:t>. Industry policy should be aligned with areas where Australia is likely to have a sustained comparative advantage. Investments should support long</w:t>
      </w:r>
      <w:r w:rsidR="00BE47BE">
        <w:rPr>
          <w:lang w:eastAsia="en-US"/>
        </w:rPr>
        <w:t>-</w:t>
      </w:r>
      <w:r w:rsidRPr="0006336F">
        <w:rPr>
          <w:lang w:eastAsia="en-US"/>
        </w:rPr>
        <w:t>term fiscal sustainability and advance clearly defined and articulated goals. Broad policy levers including signalling, coordinating and crowding</w:t>
      </w:r>
      <w:r w:rsidR="00436958">
        <w:rPr>
          <w:lang w:eastAsia="en-US"/>
        </w:rPr>
        <w:t>-</w:t>
      </w:r>
      <w:r w:rsidRPr="0006336F">
        <w:rPr>
          <w:lang w:eastAsia="en-US"/>
        </w:rPr>
        <w:t xml:space="preserve">in private investment can support addressing externalities and investment in public goods. </w:t>
      </w:r>
    </w:p>
    <w:p w14:paraId="1198D5E5" w14:textId="3531C39B" w:rsidR="00520F61" w:rsidRPr="0006336F" w:rsidRDefault="0034567B" w:rsidP="0034567B">
      <w:pPr>
        <w:pStyle w:val="Bullet"/>
        <w:rPr>
          <w:lang w:eastAsia="en-US"/>
        </w:rPr>
      </w:pPr>
      <w:r w:rsidRPr="0006336F">
        <w:rPr>
          <w:rStyle w:val="Emphasis"/>
        </w:rPr>
        <w:t>There are critical risks arising in our economy that markets alone cannot solve</w:t>
      </w:r>
      <w:r w:rsidRPr="0006336F">
        <w:rPr>
          <w:lang w:eastAsia="en-US"/>
        </w:rPr>
        <w:t xml:space="preserve">. In recent decades globalisation has underpinned substantial economic efficiency gains for Australia and the global economy. However, it has also increased our economic vulnerabilities in some areas. Building resilience to critical risks will ensure our economy can continue to function under a range of adverse scenarios. </w:t>
      </w:r>
      <w:r w:rsidR="00FD3514">
        <w:rPr>
          <w:lang w:eastAsia="en-US"/>
        </w:rPr>
        <w:t>The Government</w:t>
      </w:r>
      <w:r w:rsidRPr="0006336F">
        <w:rPr>
          <w:lang w:eastAsia="en-US"/>
        </w:rPr>
        <w:t xml:space="preserve"> will take a national perspective in assessing these risks and ensuring they are appropriately and proportionately mitigated.</w:t>
      </w:r>
    </w:p>
    <w:p w14:paraId="0B36307A" w14:textId="4489DE54" w:rsidR="006B6D3A" w:rsidRPr="0006336F" w:rsidRDefault="006B6D3A" w:rsidP="006B6D3A">
      <w:pPr>
        <w:pStyle w:val="Heading3"/>
        <w:rPr>
          <w:lang w:eastAsia="en-US"/>
        </w:rPr>
      </w:pPr>
      <w:r w:rsidRPr="0006336F">
        <w:rPr>
          <w:lang w:eastAsia="en-US"/>
        </w:rPr>
        <w:t xml:space="preserve">Backing people, regions and industries through transitions </w:t>
      </w:r>
    </w:p>
    <w:p w14:paraId="38EE7995" w14:textId="4EAAD3EF" w:rsidR="006B6D3A" w:rsidRPr="0006336F" w:rsidRDefault="00FD3514" w:rsidP="006B6D3A">
      <w:r>
        <w:rPr>
          <w:lang w:eastAsia="en-US"/>
        </w:rPr>
        <w:t>The Government</w:t>
      </w:r>
      <w:r w:rsidR="006B6D3A" w:rsidRPr="0006336F">
        <w:rPr>
          <w:lang w:eastAsia="en-US"/>
        </w:rPr>
        <w:t xml:space="preserve"> is empowering people and regions to adapt to change and take advantage of opportunities. </w:t>
      </w:r>
      <w:r w:rsidR="006B6D3A" w:rsidRPr="0006336F">
        <w:t>In many cases, providing equitable access to government services and building adaptive systems will help people manage changes in employment opportunities.</w:t>
      </w:r>
      <w:r w:rsidR="006B6D3A" w:rsidRPr="0006336F">
        <w:rPr>
          <w:lang w:eastAsia="en-US"/>
        </w:rPr>
        <w:t xml:space="preserve"> However, targeted </w:t>
      </w:r>
      <w:r w:rsidR="00B52508" w:rsidRPr="0006336F">
        <w:rPr>
          <w:lang w:eastAsia="en-US"/>
        </w:rPr>
        <w:t>assistance</w:t>
      </w:r>
      <w:r w:rsidR="006B6D3A" w:rsidRPr="0006336F">
        <w:rPr>
          <w:lang w:eastAsia="en-US"/>
        </w:rPr>
        <w:t xml:space="preserve"> may be required to support regions through periods of structural change where</w:t>
      </w:r>
      <w:r w:rsidR="006B6D3A" w:rsidRPr="0006336F">
        <w:t>:</w:t>
      </w:r>
    </w:p>
    <w:p w14:paraId="2FBB2AFD" w14:textId="77777777" w:rsidR="006B6D3A" w:rsidRPr="0006336F" w:rsidRDefault="006B6D3A" w:rsidP="006B6D3A">
      <w:pPr>
        <w:pStyle w:val="Bullet"/>
      </w:pPr>
      <w:r w:rsidRPr="0006336F">
        <w:rPr>
          <w:rStyle w:val="Emphasis"/>
        </w:rPr>
        <w:t>There are concentrated costs to transformation, but widely shared benefits.</w:t>
      </w:r>
      <w:r w:rsidRPr="0006336F">
        <w:t xml:space="preserve"> In these cases, the Government should act to ensure these costs do not fall solely on the impacted communities. This recognises that equitable and fair policies work in the national interest to promote social cohesion. </w:t>
      </w:r>
    </w:p>
    <w:p w14:paraId="3A6CE7EE" w14:textId="1DCD310E" w:rsidR="006B6D3A" w:rsidRPr="0006336F" w:rsidRDefault="006B6D3A" w:rsidP="006B6D3A">
      <w:pPr>
        <w:pStyle w:val="Bullet"/>
      </w:pPr>
      <w:r w:rsidRPr="0006336F">
        <w:rPr>
          <w:rStyle w:val="Emphasis"/>
        </w:rPr>
        <w:t>There is a risk of disadvantage becoming entrenched.</w:t>
      </w:r>
      <w:r w:rsidRPr="0006336F">
        <w:t xml:space="preserve"> Closure of a main employer has the potential to contribute to entrenched disadvantage within a community. While the states and territories have primary responsibility for regional development, Commonwealth support should be coordinated across governments, to make investments work better for regions. Where appropriate, consideration should also be given to the use of place</w:t>
      </w:r>
      <w:r w:rsidR="00B16861">
        <w:noBreakHyphen/>
      </w:r>
      <w:r w:rsidRPr="0006336F">
        <w:t xml:space="preserve">based approaches. </w:t>
      </w:r>
    </w:p>
    <w:p w14:paraId="7F0A5BE4" w14:textId="2EC55968" w:rsidR="006B6D3A" w:rsidRPr="0006336F" w:rsidRDefault="006B6D3A" w:rsidP="006B6D3A">
      <w:pPr>
        <w:rPr>
          <w:lang w:eastAsia="en-US"/>
        </w:rPr>
      </w:pPr>
      <w:r w:rsidRPr="0006336F">
        <w:rPr>
          <w:lang w:eastAsia="en-US"/>
        </w:rPr>
        <w:lastRenderedPageBreak/>
        <w:t>In line with this approach, the Government is investing in people to help them adapt to new opportunities in a changing economy, and investing in places to promote the ongoing development of diverse and vibrant local economies, including supporting the growth of low</w:t>
      </w:r>
      <w:r w:rsidR="00B16861">
        <w:rPr>
          <w:lang w:eastAsia="en-US"/>
        </w:rPr>
        <w:noBreakHyphen/>
      </w:r>
      <w:r w:rsidRPr="0006336F">
        <w:rPr>
          <w:lang w:eastAsia="en-US"/>
        </w:rPr>
        <w:t>emissions industries in regions with emissions</w:t>
      </w:r>
      <w:r w:rsidR="00B16861">
        <w:rPr>
          <w:lang w:eastAsia="en-US"/>
        </w:rPr>
        <w:noBreakHyphen/>
      </w:r>
      <w:r w:rsidRPr="0006336F">
        <w:rPr>
          <w:lang w:eastAsia="en-US"/>
        </w:rPr>
        <w:t xml:space="preserve">intensive industries. </w:t>
      </w:r>
    </w:p>
    <w:p w14:paraId="4B743024" w14:textId="77777777" w:rsidR="006B6D3A" w:rsidRPr="0006336F" w:rsidRDefault="006B6D3A" w:rsidP="006B6D3A">
      <w:pPr>
        <w:pStyle w:val="Heading4"/>
        <w:rPr>
          <w:lang w:eastAsia="en-US"/>
        </w:rPr>
      </w:pPr>
      <w:r w:rsidRPr="0006336F">
        <w:rPr>
          <w:lang w:eastAsia="en-US"/>
        </w:rPr>
        <w:t>Investing in people</w:t>
      </w:r>
    </w:p>
    <w:p w14:paraId="4367A7B9" w14:textId="6D223144" w:rsidR="006B6D3A" w:rsidRPr="0006336F" w:rsidRDefault="006B6D3A" w:rsidP="006B6D3A">
      <w:pPr>
        <w:rPr>
          <w:lang w:eastAsia="en-US"/>
        </w:rPr>
      </w:pPr>
      <w:r w:rsidRPr="0006336F">
        <w:rPr>
          <w:lang w:eastAsia="en-US"/>
        </w:rPr>
        <w:t>The rising prominence of Australia</w:t>
      </w:r>
      <w:r w:rsidR="00B16861">
        <w:rPr>
          <w:lang w:eastAsia="en-US"/>
        </w:rPr>
        <w:t>’</w:t>
      </w:r>
      <w:r w:rsidRPr="0006336F">
        <w:rPr>
          <w:lang w:eastAsia="en-US"/>
        </w:rPr>
        <w:t>s services</w:t>
      </w:r>
      <w:r w:rsidR="00B16861">
        <w:rPr>
          <w:lang w:eastAsia="en-US"/>
        </w:rPr>
        <w:noBreakHyphen/>
      </w:r>
      <w:r w:rsidRPr="0006336F">
        <w:rPr>
          <w:lang w:eastAsia="en-US"/>
        </w:rPr>
        <w:t>oriented economy means we are reconsidering how we invest for future productivity and growth</w:t>
      </w:r>
      <w:r w:rsidR="00FD3514">
        <w:rPr>
          <w:lang w:eastAsia="en-US"/>
        </w:rPr>
        <w:t xml:space="preserve"> – </w:t>
      </w:r>
      <w:r w:rsidRPr="0006336F">
        <w:rPr>
          <w:lang w:eastAsia="en-US"/>
        </w:rPr>
        <w:t>investing in people and their human capital is the best way to help them prosper through change. We are investing in people</w:t>
      </w:r>
      <w:r w:rsidR="00B16861">
        <w:rPr>
          <w:lang w:eastAsia="en-US"/>
        </w:rPr>
        <w:t>’</w:t>
      </w:r>
      <w:r w:rsidRPr="0006336F">
        <w:rPr>
          <w:lang w:eastAsia="en-US"/>
        </w:rPr>
        <w:t>s skills, training and education by supporting access to high</w:t>
      </w:r>
      <w:r w:rsidR="00B16861">
        <w:rPr>
          <w:lang w:eastAsia="en-US"/>
        </w:rPr>
        <w:noBreakHyphen/>
      </w:r>
      <w:r w:rsidRPr="0006336F">
        <w:rPr>
          <w:lang w:eastAsia="en-US"/>
        </w:rPr>
        <w:t xml:space="preserve">quality regional education opportunities, including through establishing </w:t>
      </w:r>
      <w:r w:rsidR="00144051" w:rsidRPr="0006336F">
        <w:rPr>
          <w:lang w:eastAsia="en-US"/>
        </w:rPr>
        <w:t xml:space="preserve">up to </w:t>
      </w:r>
      <w:r w:rsidR="00900B64" w:rsidRPr="0006336F">
        <w:rPr>
          <w:lang w:eastAsia="en-US"/>
        </w:rPr>
        <w:t>a further</w:t>
      </w:r>
      <w:r w:rsidRPr="0006336F">
        <w:rPr>
          <w:lang w:eastAsia="en-US"/>
        </w:rPr>
        <w:t xml:space="preserve"> 20 Regional University Study Hubs. This will enable students in rural, regional and remote Australia to complete higher education within their own community. We are also supporting worker mobility, by improving the supply of social and affordable housing through the Housing Australia Future Fund, as well as establishing </w:t>
      </w:r>
      <w:r w:rsidR="00984C17" w:rsidRPr="0006336F">
        <w:rPr>
          <w:lang w:eastAsia="en-US"/>
        </w:rPr>
        <w:t xml:space="preserve">a </w:t>
      </w:r>
      <w:r w:rsidR="00DD1430" w:rsidRPr="0006336F">
        <w:rPr>
          <w:lang w:eastAsia="en-US"/>
        </w:rPr>
        <w:t>p</w:t>
      </w:r>
      <w:r w:rsidR="00984C17" w:rsidRPr="0006336F">
        <w:rPr>
          <w:lang w:eastAsia="en-US"/>
        </w:rPr>
        <w:t>erman</w:t>
      </w:r>
      <w:r w:rsidR="00DD1430" w:rsidRPr="0006336F">
        <w:rPr>
          <w:lang w:eastAsia="en-US"/>
        </w:rPr>
        <w:t>e</w:t>
      </w:r>
      <w:r w:rsidR="00984C17" w:rsidRPr="0006336F">
        <w:rPr>
          <w:lang w:eastAsia="en-US"/>
        </w:rPr>
        <w:t xml:space="preserve">nt </w:t>
      </w:r>
      <w:r w:rsidRPr="0006336F">
        <w:rPr>
          <w:lang w:eastAsia="en-US"/>
        </w:rPr>
        <w:t xml:space="preserve">National Housing Supply and Affordability Council. </w:t>
      </w:r>
    </w:p>
    <w:p w14:paraId="7A9A4B74" w14:textId="5D57A657" w:rsidR="006B6D3A" w:rsidRPr="0006336F" w:rsidRDefault="006B6D3A" w:rsidP="006B6D3A">
      <w:pPr>
        <w:rPr>
          <w:lang w:eastAsia="en-US"/>
        </w:rPr>
      </w:pPr>
      <w:r w:rsidRPr="0006336F">
        <w:rPr>
          <w:lang w:eastAsia="en-US"/>
        </w:rPr>
        <w:t>Responsive policy is fundamental to help people adapt to change. Tailored and evidence</w:t>
      </w:r>
      <w:r w:rsidR="00B16861">
        <w:rPr>
          <w:lang w:eastAsia="en-US"/>
        </w:rPr>
        <w:noBreakHyphen/>
      </w:r>
      <w:r w:rsidRPr="0006336F">
        <w:rPr>
          <w:lang w:eastAsia="en-US"/>
        </w:rPr>
        <w:t>based employment services represent an investment in our workforce</w:t>
      </w:r>
      <w:r w:rsidR="00B16861">
        <w:rPr>
          <w:lang w:eastAsia="en-US"/>
        </w:rPr>
        <w:t>’</w:t>
      </w:r>
      <w:r w:rsidRPr="0006336F">
        <w:rPr>
          <w:lang w:eastAsia="en-US"/>
        </w:rPr>
        <w:t>s potential. Significant disruptions to employment may warrant a more active response</w:t>
      </w:r>
      <w:r w:rsidR="00FD3514">
        <w:rPr>
          <w:lang w:eastAsia="en-US"/>
        </w:rPr>
        <w:t xml:space="preserve"> – </w:t>
      </w:r>
      <w:r w:rsidRPr="0006336F">
        <w:rPr>
          <w:lang w:eastAsia="en-US"/>
        </w:rPr>
        <w:t>as the net zero transformation takes place, the Government</w:t>
      </w:r>
      <w:r w:rsidR="00B16861">
        <w:rPr>
          <w:lang w:eastAsia="en-US"/>
        </w:rPr>
        <w:t>’</w:t>
      </w:r>
      <w:r w:rsidRPr="0006336F">
        <w:rPr>
          <w:lang w:eastAsia="en-US"/>
        </w:rPr>
        <w:t xml:space="preserve">s employment services system can offer additional services through periods of concentrated change. As discussed further in </w:t>
      </w:r>
      <w:r w:rsidR="00CD77BF" w:rsidRPr="0006336F">
        <w:rPr>
          <w:lang w:eastAsia="en-US"/>
        </w:rPr>
        <w:t>the Partnering with communities section</w:t>
      </w:r>
      <w:r w:rsidRPr="0006336F">
        <w:rPr>
          <w:lang w:eastAsia="en-US"/>
        </w:rPr>
        <w:t>, we are taking a place</w:t>
      </w:r>
      <w:r w:rsidR="00B16861">
        <w:rPr>
          <w:lang w:eastAsia="en-US"/>
        </w:rPr>
        <w:noBreakHyphen/>
      </w:r>
      <w:r w:rsidRPr="0006336F">
        <w:rPr>
          <w:lang w:eastAsia="en-US"/>
        </w:rPr>
        <w:t>based approach and partnering with communities, and collaborating across governments, employers, and workers to tailor our response to support people</w:t>
      </w:r>
      <w:r w:rsidR="00B16861">
        <w:rPr>
          <w:lang w:eastAsia="en-US"/>
        </w:rPr>
        <w:t>’</w:t>
      </w:r>
      <w:r w:rsidRPr="0006336F">
        <w:rPr>
          <w:lang w:eastAsia="en-US"/>
        </w:rPr>
        <w:t>s potential.</w:t>
      </w:r>
    </w:p>
    <w:p w14:paraId="0C4DACE3" w14:textId="14CC8E33" w:rsidR="006B6D3A" w:rsidRPr="0006336F" w:rsidRDefault="006B6D3A" w:rsidP="006B6D3A">
      <w:pPr>
        <w:pStyle w:val="Heading4"/>
        <w:rPr>
          <w:lang w:eastAsia="en-US"/>
        </w:rPr>
      </w:pPr>
      <w:r w:rsidRPr="0006336F">
        <w:rPr>
          <w:lang w:eastAsia="en-US"/>
        </w:rPr>
        <w:t>Investing in places</w:t>
      </w:r>
    </w:p>
    <w:p w14:paraId="1AEE2ACD" w14:textId="05AD00E8" w:rsidR="006B6D3A" w:rsidRPr="0006336F" w:rsidRDefault="00FD3514" w:rsidP="006B6D3A">
      <w:pPr>
        <w:rPr>
          <w:lang w:eastAsia="en-US"/>
        </w:rPr>
      </w:pPr>
      <w:r>
        <w:rPr>
          <w:lang w:eastAsia="en-US"/>
        </w:rPr>
        <w:t>The Government</w:t>
      </w:r>
      <w:r w:rsidR="006B6D3A" w:rsidRPr="0006336F">
        <w:rPr>
          <w:lang w:eastAsia="en-US"/>
        </w:rPr>
        <w:t xml:space="preserve"> recognises that strong connections to place and community are a source of stability through periods of change. </w:t>
      </w:r>
      <w:r>
        <w:rPr>
          <w:lang w:eastAsia="en-US"/>
        </w:rPr>
        <w:t>The Government</w:t>
      </w:r>
      <w:r w:rsidR="00B16861">
        <w:rPr>
          <w:lang w:eastAsia="en-US"/>
        </w:rPr>
        <w:t>’</w:t>
      </w:r>
      <w:r w:rsidR="006B6D3A" w:rsidRPr="0006336F">
        <w:rPr>
          <w:lang w:eastAsia="en-US"/>
        </w:rPr>
        <w:t>s Regional Investment Framework is taking a place</w:t>
      </w:r>
      <w:r w:rsidR="00B16861">
        <w:rPr>
          <w:lang w:eastAsia="en-US"/>
        </w:rPr>
        <w:noBreakHyphen/>
      </w:r>
      <w:r w:rsidR="006B6D3A" w:rsidRPr="0006336F">
        <w:rPr>
          <w:lang w:eastAsia="en-US"/>
        </w:rPr>
        <w:t>based approach to boosting regional adaptive capacity that reflects each region</w:t>
      </w:r>
      <w:r w:rsidR="00B16861">
        <w:rPr>
          <w:lang w:eastAsia="en-US"/>
        </w:rPr>
        <w:t>’</w:t>
      </w:r>
      <w:r w:rsidR="006B6D3A" w:rsidRPr="0006336F">
        <w:rPr>
          <w:lang w:eastAsia="en-US"/>
        </w:rPr>
        <w:t xml:space="preserve">s specific circumstances and needs. </w:t>
      </w:r>
      <w:r>
        <w:rPr>
          <w:lang w:eastAsia="en-US"/>
        </w:rPr>
        <w:t>The Government</w:t>
      </w:r>
      <w:r w:rsidR="006B6D3A" w:rsidRPr="0006336F">
        <w:rPr>
          <w:lang w:eastAsia="en-US"/>
        </w:rPr>
        <w:t xml:space="preserve"> is attracting capital and businesses to support transitioning regions. The Powering the Regions Fund is supporting regional Australia to reduce emissions in existing industries, foster new clean energy industries, and develop associated workforces. </w:t>
      </w:r>
    </w:p>
    <w:p w14:paraId="3DECC600" w14:textId="33A65F4E" w:rsidR="006B6D3A" w:rsidRPr="0006336F" w:rsidRDefault="006B6D3A" w:rsidP="006B6D3A">
      <w:pPr>
        <w:rPr>
          <w:lang w:eastAsia="en-US"/>
        </w:rPr>
      </w:pPr>
      <w:r w:rsidRPr="0006336F">
        <w:rPr>
          <w:lang w:eastAsia="en-US"/>
        </w:rPr>
        <w:t>Going forward, the Government</w:t>
      </w:r>
      <w:r w:rsidR="00B16861">
        <w:rPr>
          <w:lang w:eastAsia="en-US"/>
        </w:rPr>
        <w:t>’</w:t>
      </w:r>
      <w:r w:rsidRPr="0006336F">
        <w:rPr>
          <w:lang w:eastAsia="en-US"/>
        </w:rPr>
        <w:t>s approach to place</w:t>
      </w:r>
      <w:r w:rsidR="00B16861">
        <w:rPr>
          <w:lang w:eastAsia="en-US"/>
        </w:rPr>
        <w:noBreakHyphen/>
      </w:r>
      <w:r w:rsidRPr="0006336F">
        <w:rPr>
          <w:lang w:eastAsia="en-US"/>
        </w:rPr>
        <w:t xml:space="preserve">based support will have a focus on being timely and targeted, and tailored to the specific challenges being faced. Government is working closely with communities to understand regional priorities. </w:t>
      </w:r>
      <w:r w:rsidRPr="0006336F">
        <w:t>Through $1.35</w:t>
      </w:r>
      <w:r w:rsidR="000F0ED2">
        <w:t> billion</w:t>
      </w:r>
      <w:r w:rsidRPr="0006336F">
        <w:t xml:space="preserve"> in investment in community and economic infrastructure, the Government is investing in places to unlock productivity, create jobs and improve liveability. </w:t>
      </w:r>
      <w:r w:rsidR="00950B10" w:rsidRPr="0006336F">
        <w:rPr>
          <w:lang w:eastAsia="en-US"/>
        </w:rPr>
        <w:t>We are working towards a national approach to cities</w:t>
      </w:r>
      <w:r w:rsidR="00136D42" w:rsidRPr="0006336F">
        <w:rPr>
          <w:lang w:eastAsia="en-US"/>
        </w:rPr>
        <w:t>, suburbs</w:t>
      </w:r>
      <w:r w:rsidR="00950B10" w:rsidRPr="0006336F">
        <w:rPr>
          <w:lang w:eastAsia="en-US"/>
        </w:rPr>
        <w:t xml:space="preserve"> and regions, which will be formalised through the National Urban Policy. </w:t>
      </w:r>
      <w:r w:rsidRPr="0006336F">
        <w:t>Every community in Australia will be able to apply for grants, either through the Growing Regions or Thriving Suburbs programs for funding that supports their region</w:t>
      </w:r>
      <w:r w:rsidR="00B16861">
        <w:t>’</w:t>
      </w:r>
      <w:r w:rsidRPr="0006336F">
        <w:t>s strategic priorities. In addition,</w:t>
      </w:r>
      <w:r w:rsidRPr="0006336F" w:rsidDel="000C7A34">
        <w:t xml:space="preserve"> </w:t>
      </w:r>
      <w:r w:rsidRPr="0006336F">
        <w:rPr>
          <w:lang w:eastAsia="en-US"/>
        </w:rPr>
        <w:t xml:space="preserve">processes such as the </w:t>
      </w:r>
      <w:r w:rsidR="008C1129" w:rsidRPr="0006336F">
        <w:rPr>
          <w:lang w:eastAsia="en-US"/>
        </w:rPr>
        <w:t>refresh of</w:t>
      </w:r>
      <w:r w:rsidRPr="0006336F">
        <w:rPr>
          <w:lang w:eastAsia="en-US"/>
        </w:rPr>
        <w:t xml:space="preserve"> the White Paper on Developing Northern Australia </w:t>
      </w:r>
      <w:r w:rsidR="008C1129" w:rsidRPr="0006336F">
        <w:rPr>
          <w:lang w:eastAsia="en-US"/>
        </w:rPr>
        <w:t xml:space="preserve">is a </w:t>
      </w:r>
      <w:r w:rsidR="001F45BA" w:rsidRPr="0006336F">
        <w:rPr>
          <w:lang w:eastAsia="en-US"/>
        </w:rPr>
        <w:t>20</w:t>
      </w:r>
      <w:r w:rsidR="00B16861">
        <w:rPr>
          <w:lang w:eastAsia="en-US"/>
        </w:rPr>
        <w:noBreakHyphen/>
      </w:r>
      <w:r w:rsidR="001F45BA" w:rsidRPr="0006336F">
        <w:rPr>
          <w:lang w:eastAsia="en-US"/>
        </w:rPr>
        <w:t xml:space="preserve">year plan for investment and collaborative support to unlock the strategic potential of </w:t>
      </w:r>
      <w:r w:rsidR="00FF47DB" w:rsidRPr="0006336F">
        <w:rPr>
          <w:lang w:eastAsia="en-US"/>
        </w:rPr>
        <w:t>N</w:t>
      </w:r>
      <w:r w:rsidR="001F45BA" w:rsidRPr="0006336F">
        <w:rPr>
          <w:lang w:eastAsia="en-US"/>
        </w:rPr>
        <w:t>orth</w:t>
      </w:r>
      <w:r w:rsidR="00256ADF" w:rsidRPr="0006336F">
        <w:rPr>
          <w:lang w:eastAsia="en-US"/>
        </w:rPr>
        <w:t>ern Australia</w:t>
      </w:r>
      <w:r w:rsidR="00471B26" w:rsidRPr="0006336F">
        <w:rPr>
          <w:lang w:eastAsia="en-US"/>
        </w:rPr>
        <w:t xml:space="preserve"> </w:t>
      </w:r>
      <w:r w:rsidR="004C13A1" w:rsidRPr="0006336F">
        <w:rPr>
          <w:lang w:eastAsia="en-US"/>
        </w:rPr>
        <w:t xml:space="preserve">and </w:t>
      </w:r>
      <w:r w:rsidRPr="0006336F">
        <w:rPr>
          <w:lang w:eastAsia="en-US"/>
        </w:rPr>
        <w:t xml:space="preserve">underpin the Northern Australia Action Plan. </w:t>
      </w:r>
      <w:r w:rsidR="00FD3514">
        <w:rPr>
          <w:lang w:eastAsia="en-US"/>
        </w:rPr>
        <w:t>The Government</w:t>
      </w:r>
      <w:r w:rsidRPr="0006336F">
        <w:rPr>
          <w:lang w:eastAsia="en-US"/>
        </w:rPr>
        <w:t xml:space="preserve"> is also working in partnership to expand economic opportunities for </w:t>
      </w:r>
      <w:r w:rsidR="009F46EF" w:rsidRPr="0006336F">
        <w:t xml:space="preserve">Aboriginal and </w:t>
      </w:r>
      <w:r w:rsidR="009F46EF">
        <w:t>Torres Strait</w:t>
      </w:r>
      <w:r w:rsidR="009F46EF" w:rsidRPr="0006336F">
        <w:t xml:space="preserve"> Islander</w:t>
      </w:r>
      <w:r w:rsidRPr="0006336F">
        <w:rPr>
          <w:lang w:eastAsia="en-US"/>
        </w:rPr>
        <w:t xml:space="preserve"> communities, as discussed in </w:t>
      </w:r>
      <w:r w:rsidR="00E418A2" w:rsidRPr="0006336F">
        <w:rPr>
          <w:lang w:eastAsia="en-US"/>
        </w:rPr>
        <w:t>the Partnering with communities section</w:t>
      </w:r>
      <w:r w:rsidRPr="0006336F">
        <w:rPr>
          <w:lang w:eastAsia="en-US"/>
        </w:rPr>
        <w:t>.</w:t>
      </w:r>
    </w:p>
    <w:p w14:paraId="3F74CB70" w14:textId="5A45E8A1" w:rsidR="006B6D3A" w:rsidRPr="0006336F" w:rsidRDefault="00184AF5" w:rsidP="006B6D3A">
      <w:pPr>
        <w:rPr>
          <w:lang w:eastAsia="en-US"/>
        </w:rPr>
      </w:pPr>
      <w:r w:rsidRPr="0006336F">
        <w:rPr>
          <w:lang w:eastAsia="en-US"/>
        </w:rPr>
        <w:t>Our</w:t>
      </w:r>
      <w:r w:rsidR="006B6D3A" w:rsidRPr="0006336F">
        <w:rPr>
          <w:lang w:eastAsia="en-US"/>
        </w:rPr>
        <w:t xml:space="preserve"> approach will be evidence</w:t>
      </w:r>
      <w:r w:rsidR="00B170AE">
        <w:rPr>
          <w:lang w:eastAsia="en-US"/>
        </w:rPr>
        <w:t>-</w:t>
      </w:r>
      <w:r w:rsidR="006B6D3A" w:rsidRPr="0006336F">
        <w:rPr>
          <w:lang w:eastAsia="en-US"/>
        </w:rPr>
        <w:t xml:space="preserve">based, proportionate, and leverage existing mechanisms where possible, including cooperation </w:t>
      </w:r>
      <w:r w:rsidR="00640E20" w:rsidRPr="0006336F">
        <w:rPr>
          <w:lang w:eastAsia="en-US"/>
        </w:rPr>
        <w:t xml:space="preserve">with </w:t>
      </w:r>
      <w:r w:rsidR="006B6D3A" w:rsidRPr="0006336F">
        <w:rPr>
          <w:lang w:eastAsia="en-US"/>
        </w:rPr>
        <w:t xml:space="preserve">all levels of government and affected businesses. </w:t>
      </w:r>
      <w:r w:rsidR="00FD3514">
        <w:rPr>
          <w:lang w:eastAsia="en-US"/>
        </w:rPr>
        <w:t>The Government</w:t>
      </w:r>
      <w:r w:rsidR="00B16861">
        <w:rPr>
          <w:lang w:eastAsia="en-US"/>
        </w:rPr>
        <w:t>’</w:t>
      </w:r>
      <w:r w:rsidR="006B6D3A" w:rsidRPr="0006336F">
        <w:rPr>
          <w:lang w:eastAsia="en-US"/>
        </w:rPr>
        <w:t xml:space="preserve">s response to the independent strategic review of the </w:t>
      </w:r>
      <w:r w:rsidR="000F20FD" w:rsidRPr="0006336F">
        <w:rPr>
          <w:lang w:eastAsia="en-US"/>
        </w:rPr>
        <w:t>I</w:t>
      </w:r>
      <w:r w:rsidR="006B6D3A" w:rsidRPr="0006336F">
        <w:rPr>
          <w:lang w:eastAsia="en-US"/>
        </w:rPr>
        <w:t xml:space="preserve">nfrastructure </w:t>
      </w:r>
      <w:r w:rsidR="000F20FD" w:rsidRPr="0006336F">
        <w:rPr>
          <w:lang w:eastAsia="en-US"/>
        </w:rPr>
        <w:t>Investment Program</w:t>
      </w:r>
      <w:r w:rsidR="006B6D3A" w:rsidRPr="0006336F">
        <w:rPr>
          <w:lang w:eastAsia="en-US"/>
        </w:rPr>
        <w:t xml:space="preserve"> will ensure it is focused on projects which improve long term productivity, supply chains and economic growth. For example, investment in high</w:t>
      </w:r>
      <w:r w:rsidR="00B16861">
        <w:rPr>
          <w:lang w:eastAsia="en-US"/>
        </w:rPr>
        <w:noBreakHyphen/>
      </w:r>
      <w:r w:rsidR="006B6D3A" w:rsidRPr="0006336F">
        <w:rPr>
          <w:lang w:eastAsia="en-US"/>
        </w:rPr>
        <w:t xml:space="preserve">speed rail could support regions such as the Hunter </w:t>
      </w:r>
      <w:r w:rsidR="006B6D3A" w:rsidRPr="0006336F">
        <w:rPr>
          <w:lang w:eastAsia="en-US"/>
        </w:rPr>
        <w:lastRenderedPageBreak/>
        <w:t>realise productivity gains. Achieving these goals will require ongoing assessment to ensure industry support represents value</w:t>
      </w:r>
      <w:r w:rsidR="00B16861">
        <w:rPr>
          <w:lang w:eastAsia="en-US"/>
        </w:rPr>
        <w:noBreakHyphen/>
      </w:r>
      <w:r w:rsidR="006B6D3A" w:rsidRPr="0006336F">
        <w:rPr>
          <w:lang w:eastAsia="en-US"/>
        </w:rPr>
        <w:t>for</w:t>
      </w:r>
      <w:r w:rsidR="00B16861">
        <w:rPr>
          <w:lang w:eastAsia="en-US"/>
        </w:rPr>
        <w:noBreakHyphen/>
      </w:r>
      <w:r w:rsidR="006B6D3A" w:rsidRPr="0006336F">
        <w:rPr>
          <w:lang w:eastAsia="en-US"/>
        </w:rPr>
        <w:t>money. Businesses and industries that are viable in the long</w:t>
      </w:r>
      <w:r w:rsidR="00B16861">
        <w:rPr>
          <w:lang w:eastAsia="en-US"/>
        </w:rPr>
        <w:noBreakHyphen/>
      </w:r>
      <w:r w:rsidR="006B6D3A" w:rsidRPr="0006336F">
        <w:rPr>
          <w:lang w:eastAsia="en-US"/>
        </w:rPr>
        <w:t>term without subsidies are an important element of thriving region</w:t>
      </w:r>
      <w:r w:rsidR="007B4B7D" w:rsidRPr="0006336F">
        <w:rPr>
          <w:lang w:eastAsia="en-US"/>
        </w:rPr>
        <w:t>s</w:t>
      </w:r>
      <w:r w:rsidR="006B6D3A" w:rsidRPr="0006336F">
        <w:rPr>
          <w:lang w:eastAsia="en-US"/>
        </w:rPr>
        <w:t xml:space="preserve">. </w:t>
      </w:r>
    </w:p>
    <w:p w14:paraId="7EAD4E91" w14:textId="77777777" w:rsidR="006B6D3A" w:rsidRPr="0006336F" w:rsidRDefault="006B6D3A" w:rsidP="006B6D3A">
      <w:pPr>
        <w:pStyle w:val="Heading4"/>
        <w:rPr>
          <w:lang w:eastAsia="en-US"/>
        </w:rPr>
      </w:pPr>
      <w:r w:rsidRPr="0006336F">
        <w:rPr>
          <w:lang w:eastAsia="en-US"/>
        </w:rPr>
        <w:t>Investing in industry</w:t>
      </w:r>
    </w:p>
    <w:p w14:paraId="59AC0A6F" w14:textId="4BE2198E" w:rsidR="006B6D3A" w:rsidRPr="0006336F" w:rsidRDefault="00FD3514" w:rsidP="006B6D3A">
      <w:pPr>
        <w:rPr>
          <w:lang w:eastAsia="en-US"/>
        </w:rPr>
      </w:pPr>
      <w:r>
        <w:rPr>
          <w:lang w:eastAsia="en-US"/>
        </w:rPr>
        <w:t>The Government</w:t>
      </w:r>
      <w:r w:rsidR="006B6D3A" w:rsidRPr="0006336F">
        <w:rPr>
          <w:lang w:eastAsia="en-US"/>
        </w:rPr>
        <w:t xml:space="preserve"> is acting to broaden and deepen our industrial base, investing in capabilities critical to Australia</w:t>
      </w:r>
      <w:r w:rsidR="00B16861">
        <w:rPr>
          <w:lang w:eastAsia="en-US"/>
        </w:rPr>
        <w:t>’</w:t>
      </w:r>
      <w:r w:rsidR="006B6D3A" w:rsidRPr="0006336F">
        <w:rPr>
          <w:lang w:eastAsia="en-US"/>
        </w:rPr>
        <w:t xml:space="preserve">s future. </w:t>
      </w:r>
    </w:p>
    <w:p w14:paraId="3819249C" w14:textId="52FA4907" w:rsidR="006B6D3A" w:rsidRPr="0006336F" w:rsidRDefault="006B6D3A" w:rsidP="006B6D3A">
      <w:r w:rsidRPr="0006336F">
        <w:t>The $15</w:t>
      </w:r>
      <w:r w:rsidR="000F0ED2">
        <w:t> billion</w:t>
      </w:r>
      <w:r w:rsidRPr="0006336F">
        <w:t xml:space="preserve"> National Reconstruction Fund will provide finance to projects to leverage Australia</w:t>
      </w:r>
      <w:r w:rsidR="00B16861">
        <w:t>’</w:t>
      </w:r>
      <w:r w:rsidRPr="0006336F">
        <w:t xml:space="preserve">s natural and competitive strengths in </w:t>
      </w:r>
      <w:r w:rsidR="000D42E8" w:rsidRPr="0006336F">
        <w:t xml:space="preserve">the following </w:t>
      </w:r>
      <w:r w:rsidRPr="0006336F">
        <w:t>priority areas: renewables and low emission technologies; medical science; transport; value</w:t>
      </w:r>
      <w:r w:rsidR="00B16861">
        <w:noBreakHyphen/>
      </w:r>
      <w:r w:rsidRPr="0006336F">
        <w:t>add in the agriculture, forestry and fisheries sectors; value</w:t>
      </w:r>
      <w:r w:rsidR="00B16861">
        <w:noBreakHyphen/>
      </w:r>
      <w:r w:rsidRPr="0006336F">
        <w:t xml:space="preserve">add in resources; defence capability; and enabling capabilities. This includes </w:t>
      </w:r>
      <w:r w:rsidR="00E60253" w:rsidRPr="0006336F">
        <w:t xml:space="preserve">up to </w:t>
      </w:r>
      <w:r w:rsidRPr="0006336F">
        <w:t>$1</w:t>
      </w:r>
      <w:r w:rsidR="000F0ED2">
        <w:t> billion</w:t>
      </w:r>
      <w:r w:rsidRPr="0006336F">
        <w:t xml:space="preserve"> for advanced manufacturing. </w:t>
      </w:r>
      <w:r w:rsidRPr="0006336F">
        <w:rPr>
          <w:rFonts w:cs="Calibri Light"/>
          <w:color w:val="000000"/>
          <w:szCs w:val="22"/>
          <w:shd w:val="clear" w:color="auto" w:fill="FFFFFF"/>
        </w:rPr>
        <w:t>In addition, t</w:t>
      </w:r>
      <w:r w:rsidRPr="0006336F">
        <w:t>he new Industry Growth Program</w:t>
      </w:r>
      <w:r w:rsidRPr="0006336F">
        <w:rPr>
          <w:b/>
          <w:bCs/>
        </w:rPr>
        <w:t xml:space="preserve"> </w:t>
      </w:r>
      <w:r w:rsidRPr="0006336F">
        <w:t>will support innovative small and medium businesses take advantage of opportunities in N</w:t>
      </w:r>
      <w:r w:rsidR="00784409" w:rsidRPr="0006336F">
        <w:t xml:space="preserve">ational </w:t>
      </w:r>
      <w:r w:rsidRPr="0006336F">
        <w:t>R</w:t>
      </w:r>
      <w:r w:rsidR="00784409" w:rsidRPr="0006336F">
        <w:t xml:space="preserve">econstruction </w:t>
      </w:r>
      <w:r w:rsidRPr="0006336F">
        <w:t>F</w:t>
      </w:r>
      <w:r w:rsidR="00784409" w:rsidRPr="0006336F">
        <w:t>und</w:t>
      </w:r>
      <w:r w:rsidRPr="0006336F">
        <w:t xml:space="preserve"> priority areas. Together these programs will diversify and transform Australian industry, create secure, well</w:t>
      </w:r>
      <w:r w:rsidR="00B16861">
        <w:noBreakHyphen/>
      </w:r>
      <w:r w:rsidRPr="0006336F">
        <w:t>paid jobs, and boost sovereign capability.</w:t>
      </w:r>
    </w:p>
    <w:p w14:paraId="379E37CF" w14:textId="7BEF0FE5" w:rsidR="006B6D3A" w:rsidRPr="0006336F" w:rsidRDefault="006B6D3A" w:rsidP="006B6D3A">
      <w:pPr>
        <w:rPr>
          <w:lang w:eastAsia="en-US"/>
        </w:rPr>
      </w:pPr>
      <w:r w:rsidRPr="0006336F">
        <w:rPr>
          <w:lang w:eastAsia="en-US"/>
        </w:rPr>
        <w:t>We are</w:t>
      </w:r>
      <w:r w:rsidR="004A4CEE" w:rsidRPr="0006336F">
        <w:rPr>
          <w:lang w:eastAsia="en-US"/>
        </w:rPr>
        <w:t xml:space="preserve"> taking a mission</w:t>
      </w:r>
      <w:r w:rsidR="00B16861">
        <w:rPr>
          <w:lang w:eastAsia="en-US"/>
        </w:rPr>
        <w:noBreakHyphen/>
      </w:r>
      <w:r w:rsidR="004A4CEE" w:rsidRPr="0006336F">
        <w:rPr>
          <w:lang w:eastAsia="en-US"/>
        </w:rPr>
        <w:t xml:space="preserve">based approach to </w:t>
      </w:r>
      <w:r w:rsidRPr="0006336F">
        <w:rPr>
          <w:lang w:eastAsia="en-US"/>
        </w:rPr>
        <w:t>investing in the technologies and the innovation needed for our national security, as identified by the Defence Strategic Review. To support our national security capabilities, the Government is providing $3.4</w:t>
      </w:r>
      <w:r w:rsidR="000F0ED2">
        <w:rPr>
          <w:lang w:eastAsia="en-US"/>
        </w:rPr>
        <w:t> billion</w:t>
      </w:r>
      <w:r w:rsidRPr="0006336F">
        <w:rPr>
          <w:lang w:eastAsia="en-US"/>
        </w:rPr>
        <w:t xml:space="preserve"> over 10</w:t>
      </w:r>
      <w:r w:rsidR="000F0ED2">
        <w:rPr>
          <w:lang w:eastAsia="en-US"/>
        </w:rPr>
        <w:t> year</w:t>
      </w:r>
      <w:r w:rsidRPr="0006336F">
        <w:rPr>
          <w:lang w:eastAsia="en-US"/>
        </w:rPr>
        <w:t>s from 2023</w:t>
      </w:r>
      <w:r w:rsidR="00FD3514">
        <w:rPr>
          <w:lang w:eastAsia="en-US"/>
        </w:rPr>
        <w:t>–</w:t>
      </w:r>
      <w:r w:rsidRPr="0006336F">
        <w:rPr>
          <w:lang w:eastAsia="en-US"/>
        </w:rPr>
        <w:t xml:space="preserve">24 through the Advanced Strategic Capabilities Accelerator to lift capacity to rapidly translate disruptive new technologies into </w:t>
      </w:r>
      <w:r w:rsidR="00D7380D" w:rsidRPr="0006336F">
        <w:rPr>
          <w:lang w:eastAsia="en-US"/>
        </w:rPr>
        <w:t>d</w:t>
      </w:r>
      <w:r w:rsidRPr="0006336F">
        <w:rPr>
          <w:lang w:eastAsia="en-US"/>
        </w:rPr>
        <w:t xml:space="preserve">efence capability. </w:t>
      </w:r>
      <w:r w:rsidR="00AD4BB5" w:rsidRPr="0006336F">
        <w:rPr>
          <w:lang w:eastAsia="en-US"/>
        </w:rPr>
        <w:t xml:space="preserve">Close partnership with Australian </w:t>
      </w:r>
      <w:r w:rsidRPr="0006336F">
        <w:rPr>
          <w:lang w:eastAsia="en-US"/>
        </w:rPr>
        <w:t xml:space="preserve">industry, research, and </w:t>
      </w:r>
      <w:r w:rsidR="009F6C40" w:rsidRPr="0006336F">
        <w:rPr>
          <w:lang w:eastAsia="en-US"/>
        </w:rPr>
        <w:t>g</w:t>
      </w:r>
      <w:r w:rsidRPr="0006336F">
        <w:rPr>
          <w:lang w:eastAsia="en-US"/>
        </w:rPr>
        <w:t xml:space="preserve">overnment partners </w:t>
      </w:r>
      <w:r w:rsidR="00AD4BB5" w:rsidRPr="0006336F">
        <w:rPr>
          <w:lang w:eastAsia="en-US"/>
        </w:rPr>
        <w:t xml:space="preserve">will </w:t>
      </w:r>
      <w:r w:rsidRPr="0006336F">
        <w:rPr>
          <w:lang w:eastAsia="en-US"/>
        </w:rPr>
        <w:t xml:space="preserve">support our innovation ecosystem. </w:t>
      </w:r>
    </w:p>
    <w:p w14:paraId="4BCFD072" w14:textId="0DA39617" w:rsidR="006B6D3A" w:rsidRPr="0006336F" w:rsidRDefault="00FD3514" w:rsidP="006B6D3A">
      <w:r>
        <w:rPr>
          <w:lang w:eastAsia="en-US"/>
        </w:rPr>
        <w:t>The Government</w:t>
      </w:r>
      <w:r w:rsidR="006B6D3A" w:rsidRPr="0006336F">
        <w:rPr>
          <w:lang w:eastAsia="en-US"/>
        </w:rPr>
        <w:t xml:space="preserve"> is taking a more strategic approach to invest</w:t>
      </w:r>
      <w:r w:rsidR="00315F2A">
        <w:rPr>
          <w:lang w:eastAsia="en-US"/>
        </w:rPr>
        <w:t xml:space="preserve"> in</w:t>
      </w:r>
      <w:r w:rsidR="006B6D3A" w:rsidRPr="0006336F">
        <w:rPr>
          <w:lang w:eastAsia="en-US"/>
        </w:rPr>
        <w:t xml:space="preserve"> and support priority areas. </w:t>
      </w:r>
      <w:r w:rsidR="006B6D3A" w:rsidRPr="0006336F">
        <w:t>Recognising the importance of the arts, entertainment and cultural sector to our economic and social fabric, the Government is supporting Creative Australia to revive arts in Australia. Creative Australia is supporting the delivery of National Cultural Policy</w:t>
      </w:r>
      <w:r>
        <w:t xml:space="preserve"> – </w:t>
      </w:r>
      <w:r w:rsidR="006B6D3A" w:rsidRPr="0006336F">
        <w:t xml:space="preserve">Revive. </w:t>
      </w:r>
      <w:r>
        <w:t>The Government</w:t>
      </w:r>
      <w:r w:rsidR="006B6D3A" w:rsidRPr="0006336F">
        <w:t xml:space="preserve"> is </w:t>
      </w:r>
      <w:r w:rsidR="006E3D03">
        <w:t xml:space="preserve">also </w:t>
      </w:r>
      <w:r w:rsidR="006B6D3A" w:rsidRPr="0006336F">
        <w:t>investing $1</w:t>
      </w:r>
      <w:r w:rsidR="000F0ED2">
        <w:t> billion</w:t>
      </w:r>
      <w:r w:rsidR="006B6D3A" w:rsidRPr="0006336F">
        <w:t xml:space="preserve"> in biosecurity over the next four</w:t>
      </w:r>
      <w:r w:rsidR="000F0ED2">
        <w:t> year</w:t>
      </w:r>
      <w:r w:rsidR="006B6D3A" w:rsidRPr="0006336F">
        <w:t>s from 2023</w:t>
      </w:r>
      <w:r>
        <w:t>–</w:t>
      </w:r>
      <w:r w:rsidR="006B6D3A" w:rsidRPr="0006336F">
        <w:t>24, to support our farmers and safeguard our agricultural industry. We are providing funding to improve Australia</w:t>
      </w:r>
      <w:r w:rsidR="00B16861">
        <w:t>’</w:t>
      </w:r>
      <w:r w:rsidR="006B6D3A" w:rsidRPr="0006336F">
        <w:t xml:space="preserve">s resilience to natural disasters, including by uplifting capacity of the National Emergency Management Agency. </w:t>
      </w:r>
      <w:r w:rsidR="006E044E" w:rsidRPr="0006336F">
        <w:rPr>
          <w:lang w:eastAsia="en-US"/>
        </w:rPr>
        <w:t xml:space="preserve">Other </w:t>
      </w:r>
      <w:r w:rsidR="00505210" w:rsidRPr="0006336F">
        <w:rPr>
          <w:lang w:eastAsia="en-US"/>
        </w:rPr>
        <w:t xml:space="preserve">investments in areas of strategic </w:t>
      </w:r>
      <w:r w:rsidR="00E67483" w:rsidRPr="0006336F">
        <w:rPr>
          <w:lang w:eastAsia="en-US"/>
        </w:rPr>
        <w:t>importance</w:t>
      </w:r>
      <w:r w:rsidR="00505210" w:rsidRPr="0006336F">
        <w:rPr>
          <w:lang w:eastAsia="en-US"/>
        </w:rPr>
        <w:t xml:space="preserve"> include </w:t>
      </w:r>
      <w:r w:rsidR="007832BF" w:rsidRPr="0006336F">
        <w:rPr>
          <w:lang w:eastAsia="en-US"/>
        </w:rPr>
        <w:t>our</w:t>
      </w:r>
      <w:r w:rsidR="006B6D3A" w:rsidRPr="0006336F">
        <w:rPr>
          <w:lang w:eastAsia="en-US"/>
        </w:rPr>
        <w:t xml:space="preserve"> </w:t>
      </w:r>
      <w:r w:rsidR="006B6D3A" w:rsidRPr="0006336F">
        <w:rPr>
          <w:bCs/>
          <w:lang w:eastAsia="en-US"/>
        </w:rPr>
        <w:t>Critical Minerals Strategy 2023</w:t>
      </w:r>
      <w:r>
        <w:rPr>
          <w:bCs/>
          <w:lang w:eastAsia="en-US"/>
        </w:rPr>
        <w:t>–</w:t>
      </w:r>
      <w:r w:rsidR="006B6D3A" w:rsidRPr="0006336F">
        <w:rPr>
          <w:bCs/>
          <w:lang w:eastAsia="en-US"/>
        </w:rPr>
        <w:t>2030</w:t>
      </w:r>
      <w:r w:rsidR="00C3404B" w:rsidRPr="0006336F">
        <w:rPr>
          <w:bCs/>
          <w:lang w:eastAsia="en-US"/>
        </w:rPr>
        <w:t xml:space="preserve"> and </w:t>
      </w:r>
      <w:r w:rsidR="006B3AF5" w:rsidRPr="0006336F">
        <w:rPr>
          <w:bCs/>
          <w:lang w:eastAsia="en-US"/>
        </w:rPr>
        <w:t>our forthcoming</w:t>
      </w:r>
      <w:r w:rsidR="00B45BB6" w:rsidRPr="0006336F">
        <w:rPr>
          <w:bCs/>
          <w:lang w:eastAsia="en-US"/>
        </w:rPr>
        <w:t xml:space="preserve"> </w:t>
      </w:r>
      <w:r w:rsidR="00FD3F92" w:rsidRPr="0006336F">
        <w:rPr>
          <w:bCs/>
          <w:lang w:eastAsia="en-US"/>
        </w:rPr>
        <w:t>National</w:t>
      </w:r>
      <w:r w:rsidR="00196031" w:rsidRPr="0006336F">
        <w:rPr>
          <w:bCs/>
          <w:lang w:eastAsia="en-US"/>
        </w:rPr>
        <w:t xml:space="preserve"> Battery </w:t>
      </w:r>
      <w:r w:rsidR="00FD3F92" w:rsidRPr="0006336F">
        <w:rPr>
          <w:bCs/>
          <w:lang w:eastAsia="en-US"/>
        </w:rPr>
        <w:t>Strategy</w:t>
      </w:r>
      <w:r w:rsidR="006B6D3A" w:rsidRPr="0006336F">
        <w:rPr>
          <w:lang w:eastAsia="en-US"/>
        </w:rPr>
        <w:t>.</w:t>
      </w:r>
    </w:p>
    <w:p w14:paraId="751969C5" w14:textId="373C07BA" w:rsidR="00D2735E" w:rsidRPr="0006336F" w:rsidRDefault="00D2735E" w:rsidP="00F4496B">
      <w:pPr>
        <w:pStyle w:val="Heading3"/>
        <w:rPr>
          <w:lang w:eastAsia="en-US"/>
        </w:rPr>
      </w:pPr>
      <w:r w:rsidRPr="0006336F">
        <w:rPr>
          <w:lang w:eastAsia="en-US"/>
        </w:rPr>
        <w:t xml:space="preserve">Becoming a renewable energy superpower </w:t>
      </w:r>
    </w:p>
    <w:p w14:paraId="6AFB9F3A" w14:textId="26BC20C7" w:rsidR="00D2735E" w:rsidRPr="0006336F" w:rsidRDefault="00D2735E" w:rsidP="00D2735E">
      <w:pPr>
        <w:rPr>
          <w:lang w:eastAsia="en-US"/>
        </w:rPr>
      </w:pPr>
      <w:r w:rsidRPr="0006336F">
        <w:rPr>
          <w:lang w:eastAsia="en-US"/>
        </w:rPr>
        <w:t>Australia</w:t>
      </w:r>
      <w:r w:rsidR="00B16861">
        <w:rPr>
          <w:lang w:eastAsia="en-US"/>
        </w:rPr>
        <w:t>’</w:t>
      </w:r>
      <w:r w:rsidRPr="0006336F">
        <w:rPr>
          <w:lang w:eastAsia="en-US"/>
        </w:rPr>
        <w:t xml:space="preserve">s renewable energy resources, abundant and valuable raw materials, skilled workforce, and geographic proximity to other inputs and key destination markets provides a unique opportunity to become a renewable energy superpower. </w:t>
      </w:r>
      <w:r w:rsidR="004532EE" w:rsidRPr="0006336F">
        <w:rPr>
          <w:lang w:eastAsia="en-US"/>
        </w:rPr>
        <w:t>T</w:t>
      </w:r>
      <w:r w:rsidR="00144A49" w:rsidRPr="0006336F">
        <w:rPr>
          <w:lang w:eastAsia="en-US"/>
        </w:rPr>
        <w:t>his economic opportunity will support jobs growth,</w:t>
      </w:r>
      <w:r w:rsidR="004E5063" w:rsidRPr="0006336F">
        <w:rPr>
          <w:lang w:eastAsia="en-US"/>
        </w:rPr>
        <w:t xml:space="preserve"> especially in regions that have traditionally powered Australia, and </w:t>
      </w:r>
      <w:r w:rsidR="00AA0EF4" w:rsidRPr="0006336F">
        <w:rPr>
          <w:lang w:eastAsia="en-US"/>
        </w:rPr>
        <w:t xml:space="preserve">can </w:t>
      </w:r>
      <w:r w:rsidR="004E5063" w:rsidRPr="0006336F">
        <w:rPr>
          <w:lang w:eastAsia="en-US"/>
        </w:rPr>
        <w:t xml:space="preserve">support improvements in productivity across the economy. </w:t>
      </w:r>
      <w:r w:rsidR="00FD3514">
        <w:rPr>
          <w:lang w:eastAsia="en-US"/>
        </w:rPr>
        <w:t>The Government</w:t>
      </w:r>
      <w:r w:rsidR="00D73A2B" w:rsidRPr="0006336F">
        <w:rPr>
          <w:lang w:eastAsia="en-US"/>
        </w:rPr>
        <w:t xml:space="preserve"> </w:t>
      </w:r>
      <w:r w:rsidR="004532EE" w:rsidRPr="0006336F">
        <w:rPr>
          <w:lang w:eastAsia="en-US"/>
        </w:rPr>
        <w:t xml:space="preserve">has a </w:t>
      </w:r>
      <w:r w:rsidR="00F21025" w:rsidRPr="0006336F">
        <w:rPr>
          <w:lang w:eastAsia="en-US"/>
        </w:rPr>
        <w:t xml:space="preserve">plan to realise </w:t>
      </w:r>
      <w:r w:rsidR="00EE01A2" w:rsidRPr="0006336F">
        <w:rPr>
          <w:lang w:eastAsia="en-US"/>
        </w:rPr>
        <w:t>Australia</w:t>
      </w:r>
      <w:r w:rsidR="00B16861">
        <w:rPr>
          <w:lang w:eastAsia="en-US"/>
        </w:rPr>
        <w:t>’</w:t>
      </w:r>
      <w:r w:rsidR="00EE01A2" w:rsidRPr="0006336F">
        <w:rPr>
          <w:lang w:eastAsia="en-US"/>
        </w:rPr>
        <w:t xml:space="preserve">s renewable energy </w:t>
      </w:r>
      <w:r w:rsidR="00F21025" w:rsidRPr="0006336F">
        <w:rPr>
          <w:lang w:eastAsia="en-US"/>
        </w:rPr>
        <w:t xml:space="preserve">potential, focused on </w:t>
      </w:r>
      <w:r w:rsidRPr="0006336F">
        <w:rPr>
          <w:lang w:eastAsia="en-US"/>
        </w:rPr>
        <w:t xml:space="preserve">taking a strategic approach to decarbonising existing industries, being deliberate about building new comparative advantages and facilitating coordination across governments, investors, industries and communities. </w:t>
      </w:r>
    </w:p>
    <w:p w14:paraId="52186D3B" w14:textId="77777777" w:rsidR="00D2735E" w:rsidRPr="0006336F" w:rsidRDefault="00D2735E" w:rsidP="001663E9">
      <w:pPr>
        <w:pStyle w:val="Heading4"/>
        <w:rPr>
          <w:lang w:eastAsia="en-US"/>
        </w:rPr>
      </w:pPr>
      <w:r w:rsidRPr="0006336F">
        <w:rPr>
          <w:lang w:eastAsia="en-US"/>
        </w:rPr>
        <w:lastRenderedPageBreak/>
        <w:t>Foundations for a net zero economy</w:t>
      </w:r>
    </w:p>
    <w:p w14:paraId="0E233F56" w14:textId="307D72A8" w:rsidR="00D2735E" w:rsidRPr="0006336F" w:rsidRDefault="00FD3514" w:rsidP="002B00B9">
      <w:pPr>
        <w:keepLines/>
        <w:rPr>
          <w:lang w:eastAsia="en-US"/>
        </w:rPr>
      </w:pPr>
      <w:r>
        <w:rPr>
          <w:lang w:eastAsia="en-US"/>
        </w:rPr>
        <w:t>The Government</w:t>
      </w:r>
      <w:r w:rsidR="00D2735E" w:rsidRPr="0006336F">
        <w:rPr>
          <w:lang w:eastAsia="en-US"/>
        </w:rPr>
        <w:t xml:space="preserve"> </w:t>
      </w:r>
      <w:r w:rsidR="003907B8" w:rsidRPr="0006336F">
        <w:rPr>
          <w:lang w:eastAsia="en-US"/>
        </w:rPr>
        <w:t xml:space="preserve">has set </w:t>
      </w:r>
      <w:r w:rsidR="00EE01A2" w:rsidRPr="0006336F">
        <w:rPr>
          <w:lang w:eastAsia="en-US"/>
        </w:rPr>
        <w:t xml:space="preserve">out </w:t>
      </w:r>
      <w:r w:rsidR="003907B8" w:rsidRPr="0006336F">
        <w:rPr>
          <w:lang w:eastAsia="en-US"/>
        </w:rPr>
        <w:t xml:space="preserve">clear goals for decarbonising </w:t>
      </w:r>
      <w:r w:rsidR="00F23314" w:rsidRPr="0006336F">
        <w:rPr>
          <w:lang w:eastAsia="en-US"/>
        </w:rPr>
        <w:t>Australia</w:t>
      </w:r>
      <w:r w:rsidR="00B16861">
        <w:rPr>
          <w:lang w:eastAsia="en-US"/>
        </w:rPr>
        <w:t>’</w:t>
      </w:r>
      <w:r w:rsidR="00F23314" w:rsidRPr="0006336F">
        <w:rPr>
          <w:lang w:eastAsia="en-US"/>
        </w:rPr>
        <w:t xml:space="preserve">s economy. We have legislated our commitment to reduce emissions by </w:t>
      </w:r>
      <w:r w:rsidR="00D2735E" w:rsidRPr="0006336F">
        <w:rPr>
          <w:lang w:eastAsia="en-US"/>
        </w:rPr>
        <w:t>43</w:t>
      </w:r>
      <w:r w:rsidR="00B16861">
        <w:rPr>
          <w:lang w:eastAsia="en-US"/>
        </w:rPr>
        <w:t> per c</w:t>
      </w:r>
      <w:r w:rsidR="00D2735E" w:rsidRPr="0006336F">
        <w:rPr>
          <w:lang w:eastAsia="en-US"/>
        </w:rPr>
        <w:t>ent below 2005 levels by 2030</w:t>
      </w:r>
      <w:r w:rsidR="00B35EBF" w:rsidRPr="0006336F">
        <w:rPr>
          <w:lang w:eastAsia="en-US"/>
        </w:rPr>
        <w:t xml:space="preserve">, and to reach net zero emissions by 2050. We have </w:t>
      </w:r>
      <w:r w:rsidR="00D2735E" w:rsidRPr="0006336F">
        <w:rPr>
          <w:lang w:eastAsia="en-US"/>
        </w:rPr>
        <w:t xml:space="preserve">reformed the </w:t>
      </w:r>
      <w:r w:rsidR="00FB0CA2" w:rsidRPr="0006336F">
        <w:rPr>
          <w:lang w:eastAsia="en-US"/>
        </w:rPr>
        <w:t>S</w:t>
      </w:r>
      <w:r w:rsidR="00D2735E" w:rsidRPr="0006336F">
        <w:rPr>
          <w:lang w:eastAsia="en-US"/>
        </w:rPr>
        <w:t xml:space="preserve">afeguard </w:t>
      </w:r>
      <w:r w:rsidR="00FB0CA2" w:rsidRPr="0006336F">
        <w:rPr>
          <w:lang w:eastAsia="en-US"/>
        </w:rPr>
        <w:t>M</w:t>
      </w:r>
      <w:r w:rsidR="00D2735E" w:rsidRPr="0006336F">
        <w:rPr>
          <w:lang w:eastAsia="en-US"/>
        </w:rPr>
        <w:t xml:space="preserve">echanism to provide clarity on emissions pathways for heavy emitters. </w:t>
      </w:r>
      <w:r w:rsidR="005E36C1" w:rsidRPr="0006336F">
        <w:rPr>
          <w:lang w:eastAsia="en-US"/>
        </w:rPr>
        <w:t>We have set a target of 82</w:t>
      </w:r>
      <w:r w:rsidR="00B16861">
        <w:rPr>
          <w:lang w:eastAsia="en-US"/>
        </w:rPr>
        <w:t> per c</w:t>
      </w:r>
      <w:r w:rsidR="00E83B47" w:rsidRPr="0006336F">
        <w:rPr>
          <w:lang w:eastAsia="en-US"/>
        </w:rPr>
        <w:t>ent</w:t>
      </w:r>
      <w:r w:rsidR="005E36C1" w:rsidRPr="0006336F">
        <w:rPr>
          <w:lang w:eastAsia="en-US"/>
        </w:rPr>
        <w:t xml:space="preserve"> renewables for electricity generation by 2030. </w:t>
      </w:r>
      <w:r w:rsidR="00FA43C5" w:rsidRPr="0006336F">
        <w:rPr>
          <w:lang w:eastAsia="en-US"/>
        </w:rPr>
        <w:t xml:space="preserve">We have completed </w:t>
      </w:r>
      <w:r w:rsidR="00FE5641" w:rsidRPr="0006336F">
        <w:rPr>
          <w:lang w:eastAsia="en-US"/>
        </w:rPr>
        <w:t xml:space="preserve">an Independent Review of Australian Carbon Credit Units to </w:t>
      </w:r>
      <w:r w:rsidR="00035AD4" w:rsidRPr="0006336F">
        <w:rPr>
          <w:lang w:eastAsia="en-US"/>
        </w:rPr>
        <w:t xml:space="preserve">ensure the integrity of </w:t>
      </w:r>
      <w:r w:rsidR="00D934BA" w:rsidRPr="0006336F">
        <w:rPr>
          <w:lang w:eastAsia="en-US"/>
        </w:rPr>
        <w:t>carbon credits and enable efficient abatement across the economy</w:t>
      </w:r>
      <w:r w:rsidR="0074179F">
        <w:rPr>
          <w:lang w:eastAsia="en-US"/>
        </w:rPr>
        <w:t>,</w:t>
      </w:r>
      <w:r w:rsidR="00D934BA" w:rsidRPr="0006336F">
        <w:rPr>
          <w:lang w:eastAsia="en-US"/>
        </w:rPr>
        <w:t xml:space="preserve"> </w:t>
      </w:r>
      <w:r w:rsidR="00C35622" w:rsidRPr="0006336F">
        <w:rPr>
          <w:lang w:eastAsia="en-US"/>
        </w:rPr>
        <w:t xml:space="preserve">and </w:t>
      </w:r>
      <w:r w:rsidR="006E7202" w:rsidRPr="0006336F">
        <w:rPr>
          <w:lang w:eastAsia="en-US"/>
        </w:rPr>
        <w:t>support all recommendations in principle</w:t>
      </w:r>
      <w:r w:rsidR="00842C8A" w:rsidRPr="0006336F">
        <w:rPr>
          <w:lang w:eastAsia="en-US"/>
        </w:rPr>
        <w:t>.</w:t>
      </w:r>
      <w:r w:rsidR="006E7202" w:rsidRPr="0006336F">
        <w:rPr>
          <w:lang w:eastAsia="en-US"/>
        </w:rPr>
        <w:t xml:space="preserve"> </w:t>
      </w:r>
      <w:r w:rsidR="005E270B" w:rsidRPr="0006336F">
        <w:rPr>
          <w:lang w:eastAsia="en-US"/>
        </w:rPr>
        <w:t xml:space="preserve">We are </w:t>
      </w:r>
      <w:r w:rsidR="007C04CE" w:rsidRPr="0006336F">
        <w:rPr>
          <w:lang w:eastAsia="en-US"/>
        </w:rPr>
        <w:t xml:space="preserve">delivering </w:t>
      </w:r>
      <w:r w:rsidR="00F55B84" w:rsidRPr="0006336F">
        <w:rPr>
          <w:lang w:eastAsia="en-US"/>
        </w:rPr>
        <w:t xml:space="preserve">on </w:t>
      </w:r>
      <w:r w:rsidR="007C04CE" w:rsidRPr="0006336F">
        <w:rPr>
          <w:lang w:eastAsia="en-US"/>
        </w:rPr>
        <w:t xml:space="preserve">our </w:t>
      </w:r>
      <w:r w:rsidR="00AC2731" w:rsidRPr="0006336F">
        <w:rPr>
          <w:lang w:eastAsia="en-US"/>
        </w:rPr>
        <w:t>Nature Positive Plan</w:t>
      </w:r>
      <w:r w:rsidR="007C04CE" w:rsidRPr="0006336F">
        <w:rPr>
          <w:lang w:eastAsia="en-US"/>
        </w:rPr>
        <w:t xml:space="preserve"> for a </w:t>
      </w:r>
      <w:r w:rsidR="00DD5B72" w:rsidRPr="0006336F">
        <w:rPr>
          <w:lang w:eastAsia="en-US"/>
        </w:rPr>
        <w:t xml:space="preserve">nature positive economy </w:t>
      </w:r>
      <w:r w:rsidR="006E7202" w:rsidRPr="0006336F">
        <w:rPr>
          <w:lang w:eastAsia="en-US"/>
        </w:rPr>
        <w:t xml:space="preserve">and </w:t>
      </w:r>
      <w:r w:rsidR="005E270B" w:rsidRPr="0006336F">
        <w:rPr>
          <w:lang w:eastAsia="en-US"/>
        </w:rPr>
        <w:t>creating more environmentally sustainable jobs</w:t>
      </w:r>
      <w:r w:rsidR="007C04CE" w:rsidRPr="0006336F">
        <w:rPr>
          <w:lang w:eastAsia="en-US"/>
        </w:rPr>
        <w:t xml:space="preserve">, </w:t>
      </w:r>
      <w:r w:rsidR="00B737F5" w:rsidRPr="0006336F">
        <w:rPr>
          <w:lang w:eastAsia="en-US"/>
        </w:rPr>
        <w:t>including by establishing Environment Protection Australia and Environment Information Australia</w:t>
      </w:r>
      <w:r w:rsidR="00C23F02" w:rsidRPr="0006336F">
        <w:rPr>
          <w:lang w:eastAsia="en-US"/>
        </w:rPr>
        <w:t>.</w:t>
      </w:r>
      <w:r w:rsidR="00D21929" w:rsidRPr="0006336F" w:rsidDel="00D21929">
        <w:rPr>
          <w:lang w:eastAsia="en-US"/>
        </w:rPr>
        <w:t xml:space="preserve"> </w:t>
      </w:r>
    </w:p>
    <w:p w14:paraId="6193C0EA" w14:textId="19E0BFED" w:rsidR="000C1028" w:rsidRPr="0006336F" w:rsidRDefault="00A54F62" w:rsidP="00555AA6">
      <w:pPr>
        <w:rPr>
          <w:lang w:eastAsia="en-US"/>
        </w:rPr>
      </w:pPr>
      <w:r w:rsidRPr="0006336F">
        <w:rPr>
          <w:lang w:eastAsia="en-US"/>
        </w:rPr>
        <w:t xml:space="preserve">Over the next year, </w:t>
      </w:r>
      <w:r w:rsidR="00BB550B" w:rsidRPr="0006336F">
        <w:rPr>
          <w:lang w:eastAsia="en-US"/>
        </w:rPr>
        <w:t xml:space="preserve">the </w:t>
      </w:r>
      <w:r w:rsidR="00D2735E" w:rsidRPr="0006336F">
        <w:rPr>
          <w:lang w:eastAsia="en-US"/>
        </w:rPr>
        <w:t xml:space="preserve">Government </w:t>
      </w:r>
      <w:r w:rsidR="00EE1419" w:rsidRPr="0006336F">
        <w:rPr>
          <w:lang w:eastAsia="en-US"/>
        </w:rPr>
        <w:t xml:space="preserve">will define </w:t>
      </w:r>
      <w:r w:rsidR="00C41F44" w:rsidRPr="0006336F">
        <w:rPr>
          <w:lang w:eastAsia="en-US"/>
        </w:rPr>
        <w:t xml:space="preserve">a clear </w:t>
      </w:r>
      <w:r w:rsidR="00A23804" w:rsidRPr="0006336F">
        <w:rPr>
          <w:lang w:eastAsia="en-US"/>
        </w:rPr>
        <w:t xml:space="preserve">pathway to net zero, </w:t>
      </w:r>
      <w:r w:rsidR="00105AD7" w:rsidRPr="0006336F">
        <w:rPr>
          <w:lang w:eastAsia="en-US"/>
        </w:rPr>
        <w:t xml:space="preserve">by </w:t>
      </w:r>
      <w:r w:rsidR="00D2735E" w:rsidRPr="0006336F">
        <w:rPr>
          <w:lang w:eastAsia="en-US"/>
        </w:rPr>
        <w:t>develop</w:t>
      </w:r>
      <w:r w:rsidR="00105AD7" w:rsidRPr="0006336F">
        <w:rPr>
          <w:lang w:eastAsia="en-US"/>
        </w:rPr>
        <w:t>ing</w:t>
      </w:r>
      <w:r w:rsidR="00646394" w:rsidRPr="0006336F">
        <w:rPr>
          <w:lang w:eastAsia="en-US"/>
        </w:rPr>
        <w:t xml:space="preserve"> </w:t>
      </w:r>
      <w:r w:rsidR="00EE1419" w:rsidRPr="0006336F">
        <w:rPr>
          <w:lang w:eastAsia="en-US"/>
        </w:rPr>
        <w:t xml:space="preserve">six </w:t>
      </w:r>
      <w:r w:rsidR="00D2735E" w:rsidRPr="0006336F">
        <w:rPr>
          <w:lang w:eastAsia="en-US"/>
        </w:rPr>
        <w:t xml:space="preserve">sectoral </w:t>
      </w:r>
      <w:r w:rsidR="00105AD7" w:rsidRPr="0006336F">
        <w:rPr>
          <w:lang w:eastAsia="en-US"/>
        </w:rPr>
        <w:t xml:space="preserve">decarbonisation </w:t>
      </w:r>
      <w:r w:rsidR="00670F03" w:rsidRPr="0006336F">
        <w:rPr>
          <w:lang w:eastAsia="en-US"/>
        </w:rPr>
        <w:t>plans, collectively covering the entire economy</w:t>
      </w:r>
      <w:r w:rsidR="00284AF8" w:rsidRPr="0006336F">
        <w:rPr>
          <w:lang w:eastAsia="en-US"/>
        </w:rPr>
        <w:t xml:space="preserve">. </w:t>
      </w:r>
      <w:r w:rsidR="00D2735E" w:rsidRPr="0006336F" w:rsidDel="00646394">
        <w:rPr>
          <w:lang w:eastAsia="en-US"/>
        </w:rPr>
        <w:t>This will be the most significant effort to identify clear industry decarbonisation pathways and growth opportunities in Australia. It will require investments in clean energy infrastructure and technologies. Partnership and collaboration are a feature of our approach</w:t>
      </w:r>
      <w:r w:rsidR="00FD3514">
        <w:rPr>
          <w:lang w:eastAsia="en-US"/>
        </w:rPr>
        <w:t xml:space="preserve"> – </w:t>
      </w:r>
      <w:r w:rsidR="00D2735E" w:rsidRPr="0006336F" w:rsidDel="00646394">
        <w:rPr>
          <w:lang w:eastAsia="en-US"/>
        </w:rPr>
        <w:t xml:space="preserve">we will work with </w:t>
      </w:r>
      <w:r w:rsidR="008E5A00" w:rsidRPr="0006336F" w:rsidDel="00646394">
        <w:rPr>
          <w:lang w:eastAsia="en-US"/>
        </w:rPr>
        <w:t>unions</w:t>
      </w:r>
      <w:r w:rsidR="008E5A00" w:rsidRPr="0006336F">
        <w:rPr>
          <w:lang w:eastAsia="en-US"/>
        </w:rPr>
        <w:t xml:space="preserve">, </w:t>
      </w:r>
      <w:r w:rsidR="00FD3514" w:rsidRPr="00744113">
        <w:rPr>
          <w:lang w:eastAsia="en-US"/>
        </w:rPr>
        <w:t>First Nation</w:t>
      </w:r>
      <w:r w:rsidR="00D2735E" w:rsidRPr="00744113" w:rsidDel="00646394">
        <w:rPr>
          <w:lang w:eastAsia="en-US"/>
        </w:rPr>
        <w:t>s</w:t>
      </w:r>
      <w:r w:rsidR="00D2735E" w:rsidRPr="0006336F" w:rsidDel="00646394">
        <w:rPr>
          <w:lang w:eastAsia="en-US"/>
        </w:rPr>
        <w:t xml:space="preserve"> communities, </w:t>
      </w:r>
      <w:r w:rsidR="008E5A00" w:rsidRPr="0006336F">
        <w:rPr>
          <w:lang w:eastAsia="en-US"/>
        </w:rPr>
        <w:t xml:space="preserve">and </w:t>
      </w:r>
      <w:r w:rsidR="00D2735E" w:rsidRPr="0006336F" w:rsidDel="00646394">
        <w:rPr>
          <w:lang w:eastAsia="en-US"/>
        </w:rPr>
        <w:t xml:space="preserve">academia, alongside states and territories to ensure a coherent national vision. Through this process, actionable sectoral plans will be produced </w:t>
      </w:r>
      <w:r w:rsidR="00670F03" w:rsidRPr="0006336F">
        <w:rPr>
          <w:lang w:eastAsia="en-US"/>
        </w:rPr>
        <w:t>outlining pathways to decarbonise each sector of the economy</w:t>
      </w:r>
      <w:r w:rsidR="00D2735E" w:rsidRPr="0006336F">
        <w:rPr>
          <w:lang w:eastAsia="en-US"/>
        </w:rPr>
        <w:t>:</w:t>
      </w:r>
    </w:p>
    <w:p w14:paraId="4D10A170" w14:textId="1001C859" w:rsidR="00D2735E" w:rsidRPr="0006336F" w:rsidRDefault="00D2735E" w:rsidP="00D2735E">
      <w:pPr>
        <w:pStyle w:val="Bullet"/>
        <w:rPr>
          <w:lang w:eastAsia="en-US"/>
        </w:rPr>
      </w:pPr>
      <w:r w:rsidRPr="0006336F">
        <w:rPr>
          <w:lang w:eastAsia="en-US"/>
        </w:rPr>
        <w:t>Electricity and energy</w:t>
      </w:r>
    </w:p>
    <w:p w14:paraId="635787B1" w14:textId="13E14A83" w:rsidR="004B2E8D" w:rsidRPr="0006336F" w:rsidRDefault="00D2735E" w:rsidP="00D2735E">
      <w:pPr>
        <w:pStyle w:val="Bullet"/>
        <w:rPr>
          <w:lang w:eastAsia="en-US"/>
        </w:rPr>
      </w:pPr>
      <w:r w:rsidRPr="0006336F">
        <w:rPr>
          <w:lang w:eastAsia="en-US"/>
        </w:rPr>
        <w:t>Industry</w:t>
      </w:r>
    </w:p>
    <w:p w14:paraId="0195E3E0" w14:textId="1A163AC9" w:rsidR="004B2E8D" w:rsidRPr="0006336F" w:rsidRDefault="00D2735E" w:rsidP="00D2735E">
      <w:pPr>
        <w:pStyle w:val="Bullet"/>
        <w:rPr>
          <w:lang w:eastAsia="en-US"/>
        </w:rPr>
      </w:pPr>
      <w:r w:rsidRPr="0006336F">
        <w:rPr>
          <w:lang w:eastAsia="en-US"/>
        </w:rPr>
        <w:t>Resources</w:t>
      </w:r>
    </w:p>
    <w:p w14:paraId="4EEBDB0A" w14:textId="45DF23DB" w:rsidR="00DE542D" w:rsidRPr="0006336F" w:rsidRDefault="00D2735E" w:rsidP="00D2735E">
      <w:pPr>
        <w:pStyle w:val="Bullet"/>
        <w:rPr>
          <w:lang w:eastAsia="en-US"/>
        </w:rPr>
      </w:pPr>
      <w:r w:rsidRPr="0006336F">
        <w:rPr>
          <w:lang w:eastAsia="en-US"/>
        </w:rPr>
        <w:t>The built environment</w:t>
      </w:r>
    </w:p>
    <w:p w14:paraId="77A1E598" w14:textId="54F068CC" w:rsidR="00DE542D" w:rsidRPr="0006336F" w:rsidRDefault="00D2735E" w:rsidP="00D2735E">
      <w:pPr>
        <w:pStyle w:val="Bullet"/>
        <w:rPr>
          <w:lang w:eastAsia="en-US"/>
        </w:rPr>
      </w:pPr>
      <w:r w:rsidRPr="0006336F">
        <w:rPr>
          <w:lang w:eastAsia="en-US"/>
        </w:rPr>
        <w:t>Agriculture and land</w:t>
      </w:r>
    </w:p>
    <w:p w14:paraId="0F741DEA" w14:textId="0445AFCD" w:rsidR="00DE542D" w:rsidRPr="0006336F" w:rsidRDefault="00D2735E" w:rsidP="00BF40C1">
      <w:pPr>
        <w:pStyle w:val="Bullet"/>
        <w:rPr>
          <w:lang w:eastAsia="en-US"/>
        </w:rPr>
      </w:pPr>
      <w:r w:rsidRPr="0006336F">
        <w:rPr>
          <w:lang w:eastAsia="en-US"/>
        </w:rPr>
        <w:t>Transport</w:t>
      </w:r>
    </w:p>
    <w:p w14:paraId="28CB2125" w14:textId="4A1331B8" w:rsidR="00646394" w:rsidRPr="0006336F" w:rsidRDefault="008C7B45" w:rsidP="001663E9">
      <w:pPr>
        <w:rPr>
          <w:lang w:eastAsia="en-US"/>
        </w:rPr>
      </w:pPr>
      <w:r w:rsidRPr="0006336F">
        <w:rPr>
          <w:lang w:eastAsia="en-US"/>
        </w:rPr>
        <w:t xml:space="preserve">The </w:t>
      </w:r>
      <w:r w:rsidR="00646394" w:rsidRPr="0006336F">
        <w:rPr>
          <w:lang w:eastAsia="en-US"/>
        </w:rPr>
        <w:t xml:space="preserve">sectoral plans </w:t>
      </w:r>
      <w:r w:rsidRPr="0006336F">
        <w:rPr>
          <w:lang w:eastAsia="en-US"/>
        </w:rPr>
        <w:t xml:space="preserve">will inform </w:t>
      </w:r>
      <w:r w:rsidR="001463E7" w:rsidRPr="0006336F">
        <w:rPr>
          <w:lang w:eastAsia="en-US"/>
        </w:rPr>
        <w:t xml:space="preserve">decarbonisation </w:t>
      </w:r>
      <w:r w:rsidR="001909D7" w:rsidRPr="0006336F">
        <w:rPr>
          <w:lang w:eastAsia="en-US"/>
        </w:rPr>
        <w:t>efforts, ensuring Australia</w:t>
      </w:r>
      <w:r w:rsidR="00B16861">
        <w:rPr>
          <w:lang w:eastAsia="en-US"/>
        </w:rPr>
        <w:t>’</w:t>
      </w:r>
      <w:r w:rsidR="001909D7" w:rsidRPr="0006336F">
        <w:rPr>
          <w:lang w:eastAsia="en-US"/>
        </w:rPr>
        <w:t xml:space="preserve">s </w:t>
      </w:r>
      <w:r w:rsidR="00893719" w:rsidRPr="0006336F">
        <w:rPr>
          <w:lang w:eastAsia="en-US"/>
        </w:rPr>
        <w:t xml:space="preserve">plan to reach net zero is </w:t>
      </w:r>
      <w:r w:rsidR="00196E07" w:rsidRPr="0006336F">
        <w:rPr>
          <w:lang w:eastAsia="en-US"/>
        </w:rPr>
        <w:t>practical</w:t>
      </w:r>
      <w:r w:rsidR="00893719" w:rsidRPr="0006336F">
        <w:rPr>
          <w:lang w:eastAsia="en-US"/>
        </w:rPr>
        <w:t xml:space="preserve">, </w:t>
      </w:r>
      <w:r w:rsidR="001909D7" w:rsidRPr="0006336F">
        <w:rPr>
          <w:lang w:eastAsia="en-US"/>
        </w:rPr>
        <w:t>efficient</w:t>
      </w:r>
      <w:r w:rsidR="00893719" w:rsidRPr="0006336F">
        <w:rPr>
          <w:lang w:eastAsia="en-US"/>
        </w:rPr>
        <w:t xml:space="preserve"> and</w:t>
      </w:r>
      <w:r w:rsidR="001909D7" w:rsidRPr="0006336F">
        <w:rPr>
          <w:lang w:eastAsia="en-US"/>
        </w:rPr>
        <w:t xml:space="preserve"> coordinated.</w:t>
      </w:r>
      <w:r w:rsidR="00AE58ED" w:rsidRPr="0006336F">
        <w:rPr>
          <w:lang w:eastAsia="en-US"/>
        </w:rPr>
        <w:t xml:space="preserve"> </w:t>
      </w:r>
      <w:r w:rsidR="00196E07" w:rsidRPr="0006336F">
        <w:rPr>
          <w:lang w:eastAsia="en-US"/>
        </w:rPr>
        <w:t xml:space="preserve">Sectoral plans </w:t>
      </w:r>
      <w:r w:rsidR="00C35622" w:rsidRPr="0006336F">
        <w:rPr>
          <w:lang w:eastAsia="en-US"/>
        </w:rPr>
        <w:t xml:space="preserve">will complement actions </w:t>
      </w:r>
      <w:r w:rsidR="00196E07" w:rsidRPr="0006336F">
        <w:rPr>
          <w:lang w:eastAsia="en-US"/>
        </w:rPr>
        <w:t xml:space="preserve">being taken </w:t>
      </w:r>
      <w:r w:rsidR="00C35622" w:rsidRPr="0006336F">
        <w:rPr>
          <w:lang w:eastAsia="en-US"/>
        </w:rPr>
        <w:t>to implement Australia</w:t>
      </w:r>
      <w:r w:rsidR="00B16861">
        <w:rPr>
          <w:lang w:eastAsia="en-US"/>
        </w:rPr>
        <w:t>’</w:t>
      </w:r>
      <w:r w:rsidR="00C35622" w:rsidRPr="0006336F">
        <w:rPr>
          <w:lang w:eastAsia="en-US"/>
        </w:rPr>
        <w:t xml:space="preserve">s Nature Positive Plan, which includes establishing a nature repair market which will make it easier for businesses and individuals to invest in nature. </w:t>
      </w:r>
    </w:p>
    <w:p w14:paraId="7BAC3AB9" w14:textId="3CC4FC62" w:rsidR="00D2735E" w:rsidRPr="0006336F" w:rsidRDefault="00196E07" w:rsidP="00232C80">
      <w:pPr>
        <w:rPr>
          <w:lang w:eastAsia="en-US"/>
        </w:rPr>
      </w:pPr>
      <w:r w:rsidRPr="0006336F">
        <w:rPr>
          <w:lang w:eastAsia="en-US"/>
        </w:rPr>
        <w:t xml:space="preserve">By </w:t>
      </w:r>
      <w:r w:rsidR="004076AE" w:rsidRPr="0006336F">
        <w:rPr>
          <w:lang w:eastAsia="en-US"/>
        </w:rPr>
        <w:t>developing</w:t>
      </w:r>
      <w:r w:rsidRPr="0006336F">
        <w:rPr>
          <w:lang w:eastAsia="en-US"/>
        </w:rPr>
        <w:t xml:space="preserve"> a clear</w:t>
      </w:r>
      <w:r w:rsidR="007D3493" w:rsidRPr="0006336F">
        <w:rPr>
          <w:lang w:eastAsia="en-US"/>
        </w:rPr>
        <w:t>, shared</w:t>
      </w:r>
      <w:r w:rsidRPr="0006336F">
        <w:rPr>
          <w:lang w:eastAsia="en-US"/>
        </w:rPr>
        <w:t xml:space="preserve"> pathway to net zero, the Government </w:t>
      </w:r>
      <w:r w:rsidR="000E3D48" w:rsidRPr="0006336F">
        <w:rPr>
          <w:lang w:eastAsia="en-US"/>
        </w:rPr>
        <w:t xml:space="preserve">is </w:t>
      </w:r>
      <w:r w:rsidR="00DB43EB" w:rsidRPr="0006336F">
        <w:rPr>
          <w:lang w:eastAsia="en-US"/>
        </w:rPr>
        <w:t xml:space="preserve">providing business </w:t>
      </w:r>
      <w:r w:rsidR="00E20472" w:rsidRPr="0006336F">
        <w:rPr>
          <w:lang w:eastAsia="en-US"/>
        </w:rPr>
        <w:t xml:space="preserve">and investors with the </w:t>
      </w:r>
      <w:r w:rsidR="00DB43EB" w:rsidRPr="0006336F">
        <w:rPr>
          <w:lang w:eastAsia="en-US"/>
        </w:rPr>
        <w:t xml:space="preserve">information </w:t>
      </w:r>
      <w:r w:rsidR="00E20472" w:rsidRPr="0006336F">
        <w:rPr>
          <w:lang w:eastAsia="en-US"/>
        </w:rPr>
        <w:t xml:space="preserve">needed to </w:t>
      </w:r>
      <w:r w:rsidR="0039697D" w:rsidRPr="0006336F">
        <w:rPr>
          <w:lang w:eastAsia="en-US"/>
        </w:rPr>
        <w:t>invest in Australia</w:t>
      </w:r>
      <w:r w:rsidR="00B16861">
        <w:rPr>
          <w:lang w:eastAsia="en-US"/>
        </w:rPr>
        <w:t>’</w:t>
      </w:r>
      <w:r w:rsidR="0039697D" w:rsidRPr="0006336F">
        <w:rPr>
          <w:lang w:eastAsia="en-US"/>
        </w:rPr>
        <w:t>s</w:t>
      </w:r>
      <w:r w:rsidR="001757B0" w:rsidRPr="0006336F">
        <w:rPr>
          <w:lang w:eastAsia="en-US"/>
        </w:rPr>
        <w:t xml:space="preserve"> low</w:t>
      </w:r>
      <w:r w:rsidR="00B16861">
        <w:rPr>
          <w:lang w:eastAsia="en-US"/>
        </w:rPr>
        <w:noBreakHyphen/>
      </w:r>
      <w:r w:rsidR="001757B0" w:rsidRPr="0006336F">
        <w:rPr>
          <w:lang w:eastAsia="en-US"/>
        </w:rPr>
        <w:t xml:space="preserve">carbon industrial potential. </w:t>
      </w:r>
      <w:r w:rsidR="008530B1" w:rsidRPr="0006336F">
        <w:rPr>
          <w:lang w:eastAsia="en-US"/>
        </w:rPr>
        <w:t>Australia</w:t>
      </w:r>
      <w:r w:rsidR="00B16861">
        <w:rPr>
          <w:lang w:eastAsia="en-US"/>
        </w:rPr>
        <w:t>’</w:t>
      </w:r>
      <w:r w:rsidR="008530B1" w:rsidRPr="0006336F">
        <w:rPr>
          <w:lang w:eastAsia="en-US"/>
        </w:rPr>
        <w:t>s s</w:t>
      </w:r>
      <w:r w:rsidR="003F2A8A" w:rsidRPr="0006336F">
        <w:rPr>
          <w:lang w:eastAsia="en-US"/>
        </w:rPr>
        <w:t>ustainable finance taxonom</w:t>
      </w:r>
      <w:r w:rsidR="00EF5F07" w:rsidRPr="0006336F">
        <w:rPr>
          <w:lang w:eastAsia="en-US"/>
        </w:rPr>
        <w:t>y</w:t>
      </w:r>
      <w:r w:rsidR="00DF5C05" w:rsidRPr="0006336F">
        <w:rPr>
          <w:lang w:eastAsia="en-US"/>
        </w:rPr>
        <w:t xml:space="preserve">, </w:t>
      </w:r>
      <w:r w:rsidR="00FE137E" w:rsidRPr="0006336F">
        <w:rPr>
          <w:lang w:eastAsia="en-US"/>
        </w:rPr>
        <w:t xml:space="preserve">being </w:t>
      </w:r>
      <w:r w:rsidR="00DF5C05" w:rsidRPr="0006336F">
        <w:rPr>
          <w:lang w:eastAsia="en-US"/>
        </w:rPr>
        <w:t xml:space="preserve">developed in partnership with industry, </w:t>
      </w:r>
      <w:r w:rsidR="00F96D4B" w:rsidRPr="0006336F">
        <w:rPr>
          <w:lang w:eastAsia="en-US"/>
        </w:rPr>
        <w:t xml:space="preserve">will </w:t>
      </w:r>
      <w:r w:rsidR="007D01ED" w:rsidRPr="0006336F">
        <w:rPr>
          <w:lang w:eastAsia="en-US"/>
        </w:rPr>
        <w:t xml:space="preserve">provide </w:t>
      </w:r>
      <w:r w:rsidR="00B61E92" w:rsidRPr="0006336F">
        <w:rPr>
          <w:lang w:eastAsia="en-US"/>
        </w:rPr>
        <w:t>credible</w:t>
      </w:r>
      <w:r w:rsidR="00116CCC" w:rsidRPr="0006336F">
        <w:rPr>
          <w:lang w:eastAsia="en-US"/>
        </w:rPr>
        <w:t xml:space="preserve"> and </w:t>
      </w:r>
      <w:r w:rsidR="00B61E92" w:rsidRPr="0006336F">
        <w:rPr>
          <w:lang w:eastAsia="en-US"/>
        </w:rPr>
        <w:t xml:space="preserve">consistent definitions for </w:t>
      </w:r>
      <w:r w:rsidR="00116CCC" w:rsidRPr="0006336F">
        <w:rPr>
          <w:lang w:eastAsia="en-US"/>
        </w:rPr>
        <w:t xml:space="preserve">green </w:t>
      </w:r>
      <w:r w:rsidR="00A854F7" w:rsidRPr="0006336F">
        <w:rPr>
          <w:lang w:eastAsia="en-US"/>
        </w:rPr>
        <w:t>finance</w:t>
      </w:r>
      <w:r w:rsidR="001A403F" w:rsidRPr="0006336F">
        <w:rPr>
          <w:lang w:eastAsia="en-US"/>
        </w:rPr>
        <w:t xml:space="preserve">. </w:t>
      </w:r>
      <w:r w:rsidR="00BB1691" w:rsidRPr="0006336F">
        <w:rPr>
          <w:lang w:eastAsia="en-US"/>
        </w:rPr>
        <w:t>A</w:t>
      </w:r>
      <w:r w:rsidR="00D44BD0" w:rsidRPr="0006336F">
        <w:rPr>
          <w:lang w:eastAsia="en-US"/>
        </w:rPr>
        <w:t xml:space="preserve">ctions under </w:t>
      </w:r>
      <w:r w:rsidR="00116CCC" w:rsidRPr="0006336F">
        <w:rPr>
          <w:lang w:eastAsia="en-US"/>
        </w:rPr>
        <w:t>the Government</w:t>
      </w:r>
      <w:r w:rsidR="00B16861">
        <w:rPr>
          <w:lang w:eastAsia="en-US"/>
        </w:rPr>
        <w:t>’</w:t>
      </w:r>
      <w:r w:rsidR="00116CCC" w:rsidRPr="0006336F">
        <w:rPr>
          <w:lang w:eastAsia="en-US"/>
        </w:rPr>
        <w:t>s</w:t>
      </w:r>
      <w:r w:rsidR="005C24C7" w:rsidRPr="0006336F">
        <w:rPr>
          <w:lang w:eastAsia="en-US"/>
        </w:rPr>
        <w:t xml:space="preserve"> S</w:t>
      </w:r>
      <w:r w:rsidR="00116CCC" w:rsidRPr="0006336F">
        <w:rPr>
          <w:lang w:eastAsia="en-US"/>
        </w:rPr>
        <w:t xml:space="preserve">ustainable </w:t>
      </w:r>
      <w:r w:rsidR="005C24C7" w:rsidRPr="0006336F">
        <w:rPr>
          <w:lang w:eastAsia="en-US"/>
        </w:rPr>
        <w:t>Finance Strategy</w:t>
      </w:r>
      <w:r w:rsidR="00EC4E24" w:rsidRPr="0006336F">
        <w:rPr>
          <w:lang w:eastAsia="en-US"/>
        </w:rPr>
        <w:t>,</w:t>
      </w:r>
      <w:r w:rsidR="003F2A8A" w:rsidRPr="0006336F">
        <w:rPr>
          <w:lang w:eastAsia="en-US"/>
        </w:rPr>
        <w:t xml:space="preserve"> </w:t>
      </w:r>
      <w:r w:rsidR="00EC4E24" w:rsidRPr="0006336F">
        <w:rPr>
          <w:lang w:eastAsia="en-US"/>
        </w:rPr>
        <w:t xml:space="preserve">like the issuance of Green Bonds and the introduction of mandatory climate risk disclosures, will </w:t>
      </w:r>
      <w:r w:rsidR="0002094D" w:rsidRPr="0006336F">
        <w:rPr>
          <w:lang w:eastAsia="en-US"/>
        </w:rPr>
        <w:t xml:space="preserve">attract further </w:t>
      </w:r>
      <w:r w:rsidR="00D44BD0" w:rsidRPr="0006336F">
        <w:rPr>
          <w:lang w:eastAsia="en-US"/>
        </w:rPr>
        <w:t xml:space="preserve">green </w:t>
      </w:r>
      <w:r w:rsidR="00EC4E24" w:rsidRPr="0006336F">
        <w:rPr>
          <w:lang w:eastAsia="en-US"/>
        </w:rPr>
        <w:t xml:space="preserve">investment </w:t>
      </w:r>
      <w:r w:rsidR="0002094D" w:rsidRPr="0006336F">
        <w:rPr>
          <w:lang w:eastAsia="en-US"/>
        </w:rPr>
        <w:t xml:space="preserve">capital </w:t>
      </w:r>
      <w:r w:rsidR="00232C80" w:rsidRPr="0006336F">
        <w:rPr>
          <w:lang w:eastAsia="en-US"/>
        </w:rPr>
        <w:t>to</w:t>
      </w:r>
      <w:r w:rsidR="0002094D" w:rsidRPr="0006336F">
        <w:rPr>
          <w:lang w:eastAsia="en-US"/>
        </w:rPr>
        <w:t xml:space="preserve"> </w:t>
      </w:r>
      <w:r w:rsidR="003602D0" w:rsidRPr="0006336F">
        <w:rPr>
          <w:lang w:eastAsia="en-US"/>
        </w:rPr>
        <w:t>invest in Australia</w:t>
      </w:r>
      <w:r w:rsidR="00B16861">
        <w:rPr>
          <w:lang w:eastAsia="en-US"/>
        </w:rPr>
        <w:t>’</w:t>
      </w:r>
      <w:r w:rsidR="003602D0" w:rsidRPr="0006336F">
        <w:rPr>
          <w:lang w:eastAsia="en-US"/>
        </w:rPr>
        <w:t>s net zero transformation</w:t>
      </w:r>
      <w:r w:rsidR="00232C80" w:rsidRPr="0006336F">
        <w:rPr>
          <w:lang w:eastAsia="en-US"/>
        </w:rPr>
        <w:t>.</w:t>
      </w:r>
    </w:p>
    <w:p w14:paraId="1955C44B" w14:textId="77777777" w:rsidR="00D2735E" w:rsidRPr="0006336F" w:rsidRDefault="00D2735E" w:rsidP="00392140">
      <w:pPr>
        <w:pStyle w:val="Heading4"/>
        <w:rPr>
          <w:lang w:eastAsia="en-US"/>
        </w:rPr>
      </w:pPr>
      <w:r w:rsidRPr="0006336F">
        <w:rPr>
          <w:lang w:eastAsia="en-US"/>
        </w:rPr>
        <w:t>Realising net zero industrial opportunities</w:t>
      </w:r>
    </w:p>
    <w:p w14:paraId="402C5DF5" w14:textId="7F70B39E" w:rsidR="00751563" w:rsidRPr="0006336F" w:rsidRDefault="005B7102" w:rsidP="00392140">
      <w:pPr>
        <w:rPr>
          <w:lang w:eastAsia="en-US"/>
        </w:rPr>
      </w:pPr>
      <w:r w:rsidRPr="0006336F">
        <w:rPr>
          <w:lang w:eastAsia="en-US"/>
        </w:rPr>
        <w:t xml:space="preserve">The net zero transformation </w:t>
      </w:r>
      <w:r w:rsidR="009C5213" w:rsidRPr="0006336F">
        <w:rPr>
          <w:lang w:eastAsia="en-US"/>
        </w:rPr>
        <w:t xml:space="preserve">is </w:t>
      </w:r>
      <w:r w:rsidRPr="0006336F">
        <w:rPr>
          <w:lang w:eastAsia="en-US"/>
        </w:rPr>
        <w:t>creat</w:t>
      </w:r>
      <w:r w:rsidR="009C5213" w:rsidRPr="0006336F">
        <w:rPr>
          <w:lang w:eastAsia="en-US"/>
        </w:rPr>
        <w:t>ing</w:t>
      </w:r>
      <w:r w:rsidRPr="0006336F">
        <w:rPr>
          <w:lang w:eastAsia="en-US"/>
        </w:rPr>
        <w:t xml:space="preserve"> new opportunities to </w:t>
      </w:r>
      <w:r w:rsidR="00D2735E" w:rsidRPr="0006336F">
        <w:rPr>
          <w:lang w:eastAsia="en-US"/>
        </w:rPr>
        <w:t>broade</w:t>
      </w:r>
      <w:r w:rsidRPr="0006336F">
        <w:rPr>
          <w:lang w:eastAsia="en-US"/>
        </w:rPr>
        <w:t>n</w:t>
      </w:r>
      <w:r w:rsidR="00D2735E" w:rsidRPr="0006336F">
        <w:rPr>
          <w:lang w:eastAsia="en-US"/>
        </w:rPr>
        <w:t xml:space="preserve"> and deepe</w:t>
      </w:r>
      <w:r w:rsidRPr="0006336F">
        <w:rPr>
          <w:lang w:eastAsia="en-US"/>
        </w:rPr>
        <w:t>n</w:t>
      </w:r>
      <w:r w:rsidR="00D2735E" w:rsidRPr="0006336F">
        <w:rPr>
          <w:lang w:eastAsia="en-US"/>
        </w:rPr>
        <w:t xml:space="preserve"> </w:t>
      </w:r>
      <w:r w:rsidRPr="0006336F">
        <w:rPr>
          <w:lang w:eastAsia="en-US"/>
        </w:rPr>
        <w:t>Australia</w:t>
      </w:r>
      <w:r w:rsidR="00B16861">
        <w:rPr>
          <w:lang w:eastAsia="en-US"/>
        </w:rPr>
        <w:t>’</w:t>
      </w:r>
      <w:r w:rsidRPr="0006336F">
        <w:rPr>
          <w:lang w:eastAsia="en-US"/>
        </w:rPr>
        <w:t xml:space="preserve">s </w:t>
      </w:r>
      <w:r w:rsidR="00D2735E" w:rsidRPr="0006336F">
        <w:rPr>
          <w:lang w:eastAsia="en-US"/>
        </w:rPr>
        <w:t xml:space="preserve">industrial base. </w:t>
      </w:r>
      <w:r w:rsidR="00F23B24" w:rsidRPr="0006336F">
        <w:rPr>
          <w:lang w:eastAsia="en-US"/>
        </w:rPr>
        <w:t xml:space="preserve">Our </w:t>
      </w:r>
      <w:r w:rsidR="007864EC" w:rsidRPr="0006336F">
        <w:rPr>
          <w:lang w:eastAsia="en-US"/>
        </w:rPr>
        <w:t xml:space="preserve">strategic and disciplined approach to industry policy </w:t>
      </w:r>
      <w:r w:rsidR="003E2719" w:rsidRPr="0006336F">
        <w:rPr>
          <w:lang w:eastAsia="en-US"/>
        </w:rPr>
        <w:t xml:space="preserve">recognises the importance of investing in shared infrastructure, diffusing new innovations and creating a good </w:t>
      </w:r>
      <w:r w:rsidR="00930CDC" w:rsidRPr="0006336F">
        <w:rPr>
          <w:lang w:eastAsia="en-US"/>
        </w:rPr>
        <w:t xml:space="preserve">business </w:t>
      </w:r>
      <w:r w:rsidR="003E2719" w:rsidRPr="0006336F">
        <w:rPr>
          <w:lang w:eastAsia="en-US"/>
        </w:rPr>
        <w:t xml:space="preserve">environment </w:t>
      </w:r>
      <w:r w:rsidR="00930CDC" w:rsidRPr="0006336F">
        <w:rPr>
          <w:lang w:eastAsia="en-US"/>
        </w:rPr>
        <w:t>with</w:t>
      </w:r>
      <w:r w:rsidR="003E2719" w:rsidRPr="0006336F">
        <w:rPr>
          <w:lang w:eastAsia="en-US"/>
        </w:rPr>
        <w:t xml:space="preserve"> the right regulatory settings </w:t>
      </w:r>
      <w:r w:rsidR="00930CDC" w:rsidRPr="0006336F">
        <w:rPr>
          <w:lang w:eastAsia="en-US"/>
        </w:rPr>
        <w:t xml:space="preserve">to </w:t>
      </w:r>
      <w:r w:rsidR="003E2719" w:rsidRPr="0006336F">
        <w:rPr>
          <w:lang w:eastAsia="en-US"/>
        </w:rPr>
        <w:t>enabl</w:t>
      </w:r>
      <w:r w:rsidR="00930CDC" w:rsidRPr="0006336F">
        <w:rPr>
          <w:lang w:eastAsia="en-US"/>
        </w:rPr>
        <w:t>e</w:t>
      </w:r>
      <w:r w:rsidR="003E2719" w:rsidRPr="0006336F">
        <w:rPr>
          <w:lang w:eastAsia="en-US"/>
        </w:rPr>
        <w:t xml:space="preserve"> businesses to seize new opportunities.</w:t>
      </w:r>
      <w:r w:rsidR="00970461" w:rsidRPr="0006336F">
        <w:rPr>
          <w:lang w:eastAsia="en-US"/>
        </w:rPr>
        <w:t xml:space="preserve"> </w:t>
      </w:r>
    </w:p>
    <w:p w14:paraId="3997A715" w14:textId="72524C1F" w:rsidR="00F23B24" w:rsidRPr="0006336F" w:rsidRDefault="00FD3514" w:rsidP="00392140">
      <w:pPr>
        <w:rPr>
          <w:lang w:eastAsia="en-US"/>
        </w:rPr>
      </w:pPr>
      <w:r>
        <w:t>The Government</w:t>
      </w:r>
      <w:r w:rsidR="00970461" w:rsidRPr="0006336F">
        <w:t xml:space="preserve"> has already invested more than $40</w:t>
      </w:r>
      <w:r w:rsidR="000F0ED2">
        <w:t> billion</w:t>
      </w:r>
      <w:r w:rsidR="00970461" w:rsidRPr="0006336F">
        <w:t xml:space="preserve"> in our plan to make Australia a renewable energy superpower, </w:t>
      </w:r>
      <w:r w:rsidR="00C6057C" w:rsidRPr="0006336F">
        <w:t>covering</w:t>
      </w:r>
      <w:r w:rsidR="00970461" w:rsidRPr="0006336F">
        <w:t xml:space="preserve"> </w:t>
      </w:r>
      <w:r w:rsidR="0097655B" w:rsidRPr="0006336F">
        <w:t>over 5</w:t>
      </w:r>
      <w:r w:rsidR="004B6DDE" w:rsidRPr="0006336F">
        <w:t>0</w:t>
      </w:r>
      <w:r w:rsidR="0097655B" w:rsidRPr="0006336F">
        <w:t xml:space="preserve"> policies and measures</w:t>
      </w:r>
      <w:r w:rsidR="00C6057C" w:rsidRPr="0006336F">
        <w:t xml:space="preserve">. </w:t>
      </w:r>
      <w:r w:rsidR="00970461" w:rsidRPr="0006336F">
        <w:rPr>
          <w:lang w:eastAsia="en-US"/>
        </w:rPr>
        <w:t>This includes significant investments in transmission infrastructure, de</w:t>
      </w:r>
      <w:r w:rsidR="00B16861">
        <w:rPr>
          <w:lang w:eastAsia="en-US"/>
        </w:rPr>
        <w:noBreakHyphen/>
      </w:r>
      <w:r w:rsidR="00970461" w:rsidRPr="0006336F">
        <w:rPr>
          <w:lang w:eastAsia="en-US"/>
        </w:rPr>
        <w:t xml:space="preserve">risking investment in firmed renewables and storage through the Capacity Investment Scheme, and supporting diffusion of clean energy technologies through the </w:t>
      </w:r>
      <w:r w:rsidR="00970461" w:rsidRPr="0006336F">
        <w:rPr>
          <w:lang w:eastAsia="en-US"/>
        </w:rPr>
        <w:lastRenderedPageBreak/>
        <w:t xml:space="preserve">Australian Renewable Energy Agency. We are also modernising environmental approvals to </w:t>
      </w:r>
      <w:r w:rsidR="00412399" w:rsidRPr="0006336F">
        <w:rPr>
          <w:lang w:eastAsia="en-US"/>
        </w:rPr>
        <w:t xml:space="preserve">quicken </w:t>
      </w:r>
      <w:r w:rsidR="001D765A" w:rsidRPr="0006336F">
        <w:rPr>
          <w:lang w:eastAsia="en-US"/>
        </w:rPr>
        <w:t xml:space="preserve">the decarbonisation of our economy. </w:t>
      </w:r>
    </w:p>
    <w:p w14:paraId="2FD43B08" w14:textId="6CED355F" w:rsidR="00F23B24" w:rsidRPr="0006336F" w:rsidRDefault="00F23B24" w:rsidP="00392140">
      <w:pPr>
        <w:rPr>
          <w:lang w:eastAsia="en-US"/>
        </w:rPr>
      </w:pPr>
      <w:r w:rsidRPr="0006336F">
        <w:rPr>
          <w:lang w:eastAsia="en-US"/>
        </w:rPr>
        <w:t xml:space="preserve">Australia has grown the geostrategic and economic footprint of our critical minerals sector by becoming a globally significant producer of raw and processed critical minerals. The </w:t>
      </w:r>
      <w:r w:rsidRPr="0006336F">
        <w:rPr>
          <w:bCs/>
          <w:lang w:eastAsia="en-US"/>
        </w:rPr>
        <w:t>Critical Minerals Strategy 2023</w:t>
      </w:r>
      <w:r w:rsidR="00FD3514">
        <w:rPr>
          <w:bCs/>
          <w:lang w:eastAsia="en-US"/>
        </w:rPr>
        <w:t>–</w:t>
      </w:r>
      <w:r w:rsidRPr="0006336F">
        <w:rPr>
          <w:bCs/>
          <w:lang w:eastAsia="en-US"/>
        </w:rPr>
        <w:t>2030</w:t>
      </w:r>
      <w:r w:rsidRPr="0006336F">
        <w:rPr>
          <w:lang w:eastAsia="en-US"/>
        </w:rPr>
        <w:t xml:space="preserve"> will </w:t>
      </w:r>
      <w:r w:rsidR="00FB7F80" w:rsidRPr="0006336F">
        <w:rPr>
          <w:lang w:eastAsia="en-US"/>
        </w:rPr>
        <w:t xml:space="preserve">guide </w:t>
      </w:r>
      <w:r w:rsidRPr="0006336F">
        <w:rPr>
          <w:lang w:eastAsia="en-US"/>
        </w:rPr>
        <w:t>develop</w:t>
      </w:r>
      <w:r w:rsidR="00FB7F80" w:rsidRPr="0006336F">
        <w:rPr>
          <w:lang w:eastAsia="en-US"/>
        </w:rPr>
        <w:t>ment of</w:t>
      </w:r>
      <w:r w:rsidRPr="0006336F">
        <w:rPr>
          <w:lang w:eastAsia="en-US"/>
        </w:rPr>
        <w:t xml:space="preserve"> our critical minerals </w:t>
      </w:r>
      <w:r w:rsidR="00B90AD0" w:rsidRPr="0006336F">
        <w:rPr>
          <w:lang w:eastAsia="en-US"/>
        </w:rPr>
        <w:t>sector</w:t>
      </w:r>
      <w:r w:rsidRPr="0006336F">
        <w:rPr>
          <w:lang w:eastAsia="en-US"/>
        </w:rPr>
        <w:t xml:space="preserve"> to help become a renewable energy superpower. The Strategy looks to unlock our vast potential as a major supplier of the critical minerals needed to decarbonise the global economy. Australia</w:t>
      </w:r>
      <w:r w:rsidR="00B16861">
        <w:rPr>
          <w:lang w:eastAsia="en-US"/>
        </w:rPr>
        <w:t>’</w:t>
      </w:r>
      <w:r w:rsidRPr="0006336F">
        <w:rPr>
          <w:lang w:eastAsia="en-US"/>
        </w:rPr>
        <w:t xml:space="preserve">s critical minerals sector will help the world decarbonise, including enabling Australia to </w:t>
      </w:r>
      <w:r w:rsidR="002817EB" w:rsidRPr="0006336F">
        <w:rPr>
          <w:lang w:eastAsia="en-US"/>
        </w:rPr>
        <w:t>reach</w:t>
      </w:r>
      <w:r w:rsidRPr="0006336F">
        <w:rPr>
          <w:lang w:eastAsia="en-US"/>
        </w:rPr>
        <w:t xml:space="preserve"> our net zero ambitions</w:t>
      </w:r>
      <w:r w:rsidR="00276B88" w:rsidRPr="0006336F">
        <w:rPr>
          <w:lang w:eastAsia="en-US"/>
        </w:rPr>
        <w:t>.</w:t>
      </w:r>
    </w:p>
    <w:p w14:paraId="4A0BC5BC" w14:textId="4E102E7D" w:rsidR="00C67BF1" w:rsidRPr="0006336F" w:rsidRDefault="00E41D63" w:rsidP="00392140">
      <w:pPr>
        <w:rPr>
          <w:lang w:eastAsia="en-US"/>
        </w:rPr>
      </w:pPr>
      <w:r w:rsidRPr="0006336F">
        <w:rPr>
          <w:lang w:eastAsia="en-US"/>
        </w:rPr>
        <w:t xml:space="preserve">Going forward, the Government is focused on realising the synergies emerging between industrial, environmental and geostrategic objectives. Where abundant </w:t>
      </w:r>
      <w:r w:rsidR="00D2735E" w:rsidRPr="0006336F">
        <w:rPr>
          <w:lang w:eastAsia="en-US"/>
        </w:rPr>
        <w:t xml:space="preserve">renewable energy can underpin sustained comparative advantage in </w:t>
      </w:r>
      <w:r w:rsidRPr="0006336F">
        <w:rPr>
          <w:lang w:eastAsia="en-US"/>
        </w:rPr>
        <w:t xml:space="preserve">the </w:t>
      </w:r>
      <w:r w:rsidR="00D2735E" w:rsidRPr="0006336F">
        <w:rPr>
          <w:lang w:eastAsia="en-US"/>
        </w:rPr>
        <w:t xml:space="preserve">longer term for some new and emerging industries, </w:t>
      </w:r>
      <w:r w:rsidR="00844498" w:rsidRPr="0006336F">
        <w:rPr>
          <w:lang w:eastAsia="en-US"/>
        </w:rPr>
        <w:t>targeted investment</w:t>
      </w:r>
      <w:r w:rsidR="00045C67" w:rsidRPr="0006336F">
        <w:rPr>
          <w:lang w:eastAsia="en-US"/>
        </w:rPr>
        <w:t>s</w:t>
      </w:r>
      <w:r w:rsidR="00844498" w:rsidRPr="0006336F">
        <w:rPr>
          <w:lang w:eastAsia="en-US"/>
        </w:rPr>
        <w:t xml:space="preserve"> </w:t>
      </w:r>
      <w:r w:rsidR="0018532C" w:rsidRPr="0006336F">
        <w:rPr>
          <w:lang w:eastAsia="en-US"/>
        </w:rPr>
        <w:t>in develop</w:t>
      </w:r>
      <w:r w:rsidR="00A60B4E" w:rsidRPr="0006336F">
        <w:rPr>
          <w:lang w:eastAsia="en-US"/>
        </w:rPr>
        <w:t>ing these industries may be warranted</w:t>
      </w:r>
      <w:r w:rsidR="00D2735E" w:rsidRPr="0006336F">
        <w:rPr>
          <w:lang w:eastAsia="en-US"/>
        </w:rPr>
        <w:t xml:space="preserve">. For example, green hydrogen is </w:t>
      </w:r>
      <w:r w:rsidR="007E3A65" w:rsidRPr="0006336F">
        <w:rPr>
          <w:lang w:eastAsia="en-US"/>
        </w:rPr>
        <w:t xml:space="preserve">a critical input to decarbonising key industrial processes and </w:t>
      </w:r>
      <w:r w:rsidR="00AB3C25" w:rsidRPr="0006336F">
        <w:rPr>
          <w:lang w:eastAsia="en-US"/>
        </w:rPr>
        <w:t xml:space="preserve">Australia and its trading partners are expected to </w:t>
      </w:r>
      <w:r w:rsidR="00EA0313" w:rsidRPr="0006336F">
        <w:rPr>
          <w:lang w:eastAsia="en-US"/>
        </w:rPr>
        <w:t xml:space="preserve">have significant demand </w:t>
      </w:r>
      <w:r w:rsidR="00CD72FD" w:rsidRPr="0006336F">
        <w:rPr>
          <w:lang w:eastAsia="en-US"/>
        </w:rPr>
        <w:t>for this new product</w:t>
      </w:r>
      <w:r w:rsidR="00D2735E" w:rsidRPr="0006336F">
        <w:rPr>
          <w:lang w:eastAsia="en-US"/>
        </w:rPr>
        <w:t xml:space="preserve">. </w:t>
      </w:r>
      <w:r w:rsidR="00890A7A" w:rsidRPr="0006336F">
        <w:rPr>
          <w:lang w:eastAsia="en-US"/>
        </w:rPr>
        <w:t xml:space="preserve">Through the </w:t>
      </w:r>
      <w:r w:rsidR="00D2735E" w:rsidRPr="0006336F">
        <w:rPr>
          <w:lang w:eastAsia="en-US"/>
        </w:rPr>
        <w:t>Hydrogen Headstart</w:t>
      </w:r>
      <w:r w:rsidR="00CD72FD" w:rsidRPr="0006336F">
        <w:rPr>
          <w:lang w:eastAsia="en-US"/>
        </w:rPr>
        <w:t xml:space="preserve"> </w:t>
      </w:r>
      <w:r w:rsidR="001A2DE8" w:rsidRPr="0006336F">
        <w:rPr>
          <w:lang w:eastAsia="en-US"/>
        </w:rPr>
        <w:t>program</w:t>
      </w:r>
      <w:r w:rsidR="00CD72FD" w:rsidRPr="0006336F">
        <w:rPr>
          <w:lang w:eastAsia="en-US"/>
        </w:rPr>
        <w:t xml:space="preserve"> and </w:t>
      </w:r>
      <w:r w:rsidR="00F07C30" w:rsidRPr="0006336F">
        <w:rPr>
          <w:lang w:eastAsia="en-US"/>
        </w:rPr>
        <w:t>the Guarantee of Origin scheme</w:t>
      </w:r>
      <w:r w:rsidR="00FD3514">
        <w:rPr>
          <w:lang w:eastAsia="en-US"/>
        </w:rPr>
        <w:t xml:space="preserve"> – </w:t>
      </w:r>
      <w:r w:rsidR="004D017F" w:rsidRPr="0006336F">
        <w:rPr>
          <w:lang w:eastAsia="en-US"/>
        </w:rPr>
        <w:t>which</w:t>
      </w:r>
      <w:r w:rsidR="00A05F20" w:rsidRPr="0006336F">
        <w:rPr>
          <w:lang w:eastAsia="en-US"/>
        </w:rPr>
        <w:t xml:space="preserve"> </w:t>
      </w:r>
      <w:r w:rsidR="004D017F" w:rsidRPr="0006336F">
        <w:rPr>
          <w:lang w:eastAsia="en-US"/>
        </w:rPr>
        <w:t xml:space="preserve">will </w:t>
      </w:r>
      <w:r w:rsidR="00A05F20" w:rsidRPr="0006336F">
        <w:rPr>
          <w:lang w:eastAsia="en-US"/>
        </w:rPr>
        <w:t>certify</w:t>
      </w:r>
      <w:r w:rsidR="004D017F" w:rsidRPr="0006336F">
        <w:rPr>
          <w:lang w:eastAsia="en-US"/>
        </w:rPr>
        <w:t xml:space="preserve"> the emissions embodied in energy</w:t>
      </w:r>
      <w:r w:rsidR="00B16861">
        <w:rPr>
          <w:lang w:eastAsia="en-US"/>
        </w:rPr>
        <w:noBreakHyphen/>
      </w:r>
      <w:r w:rsidR="004D017F" w:rsidRPr="0006336F">
        <w:rPr>
          <w:lang w:eastAsia="en-US"/>
        </w:rPr>
        <w:t>intensive exports</w:t>
      </w:r>
      <w:r w:rsidR="00890A7A" w:rsidRPr="0006336F">
        <w:rPr>
          <w:lang w:eastAsia="en-US"/>
        </w:rPr>
        <w:t xml:space="preserve">, the Government is </w:t>
      </w:r>
      <w:r w:rsidR="00614264" w:rsidRPr="0006336F">
        <w:rPr>
          <w:lang w:eastAsia="en-US"/>
        </w:rPr>
        <w:t xml:space="preserve">accelerating the development of </w:t>
      </w:r>
      <w:r w:rsidR="00D2735E" w:rsidRPr="0006336F">
        <w:rPr>
          <w:lang w:eastAsia="en-US"/>
        </w:rPr>
        <w:t>Australia</w:t>
      </w:r>
      <w:r w:rsidR="00B16861">
        <w:rPr>
          <w:lang w:eastAsia="en-US"/>
        </w:rPr>
        <w:t>’</w:t>
      </w:r>
      <w:r w:rsidR="00D2735E" w:rsidRPr="0006336F">
        <w:rPr>
          <w:lang w:eastAsia="en-US"/>
        </w:rPr>
        <w:t>s hydrogen industry</w:t>
      </w:r>
      <w:r w:rsidR="007E3A65" w:rsidRPr="0006336F">
        <w:rPr>
          <w:lang w:eastAsia="en-US"/>
        </w:rPr>
        <w:t xml:space="preserve"> </w:t>
      </w:r>
      <w:r w:rsidR="00614264" w:rsidRPr="0006336F">
        <w:rPr>
          <w:lang w:eastAsia="en-US"/>
        </w:rPr>
        <w:t xml:space="preserve">and positioning it to play a </w:t>
      </w:r>
      <w:r w:rsidR="00250AD8" w:rsidRPr="0006336F">
        <w:rPr>
          <w:lang w:eastAsia="en-US"/>
        </w:rPr>
        <w:t>key role in global supply chains</w:t>
      </w:r>
      <w:r w:rsidR="00D2735E" w:rsidRPr="0006336F">
        <w:rPr>
          <w:lang w:eastAsia="en-US"/>
        </w:rPr>
        <w:t xml:space="preserve">. </w:t>
      </w:r>
      <w:r w:rsidR="00FD3514">
        <w:rPr>
          <w:lang w:eastAsia="en-US"/>
        </w:rPr>
        <w:t>The Government</w:t>
      </w:r>
      <w:r w:rsidR="00CE04DF" w:rsidRPr="0006336F">
        <w:rPr>
          <w:lang w:eastAsia="en-US"/>
        </w:rPr>
        <w:t xml:space="preserve"> is also looking ahead through the </w:t>
      </w:r>
      <w:r w:rsidR="00CE04DF" w:rsidRPr="0006336F">
        <w:t>Future Gas Strategy</w:t>
      </w:r>
      <w:r w:rsidR="00CE04DF" w:rsidRPr="0006336F">
        <w:rPr>
          <w:lang w:eastAsia="en-US"/>
        </w:rPr>
        <w:t xml:space="preserve"> to ensure the gas industry is positioned to </w:t>
      </w:r>
      <w:r w:rsidR="00CE04DF" w:rsidRPr="0006336F">
        <w:t>support Australia</w:t>
      </w:r>
      <w:r w:rsidR="00B16861">
        <w:t>’</w:t>
      </w:r>
      <w:r w:rsidR="00CE04DF" w:rsidRPr="0006336F">
        <w:t>s energy system to reach 82</w:t>
      </w:r>
      <w:r w:rsidR="00B16861">
        <w:t> per c</w:t>
      </w:r>
      <w:r w:rsidR="00CE04DF" w:rsidRPr="0006336F">
        <w:t>ent renewables by 2030, while maintaining our international reputation as a trusted energy supplier to our longstanding trading partners.</w:t>
      </w:r>
    </w:p>
    <w:p w14:paraId="7424AB23" w14:textId="09D21C7E" w:rsidR="00154EE4" w:rsidRPr="0006336F" w:rsidRDefault="00D24B26" w:rsidP="0092743A">
      <w:pPr>
        <w:rPr>
          <w:lang w:eastAsia="en-US"/>
        </w:rPr>
      </w:pPr>
      <w:r w:rsidRPr="0006336F">
        <w:rPr>
          <w:lang w:eastAsia="en-US"/>
        </w:rPr>
        <w:t>I</w:t>
      </w:r>
      <w:r w:rsidR="00C03E7A" w:rsidRPr="0006336F">
        <w:rPr>
          <w:lang w:eastAsia="en-US"/>
        </w:rPr>
        <w:t>mprov</w:t>
      </w:r>
      <w:r w:rsidRPr="0006336F">
        <w:rPr>
          <w:lang w:eastAsia="en-US"/>
        </w:rPr>
        <w:t>ing</w:t>
      </w:r>
      <w:r w:rsidR="00C03E7A" w:rsidRPr="0006336F">
        <w:rPr>
          <w:lang w:eastAsia="en-US"/>
        </w:rPr>
        <w:t xml:space="preserve"> the resilience of supply chains is at the centre of this approach</w:t>
      </w:r>
      <w:r w:rsidR="005A790C" w:rsidRPr="0006336F">
        <w:rPr>
          <w:lang w:eastAsia="en-US"/>
        </w:rPr>
        <w:t xml:space="preserve"> to de</w:t>
      </w:r>
      <w:r w:rsidR="00B16861">
        <w:rPr>
          <w:lang w:eastAsia="en-US"/>
        </w:rPr>
        <w:noBreakHyphen/>
      </w:r>
      <w:r w:rsidR="005A790C" w:rsidRPr="0006336F">
        <w:rPr>
          <w:lang w:eastAsia="en-US"/>
        </w:rPr>
        <w:t>risking without de</w:t>
      </w:r>
      <w:r w:rsidR="00B16861">
        <w:rPr>
          <w:lang w:eastAsia="en-US"/>
        </w:rPr>
        <w:noBreakHyphen/>
      </w:r>
      <w:r w:rsidR="005A790C" w:rsidRPr="0006336F">
        <w:rPr>
          <w:lang w:eastAsia="en-US"/>
        </w:rPr>
        <w:t>coupling</w:t>
      </w:r>
      <w:r w:rsidR="00C03E7A" w:rsidRPr="0006336F">
        <w:rPr>
          <w:lang w:eastAsia="en-US"/>
        </w:rPr>
        <w:t>.</w:t>
      </w:r>
      <w:r w:rsidR="005A59EF" w:rsidRPr="0006336F">
        <w:rPr>
          <w:lang w:eastAsia="en-US"/>
        </w:rPr>
        <w:t xml:space="preserve"> </w:t>
      </w:r>
      <w:r w:rsidR="007A17E2" w:rsidRPr="0006336F">
        <w:rPr>
          <w:lang w:eastAsia="en-US"/>
        </w:rPr>
        <w:t xml:space="preserve">There is scope to add </w:t>
      </w:r>
      <w:r w:rsidR="004C5613" w:rsidRPr="0006336F">
        <w:rPr>
          <w:lang w:eastAsia="en-US"/>
        </w:rPr>
        <w:t xml:space="preserve">more </w:t>
      </w:r>
      <w:r w:rsidR="007A17E2" w:rsidRPr="0006336F">
        <w:rPr>
          <w:lang w:eastAsia="en-US"/>
        </w:rPr>
        <w:t xml:space="preserve">value to Australian resources and </w:t>
      </w:r>
      <w:r w:rsidR="00835C2C" w:rsidRPr="0006336F">
        <w:rPr>
          <w:lang w:eastAsia="en-US"/>
        </w:rPr>
        <w:t>improve linkages between existing industries</w:t>
      </w:r>
      <w:r w:rsidR="0055103D" w:rsidRPr="0006336F">
        <w:rPr>
          <w:lang w:eastAsia="en-US"/>
        </w:rPr>
        <w:t xml:space="preserve">, </w:t>
      </w:r>
      <w:r w:rsidR="00833033" w:rsidRPr="0006336F">
        <w:rPr>
          <w:lang w:eastAsia="en-US"/>
        </w:rPr>
        <w:t xml:space="preserve">such as the </w:t>
      </w:r>
      <w:r w:rsidR="00C558B5" w:rsidRPr="0006336F">
        <w:rPr>
          <w:lang w:eastAsia="en-US"/>
        </w:rPr>
        <w:t xml:space="preserve">collaboration </w:t>
      </w:r>
      <w:r w:rsidR="00833033" w:rsidRPr="0006336F">
        <w:rPr>
          <w:lang w:eastAsia="en-US"/>
        </w:rPr>
        <w:t xml:space="preserve">between </w:t>
      </w:r>
      <w:r w:rsidR="00154EE4" w:rsidRPr="0006336F">
        <w:rPr>
          <w:lang w:eastAsia="en-US"/>
        </w:rPr>
        <w:t xml:space="preserve">Australian battery manufacturers </w:t>
      </w:r>
      <w:r w:rsidR="00833033" w:rsidRPr="0006336F">
        <w:rPr>
          <w:lang w:eastAsia="en-US"/>
        </w:rPr>
        <w:t xml:space="preserve">and </w:t>
      </w:r>
      <w:r w:rsidR="00154EE4" w:rsidRPr="0006336F">
        <w:rPr>
          <w:lang w:eastAsia="en-US"/>
        </w:rPr>
        <w:t>critical minerals producers</w:t>
      </w:r>
      <w:r w:rsidR="00833033" w:rsidRPr="0006336F">
        <w:rPr>
          <w:lang w:eastAsia="en-US"/>
        </w:rPr>
        <w:t xml:space="preserve"> </w:t>
      </w:r>
      <w:r w:rsidR="00587DD8" w:rsidRPr="0006336F">
        <w:rPr>
          <w:lang w:eastAsia="en-US"/>
        </w:rPr>
        <w:t>which will</w:t>
      </w:r>
      <w:r w:rsidR="00833033" w:rsidRPr="0006336F">
        <w:rPr>
          <w:lang w:eastAsia="en-US"/>
        </w:rPr>
        <w:t xml:space="preserve"> </w:t>
      </w:r>
      <w:r w:rsidR="00587DD8" w:rsidRPr="0006336F">
        <w:rPr>
          <w:lang w:eastAsia="en-US"/>
        </w:rPr>
        <w:t>be</w:t>
      </w:r>
      <w:r w:rsidR="00833033" w:rsidRPr="0006336F">
        <w:rPr>
          <w:lang w:eastAsia="en-US"/>
        </w:rPr>
        <w:t xml:space="preserve"> </w:t>
      </w:r>
      <w:r w:rsidR="00C558B5" w:rsidRPr="0006336F">
        <w:rPr>
          <w:lang w:eastAsia="en-US"/>
        </w:rPr>
        <w:t xml:space="preserve">supported </w:t>
      </w:r>
      <w:r w:rsidR="00833033" w:rsidRPr="0006336F">
        <w:rPr>
          <w:lang w:eastAsia="en-US"/>
        </w:rPr>
        <w:t>by the Powering Australia Industry Growth Centre</w:t>
      </w:r>
      <w:r w:rsidR="00154EE4" w:rsidRPr="0006336F">
        <w:rPr>
          <w:lang w:eastAsia="en-US"/>
        </w:rPr>
        <w:t xml:space="preserve">. </w:t>
      </w:r>
      <w:r w:rsidR="001A579F" w:rsidRPr="0006336F">
        <w:rPr>
          <w:lang w:eastAsia="en-US"/>
        </w:rPr>
        <w:t xml:space="preserve">Through new </w:t>
      </w:r>
      <w:r w:rsidR="00FD3335" w:rsidRPr="0006336F">
        <w:rPr>
          <w:lang w:eastAsia="en-US"/>
        </w:rPr>
        <w:t xml:space="preserve">preferential </w:t>
      </w:r>
      <w:r w:rsidR="0097550D" w:rsidRPr="0006336F">
        <w:rPr>
          <w:lang w:eastAsia="en-US"/>
        </w:rPr>
        <w:t xml:space="preserve">deals </w:t>
      </w:r>
      <w:r w:rsidR="009D782D" w:rsidRPr="0006336F">
        <w:rPr>
          <w:lang w:eastAsia="en-US"/>
        </w:rPr>
        <w:t>like the Climate, Critical Minerals and Clean Energy Transformation Compact with the United States</w:t>
      </w:r>
      <w:r w:rsidR="00E43205" w:rsidRPr="0006336F">
        <w:rPr>
          <w:lang w:eastAsia="en-US"/>
        </w:rPr>
        <w:t xml:space="preserve"> and </w:t>
      </w:r>
      <w:r w:rsidR="00806D25" w:rsidRPr="0006336F">
        <w:rPr>
          <w:lang w:eastAsia="en-US"/>
        </w:rPr>
        <w:t xml:space="preserve">initiatives </w:t>
      </w:r>
      <w:r w:rsidR="00E43205" w:rsidRPr="0006336F">
        <w:rPr>
          <w:lang w:eastAsia="en-US"/>
        </w:rPr>
        <w:t xml:space="preserve">like </w:t>
      </w:r>
      <w:r w:rsidR="0074179F">
        <w:rPr>
          <w:lang w:eastAsia="en-US"/>
        </w:rPr>
        <w:t xml:space="preserve">the </w:t>
      </w:r>
      <w:r w:rsidR="00E43205" w:rsidRPr="0006336F">
        <w:rPr>
          <w:lang w:eastAsia="en-US"/>
        </w:rPr>
        <w:t>Critical Minerals International Partnerships program</w:t>
      </w:r>
      <w:r w:rsidR="0097550D" w:rsidRPr="0006336F">
        <w:rPr>
          <w:lang w:eastAsia="en-US"/>
        </w:rPr>
        <w:t>,</w:t>
      </w:r>
      <w:r w:rsidR="009D782D" w:rsidRPr="0006336F">
        <w:rPr>
          <w:lang w:eastAsia="en-US"/>
        </w:rPr>
        <w:t xml:space="preserve"> </w:t>
      </w:r>
      <w:r w:rsidR="0097550D" w:rsidRPr="0006336F">
        <w:rPr>
          <w:lang w:eastAsia="en-US"/>
        </w:rPr>
        <w:t xml:space="preserve">the Government </w:t>
      </w:r>
      <w:r w:rsidR="00D555D9" w:rsidRPr="0006336F">
        <w:rPr>
          <w:lang w:eastAsia="en-US"/>
        </w:rPr>
        <w:t xml:space="preserve">is ensuring </w:t>
      </w:r>
      <w:r w:rsidR="0097550D" w:rsidRPr="0006336F">
        <w:rPr>
          <w:lang w:eastAsia="en-US"/>
        </w:rPr>
        <w:t xml:space="preserve">Australians </w:t>
      </w:r>
      <w:r w:rsidR="00D555D9" w:rsidRPr="0006336F">
        <w:rPr>
          <w:lang w:eastAsia="en-US"/>
        </w:rPr>
        <w:t xml:space="preserve">are the </w:t>
      </w:r>
      <w:r w:rsidR="0097550D" w:rsidRPr="0006336F">
        <w:rPr>
          <w:lang w:eastAsia="en-US"/>
        </w:rPr>
        <w:t>beneficiaries of the significant investments being made in the net zero transformation internationally</w:t>
      </w:r>
      <w:r w:rsidR="00E43205" w:rsidRPr="0006336F">
        <w:rPr>
          <w:lang w:eastAsia="en-US"/>
        </w:rPr>
        <w:t xml:space="preserve">. </w:t>
      </w:r>
    </w:p>
    <w:p w14:paraId="5F986CF8" w14:textId="7546047D" w:rsidR="00D2735E" w:rsidRPr="0006336F" w:rsidRDefault="00D2735E" w:rsidP="00392140">
      <w:pPr>
        <w:pStyle w:val="Heading4"/>
        <w:rPr>
          <w:lang w:eastAsia="en-US"/>
        </w:rPr>
      </w:pPr>
      <w:r w:rsidRPr="0006336F">
        <w:rPr>
          <w:lang w:eastAsia="en-US"/>
        </w:rPr>
        <w:t>Strategic coordination</w:t>
      </w:r>
    </w:p>
    <w:p w14:paraId="759950B7" w14:textId="653B5649" w:rsidR="00D2735E" w:rsidRPr="0006336F" w:rsidRDefault="00493D96" w:rsidP="00392140">
      <w:pPr>
        <w:rPr>
          <w:lang w:eastAsia="en-US"/>
        </w:rPr>
      </w:pPr>
      <w:r w:rsidRPr="0006336F">
        <w:rPr>
          <w:lang w:eastAsia="en-US"/>
        </w:rPr>
        <w:t>C</w:t>
      </w:r>
      <w:r w:rsidR="00F25097" w:rsidRPr="0006336F">
        <w:rPr>
          <w:lang w:eastAsia="en-US"/>
        </w:rPr>
        <w:t xml:space="preserve">oordinated </w:t>
      </w:r>
      <w:r w:rsidRPr="0006336F">
        <w:rPr>
          <w:lang w:eastAsia="en-US"/>
        </w:rPr>
        <w:t xml:space="preserve">action </w:t>
      </w:r>
      <w:r w:rsidR="00F25097" w:rsidRPr="0006336F">
        <w:rPr>
          <w:lang w:eastAsia="en-US"/>
        </w:rPr>
        <w:t xml:space="preserve">across </w:t>
      </w:r>
      <w:r w:rsidR="00142AA1" w:rsidRPr="0006336F">
        <w:rPr>
          <w:lang w:eastAsia="en-US"/>
        </w:rPr>
        <w:t>regions</w:t>
      </w:r>
      <w:r w:rsidR="00F25097" w:rsidRPr="0006336F">
        <w:rPr>
          <w:lang w:eastAsia="en-US"/>
        </w:rPr>
        <w:t xml:space="preserve">, </w:t>
      </w:r>
      <w:r w:rsidR="00142AA1" w:rsidRPr="0006336F">
        <w:rPr>
          <w:lang w:eastAsia="en-US"/>
        </w:rPr>
        <w:t>industr</w:t>
      </w:r>
      <w:r w:rsidRPr="0006336F">
        <w:rPr>
          <w:lang w:eastAsia="en-US"/>
        </w:rPr>
        <w:t>ies</w:t>
      </w:r>
      <w:r w:rsidR="00142AA1" w:rsidRPr="0006336F">
        <w:rPr>
          <w:lang w:eastAsia="en-US"/>
        </w:rPr>
        <w:t xml:space="preserve">, investors, </w:t>
      </w:r>
      <w:r w:rsidR="0098093F" w:rsidRPr="0006336F">
        <w:rPr>
          <w:lang w:eastAsia="en-US"/>
        </w:rPr>
        <w:t>workers</w:t>
      </w:r>
      <w:r w:rsidR="00F2500E" w:rsidRPr="0006336F">
        <w:rPr>
          <w:lang w:eastAsia="en-US"/>
        </w:rPr>
        <w:t xml:space="preserve">, </w:t>
      </w:r>
      <w:r w:rsidR="00142AA1" w:rsidRPr="0006336F">
        <w:rPr>
          <w:lang w:eastAsia="en-US"/>
        </w:rPr>
        <w:t>communities</w:t>
      </w:r>
      <w:r w:rsidRPr="0006336F">
        <w:rPr>
          <w:lang w:eastAsia="en-US"/>
        </w:rPr>
        <w:t xml:space="preserve"> </w:t>
      </w:r>
      <w:r w:rsidR="00F2500E" w:rsidRPr="0006336F">
        <w:rPr>
          <w:lang w:eastAsia="en-US"/>
        </w:rPr>
        <w:t>and governments</w:t>
      </w:r>
      <w:r w:rsidRPr="0006336F">
        <w:rPr>
          <w:lang w:eastAsia="en-US"/>
        </w:rPr>
        <w:t xml:space="preserve"> is necessary to </w:t>
      </w:r>
      <w:r w:rsidR="005D09FA" w:rsidRPr="0006336F">
        <w:rPr>
          <w:lang w:eastAsia="en-US"/>
        </w:rPr>
        <w:t xml:space="preserve">fully </w:t>
      </w:r>
      <w:r w:rsidR="004C602F" w:rsidRPr="0006336F">
        <w:rPr>
          <w:lang w:eastAsia="en-US"/>
        </w:rPr>
        <w:t>realise net zero opportunities</w:t>
      </w:r>
      <w:r w:rsidR="00553101" w:rsidRPr="0006336F">
        <w:rPr>
          <w:lang w:eastAsia="en-US"/>
        </w:rPr>
        <w:t>.</w:t>
      </w:r>
      <w:r w:rsidR="004C602F" w:rsidRPr="0006336F">
        <w:rPr>
          <w:lang w:eastAsia="en-US"/>
        </w:rPr>
        <w:t xml:space="preserve"> Some </w:t>
      </w:r>
      <w:r w:rsidR="001F666D" w:rsidRPr="0006336F">
        <w:rPr>
          <w:lang w:eastAsia="en-US"/>
        </w:rPr>
        <w:t xml:space="preserve">groups </w:t>
      </w:r>
      <w:r w:rsidR="00ED08D4" w:rsidRPr="0006336F">
        <w:rPr>
          <w:lang w:eastAsia="en-US"/>
        </w:rPr>
        <w:t xml:space="preserve">may need additional support to </w:t>
      </w:r>
      <w:r w:rsidR="00F856E7" w:rsidRPr="0006336F">
        <w:rPr>
          <w:lang w:eastAsia="en-US"/>
        </w:rPr>
        <w:t xml:space="preserve">take advantage of </w:t>
      </w:r>
      <w:r w:rsidR="005D09FA" w:rsidRPr="0006336F">
        <w:rPr>
          <w:lang w:eastAsia="en-US"/>
        </w:rPr>
        <w:t xml:space="preserve">the </w:t>
      </w:r>
      <w:r w:rsidR="00F856E7" w:rsidRPr="0006336F">
        <w:rPr>
          <w:lang w:eastAsia="en-US"/>
        </w:rPr>
        <w:t xml:space="preserve">net zero </w:t>
      </w:r>
      <w:r w:rsidR="004055A5" w:rsidRPr="0006336F">
        <w:rPr>
          <w:lang w:eastAsia="en-US"/>
        </w:rPr>
        <w:t>transformation</w:t>
      </w:r>
      <w:r w:rsidR="00BB1F3C" w:rsidRPr="0006336F">
        <w:rPr>
          <w:lang w:eastAsia="en-US"/>
        </w:rPr>
        <w:t>.</w:t>
      </w:r>
      <w:r w:rsidR="00F856E7" w:rsidRPr="0006336F">
        <w:rPr>
          <w:lang w:eastAsia="en-US"/>
        </w:rPr>
        <w:t xml:space="preserve"> </w:t>
      </w:r>
      <w:r w:rsidR="00D2735E" w:rsidRPr="0006336F">
        <w:rPr>
          <w:lang w:eastAsia="en-US"/>
        </w:rPr>
        <w:t xml:space="preserve">This is why the Government is establishing the independent </w:t>
      </w:r>
      <w:r w:rsidR="000F0ED2">
        <w:rPr>
          <w:lang w:eastAsia="en-US"/>
        </w:rPr>
        <w:t>Net Zero</w:t>
      </w:r>
      <w:r w:rsidR="00D2735E" w:rsidRPr="0006336F">
        <w:rPr>
          <w:lang w:eastAsia="en-US"/>
        </w:rPr>
        <w:t xml:space="preserve"> Authority to: </w:t>
      </w:r>
    </w:p>
    <w:p w14:paraId="15BA6888" w14:textId="3CC53E5D" w:rsidR="00D2735E" w:rsidRPr="0006336F" w:rsidRDefault="00D2735E" w:rsidP="00D2735E">
      <w:pPr>
        <w:pStyle w:val="Bullet"/>
      </w:pPr>
      <w:r w:rsidRPr="0006336F">
        <w:t>help investors and companies engage with net zero transformation opportunities</w:t>
      </w:r>
    </w:p>
    <w:p w14:paraId="2B48DA30" w14:textId="75F65CB2" w:rsidR="00D2735E" w:rsidRPr="0006336F" w:rsidRDefault="00D2735E" w:rsidP="00D2735E">
      <w:pPr>
        <w:pStyle w:val="Bullet"/>
      </w:pPr>
      <w:r w:rsidRPr="0006336F">
        <w:t>coordinate programs and policies across government to support regions and communities to attract and take advantage of new clean energy industries and set those industries up for success</w:t>
      </w:r>
    </w:p>
    <w:p w14:paraId="24E7206E" w14:textId="27778B53" w:rsidR="00D2735E" w:rsidRPr="0006336F" w:rsidRDefault="00D2735E" w:rsidP="00D2735E">
      <w:pPr>
        <w:pStyle w:val="Bullet"/>
      </w:pPr>
      <w:r w:rsidRPr="0006336F">
        <w:t>support workers in emissions</w:t>
      </w:r>
      <w:r w:rsidR="00B16861">
        <w:noBreakHyphen/>
      </w:r>
      <w:r w:rsidRPr="0006336F">
        <w:t>intensive sectors to access new employment, skills and support.</w:t>
      </w:r>
    </w:p>
    <w:p w14:paraId="51D3F041" w14:textId="6C13221A" w:rsidR="00D2735E" w:rsidRPr="0006336F" w:rsidRDefault="00D2735E" w:rsidP="00392140">
      <w:pPr>
        <w:rPr>
          <w:lang w:eastAsia="en-US"/>
        </w:rPr>
      </w:pPr>
      <w:r w:rsidRPr="0006336F">
        <w:rPr>
          <w:lang w:eastAsia="en-US"/>
        </w:rPr>
        <w:t>This will include a focus on regions and industries that have traditionally powered Australia</w:t>
      </w:r>
      <w:r w:rsidR="00B16861">
        <w:rPr>
          <w:lang w:eastAsia="en-US"/>
        </w:rPr>
        <w:t>’</w:t>
      </w:r>
      <w:r w:rsidRPr="0006336F">
        <w:rPr>
          <w:lang w:eastAsia="en-US"/>
        </w:rPr>
        <w:t>s economy</w:t>
      </w:r>
      <w:r w:rsidR="005C6EC5">
        <w:rPr>
          <w:lang w:eastAsia="en-US"/>
        </w:rPr>
        <w:t>,</w:t>
      </w:r>
      <w:r w:rsidRPr="0006336F">
        <w:rPr>
          <w:lang w:eastAsia="en-US"/>
        </w:rPr>
        <w:t xml:space="preserve"> and working to ensure that as traditional industries adapt and transform, new industries are coming online, and workers, communities and regions are supported through change. </w:t>
      </w:r>
    </w:p>
    <w:p w14:paraId="0CA2BB9E" w14:textId="074F1832" w:rsidR="00D2735E" w:rsidRPr="0006336F" w:rsidRDefault="00D2735E" w:rsidP="00F4496B">
      <w:pPr>
        <w:pStyle w:val="Heading3"/>
        <w:rPr>
          <w:lang w:eastAsia="en-US"/>
        </w:rPr>
      </w:pPr>
      <w:r w:rsidRPr="0006336F">
        <w:rPr>
          <w:lang w:eastAsia="en-US"/>
        </w:rPr>
        <w:lastRenderedPageBreak/>
        <w:t xml:space="preserve">Promoting tech adoption </w:t>
      </w:r>
    </w:p>
    <w:p w14:paraId="5A044B74" w14:textId="04757833" w:rsidR="00D2735E" w:rsidRPr="0006336F" w:rsidRDefault="00D2735E" w:rsidP="00325CC2">
      <w:pPr>
        <w:rPr>
          <w:lang w:eastAsia="en-US"/>
        </w:rPr>
      </w:pPr>
      <w:r w:rsidRPr="0006336F">
        <w:rPr>
          <w:lang w:eastAsia="en-US"/>
        </w:rPr>
        <w:t xml:space="preserve">Technology </w:t>
      </w:r>
      <w:r w:rsidR="00925178" w:rsidRPr="0006336F">
        <w:rPr>
          <w:lang w:eastAsia="en-US"/>
        </w:rPr>
        <w:t>can</w:t>
      </w:r>
      <w:r w:rsidRPr="0006336F">
        <w:rPr>
          <w:lang w:eastAsia="en-US"/>
        </w:rPr>
        <w:t xml:space="preserve"> support workers to move into higher productivity tasks and jobs, including in sectors where there are already persistent shortages. Driving adoption of technology is the key to unlocking productivity and increasing wage growth</w:t>
      </w:r>
      <w:r w:rsidR="00FD3514">
        <w:rPr>
          <w:lang w:eastAsia="en-US"/>
        </w:rPr>
        <w:t xml:space="preserve"> – </w:t>
      </w:r>
      <w:r w:rsidRPr="0006336F">
        <w:rPr>
          <w:lang w:eastAsia="en-US"/>
        </w:rPr>
        <w:t>98</w:t>
      </w:r>
      <w:r w:rsidR="00B16861">
        <w:rPr>
          <w:lang w:eastAsia="en-US"/>
        </w:rPr>
        <w:t> per c</w:t>
      </w:r>
      <w:r w:rsidRPr="0006336F">
        <w:rPr>
          <w:lang w:eastAsia="en-US"/>
        </w:rPr>
        <w:t>ent of Australian businesses rely on adoption of established technologies and practices for productivity improvements. Yet on average the pace at which Australian firms adopt cutting</w:t>
      </w:r>
      <w:r w:rsidR="00B16861">
        <w:rPr>
          <w:lang w:eastAsia="en-US"/>
        </w:rPr>
        <w:noBreakHyphen/>
      </w:r>
      <w:r w:rsidRPr="0006336F">
        <w:rPr>
          <w:lang w:eastAsia="en-US"/>
        </w:rPr>
        <w:t>edge technologies appears to have slowed since the early 2000s</w:t>
      </w:r>
      <w:r w:rsidR="00276B88" w:rsidRPr="0006336F">
        <w:rPr>
          <w:lang w:eastAsia="en-US"/>
        </w:rPr>
        <w:t xml:space="preserve">. </w:t>
      </w:r>
      <w:r w:rsidRPr="0006336F">
        <w:rPr>
          <w:lang w:eastAsia="en-US"/>
        </w:rPr>
        <w:t>Increasing technological adoption will require trust and certainty in new and emerging technologies, and investing in digital as a foundation skill throughout our education and training system</w:t>
      </w:r>
      <w:r w:rsidR="00E71B4A">
        <w:rPr>
          <w:lang w:eastAsia="en-US"/>
        </w:rPr>
        <w:t>s</w:t>
      </w:r>
      <w:r w:rsidRPr="0006336F">
        <w:rPr>
          <w:lang w:eastAsia="en-US"/>
        </w:rPr>
        <w:t xml:space="preserve"> </w:t>
      </w:r>
      <w:r w:rsidR="00C83C2C" w:rsidRPr="0006336F">
        <w:rPr>
          <w:lang w:eastAsia="en-US"/>
        </w:rPr>
        <w:t xml:space="preserve">is </w:t>
      </w:r>
      <w:r w:rsidRPr="0006336F">
        <w:rPr>
          <w:lang w:eastAsia="en-US"/>
        </w:rPr>
        <w:t>needed. These are core principles that set out the Government</w:t>
      </w:r>
      <w:r w:rsidR="00B16861">
        <w:rPr>
          <w:lang w:eastAsia="en-US"/>
        </w:rPr>
        <w:t>’</w:t>
      </w:r>
      <w:r w:rsidRPr="0006336F">
        <w:rPr>
          <w:lang w:eastAsia="en-US"/>
        </w:rPr>
        <w:t>s approach to reaching our target of 1.2</w:t>
      </w:r>
      <w:r w:rsidR="000F0ED2">
        <w:rPr>
          <w:lang w:eastAsia="en-US"/>
        </w:rPr>
        <w:t> million</w:t>
      </w:r>
      <w:r w:rsidRPr="0006336F">
        <w:rPr>
          <w:lang w:eastAsia="en-US"/>
        </w:rPr>
        <w:t xml:space="preserve"> people in tech</w:t>
      </w:r>
      <w:r w:rsidR="00B16861">
        <w:rPr>
          <w:lang w:eastAsia="en-US"/>
        </w:rPr>
        <w:noBreakHyphen/>
      </w:r>
      <w:r w:rsidRPr="0006336F">
        <w:rPr>
          <w:lang w:eastAsia="en-US"/>
        </w:rPr>
        <w:t xml:space="preserve">related jobs by 2030. </w:t>
      </w:r>
    </w:p>
    <w:p w14:paraId="71CF7DAD" w14:textId="69CFC5DB" w:rsidR="00D2735E" w:rsidRPr="0006336F" w:rsidRDefault="004E4D3D" w:rsidP="00661169">
      <w:pPr>
        <w:pStyle w:val="Heading4"/>
        <w:rPr>
          <w:lang w:eastAsia="en-US"/>
        </w:rPr>
      </w:pPr>
      <w:r w:rsidRPr="0006336F">
        <w:rPr>
          <w:lang w:eastAsia="en-US"/>
        </w:rPr>
        <w:t>Supporting</w:t>
      </w:r>
      <w:r w:rsidR="00D2735E" w:rsidRPr="0006336F">
        <w:rPr>
          <w:lang w:eastAsia="en-US"/>
        </w:rPr>
        <w:t xml:space="preserve"> businesses to adopt technologies</w:t>
      </w:r>
    </w:p>
    <w:p w14:paraId="18EB3E1D" w14:textId="77777777" w:rsidR="00D07DE7" w:rsidRDefault="00D2735E" w:rsidP="009815E5">
      <w:pPr>
        <w:rPr>
          <w:lang w:eastAsia="en-US"/>
        </w:rPr>
      </w:pPr>
      <w:r w:rsidRPr="0006336F">
        <w:rPr>
          <w:lang w:eastAsia="en-US"/>
        </w:rPr>
        <w:t>Governments can support greater technology adoption through supportive business settings, encouraging the growth of innovative firms and creating a competitive environment. Businesses will need to upskill staff and adopt new processes and technologies, including investing in improving managerial capability</w:t>
      </w:r>
      <w:r w:rsidR="00276B88" w:rsidRPr="0006336F">
        <w:rPr>
          <w:lang w:eastAsia="en-US"/>
        </w:rPr>
        <w:t xml:space="preserve">. </w:t>
      </w:r>
      <w:r w:rsidR="00FD3514">
        <w:rPr>
          <w:lang w:eastAsia="en-US"/>
        </w:rPr>
        <w:t>The Government</w:t>
      </w:r>
      <w:r w:rsidRPr="0006336F">
        <w:rPr>
          <w:lang w:eastAsia="en-US"/>
        </w:rPr>
        <w:t xml:space="preserve"> is increasing awareness of technology use cases, from building </w:t>
      </w:r>
      <w:r w:rsidR="00EB200B" w:rsidRPr="0006336F">
        <w:rPr>
          <w:lang w:eastAsia="en-US"/>
        </w:rPr>
        <w:t xml:space="preserve">digital </w:t>
      </w:r>
      <w:r w:rsidRPr="0006336F">
        <w:rPr>
          <w:lang w:eastAsia="en-US"/>
        </w:rPr>
        <w:t xml:space="preserve">foundation skills to increased engagement with emerging technologies and their applications. </w:t>
      </w:r>
    </w:p>
    <w:p w14:paraId="7A0630EF" w14:textId="72F0BF63" w:rsidR="009815E5" w:rsidRPr="0006336F" w:rsidRDefault="00FD3514" w:rsidP="009815E5">
      <w:pPr>
        <w:rPr>
          <w:rFonts w:ascii="Calibri" w:hAnsi="Calibri"/>
        </w:rPr>
      </w:pPr>
      <w:r>
        <w:rPr>
          <w:lang w:eastAsia="en-US"/>
        </w:rPr>
        <w:t>The Government</w:t>
      </w:r>
      <w:r w:rsidR="00D2735E" w:rsidRPr="0006336F">
        <w:rPr>
          <w:lang w:eastAsia="en-US"/>
        </w:rPr>
        <w:t xml:space="preserve"> is providing an enabling environment to support businesses </w:t>
      </w:r>
      <w:r w:rsidR="007512C1" w:rsidRPr="0006336F">
        <w:rPr>
          <w:lang w:eastAsia="en-US"/>
        </w:rPr>
        <w:t xml:space="preserve">to </w:t>
      </w:r>
      <w:r w:rsidR="00D2735E" w:rsidRPr="0006336F">
        <w:rPr>
          <w:lang w:eastAsia="en-US"/>
        </w:rPr>
        <w:t>invest in the technologies needed for the 21st century. We are providing over $100</w:t>
      </w:r>
      <w:r w:rsidR="000F0ED2">
        <w:rPr>
          <w:lang w:eastAsia="en-US"/>
        </w:rPr>
        <w:t> million</w:t>
      </w:r>
      <w:r w:rsidR="00D2735E" w:rsidRPr="0006336F">
        <w:rPr>
          <w:lang w:eastAsia="en-US"/>
        </w:rPr>
        <w:t xml:space="preserve"> to support the development of critical technologies in Australia. This includes supporting the National AI Centre in its role in supporting responsible AI usage through developing governance and industry capabilities. </w:t>
      </w:r>
      <w:r w:rsidR="009815E5" w:rsidRPr="0006336F">
        <w:rPr>
          <w:lang w:eastAsia="en-US"/>
        </w:rPr>
        <w:t>We</w:t>
      </w:r>
      <w:r w:rsidR="008C1553">
        <w:rPr>
          <w:lang w:eastAsia="en-US"/>
        </w:rPr>
        <w:t> </w:t>
      </w:r>
      <w:r w:rsidR="009815E5" w:rsidRPr="0006336F">
        <w:rPr>
          <w:lang w:eastAsia="en-US"/>
        </w:rPr>
        <w:t>are also committed to government as an exemplar for the adoption of new technologies, including through initiatives like a whole</w:t>
      </w:r>
      <w:r w:rsidR="00B16861">
        <w:rPr>
          <w:lang w:eastAsia="en-US"/>
        </w:rPr>
        <w:noBreakHyphen/>
      </w:r>
      <w:r w:rsidR="009815E5" w:rsidRPr="0006336F">
        <w:rPr>
          <w:lang w:eastAsia="en-US"/>
        </w:rPr>
        <w:t>of</w:t>
      </w:r>
      <w:r w:rsidR="00B16861">
        <w:rPr>
          <w:lang w:eastAsia="en-US"/>
        </w:rPr>
        <w:noBreakHyphen/>
      </w:r>
      <w:r w:rsidR="009815E5" w:rsidRPr="0006336F">
        <w:rPr>
          <w:lang w:eastAsia="en-US"/>
        </w:rPr>
        <w:t>government AI taskforce supporting public sector capability building.</w:t>
      </w:r>
    </w:p>
    <w:p w14:paraId="5A902AD9" w14:textId="77777777" w:rsidR="009815E5" w:rsidRPr="0006336F" w:rsidRDefault="009815E5" w:rsidP="009815E5">
      <w:pPr>
        <w:pStyle w:val="Heading4"/>
        <w:rPr>
          <w:lang w:eastAsia="en-US"/>
        </w:rPr>
      </w:pPr>
      <w:r w:rsidRPr="0006336F">
        <w:rPr>
          <w:lang w:eastAsia="en-US"/>
        </w:rPr>
        <w:t>Fostering an innovative science and technology sector</w:t>
      </w:r>
    </w:p>
    <w:p w14:paraId="67C8A191" w14:textId="76DC1970" w:rsidR="009815E5" w:rsidRPr="0006336F" w:rsidRDefault="009815E5" w:rsidP="009815E5">
      <w:pPr>
        <w:rPr>
          <w:lang w:eastAsia="en-US"/>
        </w:rPr>
      </w:pPr>
      <w:r w:rsidRPr="0006336F">
        <w:rPr>
          <w:lang w:eastAsia="en-US"/>
        </w:rPr>
        <w:t xml:space="preserve">Alongside supporting businesses adopting new technologies, the Government recognises the importance of a flourishing science and technology sector to future economic growth and new job creation. For example, advances in biotechnology and clean energy research and commercialisation </w:t>
      </w:r>
      <w:r w:rsidR="00BA6D81" w:rsidRPr="0006336F">
        <w:rPr>
          <w:lang w:eastAsia="en-US"/>
        </w:rPr>
        <w:t xml:space="preserve">can </w:t>
      </w:r>
      <w:r w:rsidRPr="0006336F">
        <w:rPr>
          <w:lang w:eastAsia="en-US"/>
        </w:rPr>
        <w:t>underpin Australia</w:t>
      </w:r>
      <w:r w:rsidR="00B16861">
        <w:rPr>
          <w:lang w:eastAsia="en-US"/>
        </w:rPr>
        <w:t>’</w:t>
      </w:r>
      <w:r w:rsidRPr="0006336F">
        <w:rPr>
          <w:lang w:eastAsia="en-US"/>
        </w:rPr>
        <w:t>s future geographic competitiveness as the world transitions to a net zero future and will generate new kinds of employment prospects for Australians. Science education and training initiatives, as well as producing scientists, support the development of critical thinking, problem</w:t>
      </w:r>
      <w:r w:rsidR="00B16861">
        <w:rPr>
          <w:lang w:eastAsia="en-US"/>
        </w:rPr>
        <w:noBreakHyphen/>
      </w:r>
      <w:r w:rsidRPr="0006336F">
        <w:rPr>
          <w:lang w:eastAsia="en-US"/>
        </w:rPr>
        <w:t xml:space="preserve">solving and technical skills that are transferrable across industries. </w:t>
      </w:r>
      <w:r w:rsidR="00FD3514">
        <w:rPr>
          <w:lang w:eastAsia="en-US"/>
        </w:rPr>
        <w:t>The Government</w:t>
      </w:r>
      <w:r w:rsidRPr="0006336F">
        <w:rPr>
          <w:lang w:eastAsia="en-US"/>
        </w:rPr>
        <w:t xml:space="preserve"> is revitalising Australia</w:t>
      </w:r>
      <w:r w:rsidR="00B16861">
        <w:rPr>
          <w:lang w:eastAsia="en-US"/>
        </w:rPr>
        <w:t>’</w:t>
      </w:r>
      <w:r w:rsidRPr="0006336F">
        <w:rPr>
          <w:lang w:eastAsia="en-US"/>
        </w:rPr>
        <w:t>s National Science and Research Priorities and National Science Statement to connect science and innovation with helping solve the nation</w:t>
      </w:r>
      <w:r w:rsidR="00B16861">
        <w:rPr>
          <w:lang w:eastAsia="en-US"/>
        </w:rPr>
        <w:t>’</w:t>
      </w:r>
      <w:r w:rsidRPr="0006336F">
        <w:rPr>
          <w:lang w:eastAsia="en-US"/>
        </w:rPr>
        <w:t>s pressing challenges</w:t>
      </w:r>
      <w:r w:rsidR="00276B88" w:rsidRPr="0006336F">
        <w:rPr>
          <w:lang w:eastAsia="en-US"/>
        </w:rPr>
        <w:t xml:space="preserve">. </w:t>
      </w:r>
    </w:p>
    <w:p w14:paraId="09B34F2A" w14:textId="77777777" w:rsidR="00D2735E" w:rsidRPr="0006336F" w:rsidRDefault="00D2735E" w:rsidP="00117ED1">
      <w:pPr>
        <w:pStyle w:val="Heading4"/>
        <w:rPr>
          <w:lang w:eastAsia="en-US"/>
        </w:rPr>
      </w:pPr>
      <w:r w:rsidRPr="0006336F">
        <w:rPr>
          <w:lang w:eastAsia="en-US"/>
        </w:rPr>
        <w:t>Building trust and certainty in technologies</w:t>
      </w:r>
    </w:p>
    <w:p w14:paraId="3EF0C18B" w14:textId="00D3C0F3" w:rsidR="00D2735E" w:rsidRPr="0006336F" w:rsidRDefault="00FD3514" w:rsidP="0033022C">
      <w:pPr>
        <w:rPr>
          <w:lang w:eastAsia="en-US"/>
        </w:rPr>
      </w:pPr>
      <w:r>
        <w:rPr>
          <w:lang w:eastAsia="en-US"/>
        </w:rPr>
        <w:t>The Government</w:t>
      </w:r>
      <w:r w:rsidR="00D2735E" w:rsidRPr="0006336F">
        <w:rPr>
          <w:lang w:eastAsia="en-US"/>
        </w:rPr>
        <w:t xml:space="preserve"> is supporting </w:t>
      </w:r>
      <w:r w:rsidR="008F2284" w:rsidRPr="0006336F">
        <w:rPr>
          <w:lang w:eastAsia="en-US"/>
        </w:rPr>
        <w:t xml:space="preserve">greater </w:t>
      </w:r>
      <w:r w:rsidR="00D2735E" w:rsidRPr="0006336F">
        <w:rPr>
          <w:lang w:eastAsia="en-US"/>
        </w:rPr>
        <w:t xml:space="preserve">adoption of technologies by increasing trust and security in </w:t>
      </w:r>
      <w:r w:rsidR="00FA60AB">
        <w:rPr>
          <w:lang w:eastAsia="en-US"/>
        </w:rPr>
        <w:t>them</w:t>
      </w:r>
      <w:r w:rsidR="00D2735E" w:rsidRPr="0006336F">
        <w:rPr>
          <w:lang w:eastAsia="en-US"/>
        </w:rPr>
        <w:t xml:space="preserve">. </w:t>
      </w:r>
      <w:r w:rsidR="004B3646">
        <w:rPr>
          <w:lang w:eastAsia="en-US"/>
        </w:rPr>
        <w:t>We have</w:t>
      </w:r>
      <w:r w:rsidR="00D2735E" w:rsidRPr="0006336F">
        <w:rPr>
          <w:lang w:eastAsia="en-US"/>
        </w:rPr>
        <w:t xml:space="preserve"> released a consultation paper on safe and responsible </w:t>
      </w:r>
      <w:r w:rsidR="00F85981" w:rsidRPr="0006336F">
        <w:rPr>
          <w:lang w:eastAsia="en-US"/>
        </w:rPr>
        <w:t>AI</w:t>
      </w:r>
      <w:r w:rsidR="00D2735E" w:rsidRPr="0006336F">
        <w:rPr>
          <w:lang w:eastAsia="en-US"/>
        </w:rPr>
        <w:t xml:space="preserve">, as a part of ensuring that our economic </w:t>
      </w:r>
      <w:r w:rsidR="00274034" w:rsidRPr="0006336F">
        <w:rPr>
          <w:lang w:eastAsia="en-US"/>
        </w:rPr>
        <w:t xml:space="preserve">and regulatory </w:t>
      </w:r>
      <w:r w:rsidR="00D2735E" w:rsidRPr="0006336F">
        <w:rPr>
          <w:lang w:eastAsia="en-US"/>
        </w:rPr>
        <w:t xml:space="preserve">settings are well positioned to take advantage of the productivity enhancing potential of this technology in a safe, trusted, and </w:t>
      </w:r>
      <w:r w:rsidR="00274034" w:rsidRPr="0006336F">
        <w:rPr>
          <w:lang w:eastAsia="en-US"/>
        </w:rPr>
        <w:t xml:space="preserve">responsible </w:t>
      </w:r>
      <w:r w:rsidR="00D2735E" w:rsidRPr="0006336F">
        <w:rPr>
          <w:lang w:eastAsia="en-US"/>
        </w:rPr>
        <w:t xml:space="preserve">manner. </w:t>
      </w:r>
      <w:r>
        <w:rPr>
          <w:lang w:eastAsia="en-US"/>
        </w:rPr>
        <w:t>The Government</w:t>
      </w:r>
      <w:r w:rsidR="00D2735E" w:rsidRPr="0006336F">
        <w:rPr>
          <w:lang w:eastAsia="en-US"/>
        </w:rPr>
        <w:t xml:space="preserve"> is taking action to address increasing cyber risks in our economy. We are investing to support and uplift cyber capabilities in Australia, including </w:t>
      </w:r>
      <w:r w:rsidR="00FC7880" w:rsidRPr="0006336F">
        <w:rPr>
          <w:lang w:eastAsia="en-US"/>
        </w:rPr>
        <w:t xml:space="preserve">by </w:t>
      </w:r>
      <w:r w:rsidR="00D2735E" w:rsidRPr="0006336F">
        <w:rPr>
          <w:lang w:eastAsia="en-US"/>
        </w:rPr>
        <w:t>establish</w:t>
      </w:r>
      <w:r w:rsidR="00FC7880" w:rsidRPr="0006336F">
        <w:rPr>
          <w:lang w:eastAsia="en-US"/>
        </w:rPr>
        <w:t>ing</w:t>
      </w:r>
      <w:r w:rsidR="00D2735E" w:rsidRPr="0006336F">
        <w:rPr>
          <w:lang w:eastAsia="en-US"/>
        </w:rPr>
        <w:t xml:space="preserve"> the Coordinator for Cyber Security, and support</w:t>
      </w:r>
      <w:r w:rsidR="00FC7880" w:rsidRPr="0006336F">
        <w:rPr>
          <w:lang w:eastAsia="en-US"/>
        </w:rPr>
        <w:t>ing</w:t>
      </w:r>
      <w:r w:rsidR="00D2735E" w:rsidRPr="0006336F">
        <w:rPr>
          <w:lang w:eastAsia="en-US"/>
        </w:rPr>
        <w:t xml:space="preserve"> small businesses build in</w:t>
      </w:r>
      <w:r w:rsidR="00B16861">
        <w:rPr>
          <w:lang w:eastAsia="en-US"/>
        </w:rPr>
        <w:noBreakHyphen/>
      </w:r>
      <w:r w:rsidR="00D2735E" w:rsidRPr="0006336F">
        <w:rPr>
          <w:lang w:eastAsia="en-US"/>
        </w:rPr>
        <w:t>house capability to protect against cyber threats.</w:t>
      </w:r>
    </w:p>
    <w:p w14:paraId="353DCFAF" w14:textId="77777777" w:rsidR="00D2735E" w:rsidRPr="0006336F" w:rsidRDefault="00D2735E" w:rsidP="00325CC2">
      <w:pPr>
        <w:pStyle w:val="Heading4"/>
        <w:rPr>
          <w:lang w:eastAsia="en-US"/>
        </w:rPr>
      </w:pPr>
      <w:r w:rsidRPr="0006336F">
        <w:rPr>
          <w:lang w:eastAsia="en-US"/>
        </w:rPr>
        <w:lastRenderedPageBreak/>
        <w:t>Improving access to digital skills</w:t>
      </w:r>
    </w:p>
    <w:p w14:paraId="261884A6" w14:textId="0494FF19" w:rsidR="0033022C" w:rsidRPr="0006336F" w:rsidRDefault="00FD3514" w:rsidP="0033022C">
      <w:pPr>
        <w:rPr>
          <w:lang w:eastAsia="en-US"/>
        </w:rPr>
      </w:pPr>
      <w:r>
        <w:rPr>
          <w:lang w:eastAsia="en-US"/>
        </w:rPr>
        <w:t>The Government</w:t>
      </w:r>
      <w:r w:rsidR="00D2735E" w:rsidRPr="0006336F">
        <w:rPr>
          <w:lang w:eastAsia="en-US"/>
        </w:rPr>
        <w:t xml:space="preserve"> is supporting the workforce to adopt and adapt to new technologies by supporting expanded access to digital skills. Supporting workers to develop sufficient baseline skills, including in digital skills, is fundamental to our approach</w:t>
      </w:r>
      <w:r w:rsidR="00F83F7F" w:rsidRPr="0006336F">
        <w:rPr>
          <w:lang w:eastAsia="en-US"/>
        </w:rPr>
        <w:t xml:space="preserve">, </w:t>
      </w:r>
      <w:r w:rsidR="00D74A9C" w:rsidRPr="0006336F">
        <w:rPr>
          <w:lang w:eastAsia="en-US"/>
        </w:rPr>
        <w:t xml:space="preserve">and </w:t>
      </w:r>
      <w:r w:rsidR="00D2735E" w:rsidRPr="0006336F">
        <w:rPr>
          <w:lang w:eastAsia="en-US"/>
        </w:rPr>
        <w:t xml:space="preserve">will help people to participate to their fullest in the labour market. </w:t>
      </w:r>
      <w:r>
        <w:rPr>
          <w:lang w:eastAsia="en-US"/>
        </w:rPr>
        <w:t>The Government</w:t>
      </w:r>
      <w:r w:rsidR="00D2735E" w:rsidRPr="0006336F">
        <w:rPr>
          <w:lang w:eastAsia="en-US"/>
        </w:rPr>
        <w:t xml:space="preserve"> is delivering incentives to support small and medium businesses train and upskill employees and boost their digital and tech capacity through a $1.5</w:t>
      </w:r>
      <w:r w:rsidR="000F0ED2">
        <w:rPr>
          <w:lang w:eastAsia="en-US"/>
        </w:rPr>
        <w:t> billion</w:t>
      </w:r>
      <w:r w:rsidR="00D2735E" w:rsidRPr="0006336F">
        <w:rPr>
          <w:lang w:eastAsia="en-US"/>
        </w:rPr>
        <w:t xml:space="preserve"> Technology Investment Boost and the Skills and Training Boost. This will support up to 3.8</w:t>
      </w:r>
      <w:r w:rsidR="000F0ED2">
        <w:rPr>
          <w:lang w:eastAsia="en-US"/>
        </w:rPr>
        <w:t> million</w:t>
      </w:r>
      <w:r w:rsidR="00D2735E" w:rsidRPr="0006336F">
        <w:rPr>
          <w:lang w:eastAsia="en-US"/>
        </w:rPr>
        <w:t xml:space="preserve"> businesses to invest in training employees to be more productive and ready for an increasingly digitalised economy.</w:t>
      </w:r>
    </w:p>
    <w:p w14:paraId="3743ADAD" w14:textId="58466CA2" w:rsidR="00362A51" w:rsidRPr="0006336F" w:rsidRDefault="00CB3DF7" w:rsidP="00F4496B">
      <w:pPr>
        <w:pStyle w:val="Heading2"/>
        <w:rPr>
          <w:lang w:eastAsia="en-US"/>
        </w:rPr>
      </w:pPr>
      <w:bookmarkStart w:id="8" w:name="_Toc146292917"/>
      <w:r w:rsidRPr="0006336F">
        <w:lastRenderedPageBreak/>
        <w:t xml:space="preserve">3 </w:t>
      </w:r>
      <w:r w:rsidR="00BF40C1">
        <w:tab/>
      </w:r>
      <w:r w:rsidR="00920EAF" w:rsidRPr="0006336F">
        <w:rPr>
          <w:lang w:eastAsia="en-US"/>
        </w:rPr>
        <w:t>Planning for our future workforce</w:t>
      </w:r>
      <w:bookmarkEnd w:id="8"/>
    </w:p>
    <w:p w14:paraId="5282C17E" w14:textId="4D8CE2BC" w:rsidR="00362A51" w:rsidRPr="0006336F" w:rsidRDefault="00A40934" w:rsidP="00F4496B">
      <w:pPr>
        <w:pStyle w:val="TableMainHeadingRoadmap"/>
        <w:rPr>
          <w:lang w:eastAsia="en-US"/>
        </w:rPr>
      </w:pPr>
      <w:r w:rsidRPr="0006336F">
        <w:rPr>
          <w:lang w:eastAsia="en-US"/>
        </w:rPr>
        <w:t>Actions</w:t>
      </w:r>
      <w:r w:rsidR="00B41FF9" w:rsidRPr="0006336F">
        <w:rPr>
          <w:lang w:eastAsia="en-US"/>
        </w:rPr>
        <w:t xml:space="preserve"> to </w:t>
      </w:r>
      <w:r w:rsidR="00174506" w:rsidRPr="0006336F">
        <w:rPr>
          <w:lang w:eastAsia="en-US"/>
        </w:rPr>
        <w:t xml:space="preserve">plan for our future workforce </w:t>
      </w:r>
    </w:p>
    <w:tbl>
      <w:tblPr>
        <w:tblStyle w:val="TableGrid"/>
        <w:tblW w:w="5000" w:type="pct"/>
        <w:tblLook w:val="01E0" w:firstRow="1" w:lastRow="1" w:firstColumn="1" w:lastColumn="1" w:noHBand="0" w:noVBand="0"/>
      </w:tblPr>
      <w:tblGrid>
        <w:gridCol w:w="3023"/>
        <w:gridCol w:w="3023"/>
        <w:gridCol w:w="3024"/>
      </w:tblGrid>
      <w:tr w:rsidR="005035BD" w:rsidRPr="0006336F" w14:paraId="46CB078B" w14:textId="77777777" w:rsidTr="00A715AC">
        <w:trPr>
          <w:cnfStyle w:val="100000000000" w:firstRow="1" w:lastRow="0" w:firstColumn="0" w:lastColumn="0" w:oddVBand="0" w:evenVBand="0" w:oddHBand="0" w:evenHBand="0" w:firstRowFirstColumn="0" w:firstRowLastColumn="0" w:lastRowFirstColumn="0" w:lastRowLastColumn="0"/>
          <w:tblHeader/>
        </w:trPr>
        <w:tc>
          <w:tcPr>
            <w:tcW w:w="1666" w:type="pct"/>
          </w:tcPr>
          <w:p w14:paraId="1A945C1D" w14:textId="620C9181" w:rsidR="005035BD" w:rsidRPr="0006336F" w:rsidRDefault="005035BD" w:rsidP="00EE19B9">
            <w:pPr>
              <w:pStyle w:val="TableColumnHeadingLeft"/>
            </w:pPr>
            <w:r w:rsidRPr="0006336F">
              <w:t>Implemented</w:t>
            </w:r>
          </w:p>
        </w:tc>
        <w:tc>
          <w:tcPr>
            <w:tcW w:w="1666" w:type="pct"/>
          </w:tcPr>
          <w:p w14:paraId="489E771D" w14:textId="2F9C46D1" w:rsidR="005035BD" w:rsidRPr="0006336F" w:rsidRDefault="005035BD" w:rsidP="00EE19B9">
            <w:pPr>
              <w:pStyle w:val="TableColumnHeadingLeft"/>
            </w:pPr>
            <w:r w:rsidRPr="0006336F">
              <w:t>Underway</w:t>
            </w:r>
          </w:p>
        </w:tc>
        <w:tc>
          <w:tcPr>
            <w:tcW w:w="1667" w:type="pct"/>
          </w:tcPr>
          <w:p w14:paraId="024C5E51" w14:textId="06056533" w:rsidR="005035BD" w:rsidRPr="0006336F" w:rsidRDefault="005035BD" w:rsidP="00EE19B9">
            <w:pPr>
              <w:pStyle w:val="TableColumnHeadingLeft"/>
            </w:pPr>
            <w:r w:rsidRPr="0006336F">
              <w:t>Future reform directions</w:t>
            </w:r>
          </w:p>
        </w:tc>
      </w:tr>
      <w:tr w:rsidR="005035BD" w:rsidRPr="0006336F" w14:paraId="3BDBEADC" w14:textId="77777777" w:rsidTr="00A715AC">
        <w:trPr>
          <w:trHeight w:val="7589"/>
        </w:trPr>
        <w:tc>
          <w:tcPr>
            <w:tcW w:w="1666" w:type="pct"/>
          </w:tcPr>
          <w:p w14:paraId="2C4F9A22" w14:textId="30E31460" w:rsidR="00735626" w:rsidRPr="0006336F" w:rsidRDefault="00735626" w:rsidP="00C7066D">
            <w:pPr>
              <w:pStyle w:val="TableTextLeft"/>
              <w:rPr>
                <w:b/>
                <w:bCs/>
              </w:rPr>
            </w:pPr>
            <w:r w:rsidRPr="0006336F">
              <w:rPr>
                <w:b/>
              </w:rPr>
              <w:t>Leverag</w:t>
            </w:r>
            <w:r w:rsidR="00F24A82" w:rsidRPr="0006336F">
              <w:rPr>
                <w:b/>
                <w:bCs/>
              </w:rPr>
              <w:t>ed</w:t>
            </w:r>
            <w:r w:rsidRPr="0006336F">
              <w:rPr>
                <w:b/>
                <w:bCs/>
              </w:rPr>
              <w:t xml:space="preserve"> workforce planning</w:t>
            </w:r>
          </w:p>
          <w:p w14:paraId="294EB5B2" w14:textId="3EEBBD5C" w:rsidR="0093125D" w:rsidRPr="0006336F" w:rsidRDefault="0093125D" w:rsidP="00F4496B">
            <w:pPr>
              <w:pStyle w:val="TableTextBullet"/>
            </w:pPr>
            <w:r w:rsidRPr="0006336F">
              <w:t>Establ</w:t>
            </w:r>
            <w:r w:rsidR="00C3651F" w:rsidRPr="0006336F">
              <w:t>i</w:t>
            </w:r>
            <w:r w:rsidRPr="0006336F">
              <w:t xml:space="preserve">shed </w:t>
            </w:r>
            <w:r w:rsidR="00735626" w:rsidRPr="0006336F">
              <w:t xml:space="preserve">Jobs and Skills Australia </w:t>
            </w:r>
            <w:r w:rsidRPr="0006336F">
              <w:t xml:space="preserve">and </w:t>
            </w:r>
            <w:r w:rsidR="00735626" w:rsidRPr="0006336F">
              <w:t>10 new, industry</w:t>
            </w:r>
            <w:r w:rsidR="00B16861">
              <w:noBreakHyphen/>
            </w:r>
            <w:r w:rsidR="00735626" w:rsidRPr="0006336F">
              <w:t>specific tripartite Jobs and Skills Councils</w:t>
            </w:r>
            <w:r w:rsidR="00522338" w:rsidRPr="0006336F">
              <w:t xml:space="preserve"> </w:t>
            </w:r>
          </w:p>
          <w:p w14:paraId="14E3B6C8" w14:textId="292043E0" w:rsidR="0093125D" w:rsidRPr="0006336F" w:rsidRDefault="00676147" w:rsidP="00F4496B">
            <w:pPr>
              <w:pStyle w:val="TableTextBullet"/>
            </w:pPr>
            <w:r w:rsidRPr="0006336F">
              <w:t xml:space="preserve">Launched </w:t>
            </w:r>
            <w:r w:rsidR="00735626" w:rsidRPr="0006336F">
              <w:t>the National Teacher Workforce Action Plan</w:t>
            </w:r>
          </w:p>
          <w:p w14:paraId="75DBC771" w14:textId="0F2F418E" w:rsidR="008F6776" w:rsidRPr="0006336F" w:rsidRDefault="00735626" w:rsidP="00F4496B">
            <w:pPr>
              <w:pStyle w:val="TableTextBullet"/>
            </w:pPr>
            <w:r w:rsidRPr="0006336F">
              <w:t xml:space="preserve">Established </w:t>
            </w:r>
            <w:r w:rsidR="00E02350">
              <w:t xml:space="preserve">a </w:t>
            </w:r>
            <w:r w:rsidRPr="0006336F">
              <w:t>tripartite Agricultur</w:t>
            </w:r>
            <w:r w:rsidR="00FE22E0" w:rsidRPr="0006336F">
              <w:t>al</w:t>
            </w:r>
            <w:r w:rsidRPr="0006336F">
              <w:t xml:space="preserve"> Workforce Working Group</w:t>
            </w:r>
          </w:p>
          <w:p w14:paraId="0EFA0D9C" w14:textId="569DDE34" w:rsidR="00735626" w:rsidRPr="0006336F" w:rsidRDefault="00F926F9" w:rsidP="00F4496B">
            <w:pPr>
              <w:pStyle w:val="TableTextBullet"/>
            </w:pPr>
            <w:r>
              <w:t>Instituted a</w:t>
            </w:r>
            <w:r w:rsidR="008F6776" w:rsidRPr="0006336F">
              <w:t xml:space="preserve"> new annual Jobs and Skills Report by Jobs and Skills Australia</w:t>
            </w:r>
            <w:r w:rsidR="00735626" w:rsidRPr="0006336F">
              <w:t xml:space="preserve"> </w:t>
            </w:r>
          </w:p>
          <w:p w14:paraId="29E8E3C7" w14:textId="4EAEA8EE" w:rsidR="00735626" w:rsidRPr="0006336F" w:rsidRDefault="005B5E17" w:rsidP="00C7066D">
            <w:pPr>
              <w:pStyle w:val="TableTextLeft"/>
              <w:rPr>
                <w:b/>
                <w:bCs/>
              </w:rPr>
            </w:pPr>
            <w:r w:rsidRPr="0006336F">
              <w:rPr>
                <w:b/>
                <w:bCs/>
              </w:rPr>
              <w:t>Targeted</w:t>
            </w:r>
            <w:r w:rsidR="00735626" w:rsidRPr="0006336F">
              <w:rPr>
                <w:b/>
                <w:bCs/>
              </w:rPr>
              <w:t xml:space="preserve"> workforce shortages</w:t>
            </w:r>
          </w:p>
          <w:p w14:paraId="170C02CB" w14:textId="5A37F34C" w:rsidR="00EE5C33" w:rsidRPr="0006336F" w:rsidRDefault="00EE5C33" w:rsidP="00EE5C33">
            <w:pPr>
              <w:pStyle w:val="TableTextBullet"/>
            </w:pPr>
            <w:r w:rsidRPr="0006336F">
              <w:t xml:space="preserve">Delivered </w:t>
            </w:r>
            <w:r w:rsidR="00052476" w:rsidRPr="0006336F">
              <w:t xml:space="preserve">around </w:t>
            </w:r>
            <w:r w:rsidRPr="0006336F">
              <w:t>215,000 Fee</w:t>
            </w:r>
            <w:r w:rsidR="00B16861">
              <w:noBreakHyphen/>
            </w:r>
            <w:r w:rsidRPr="0006336F">
              <w:t xml:space="preserve">Free TAFE </w:t>
            </w:r>
            <w:r w:rsidR="00052476" w:rsidRPr="0006336F">
              <w:t>enrolments</w:t>
            </w:r>
            <w:r w:rsidRPr="0006336F">
              <w:t xml:space="preserve"> </w:t>
            </w:r>
            <w:r w:rsidR="002A4D45" w:rsidRPr="0006336F">
              <w:t>with the states and territories</w:t>
            </w:r>
            <w:r w:rsidRPr="0006336F">
              <w:t xml:space="preserve"> in areas of skills shortage </w:t>
            </w:r>
          </w:p>
          <w:p w14:paraId="6677156B" w14:textId="01624604" w:rsidR="00735626" w:rsidRPr="0006336F" w:rsidRDefault="00735626" w:rsidP="00F4496B">
            <w:pPr>
              <w:pStyle w:val="TableTextBullet"/>
            </w:pPr>
            <w:r w:rsidRPr="0006336F">
              <w:t xml:space="preserve">Established </w:t>
            </w:r>
            <w:r w:rsidR="00202510">
              <w:t xml:space="preserve">an </w:t>
            </w:r>
            <w:r w:rsidRPr="0006336F">
              <w:t>Industry Labour Agreement for Aged Care</w:t>
            </w:r>
          </w:p>
          <w:p w14:paraId="017D98B2" w14:textId="3224AD38" w:rsidR="00735626" w:rsidRPr="0006336F" w:rsidRDefault="00735626" w:rsidP="00F4496B">
            <w:pPr>
              <w:pStyle w:val="TableTextBullet"/>
            </w:pPr>
            <w:r w:rsidRPr="0006336F">
              <w:t xml:space="preserve">Expanded the Australian </w:t>
            </w:r>
            <w:r w:rsidR="00484691" w:rsidRPr="0006336F">
              <w:t xml:space="preserve">Apprentice </w:t>
            </w:r>
            <w:r w:rsidRPr="0006336F">
              <w:t>Support Loans to non</w:t>
            </w:r>
            <w:r w:rsidR="00B16861">
              <w:noBreakHyphen/>
            </w:r>
            <w:r w:rsidRPr="0006336F">
              <w:t xml:space="preserve">trade </w:t>
            </w:r>
            <w:r w:rsidR="008F6A86" w:rsidRPr="0006336F">
              <w:t xml:space="preserve">priority </w:t>
            </w:r>
            <w:r w:rsidRPr="0006336F">
              <w:t xml:space="preserve">occupations </w:t>
            </w:r>
          </w:p>
          <w:p w14:paraId="4FB3358D" w14:textId="441605CD" w:rsidR="005035BD" w:rsidRPr="0006336F" w:rsidRDefault="00735626" w:rsidP="00F4496B">
            <w:pPr>
              <w:pStyle w:val="TableTextBullet"/>
            </w:pPr>
            <w:r w:rsidRPr="0006336F">
              <w:t xml:space="preserve">Invested in workforce skills and training measures for the </w:t>
            </w:r>
            <w:r w:rsidR="00FC547D" w:rsidRPr="0006336F">
              <w:t>early childhood education and care</w:t>
            </w:r>
            <w:r w:rsidRPr="0006336F">
              <w:t xml:space="preserve"> sector</w:t>
            </w:r>
          </w:p>
          <w:p w14:paraId="75ED293A" w14:textId="34185D38" w:rsidR="005035BD" w:rsidRPr="0006336F" w:rsidRDefault="007F2357" w:rsidP="00F4496B">
            <w:pPr>
              <w:pStyle w:val="TableTextBullet"/>
            </w:pPr>
            <w:r w:rsidRPr="0006336F">
              <w:t>Funded</w:t>
            </w:r>
            <w:r w:rsidR="002A1804" w:rsidRPr="0006336F">
              <w:t xml:space="preserve"> an interim 15</w:t>
            </w:r>
            <w:r w:rsidR="00B16861">
              <w:t> per c</w:t>
            </w:r>
            <w:r w:rsidR="002A1804" w:rsidRPr="0006336F">
              <w:t>ent pay increase for aged care workers to attract and retain staff in the sector</w:t>
            </w:r>
          </w:p>
        </w:tc>
        <w:tc>
          <w:tcPr>
            <w:tcW w:w="1666" w:type="pct"/>
          </w:tcPr>
          <w:p w14:paraId="7C8C7B66" w14:textId="772D289F" w:rsidR="004B1A5C" w:rsidRPr="0006336F" w:rsidRDefault="006602C5" w:rsidP="004B1A5C">
            <w:pPr>
              <w:pStyle w:val="TableTextLeft"/>
              <w:rPr>
                <w:b/>
                <w:bCs/>
              </w:rPr>
            </w:pPr>
            <w:r w:rsidRPr="0006336F">
              <w:rPr>
                <w:b/>
                <w:bCs/>
              </w:rPr>
              <w:t xml:space="preserve">Tailoring </w:t>
            </w:r>
            <w:r w:rsidR="004B1A5C" w:rsidRPr="0006336F">
              <w:rPr>
                <w:b/>
                <w:bCs/>
              </w:rPr>
              <w:t>industry</w:t>
            </w:r>
            <w:r w:rsidR="00333229" w:rsidRPr="0006336F">
              <w:rPr>
                <w:b/>
                <w:bCs/>
              </w:rPr>
              <w:t xml:space="preserve"> specific</w:t>
            </w:r>
            <w:r w:rsidR="004B1A5C" w:rsidRPr="0006336F">
              <w:rPr>
                <w:b/>
                <w:bCs/>
              </w:rPr>
              <w:t xml:space="preserve"> solutions</w:t>
            </w:r>
          </w:p>
          <w:p w14:paraId="3466FA35" w14:textId="2D799FB4" w:rsidR="004B1A5C" w:rsidRPr="0006336F" w:rsidRDefault="00F65495" w:rsidP="00F4496B">
            <w:pPr>
              <w:pStyle w:val="TableTextBullet"/>
            </w:pPr>
            <w:r w:rsidRPr="0006336F">
              <w:t xml:space="preserve">Developing a </w:t>
            </w:r>
            <w:r w:rsidR="00863558" w:rsidRPr="0006336F">
              <w:t xml:space="preserve">National Strategy for the Care and Support Economy, with an early focus on our regulatory settings </w:t>
            </w:r>
          </w:p>
          <w:p w14:paraId="6D998A5C" w14:textId="3FF367DE" w:rsidR="004B1A5C" w:rsidRPr="0006336F" w:rsidRDefault="004B1A5C" w:rsidP="007720B3">
            <w:pPr>
              <w:pStyle w:val="TableTextBullet"/>
            </w:pPr>
            <w:r w:rsidRPr="0006336F">
              <w:t>Working towards 1.2</w:t>
            </w:r>
            <w:r w:rsidR="000F0ED2">
              <w:t> million</w:t>
            </w:r>
            <w:r w:rsidRPr="0006336F">
              <w:t xml:space="preserve"> tech</w:t>
            </w:r>
            <w:r w:rsidR="00B16861">
              <w:noBreakHyphen/>
            </w:r>
            <w:r w:rsidRPr="0006336F">
              <w:t xml:space="preserve">related jobs by 2030 </w:t>
            </w:r>
          </w:p>
          <w:p w14:paraId="190F26CC" w14:textId="42EF1438" w:rsidR="007720B3" w:rsidRPr="0006336F" w:rsidRDefault="007720B3" w:rsidP="007720B3">
            <w:pPr>
              <w:pStyle w:val="TableTextBullet"/>
            </w:pPr>
            <w:r w:rsidRPr="0006336F">
              <w:t xml:space="preserve">Delivering </w:t>
            </w:r>
            <w:r w:rsidR="000E334A" w:rsidRPr="0006336F">
              <w:t xml:space="preserve">a further </w:t>
            </w:r>
            <w:r w:rsidRPr="0006336F">
              <w:t>300,000 Fee</w:t>
            </w:r>
            <w:r w:rsidR="00B16861">
              <w:noBreakHyphen/>
            </w:r>
            <w:r w:rsidRPr="0006336F">
              <w:t xml:space="preserve">Free TAFE places in areas of skills shortage from 2024 </w:t>
            </w:r>
          </w:p>
          <w:p w14:paraId="365DD3B9" w14:textId="1A44D194" w:rsidR="004B1A5C" w:rsidRPr="0006336F" w:rsidRDefault="00AF5C9D" w:rsidP="00F4496B">
            <w:pPr>
              <w:pStyle w:val="TableTextBullet"/>
            </w:pPr>
            <w:r w:rsidRPr="0006336F">
              <w:t xml:space="preserve">Implementing the </w:t>
            </w:r>
            <w:r w:rsidR="004B1A5C" w:rsidRPr="0006336F">
              <w:t xml:space="preserve">APS Digital Traineeship Program </w:t>
            </w:r>
          </w:p>
          <w:p w14:paraId="08B21AEB" w14:textId="1BE96141" w:rsidR="002F7799" w:rsidRPr="0006336F" w:rsidRDefault="002F7799" w:rsidP="00F4496B">
            <w:pPr>
              <w:pStyle w:val="TableTextBullet"/>
            </w:pPr>
            <w:r w:rsidRPr="0006336F">
              <w:t>Funding up to 20 nationally competitive PhD scholarships through the Next Generation Quantum Graduates Program</w:t>
            </w:r>
          </w:p>
          <w:p w14:paraId="0C016CEB" w14:textId="6344B940" w:rsidR="00780212" w:rsidRPr="0006336F" w:rsidRDefault="002F7799" w:rsidP="00F4496B">
            <w:pPr>
              <w:pStyle w:val="TableTextBullet"/>
            </w:pPr>
            <w:r w:rsidRPr="0006336F">
              <w:t>Attract</w:t>
            </w:r>
            <w:r w:rsidR="001A288B" w:rsidRPr="0006336F">
              <w:t>ing</w:t>
            </w:r>
            <w:r w:rsidRPr="0006336F">
              <w:t xml:space="preserve"> and train</w:t>
            </w:r>
            <w:r w:rsidR="001A288B" w:rsidRPr="0006336F">
              <w:t>ing</w:t>
            </w:r>
            <w:r w:rsidRPr="0006336F">
              <w:t xml:space="preserve"> home</w:t>
            </w:r>
            <w:r w:rsidR="00B16861">
              <w:noBreakHyphen/>
            </w:r>
            <w:r w:rsidRPr="0006336F">
              <w:t>grown, job</w:t>
            </w:r>
            <w:r w:rsidR="00B16861">
              <w:noBreakHyphen/>
            </w:r>
            <w:r w:rsidRPr="0006336F">
              <w:t>ready AI specialists through the Next Generation AI Graduates program</w:t>
            </w:r>
          </w:p>
          <w:p w14:paraId="0B1BDFCF" w14:textId="47592A99" w:rsidR="00392CB8" w:rsidRPr="0006336F" w:rsidRDefault="004A08FC" w:rsidP="00F4496B">
            <w:pPr>
              <w:pStyle w:val="TableTextBullet"/>
            </w:pPr>
            <w:r w:rsidRPr="0006336F">
              <w:t>D</w:t>
            </w:r>
            <w:r w:rsidR="00392CB8" w:rsidRPr="0006336F">
              <w:t>eveloping a South Australian Defence Industry Workforce and Skills Plan</w:t>
            </w:r>
          </w:p>
          <w:p w14:paraId="4890340D" w14:textId="5E83C6C2" w:rsidR="004B1A5C" w:rsidRPr="0006336F" w:rsidRDefault="00780212" w:rsidP="00F4496B">
            <w:pPr>
              <w:pStyle w:val="TableTextBullet"/>
            </w:pPr>
            <w:r w:rsidRPr="0006336F">
              <w:t>Review</w:t>
            </w:r>
            <w:r w:rsidR="00202510">
              <w:t>ing</w:t>
            </w:r>
            <w:r w:rsidRPr="0006336F">
              <w:t xml:space="preserve"> the National Freight and Supply Chain Strategy</w:t>
            </w:r>
            <w:r w:rsidR="00276B88" w:rsidRPr="0006336F">
              <w:t xml:space="preserve"> </w:t>
            </w:r>
          </w:p>
          <w:p w14:paraId="5F29BA60" w14:textId="77777777" w:rsidR="004B1A5C" w:rsidRPr="0006336F" w:rsidRDefault="004B1A5C" w:rsidP="004B1A5C">
            <w:pPr>
              <w:pStyle w:val="TableTextLeft"/>
              <w:rPr>
                <w:b/>
                <w:bCs/>
              </w:rPr>
            </w:pPr>
            <w:r w:rsidRPr="0006336F">
              <w:rPr>
                <w:b/>
                <w:bCs/>
              </w:rPr>
              <w:t>Building our labour market evidence base</w:t>
            </w:r>
          </w:p>
          <w:p w14:paraId="5EDFE50B" w14:textId="6A8BF2A3" w:rsidR="004B1A5C" w:rsidRPr="0006336F" w:rsidRDefault="001A288B" w:rsidP="00F4496B">
            <w:pPr>
              <w:pStyle w:val="TableTextBullet"/>
            </w:pPr>
            <w:r w:rsidRPr="0006336F">
              <w:t xml:space="preserve">Undertaking a </w:t>
            </w:r>
            <w:r w:rsidR="004B1A5C" w:rsidRPr="0006336F">
              <w:t xml:space="preserve">National Study of Adult Literacy, Numeracy and Digital Skills </w:t>
            </w:r>
          </w:p>
          <w:p w14:paraId="26537CB9" w14:textId="3C285307" w:rsidR="005035BD" w:rsidRPr="0006336F" w:rsidRDefault="001A288B" w:rsidP="00F4496B">
            <w:pPr>
              <w:pStyle w:val="TableTextBullet"/>
            </w:pPr>
            <w:r w:rsidRPr="0006336F">
              <w:t xml:space="preserve">Updating the </w:t>
            </w:r>
            <w:r w:rsidR="004B1A5C" w:rsidRPr="0006336F">
              <w:t xml:space="preserve">Australian and </w:t>
            </w:r>
            <w:r w:rsidR="000F0ED2">
              <w:t>New Zealand</w:t>
            </w:r>
            <w:r w:rsidR="004B1A5C" w:rsidRPr="0006336F">
              <w:t xml:space="preserve"> Standard Classification of Occupations to reflect modern technologies and roles</w:t>
            </w:r>
          </w:p>
        </w:tc>
        <w:tc>
          <w:tcPr>
            <w:tcW w:w="1667" w:type="pct"/>
          </w:tcPr>
          <w:p w14:paraId="1CE0F2AB" w14:textId="006CD9A5" w:rsidR="00C5384E" w:rsidRPr="0006336F" w:rsidRDefault="006D39B3" w:rsidP="00C5384E">
            <w:pPr>
              <w:pStyle w:val="TableTextLeft"/>
              <w:rPr>
                <w:b/>
                <w:bCs/>
              </w:rPr>
            </w:pPr>
            <w:r w:rsidRPr="0006336F">
              <w:rPr>
                <w:b/>
                <w:bCs/>
              </w:rPr>
              <w:t>Coordinat</w:t>
            </w:r>
            <w:r w:rsidR="003846B1" w:rsidRPr="0006336F">
              <w:rPr>
                <w:b/>
                <w:bCs/>
              </w:rPr>
              <w:t>e</w:t>
            </w:r>
            <w:r w:rsidRPr="0006336F">
              <w:rPr>
                <w:b/>
                <w:bCs/>
              </w:rPr>
              <w:t xml:space="preserve"> skill priorities </w:t>
            </w:r>
            <w:r w:rsidR="009562DB">
              <w:rPr>
                <w:b/>
                <w:bCs/>
              </w:rPr>
              <w:t>and</w:t>
            </w:r>
            <w:r w:rsidR="009562DB" w:rsidRPr="0006336F">
              <w:rPr>
                <w:b/>
                <w:bCs/>
              </w:rPr>
              <w:t xml:space="preserve"> </w:t>
            </w:r>
            <w:r w:rsidRPr="0006336F">
              <w:rPr>
                <w:b/>
                <w:bCs/>
              </w:rPr>
              <w:t>policies</w:t>
            </w:r>
          </w:p>
          <w:p w14:paraId="25A42544" w14:textId="77777777" w:rsidR="0058438A" w:rsidRPr="0006336F" w:rsidRDefault="009602A0" w:rsidP="00F4496B">
            <w:pPr>
              <w:pStyle w:val="TableTextBullet"/>
            </w:pPr>
            <w:r w:rsidRPr="0006336F">
              <w:t>Introduc</w:t>
            </w:r>
            <w:r w:rsidR="003846B1" w:rsidRPr="0006336F">
              <w:t>e</w:t>
            </w:r>
            <w:r w:rsidRPr="0006336F">
              <w:t xml:space="preserve"> </w:t>
            </w:r>
            <w:r w:rsidR="000151F9" w:rsidRPr="0006336F">
              <w:t xml:space="preserve">a </w:t>
            </w:r>
            <w:r w:rsidR="007B1B6D" w:rsidRPr="0006336F">
              <w:t>single</w:t>
            </w:r>
            <w:r w:rsidR="000A3D63" w:rsidRPr="0006336F">
              <w:t xml:space="preserve"> consolidated occupation list for temporary skilled migration</w:t>
            </w:r>
          </w:p>
          <w:p w14:paraId="431EF5EB" w14:textId="567CB1BF" w:rsidR="00493329" w:rsidRPr="0006336F" w:rsidRDefault="00493329" w:rsidP="00F4496B">
            <w:pPr>
              <w:pStyle w:val="TableTextBullet"/>
            </w:pPr>
            <w:r w:rsidRPr="0006336F">
              <w:t>Embed joint stewardship of the VET sector with states and territories to better identify and train students in areas of national priorities</w:t>
            </w:r>
          </w:p>
          <w:p w14:paraId="38BC9A18" w14:textId="499204AC" w:rsidR="00D44EC3" w:rsidRPr="0006336F" w:rsidRDefault="00D44EC3" w:rsidP="00F4496B">
            <w:pPr>
              <w:pStyle w:val="TableTextBullet"/>
            </w:pPr>
            <w:r w:rsidRPr="0006336F">
              <w:t>Promot</w:t>
            </w:r>
            <w:r w:rsidR="00424D39" w:rsidRPr="0006336F">
              <w:t>e</w:t>
            </w:r>
            <w:r w:rsidRPr="0006336F">
              <w:t xml:space="preserve"> innovation in qualifications and lifelong learning</w:t>
            </w:r>
            <w:r w:rsidR="00493329" w:rsidRPr="0006336F">
              <w:t xml:space="preserve"> to ensure</w:t>
            </w:r>
            <w:r w:rsidR="009602A0" w:rsidRPr="0006336F">
              <w:t xml:space="preserve"> </w:t>
            </w:r>
            <w:r w:rsidR="003E75A5">
              <w:t xml:space="preserve">our </w:t>
            </w:r>
            <w:r w:rsidR="009602A0" w:rsidRPr="0006336F">
              <w:t xml:space="preserve">ability to meet industry needs </w:t>
            </w:r>
          </w:p>
          <w:p w14:paraId="30DBA38D" w14:textId="422F9011" w:rsidR="006D39B3" w:rsidRPr="0006336F" w:rsidRDefault="006D39B3" w:rsidP="00C5384E">
            <w:pPr>
              <w:pStyle w:val="TableTextLeft"/>
              <w:rPr>
                <w:b/>
                <w:bCs/>
              </w:rPr>
            </w:pPr>
            <w:r w:rsidRPr="0006336F">
              <w:rPr>
                <w:b/>
                <w:bCs/>
              </w:rPr>
              <w:t>Plan for the care and support economy</w:t>
            </w:r>
          </w:p>
          <w:p w14:paraId="08284F49" w14:textId="7DD5C27A" w:rsidR="00342E7E" w:rsidRPr="0006336F" w:rsidRDefault="00944FBF" w:rsidP="00F4496B">
            <w:pPr>
              <w:pStyle w:val="TableTextBullet"/>
            </w:pPr>
            <w:r w:rsidRPr="0006336F">
              <w:t>Build capacity and steward the care economy market and workforce as a whole, to deliver quality care and support with quality jobs</w:t>
            </w:r>
          </w:p>
          <w:p w14:paraId="010278DB" w14:textId="2A19CC82" w:rsidR="006D39B3" w:rsidRPr="0006336F" w:rsidRDefault="006D39B3" w:rsidP="00C5384E">
            <w:pPr>
              <w:pStyle w:val="TableTextLeft"/>
              <w:rPr>
                <w:b/>
                <w:bCs/>
              </w:rPr>
            </w:pPr>
            <w:r w:rsidRPr="0006336F">
              <w:rPr>
                <w:b/>
                <w:bCs/>
              </w:rPr>
              <w:t>Grow our workforce to support the net zero transformation</w:t>
            </w:r>
          </w:p>
          <w:p w14:paraId="52BCD2E6" w14:textId="3AC76A06" w:rsidR="00C7315E" w:rsidRPr="0006336F" w:rsidRDefault="00EB1D0F" w:rsidP="00F4496B">
            <w:pPr>
              <w:pStyle w:val="TableTextBullet"/>
            </w:pPr>
            <w:r w:rsidRPr="0006336F">
              <w:t xml:space="preserve">Identify skill needs through the </w:t>
            </w:r>
            <w:r w:rsidR="00C7315E" w:rsidRPr="0006336F">
              <w:t xml:space="preserve">Clean Energy Capacity Study </w:t>
            </w:r>
          </w:p>
          <w:p w14:paraId="0DF41115" w14:textId="6AE64842" w:rsidR="006D39B3" w:rsidRPr="0006336F" w:rsidRDefault="00EB55A0" w:rsidP="00F4496B">
            <w:pPr>
              <w:pStyle w:val="TableTextBullet"/>
            </w:pPr>
            <w:r w:rsidRPr="0006336F">
              <w:t xml:space="preserve">Plan our energy workforce through the </w:t>
            </w:r>
            <w:r w:rsidR="006D39B3" w:rsidRPr="0006336F">
              <w:t xml:space="preserve">National Energy Workforce Strategy </w:t>
            </w:r>
          </w:p>
          <w:p w14:paraId="7516F13E" w14:textId="5583A43E" w:rsidR="00C5384E" w:rsidRPr="0006336F" w:rsidRDefault="00765A0C" w:rsidP="00C5384E">
            <w:pPr>
              <w:pStyle w:val="TableTextLeft"/>
              <w:rPr>
                <w:b/>
                <w:bCs/>
              </w:rPr>
            </w:pPr>
            <w:r w:rsidRPr="0006336F">
              <w:rPr>
                <w:b/>
                <w:bCs/>
              </w:rPr>
              <w:t>Expand our digital skills base</w:t>
            </w:r>
          </w:p>
          <w:p w14:paraId="2E564C68" w14:textId="540F4C47" w:rsidR="00AF5C9D" w:rsidRPr="0006336F" w:rsidRDefault="00580FA1" w:rsidP="00F4496B">
            <w:pPr>
              <w:pStyle w:val="TableTextBullet"/>
            </w:pPr>
            <w:r w:rsidRPr="0006336F">
              <w:t xml:space="preserve">Partner with industry to </w:t>
            </w:r>
            <w:r w:rsidR="00663E2A" w:rsidRPr="0006336F">
              <w:t>improve pathways into tech careers</w:t>
            </w:r>
          </w:p>
          <w:p w14:paraId="6BE49959" w14:textId="6CFA78B6" w:rsidR="005035BD" w:rsidRPr="0006336F" w:rsidRDefault="00580FA1" w:rsidP="00A8397B">
            <w:pPr>
              <w:pStyle w:val="TableTextBullet"/>
            </w:pPr>
            <w:r w:rsidRPr="0006336F">
              <w:t>Develop targeted strategies for priority areas, including AI, robotics and cyber security</w:t>
            </w:r>
          </w:p>
        </w:tc>
      </w:tr>
    </w:tbl>
    <w:p w14:paraId="3570596D" w14:textId="77777777" w:rsidR="00A73B6C" w:rsidRDefault="00A73B6C" w:rsidP="00A73B6C">
      <w:pPr>
        <w:pStyle w:val="ChartTableFiguresectionline"/>
        <w:rPr>
          <w:lang w:eastAsia="en-US"/>
        </w:rPr>
      </w:pPr>
    </w:p>
    <w:p w14:paraId="31C695FB" w14:textId="4C5797CB" w:rsidR="00094705" w:rsidRPr="0006336F" w:rsidRDefault="00094705" w:rsidP="00094705">
      <w:pPr>
        <w:rPr>
          <w:lang w:eastAsia="en-US"/>
        </w:rPr>
      </w:pPr>
      <w:r w:rsidRPr="0006336F">
        <w:rPr>
          <w:lang w:eastAsia="en-US"/>
        </w:rPr>
        <w:t>Meeting demand for Australia</w:t>
      </w:r>
      <w:r w:rsidR="00B16861">
        <w:rPr>
          <w:lang w:eastAsia="en-US"/>
        </w:rPr>
        <w:t>’</w:t>
      </w:r>
      <w:r w:rsidRPr="0006336F">
        <w:rPr>
          <w:lang w:eastAsia="en-US"/>
        </w:rPr>
        <w:t xml:space="preserve">s changing skills needs will be crucial for future productivity growth and labour force participation. Better identifying future trends will better equip workers with the skills and capabilities they need in the workplaces of the future, particularly in growing areas of the economy such as care, net zero and digital, </w:t>
      </w:r>
      <w:r w:rsidR="00960138" w:rsidRPr="0006336F">
        <w:rPr>
          <w:lang w:eastAsia="en-US"/>
        </w:rPr>
        <w:t xml:space="preserve">set out in Figure R.2, </w:t>
      </w:r>
      <w:r w:rsidRPr="0006336F">
        <w:rPr>
          <w:lang w:eastAsia="en-US"/>
        </w:rPr>
        <w:t xml:space="preserve">as well as for meeting other objectives such as building enough housing. Workforce planning will help governments, industry, education and training providers and people prepare and adapt to these changes and unlock the potential of our workforce. </w:t>
      </w:r>
    </w:p>
    <w:p w14:paraId="7E4AD456" w14:textId="1F6F0A76" w:rsidR="00636A9C" w:rsidRDefault="00094705" w:rsidP="00094705">
      <w:pPr>
        <w:rPr>
          <w:lang w:eastAsia="en-US"/>
        </w:rPr>
      </w:pPr>
      <w:r w:rsidRPr="0006336F">
        <w:rPr>
          <w:lang w:eastAsia="en-US"/>
        </w:rPr>
        <w:t xml:space="preserve">Education and training systems need to equip young people with skills for the future and facilitate targeted investments in upskilling for people who are already working. </w:t>
      </w:r>
      <w:r w:rsidR="00C95281">
        <w:rPr>
          <w:lang w:eastAsia="en-US"/>
        </w:rPr>
        <w:t>They</w:t>
      </w:r>
      <w:r w:rsidR="00E64C83" w:rsidRPr="0006336F">
        <w:rPr>
          <w:lang w:eastAsia="en-US"/>
        </w:rPr>
        <w:t xml:space="preserve"> must also consider the barriers that lead to gender</w:t>
      </w:r>
      <w:r w:rsidR="002A2DF0" w:rsidRPr="0006336F">
        <w:rPr>
          <w:lang w:eastAsia="en-US"/>
        </w:rPr>
        <w:t xml:space="preserve"> </w:t>
      </w:r>
      <w:r w:rsidR="00E64C83" w:rsidRPr="0006336F">
        <w:rPr>
          <w:lang w:eastAsia="en-US"/>
        </w:rPr>
        <w:t xml:space="preserve">segregation in key industries and workforces of the future. </w:t>
      </w:r>
    </w:p>
    <w:p w14:paraId="2A74812C" w14:textId="7146E6FF" w:rsidR="00094705" w:rsidRPr="0006336F" w:rsidRDefault="00E02350" w:rsidP="00094705">
      <w:pPr>
        <w:rPr>
          <w:lang w:eastAsia="en-US"/>
        </w:rPr>
      </w:pPr>
      <w:r>
        <w:rPr>
          <w:lang w:eastAsia="en-US"/>
        </w:rPr>
        <w:lastRenderedPageBreak/>
        <w:t>C</w:t>
      </w:r>
      <w:r w:rsidR="00094705" w:rsidRPr="0006336F">
        <w:rPr>
          <w:lang w:eastAsia="en-US"/>
        </w:rPr>
        <w:t>hanges in wages are not always an effective signal of which skills and occupations will be in demand, particularly in emerging sectors. Without workforce planning, it is more difficult for workers and education and training systems to predict and respond to future skill needs (</w:t>
      </w:r>
      <w:r w:rsidR="00E00FE5" w:rsidRPr="0006336F">
        <w:rPr>
          <w:lang w:eastAsia="en-US"/>
        </w:rPr>
        <w:t>Broadening access to foundation skill section</w:t>
      </w:r>
      <w:r w:rsidR="00094705" w:rsidRPr="0006336F">
        <w:rPr>
          <w:lang w:eastAsia="en-US"/>
        </w:rPr>
        <w:t>). Tailored, industry</w:t>
      </w:r>
      <w:r w:rsidR="00B16861">
        <w:rPr>
          <w:lang w:eastAsia="en-US"/>
        </w:rPr>
        <w:noBreakHyphen/>
      </w:r>
      <w:r w:rsidR="00094705" w:rsidRPr="0006336F">
        <w:rPr>
          <w:lang w:eastAsia="en-US"/>
        </w:rPr>
        <w:t xml:space="preserve">specific solutions may be required. </w:t>
      </w:r>
    </w:p>
    <w:p w14:paraId="38509195" w14:textId="5B606464" w:rsidR="00920EAF" w:rsidRPr="0006336F" w:rsidRDefault="00094705" w:rsidP="00094705">
      <w:pPr>
        <w:rPr>
          <w:lang w:eastAsia="en-US"/>
        </w:rPr>
      </w:pPr>
      <w:r w:rsidRPr="0006336F">
        <w:rPr>
          <w:lang w:eastAsia="en-US"/>
        </w:rPr>
        <w:t>Fostering collaboration between business, unions, governments and education providers is crucial to navigate workforce shortages more effectively. The establishment of Jobs and Skills Australia (JSA) has created a forum for planning for future workforce needs and c</w:t>
      </w:r>
      <w:r w:rsidR="00342072" w:rsidRPr="0006336F">
        <w:rPr>
          <w:lang w:eastAsia="en-US"/>
        </w:rPr>
        <w:t>o</w:t>
      </w:r>
      <w:r w:rsidRPr="0006336F">
        <w:rPr>
          <w:lang w:eastAsia="en-US"/>
        </w:rPr>
        <w:t>ordinating skills priorities across policy areas. JSA brings together perspectives from educators, industry, and workers, to inform development of targeted strategies to address acute skills shortages. JSA is building world</w:t>
      </w:r>
      <w:r w:rsidR="00B16861">
        <w:rPr>
          <w:lang w:eastAsia="en-US"/>
        </w:rPr>
        <w:noBreakHyphen/>
      </w:r>
      <w:r w:rsidRPr="0006336F">
        <w:rPr>
          <w:lang w:eastAsia="en-US"/>
        </w:rPr>
        <w:t xml:space="preserve">class expertise in workforce planning, </w:t>
      </w:r>
      <w:r w:rsidR="00B16861">
        <w:rPr>
          <w:lang w:eastAsia="en-US"/>
        </w:rPr>
        <w:t>‘</w:t>
      </w:r>
      <w:r w:rsidRPr="0006336F">
        <w:rPr>
          <w:lang w:eastAsia="en-US"/>
        </w:rPr>
        <w:t>now</w:t>
      </w:r>
      <w:r w:rsidR="00B16861">
        <w:rPr>
          <w:lang w:eastAsia="en-US"/>
        </w:rPr>
        <w:noBreakHyphen/>
      </w:r>
      <w:r w:rsidRPr="0006336F">
        <w:rPr>
          <w:lang w:eastAsia="en-US"/>
        </w:rPr>
        <w:t>casting</w:t>
      </w:r>
      <w:r w:rsidR="00B16861">
        <w:rPr>
          <w:lang w:eastAsia="en-US"/>
        </w:rPr>
        <w:t>’</w:t>
      </w:r>
      <w:r w:rsidRPr="0006336F">
        <w:rPr>
          <w:lang w:eastAsia="en-US"/>
        </w:rPr>
        <w:t xml:space="preserve"> employment by region and occupation each month, integrating data and analysis with industry intelligence, and considering education planning alongside workforce attraction and utilisation.</w:t>
      </w:r>
    </w:p>
    <w:p w14:paraId="2161DEC7" w14:textId="4818BEFF" w:rsidR="00920EAF" w:rsidRPr="0006336F" w:rsidRDefault="007201D4" w:rsidP="00F4496B">
      <w:pPr>
        <w:pStyle w:val="FigureMainHeadingRoadmap"/>
        <w:rPr>
          <w:lang w:eastAsia="en-US"/>
        </w:rPr>
      </w:pPr>
      <w:r w:rsidRPr="0006336F">
        <w:rPr>
          <w:lang w:eastAsia="en-US"/>
        </w:rPr>
        <w:t xml:space="preserve">Forces shaping the </w:t>
      </w:r>
      <w:r w:rsidR="003B79DF">
        <w:rPr>
          <w:lang w:eastAsia="en-US"/>
        </w:rPr>
        <w:t>labour market</w:t>
      </w:r>
      <w:r w:rsidRPr="0006336F">
        <w:rPr>
          <w:rStyle w:val="FootnoteReference"/>
          <w:lang w:eastAsia="en-US"/>
        </w:rPr>
        <w:footnoteReference w:id="2"/>
      </w:r>
    </w:p>
    <w:p w14:paraId="00152636" w14:textId="7117280F" w:rsidR="00920EAF" w:rsidRPr="0006336F" w:rsidRDefault="0075170A" w:rsidP="000B2D01">
      <w:pPr>
        <w:pStyle w:val="FigureGraphic"/>
        <w:rPr>
          <w:lang w:eastAsia="en-US"/>
        </w:rPr>
      </w:pPr>
      <w:r w:rsidRPr="0006336F">
        <w:rPr>
          <w:noProof/>
        </w:rPr>
        <w:drawing>
          <wp:inline distT="0" distB="0" distL="0" distR="0" wp14:anchorId="487FA57A" wp14:editId="01484D6F">
            <wp:extent cx="5759450" cy="2522855"/>
            <wp:effectExtent l="0" t="0" r="0" b="0"/>
            <wp:docPr id="2" name="Picture 2" descr="This figure shows the three main forces shaping the future labour market. These are the transformation to net zero, the digitalisation of the economy and the growing care economy. The figure provide numbers for projected growth in the labour market as a result of these forces. The clean energy supply workforce is projected to increase by around 127 per cent by 2033. Australia's digital and technology workforce is projected to grow by around 21 per cent by 2033. The care and support economy is forecast to grow by 22 per cent by 2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figure shows the three main forces shaping the future labour market. These are the transformation to net zero, the digitalisation of the economy and the growing care economy. The figure provide numbers for projected growth in the labour market as a result of these forces. The clean energy supply workforce is projected to increase by around 127 per cent by 2033. Australia's digital and technology workforce is projected to grow by around 21 per cent by 2033. The care and support economy is forecast to grow by 22 per cent by 20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2522855"/>
                    </a:xfrm>
                    <a:prstGeom prst="rect">
                      <a:avLst/>
                    </a:prstGeom>
                    <a:noFill/>
                    <a:ln>
                      <a:noFill/>
                    </a:ln>
                  </pic:spPr>
                </pic:pic>
              </a:graphicData>
            </a:graphic>
          </wp:inline>
        </w:drawing>
      </w:r>
    </w:p>
    <w:p w14:paraId="13AFD780" w14:textId="77777777" w:rsidR="00774D39" w:rsidRPr="0006336F" w:rsidRDefault="00774D39" w:rsidP="00F4496B">
      <w:pPr>
        <w:pStyle w:val="ChartTableFiguresectionline"/>
        <w:rPr>
          <w:lang w:eastAsia="en-US"/>
        </w:rPr>
      </w:pPr>
    </w:p>
    <w:p w14:paraId="4628C6D8" w14:textId="708558D0" w:rsidR="004B4CA5" w:rsidRPr="0006336F" w:rsidRDefault="00A047F3" w:rsidP="004B4CA5">
      <w:r w:rsidRPr="0006336F">
        <w:t xml:space="preserve">Leveraging this new institution, the Government is developing tailored responses to industry challenges. We have established </w:t>
      </w:r>
      <w:r w:rsidR="00D62E2E" w:rsidRPr="0006336F">
        <w:t>10</w:t>
      </w:r>
      <w:r w:rsidRPr="0006336F">
        <w:t xml:space="preserve"> Jobs and Skills Councils (JSCs) across </w:t>
      </w:r>
      <w:r w:rsidR="004D3F2E" w:rsidRPr="0006336F">
        <w:t>industry</w:t>
      </w:r>
      <w:r w:rsidRPr="0006336F">
        <w:t xml:space="preserve"> sectors. JSA will work in partnership with the JSCs which are adopting the same collaborative tripartite approach to workforce planning</w:t>
      </w:r>
      <w:r w:rsidR="00276B88" w:rsidRPr="0006336F">
        <w:t xml:space="preserve">. </w:t>
      </w:r>
      <w:r w:rsidR="00FD3514">
        <w:t>The Government</w:t>
      </w:r>
      <w:r w:rsidRPr="0006336F">
        <w:t xml:space="preserve"> will embed a more strategic approach to workplace planning, linking JSA and JSC guidance on skills priorities into key policy choices across the VET, higher education and migration systems. In addition to this cross</w:t>
      </w:r>
      <w:r w:rsidR="00B16861">
        <w:noBreakHyphen/>
      </w:r>
      <w:r w:rsidRPr="0006336F">
        <w:t>cutting investment in making responsive systems, we are developing tailored solutions to acute shortages</w:t>
      </w:r>
      <w:r w:rsidR="004B17E6">
        <w:t>,</w:t>
      </w:r>
      <w:r w:rsidRPr="0006336F">
        <w:t xml:space="preserve"> such as in the care and support economy.</w:t>
      </w:r>
    </w:p>
    <w:p w14:paraId="4718A0C8" w14:textId="01C8C791" w:rsidR="00202B6F" w:rsidRPr="0006336F" w:rsidRDefault="00202B6F" w:rsidP="00F4496B">
      <w:pPr>
        <w:pStyle w:val="Heading3"/>
      </w:pPr>
      <w:r w:rsidRPr="0006336F">
        <w:t xml:space="preserve">Coordinating skill priorities </w:t>
      </w:r>
      <w:r w:rsidR="00552AFC" w:rsidRPr="0006336F">
        <w:t xml:space="preserve">and policies </w:t>
      </w:r>
    </w:p>
    <w:p w14:paraId="16DCFC3D" w14:textId="52DC1DE4" w:rsidR="00202B6F" w:rsidRPr="0006336F" w:rsidRDefault="00202B6F" w:rsidP="00202B6F">
      <w:r w:rsidRPr="0006336F">
        <w:t>To meet Australia</w:t>
      </w:r>
      <w:r w:rsidR="00B16861">
        <w:t>’</w:t>
      </w:r>
      <w:r w:rsidRPr="0006336F">
        <w:t xml:space="preserve">s rapidly evolving skills needs, </w:t>
      </w:r>
      <w:r w:rsidR="00BF5DEC" w:rsidRPr="0006336F">
        <w:t xml:space="preserve">we are aligning </w:t>
      </w:r>
      <w:r w:rsidRPr="0006336F">
        <w:t>Australia</w:t>
      </w:r>
      <w:r w:rsidR="00B16861">
        <w:t>’</w:t>
      </w:r>
      <w:r w:rsidRPr="0006336F">
        <w:t xml:space="preserve">s skills system to be </w:t>
      </w:r>
      <w:r w:rsidR="00BF5DEC" w:rsidRPr="0006336F">
        <w:t xml:space="preserve">more </w:t>
      </w:r>
      <w:r w:rsidRPr="0006336F">
        <w:t xml:space="preserve">responsive to economic priorities. Decisions made across the VET, higher education and migration systems, including the location and availability of courses, the </w:t>
      </w:r>
      <w:r w:rsidR="00BA2B14" w:rsidRPr="0006336F">
        <w:t xml:space="preserve">introduction of </w:t>
      </w:r>
      <w:r w:rsidR="003F3E57" w:rsidRPr="0006336F">
        <w:t xml:space="preserve">a </w:t>
      </w:r>
      <w:r w:rsidR="00BA2B14" w:rsidRPr="0006336F">
        <w:t xml:space="preserve">new </w:t>
      </w:r>
      <w:r w:rsidRPr="0006336F">
        <w:t xml:space="preserve">occupation list </w:t>
      </w:r>
      <w:r w:rsidR="00BA2B14" w:rsidRPr="0006336F">
        <w:t xml:space="preserve">for </w:t>
      </w:r>
      <w:r w:rsidR="00BA2B14" w:rsidRPr="0006336F">
        <w:lastRenderedPageBreak/>
        <w:t xml:space="preserve">the </w:t>
      </w:r>
      <w:r w:rsidRPr="0006336F">
        <w:t>migration system and accreditation processes, all influence the skills developed. Better coordination and alignment across these policy settings would improve Australia</w:t>
      </w:r>
      <w:r w:rsidR="00B16861">
        <w:t>’</w:t>
      </w:r>
      <w:r w:rsidRPr="0006336F">
        <w:t xml:space="preserve">s ability to </w:t>
      </w:r>
      <w:r w:rsidR="0060032C" w:rsidRPr="0006336F">
        <w:t xml:space="preserve">fill </w:t>
      </w:r>
      <w:r w:rsidRPr="0006336F">
        <w:t xml:space="preserve">skills needs. </w:t>
      </w:r>
    </w:p>
    <w:p w14:paraId="36C572FF" w14:textId="77777777" w:rsidR="00202B6F" w:rsidRPr="0006336F" w:rsidRDefault="00202B6F" w:rsidP="00202B6F">
      <w:r w:rsidRPr="0006336F">
        <w:t xml:space="preserve">A responsive skills system requires targeted and holistic solutions to acute shortages. Pronounced workforce shortages require a focus on attracting workers to the industry, supporting their journey through accessible and tailored education and training, and retaining the skilled and experienced members of the workforce. </w:t>
      </w:r>
    </w:p>
    <w:p w14:paraId="4FD97B60" w14:textId="34572E9D" w:rsidR="00202B6F" w:rsidRPr="0006336F" w:rsidRDefault="00202B6F" w:rsidP="00202B6F">
      <w:r w:rsidRPr="0006336F">
        <w:t>JSA is already making a significant impact. A new annual Jobs and Skills Report will bring together detailed analysis and advice on Australia</w:t>
      </w:r>
      <w:r w:rsidR="00B16861">
        <w:t>’</w:t>
      </w:r>
      <w:r w:rsidRPr="0006336F">
        <w:t>s jobs and skills needs. JSA is undertaking in</w:t>
      </w:r>
      <w:r w:rsidR="00B16861">
        <w:noBreakHyphen/>
      </w:r>
      <w:r w:rsidRPr="0006336F">
        <w:t>depth capacity studies of national significance for the labour market and the national skills system, including a National Study of Adult Literacy, Numeracy and Digital Skills to assess the current foundation skills across Australia, and a Clean Energy Capacity Study to examine the workforce that Australia needs to transition to a clean energy economy. Advice on specific skill needs has informed the Government</w:t>
      </w:r>
      <w:r w:rsidR="00B16861">
        <w:t>’</w:t>
      </w:r>
      <w:r w:rsidRPr="0006336F">
        <w:t xml:space="preserve">s workforce actions to date, for example the design and accelerated delivery of </w:t>
      </w:r>
      <w:r w:rsidR="00796AFA" w:rsidRPr="0006336F">
        <w:t>F</w:t>
      </w:r>
      <w:r w:rsidR="00CF275E" w:rsidRPr="0006336F">
        <w:t>ee</w:t>
      </w:r>
      <w:r w:rsidR="00B16861">
        <w:noBreakHyphen/>
      </w:r>
      <w:r w:rsidR="00796AFA" w:rsidRPr="0006336F">
        <w:t>F</w:t>
      </w:r>
      <w:r w:rsidR="00CF275E" w:rsidRPr="0006336F">
        <w:t>ree</w:t>
      </w:r>
      <w:r w:rsidRPr="0006336F">
        <w:t xml:space="preserve"> TAFE places that was an outcome of the Jobs and Skills Summit</w:t>
      </w:r>
      <w:r w:rsidR="00276B88" w:rsidRPr="0006336F">
        <w:t xml:space="preserve">. </w:t>
      </w:r>
    </w:p>
    <w:p w14:paraId="6595820E" w14:textId="333FF785" w:rsidR="00E35DE5" w:rsidRPr="0006336F" w:rsidRDefault="00FD3514" w:rsidP="00202B6F">
      <w:r>
        <w:t>The Government</w:t>
      </w:r>
      <w:r w:rsidR="00202B6F" w:rsidRPr="0006336F">
        <w:t xml:space="preserve"> is progressing other initiatives to assist with workforce planning</w:t>
      </w:r>
      <w:r w:rsidR="00740B84" w:rsidRPr="0006336F">
        <w:t>.</w:t>
      </w:r>
      <w:r w:rsidR="00202B6F" w:rsidRPr="0006336F">
        <w:t xml:space="preserve"> </w:t>
      </w:r>
      <w:r w:rsidR="008F6D7B" w:rsidRPr="0006336F">
        <w:t>JSCs</w:t>
      </w:r>
      <w:r w:rsidR="00202B6F" w:rsidRPr="0006336F">
        <w:t xml:space="preserve"> have been established across</w:t>
      </w:r>
      <w:r w:rsidR="00E35DE5" w:rsidRPr="0006336F">
        <w:t>:</w:t>
      </w:r>
    </w:p>
    <w:p w14:paraId="2348750F" w14:textId="77777777" w:rsidR="00451E55" w:rsidRPr="0006336F" w:rsidRDefault="00451E55" w:rsidP="00910B38">
      <w:pPr>
        <w:pStyle w:val="Bullet"/>
        <w:sectPr w:rsidR="00451E55" w:rsidRPr="0006336F" w:rsidSect="008822F4">
          <w:headerReference w:type="even" r:id="rId13"/>
          <w:headerReference w:type="default" r:id="rId14"/>
          <w:footerReference w:type="even" r:id="rId15"/>
          <w:footerReference w:type="default" r:id="rId16"/>
          <w:footerReference w:type="first" r:id="rId17"/>
          <w:footnotePr>
            <w:numFmt w:val="lowerRoman"/>
          </w:footnotePr>
          <w:type w:val="continuous"/>
          <w:pgSz w:w="11906" w:h="16838" w:code="9"/>
          <w:pgMar w:top="2268" w:right="1418" w:bottom="1418" w:left="1418" w:header="709" w:footer="709" w:gutter="0"/>
          <w:pgNumType w:start="177"/>
          <w:cols w:space="708"/>
          <w:titlePg/>
          <w:docGrid w:linePitch="360"/>
        </w:sectPr>
      </w:pPr>
    </w:p>
    <w:p w14:paraId="4D0D9CF0" w14:textId="3C9C3314" w:rsidR="00355FC9" w:rsidRPr="0006336F" w:rsidRDefault="00355FC9" w:rsidP="00910B38">
      <w:pPr>
        <w:pStyle w:val="Bullet"/>
      </w:pPr>
      <w:r w:rsidRPr="0006336F">
        <w:t>Energy, Gas and Renewables</w:t>
      </w:r>
    </w:p>
    <w:p w14:paraId="1E4A76CF" w14:textId="3E199251" w:rsidR="00355FC9" w:rsidRPr="0006336F" w:rsidRDefault="00355FC9" w:rsidP="00910B38">
      <w:pPr>
        <w:pStyle w:val="Bullet"/>
      </w:pPr>
      <w:r w:rsidRPr="0006336F">
        <w:t>Agribusiness</w:t>
      </w:r>
    </w:p>
    <w:p w14:paraId="29BCB1F3" w14:textId="61F21427" w:rsidR="00355FC9" w:rsidRPr="0006336F" w:rsidRDefault="00355FC9" w:rsidP="00910B38">
      <w:pPr>
        <w:pStyle w:val="Bullet"/>
      </w:pPr>
      <w:r w:rsidRPr="0006336F">
        <w:t>Early Educators, Health, and Human Services</w:t>
      </w:r>
    </w:p>
    <w:p w14:paraId="47038D72" w14:textId="1A7E78F4" w:rsidR="00355FC9" w:rsidRPr="0006336F" w:rsidRDefault="00355FC9" w:rsidP="00910B38">
      <w:pPr>
        <w:pStyle w:val="Bullet"/>
      </w:pPr>
      <w:r w:rsidRPr="0006336F">
        <w:t>Arts, Personal Services, Retail, Tourism and Hospitality</w:t>
      </w:r>
    </w:p>
    <w:p w14:paraId="6E5623E8" w14:textId="3CB94264" w:rsidR="00355FC9" w:rsidRPr="0006336F" w:rsidRDefault="00355FC9" w:rsidP="00910B38">
      <w:pPr>
        <w:pStyle w:val="Bullet"/>
      </w:pPr>
      <w:r w:rsidRPr="0006336F">
        <w:t>Public Safety and Government</w:t>
      </w:r>
    </w:p>
    <w:p w14:paraId="79AC5EC8" w14:textId="11A61FD2" w:rsidR="00355FC9" w:rsidRPr="0006336F" w:rsidRDefault="00355FC9" w:rsidP="00910B38">
      <w:pPr>
        <w:pStyle w:val="Bullet"/>
      </w:pPr>
      <w:r w:rsidRPr="0006336F">
        <w:t>Manufacturing</w:t>
      </w:r>
    </w:p>
    <w:p w14:paraId="64BD2740" w14:textId="09FB00D0" w:rsidR="00355FC9" w:rsidRPr="0006336F" w:rsidRDefault="00355FC9" w:rsidP="00910B38">
      <w:pPr>
        <w:pStyle w:val="Bullet"/>
      </w:pPr>
      <w:r w:rsidRPr="0006336F">
        <w:t>Finance, Technology and Business</w:t>
      </w:r>
    </w:p>
    <w:p w14:paraId="4797A12F" w14:textId="5DD7B8EA" w:rsidR="00355FC9" w:rsidRPr="0006336F" w:rsidRDefault="00355FC9" w:rsidP="00910B38">
      <w:pPr>
        <w:pStyle w:val="Bullet"/>
      </w:pPr>
      <w:r w:rsidRPr="0006336F">
        <w:t>Mining and Automotive</w:t>
      </w:r>
    </w:p>
    <w:p w14:paraId="1F0F673C" w14:textId="64E63135" w:rsidR="00355FC9" w:rsidRPr="0006336F" w:rsidRDefault="00355FC9" w:rsidP="00910B38">
      <w:pPr>
        <w:pStyle w:val="Bullet"/>
      </w:pPr>
      <w:r w:rsidRPr="0006336F">
        <w:t>Building</w:t>
      </w:r>
      <w:r w:rsidR="00F47E1B" w:rsidRPr="0006336F">
        <w:t>,</w:t>
      </w:r>
      <w:r w:rsidRPr="0006336F">
        <w:t xml:space="preserve"> Construction and Property</w:t>
      </w:r>
    </w:p>
    <w:p w14:paraId="6A48F40B" w14:textId="24717DBC" w:rsidR="00E35DE5" w:rsidRPr="0006336F" w:rsidRDefault="00355FC9" w:rsidP="00910B38">
      <w:pPr>
        <w:pStyle w:val="Bullet"/>
      </w:pPr>
      <w:r w:rsidRPr="0006336F">
        <w:t>Transport and Logistics</w:t>
      </w:r>
    </w:p>
    <w:p w14:paraId="38422EF8" w14:textId="77777777" w:rsidR="00F367AE" w:rsidRDefault="00F367AE" w:rsidP="00FA26EA">
      <w:pPr>
        <w:pStyle w:val="Bullet"/>
        <w:numPr>
          <w:ilvl w:val="0"/>
          <w:numId w:val="0"/>
        </w:numPr>
        <w:ind w:left="284" w:hanging="284"/>
      </w:pPr>
    </w:p>
    <w:p w14:paraId="4F34EB32" w14:textId="3486F3C2" w:rsidR="00FA26EA" w:rsidRPr="0006336F" w:rsidRDefault="00FA26EA" w:rsidP="00FA26EA">
      <w:pPr>
        <w:pStyle w:val="SingleParagraph"/>
        <w:sectPr w:rsidR="00FA26EA" w:rsidRPr="0006336F" w:rsidSect="00C819FA">
          <w:type w:val="continuous"/>
          <w:pgSz w:w="11906" w:h="16838" w:code="9"/>
          <w:pgMar w:top="2268" w:right="1418" w:bottom="1418" w:left="1418" w:header="709" w:footer="709" w:gutter="0"/>
          <w:cols w:num="2" w:space="708"/>
          <w:docGrid w:linePitch="360"/>
        </w:sectPr>
      </w:pPr>
    </w:p>
    <w:p w14:paraId="655EEA70" w14:textId="076FA52D" w:rsidR="00202B6F" w:rsidRPr="0006336F" w:rsidRDefault="00202B6F" w:rsidP="00202B6F">
      <w:r w:rsidRPr="0006336F">
        <w:t>These Councils will provide industry with a stronger voice to ensure Australia</w:t>
      </w:r>
      <w:r w:rsidR="00B16861">
        <w:t>’</w:t>
      </w:r>
      <w:r w:rsidRPr="0006336F">
        <w:t>s education and training system</w:t>
      </w:r>
      <w:r w:rsidR="00E71B4A">
        <w:t>s</w:t>
      </w:r>
      <w:r w:rsidRPr="0006336F">
        <w:t xml:space="preserve"> deliver better outcomes. They bring together employers, unions and governments in a tripartite arrangement to find solutions to skills and workforce challenges. The ABS is updating the Australian and </w:t>
      </w:r>
      <w:r w:rsidR="000F0ED2">
        <w:t>New Zealand</w:t>
      </w:r>
      <w:r w:rsidRPr="0006336F">
        <w:t xml:space="preserve"> Standard Classification of Occupations (ANZSCO) to ensure official skills classifications reflect contemporary technologies and roles. </w:t>
      </w:r>
    </w:p>
    <w:p w14:paraId="0901FBDA" w14:textId="13C96100" w:rsidR="004B4CA5" w:rsidRPr="0006336F" w:rsidRDefault="00BA5781" w:rsidP="004B4CA5">
      <w:r w:rsidRPr="0006336F">
        <w:t>A</w:t>
      </w:r>
      <w:r w:rsidR="00202B6F" w:rsidRPr="0006336F">
        <w:t>dvice from JSA on skill needs will be central to policy development. JSA advice is currently informing the Government</w:t>
      </w:r>
      <w:r w:rsidR="00B16861">
        <w:t>’</w:t>
      </w:r>
      <w:r w:rsidR="00202B6F" w:rsidRPr="0006336F">
        <w:t xml:space="preserve">s approach to reforming the </w:t>
      </w:r>
      <w:r w:rsidR="00E23C0E" w:rsidRPr="0006336F">
        <w:t xml:space="preserve">higher education </w:t>
      </w:r>
      <w:r w:rsidR="00202B6F" w:rsidRPr="0006336F">
        <w:t xml:space="preserve">sector (the Universities Accord), </w:t>
      </w:r>
      <w:r w:rsidR="00260590" w:rsidRPr="0006336F">
        <w:t>government policy for</w:t>
      </w:r>
      <w:r w:rsidR="00202B6F" w:rsidRPr="0006336F">
        <w:t xml:space="preserve"> the VET sector (the next National Skills Agreement) and the migration system (through the Migration </w:t>
      </w:r>
      <w:r w:rsidR="004C6E8D" w:rsidRPr="0006336F">
        <w:t>Strategy</w:t>
      </w:r>
      <w:r w:rsidR="00202B6F" w:rsidRPr="0006336F">
        <w:t xml:space="preserve">). JSA will continue to provide advice on key areas of future demand, such as digital skills and the clean energy workforce. </w:t>
      </w:r>
      <w:r w:rsidR="00FD3514">
        <w:t>The Government</w:t>
      </w:r>
      <w:r w:rsidR="00202B6F" w:rsidRPr="0006336F">
        <w:t xml:space="preserve"> is also formulating a targeted industry strategy to address the current and future needs of the care and support sector</w:t>
      </w:r>
      <w:r w:rsidR="00276B88" w:rsidRPr="0006336F">
        <w:t xml:space="preserve">. </w:t>
      </w:r>
      <w:r w:rsidR="00902FC0" w:rsidRPr="0006336F">
        <w:t xml:space="preserve">Other policy actions, such as </w:t>
      </w:r>
      <w:r w:rsidR="003743E0" w:rsidRPr="0006336F">
        <w:t xml:space="preserve">facilitating </w:t>
      </w:r>
      <w:r w:rsidR="00902FC0" w:rsidRPr="0006336F">
        <w:t>greater upskilling and reskilling over a person</w:t>
      </w:r>
      <w:r w:rsidR="00B16861">
        <w:t>’</w:t>
      </w:r>
      <w:r w:rsidR="00902FC0" w:rsidRPr="0006336F">
        <w:t>s lifetime</w:t>
      </w:r>
      <w:r w:rsidR="003743E0" w:rsidRPr="0006336F">
        <w:t>,</w:t>
      </w:r>
      <w:r w:rsidR="00902FC0" w:rsidRPr="0006336F">
        <w:t xml:space="preserve"> </w:t>
      </w:r>
      <w:r w:rsidR="003743E0" w:rsidRPr="0006336F">
        <w:t xml:space="preserve">are discussed in </w:t>
      </w:r>
      <w:r w:rsidR="000B76C3" w:rsidRPr="0006336F">
        <w:t xml:space="preserve">the </w:t>
      </w:r>
      <w:r w:rsidR="003743E0" w:rsidRPr="0006336F">
        <w:t>Investing in skills, tertiary education and lifelong learning</w:t>
      </w:r>
      <w:r w:rsidR="000B76C3" w:rsidRPr="0006336F">
        <w:t xml:space="preserve"> section</w:t>
      </w:r>
      <w:r w:rsidR="00902FC0" w:rsidRPr="0006336F">
        <w:t>.</w:t>
      </w:r>
    </w:p>
    <w:p w14:paraId="44BED1C0" w14:textId="6C103284" w:rsidR="001A6491" w:rsidRPr="0006336F" w:rsidRDefault="001A6491" w:rsidP="00F4496B">
      <w:pPr>
        <w:pStyle w:val="Heading3"/>
      </w:pPr>
      <w:r w:rsidRPr="0006336F">
        <w:t>Planning for the care and support economy</w:t>
      </w:r>
    </w:p>
    <w:p w14:paraId="5547D4E8" w14:textId="61206020" w:rsidR="00643A6B" w:rsidRDefault="001A6491" w:rsidP="00FB2BA3">
      <w:r w:rsidRPr="0006336F">
        <w:t xml:space="preserve">Meeting the rising demand for quality care and support services requires a shift in how we view the sector. To build the supply of workers, improve quality and support productivity and sustainability, we </w:t>
      </w:r>
      <w:r w:rsidRPr="0006336F">
        <w:lastRenderedPageBreak/>
        <w:t xml:space="preserve">need to move from a piecemeal approach to one that values the sector as a whole. </w:t>
      </w:r>
      <w:r w:rsidR="00FB6BE2" w:rsidRPr="0006336F">
        <w:t xml:space="preserve">This must recognise that currently this sector is highly feminised and low paid. </w:t>
      </w:r>
    </w:p>
    <w:p w14:paraId="678194D4" w14:textId="20DE5CEA" w:rsidR="001A6491" w:rsidRPr="0006336F" w:rsidRDefault="001A6491" w:rsidP="00FB2BA3">
      <w:r w:rsidRPr="0006336F">
        <w:t>As the care and support economy grows it will have a larger impact on the economy overall. Meeting this demand will require a bigger workforce, equipped with the right skills and tools</w:t>
      </w:r>
      <w:r w:rsidR="00B6712B" w:rsidRPr="0006336F">
        <w:t xml:space="preserve"> to </w:t>
      </w:r>
      <w:r w:rsidR="000B254E" w:rsidRPr="0006336F">
        <w:t xml:space="preserve">support workers </w:t>
      </w:r>
      <w:r w:rsidR="008F7085" w:rsidRPr="0006336F">
        <w:t xml:space="preserve">to </w:t>
      </w:r>
      <w:r w:rsidR="007C7306" w:rsidRPr="0006336F">
        <w:t xml:space="preserve">deliver </w:t>
      </w:r>
      <w:r w:rsidR="00DB52D4" w:rsidRPr="0006336F">
        <w:t xml:space="preserve">higher </w:t>
      </w:r>
      <w:r w:rsidR="007C7306" w:rsidRPr="0006336F">
        <w:t>quality care</w:t>
      </w:r>
      <w:r w:rsidRPr="0006336F">
        <w:t xml:space="preserve">. Projected demand across the care </w:t>
      </w:r>
      <w:r w:rsidR="007C2311" w:rsidRPr="0006336F">
        <w:t>and support</w:t>
      </w:r>
      <w:r w:rsidRPr="0006336F">
        <w:t xml:space="preserve"> workforce will increase to around 80</w:t>
      </w:r>
      <w:r w:rsidR="003D1019" w:rsidRPr="0006336F">
        <w:t>1</w:t>
      </w:r>
      <w:r w:rsidRPr="0006336F">
        <w:t>,</w:t>
      </w:r>
      <w:r w:rsidR="003D1019" w:rsidRPr="0006336F">
        <w:t>7</w:t>
      </w:r>
      <w:r w:rsidRPr="0006336F">
        <w:t>00</w:t>
      </w:r>
      <w:r w:rsidR="00821961">
        <w:t> </w:t>
      </w:r>
      <w:r w:rsidRPr="0006336F">
        <w:t>workers by 2033, up from around 65</w:t>
      </w:r>
      <w:r w:rsidR="003D1019" w:rsidRPr="0006336F">
        <w:t>7</w:t>
      </w:r>
      <w:r w:rsidRPr="0006336F">
        <w:t>,</w:t>
      </w:r>
      <w:r w:rsidR="003D1019" w:rsidRPr="0006336F">
        <w:t>2</w:t>
      </w:r>
      <w:r w:rsidRPr="0006336F">
        <w:t>00 workers today.</w:t>
      </w:r>
      <w:r w:rsidR="00AE0DE8" w:rsidRPr="0006336F">
        <w:rPr>
          <w:rStyle w:val="EndnoteReference"/>
        </w:rPr>
        <w:endnoteReference w:id="2"/>
      </w:r>
      <w:r w:rsidRPr="0006336F">
        <w:t xml:space="preserve"> This growth presents significant opportunities for workers to move into the sector and provide the foundations for better </w:t>
      </w:r>
      <w:r w:rsidR="0086786F">
        <w:t xml:space="preserve">care </w:t>
      </w:r>
      <w:r w:rsidRPr="0006336F">
        <w:t xml:space="preserve">outcomes. </w:t>
      </w:r>
    </w:p>
    <w:p w14:paraId="7137804C" w14:textId="0F268E36" w:rsidR="001A6491" w:rsidRPr="0006336F" w:rsidRDefault="001A6491" w:rsidP="001A6491">
      <w:r w:rsidRPr="0006336F">
        <w:t xml:space="preserve">To address immediate skills needs, the Government has established a new </w:t>
      </w:r>
      <w:r w:rsidR="00F6240B" w:rsidRPr="0006336F">
        <w:t>A</w:t>
      </w:r>
      <w:r w:rsidRPr="0006336F">
        <w:t xml:space="preserve">ged </w:t>
      </w:r>
      <w:r w:rsidR="00F6240B" w:rsidRPr="0006336F">
        <w:t>C</w:t>
      </w:r>
      <w:r w:rsidRPr="0006336F">
        <w:t xml:space="preserve">are </w:t>
      </w:r>
      <w:r w:rsidR="00F6240B" w:rsidRPr="0006336F">
        <w:t>Industry</w:t>
      </w:r>
      <w:r w:rsidRPr="0006336F">
        <w:t xml:space="preserve"> </w:t>
      </w:r>
      <w:r w:rsidR="006F37D4" w:rsidRPr="0006336F">
        <w:t>L</w:t>
      </w:r>
      <w:r w:rsidRPr="0006336F">
        <w:t xml:space="preserve">abour </w:t>
      </w:r>
      <w:r w:rsidR="00F6240B" w:rsidRPr="0006336F">
        <w:t>A</w:t>
      </w:r>
      <w:r w:rsidRPr="0006336F">
        <w:t xml:space="preserve">greement to help employers bring in migrant workers to meet critical workforce shortages. </w:t>
      </w:r>
    </w:p>
    <w:p w14:paraId="7941EA67" w14:textId="52F7B3FF" w:rsidR="001A6491" w:rsidRPr="0006336F" w:rsidRDefault="00FD3514" w:rsidP="001A6491">
      <w:r>
        <w:t>The Government</w:t>
      </w:r>
      <w:r w:rsidR="001A6491" w:rsidRPr="0006336F">
        <w:t xml:space="preserve"> is also growing our long</w:t>
      </w:r>
      <w:r w:rsidR="00B16861">
        <w:noBreakHyphen/>
      </w:r>
      <w:r w:rsidR="001A6491" w:rsidRPr="0006336F">
        <w:t xml:space="preserve">term workforce. This includes working with states and territories to prioritise enrolments through the National Skills Agreement, as well as improving pay and conditions to reflect the value of this work. </w:t>
      </w:r>
      <w:r>
        <w:t>The Government</w:t>
      </w:r>
      <w:r w:rsidR="001A6491" w:rsidRPr="0006336F">
        <w:t xml:space="preserve"> delivered the largest ever pay rise to aged care workers. </w:t>
      </w:r>
      <w:r>
        <w:t>The Government</w:t>
      </w:r>
      <w:r w:rsidR="001A6491" w:rsidRPr="0006336F">
        <w:t xml:space="preserve"> is investing </w:t>
      </w:r>
      <w:r w:rsidR="00232925" w:rsidRPr="0006336F">
        <w:t>in</w:t>
      </w:r>
      <w:r w:rsidR="001A6491" w:rsidRPr="0006336F">
        <w:t xml:space="preserve"> a National Worker Registration Scheme, which will help professionalise the aged care sector. </w:t>
      </w:r>
    </w:p>
    <w:p w14:paraId="70CA68ED" w14:textId="6A31BA6B" w:rsidR="001A6491" w:rsidRPr="0006336F" w:rsidRDefault="00FD3514" w:rsidP="001A6491">
      <w:r>
        <w:t>The Government</w:t>
      </w:r>
      <w:r w:rsidR="001A6491" w:rsidRPr="0006336F">
        <w:t xml:space="preserve"> is taking action to better understand workforce needs. JSA is developing an early childhood education and care (ECEC) workforce capacity study. This is in addition to </w:t>
      </w:r>
      <w:r w:rsidR="00607B7A" w:rsidRPr="0006336F">
        <w:t xml:space="preserve">investing </w:t>
      </w:r>
      <w:r w:rsidR="00D212B7" w:rsidRPr="0006336F">
        <w:t>in</w:t>
      </w:r>
      <w:r w:rsidR="001A6491" w:rsidRPr="0006336F">
        <w:t xml:space="preserve"> the skills and training of more than 80,000 early childhood educators, with a targeted focus on regional and remote services, </w:t>
      </w:r>
      <w:r w:rsidR="001A6491" w:rsidRPr="009F46EF">
        <w:t xml:space="preserve">and </w:t>
      </w:r>
      <w:r w:rsidR="009F46EF" w:rsidRPr="009F46EF">
        <w:t xml:space="preserve">Aboriginal and Torres Strait Islander </w:t>
      </w:r>
      <w:r w:rsidR="001A6491" w:rsidRPr="009F46EF">
        <w:t>organisations</w:t>
      </w:r>
      <w:r w:rsidR="001A6491" w:rsidRPr="0006336F">
        <w:t xml:space="preserve">. HumanAbility, the newly established </w:t>
      </w:r>
      <w:r w:rsidR="0023496D" w:rsidRPr="0006336F">
        <w:t>JSC</w:t>
      </w:r>
      <w:r w:rsidR="001A6491" w:rsidRPr="0006336F">
        <w:t xml:space="preserve"> for Early Educators, Health and Human Services, support strengthened career pathways and workforce professionalisation. </w:t>
      </w:r>
      <w:r>
        <w:t>The Government</w:t>
      </w:r>
      <w:r w:rsidR="001A6491" w:rsidRPr="0006336F">
        <w:t xml:space="preserve"> is also considering how to build a more effective ECEC system through the Productivity Commission inquiry into ECEC and the Australian Competition and Consumer Commission</w:t>
      </w:r>
      <w:r w:rsidR="00B16861">
        <w:t>’</w:t>
      </w:r>
      <w:r w:rsidR="001A6491" w:rsidRPr="0006336F">
        <w:t>s pricing inquiry.</w:t>
      </w:r>
      <w:r w:rsidR="001A6491" w:rsidRPr="0006336F">
        <w:tab/>
      </w:r>
    </w:p>
    <w:p w14:paraId="20284183" w14:textId="10C998AE" w:rsidR="001A6491" w:rsidRPr="0006336F" w:rsidRDefault="001A6491" w:rsidP="001A6491">
      <w:r w:rsidRPr="0006336F">
        <w:t>Harnessing opportunities in the care and support economy requires considering the sector collectively</w:t>
      </w:r>
      <w:r w:rsidR="00FD3514">
        <w:t xml:space="preserve"> – </w:t>
      </w:r>
      <w:r w:rsidRPr="0006336F">
        <w:t xml:space="preserve">recognising </w:t>
      </w:r>
      <w:r w:rsidR="00891593" w:rsidRPr="0006336F">
        <w:t xml:space="preserve">that </w:t>
      </w:r>
      <w:r w:rsidRPr="0006336F">
        <w:t>changes in one area such as aged or disability care can have flow</w:t>
      </w:r>
      <w:r w:rsidR="00B16861">
        <w:noBreakHyphen/>
      </w:r>
      <w:r w:rsidRPr="0006336F">
        <w:t xml:space="preserve">on effects for other areas. </w:t>
      </w:r>
      <w:r w:rsidR="00FD3514">
        <w:t>The Government</w:t>
      </w:r>
      <w:r w:rsidRPr="0006336F">
        <w:t xml:space="preserve"> will release a National Strategy for the Care and Support Economy to realise the three goals that underpin the Government</w:t>
      </w:r>
      <w:r w:rsidR="00B16861">
        <w:t>’</w:t>
      </w:r>
      <w:r w:rsidRPr="0006336F">
        <w:t xml:space="preserve">s vision for </w:t>
      </w:r>
      <w:r w:rsidR="00C805D9">
        <w:t>sector</w:t>
      </w:r>
      <w:r w:rsidRPr="0006336F">
        <w:t xml:space="preserve">: quality care and support, quality jobs, and </w:t>
      </w:r>
      <w:r w:rsidR="00643C83" w:rsidRPr="0006336F">
        <w:t xml:space="preserve">that it is </w:t>
      </w:r>
      <w:r w:rsidRPr="0006336F">
        <w:t xml:space="preserve">productive and sustainable. </w:t>
      </w:r>
    </w:p>
    <w:p w14:paraId="364728BC" w14:textId="6C876016" w:rsidR="00866EB5" w:rsidRPr="0006336F" w:rsidRDefault="00FD3514" w:rsidP="001A6491">
      <w:r>
        <w:t>The Government</w:t>
      </w:r>
      <w:r w:rsidR="001A6491" w:rsidRPr="0006336F">
        <w:t xml:space="preserve"> is getting the settings right to attract and retain workers, recognising the increasingly professionalised nature of the workforce. Core to building the workforce is supporting </w:t>
      </w:r>
      <w:r w:rsidR="007E287F" w:rsidRPr="0006336F">
        <w:t xml:space="preserve">quality working conditions and fair wages. </w:t>
      </w:r>
      <w:r w:rsidR="001A6491" w:rsidRPr="0006336F">
        <w:t>The requirement to undertake unpaid practicum placements discourages many students in care and teaching professions from enrolling and completing courses. For example, Diploma of Nursing students must complete a minimum of 400 hours, typically unpaid, in a clinical placement throughout their course (VET sector), Bachelor of Nursing students must complete 800</w:t>
      </w:r>
      <w:r w:rsidR="00821961">
        <w:t> </w:t>
      </w:r>
      <w:r w:rsidR="001A6491" w:rsidRPr="0006336F">
        <w:t>hours (higher education sector) and Bachelor of Midwifery must complete in excess of 1,000</w:t>
      </w:r>
      <w:r w:rsidR="00821961">
        <w:t> </w:t>
      </w:r>
      <w:r w:rsidR="001A6491" w:rsidRPr="0006336F">
        <w:t xml:space="preserve">hours (higher education sector). </w:t>
      </w:r>
    </w:p>
    <w:p w14:paraId="24BAD71C" w14:textId="5236D771" w:rsidR="00716AAF" w:rsidRPr="0006336F" w:rsidRDefault="00FD3514" w:rsidP="001A6491">
      <w:r>
        <w:t>The Government</w:t>
      </w:r>
      <w:r w:rsidR="001A6491" w:rsidRPr="0006336F">
        <w:t xml:space="preserve"> will undertake scoping work on approaches to mitigate financial hardship placed on tertiary students completing unpaid mandatory practicum placements as part of studies in care </w:t>
      </w:r>
      <w:r w:rsidR="00F22E9F" w:rsidRPr="0006336F">
        <w:t>and teaching</w:t>
      </w:r>
      <w:r w:rsidR="001A6491" w:rsidRPr="0006336F">
        <w:t xml:space="preserve"> professions. </w:t>
      </w:r>
      <w:r w:rsidR="00DD7FFD" w:rsidRPr="0006336F">
        <w:t>With the growing need in the care and support workforce, and many NDIS participants and carers expressing a preference to do more formal work, a future priority will be considering how to help interested carers and NDIS participants move into the care and support workforce given their skills and lived experience</w:t>
      </w:r>
      <w:r w:rsidR="00567858" w:rsidRPr="0006336F">
        <w:t>.</w:t>
      </w:r>
      <w:r w:rsidR="00DD7FFD" w:rsidRPr="0006336F" w:rsidDel="00DD7FFD">
        <w:t xml:space="preserve"> </w:t>
      </w:r>
    </w:p>
    <w:p w14:paraId="05632DCD" w14:textId="55911B72" w:rsidR="001A6491" w:rsidRPr="0006336F" w:rsidRDefault="00FD3514" w:rsidP="001A6491">
      <w:r>
        <w:t>The Government</w:t>
      </w:r>
      <w:r w:rsidR="001A6491" w:rsidRPr="0006336F">
        <w:t xml:space="preserve"> is also supporting increased quality of care by improving productivity in the sector. For example, streamlined worker screening arrangements can reduce time spent on worker screening checks when employees change their employer or work across sectors. Supporting existing workers to </w:t>
      </w:r>
      <w:r w:rsidR="001A6491" w:rsidRPr="0006336F">
        <w:lastRenderedPageBreak/>
        <w:t xml:space="preserve">operate at the top of their scope of practice could improve productivity and deliver quality care. Improving productivity extends to ensuring regulation and funding are fit for purpose. This requires better evaluating and understand how the markets are operating. JSA will play a central role in providing independent advice on workforce topics, including the care and support workforce. </w:t>
      </w:r>
    </w:p>
    <w:p w14:paraId="48E0BFA1" w14:textId="77777777" w:rsidR="001A6491" w:rsidRPr="0006336F" w:rsidRDefault="001A6491" w:rsidP="00F4496B">
      <w:pPr>
        <w:pStyle w:val="Heading3"/>
      </w:pPr>
      <w:r w:rsidRPr="0006336F">
        <w:t>Growing our workforce to support the net zero transformation</w:t>
      </w:r>
    </w:p>
    <w:p w14:paraId="71245921" w14:textId="7E2AC03F" w:rsidR="001A6491" w:rsidRPr="0006336F" w:rsidRDefault="001A6491" w:rsidP="001A6491">
      <w:r w:rsidRPr="0006336F">
        <w:t>Achieving Australia</w:t>
      </w:r>
      <w:r w:rsidR="00B16861">
        <w:t>’</w:t>
      </w:r>
      <w:r w:rsidRPr="0006336F">
        <w:t>s</w:t>
      </w:r>
      <w:r w:rsidR="0093436C" w:rsidRPr="0006336F">
        <w:t xml:space="preserve"> legislated target of</w:t>
      </w:r>
      <w:r w:rsidRPr="0006336F">
        <w:t xml:space="preserve"> net zero by 2050 will require systematic effort to expand our workforce. While a range of roles and sectors will need to grow, expanding the supply of workers involved in generation, transmission and storage of renewable energy sources will be critical. </w:t>
      </w:r>
      <w:r w:rsidR="006D780D" w:rsidRPr="0006336F">
        <w:t>Deloitte projections for JSA show that the occupations key to the clean energy workforce will need to increase by around 30</w:t>
      </w:r>
      <w:r w:rsidR="00B16861">
        <w:t> per c</w:t>
      </w:r>
      <w:r w:rsidR="006D780D" w:rsidRPr="0006336F">
        <w:t xml:space="preserve">ent by 2033 to deliver the net zero </w:t>
      </w:r>
      <w:r w:rsidR="002C232C" w:rsidRPr="0006336F">
        <w:t>transition. This represents an increase of 213,000 workers. It is likely there will need to be a 127</w:t>
      </w:r>
      <w:r w:rsidR="00B16861">
        <w:t> per c</w:t>
      </w:r>
      <w:r w:rsidR="002C232C" w:rsidRPr="0006336F">
        <w:t>ent increase in the clean energy supply workforce alone</w:t>
      </w:r>
      <w:r w:rsidR="006D780D" w:rsidRPr="0006336F">
        <w:t>.</w:t>
      </w:r>
      <w:r w:rsidR="006D780D" w:rsidRPr="0006336F">
        <w:rPr>
          <w:rStyle w:val="FootnoteReference"/>
        </w:rPr>
        <w:footnoteReference w:id="3"/>
      </w:r>
      <w:r w:rsidR="006D780D" w:rsidRPr="0006336F">
        <w:rPr>
          <w:vertAlign w:val="superscript"/>
        </w:rPr>
        <w:t>,</w:t>
      </w:r>
      <w:r w:rsidR="006D780D" w:rsidRPr="0006336F">
        <w:rPr>
          <w:rStyle w:val="EndnoteReference"/>
        </w:rPr>
        <w:endnoteReference w:id="3"/>
      </w:r>
      <w:r w:rsidR="006D780D" w:rsidRPr="0006336F">
        <w:t xml:space="preserve"> The competition across the world for specialised skill sets in clean energy is increasing so we need to plan. </w:t>
      </w:r>
    </w:p>
    <w:p w14:paraId="1A7C386F" w14:textId="5B5914C4" w:rsidR="001A6491" w:rsidRPr="0006336F" w:rsidRDefault="00FD3514" w:rsidP="001A6491">
      <w:r>
        <w:t>The Government</w:t>
      </w:r>
      <w:r w:rsidR="001A6491" w:rsidRPr="0006336F">
        <w:t xml:space="preserve"> has already started to make focused investments in developing the workforce needed for the net zero transformation. </w:t>
      </w:r>
      <w:r w:rsidR="0092459F" w:rsidRPr="0006336F">
        <w:t>We are</w:t>
      </w:r>
      <w:r w:rsidR="001A6491" w:rsidRPr="0006336F">
        <w:t xml:space="preserve"> supporting the next generation of workers into the clean energy sector and ha</w:t>
      </w:r>
      <w:r w:rsidR="0092459F" w:rsidRPr="0006336F">
        <w:t>ve</w:t>
      </w:r>
      <w:r w:rsidR="001A6491" w:rsidRPr="0006336F">
        <w:t xml:space="preserve"> committed to delivering 10,000 New Energy Apprentices</w:t>
      </w:r>
      <w:r w:rsidR="00276B88" w:rsidRPr="0006336F">
        <w:t xml:space="preserve">. </w:t>
      </w:r>
      <w:r w:rsidR="001A6491" w:rsidRPr="0006336F">
        <w:t xml:space="preserve">This is providing direct financial assistance to </w:t>
      </w:r>
      <w:r w:rsidR="005F407A" w:rsidRPr="0006336F">
        <w:t>a</w:t>
      </w:r>
      <w:r w:rsidR="001A6491" w:rsidRPr="0006336F">
        <w:t xml:space="preserve">pprentices in the clean energy sector, incentivising for example more civil engineering technicians, electrical </w:t>
      </w:r>
      <w:r w:rsidR="009522D9" w:rsidRPr="0006336F">
        <w:t>line workers</w:t>
      </w:r>
      <w:r w:rsidR="001A6491" w:rsidRPr="0006336F">
        <w:t xml:space="preserve">, general electricians and metal fabricators. </w:t>
      </w:r>
    </w:p>
    <w:p w14:paraId="2A8DAE1A" w14:textId="38D56449" w:rsidR="001A6491" w:rsidRPr="0006336F" w:rsidRDefault="001A6491" w:rsidP="001A6491">
      <w:r w:rsidRPr="0006336F">
        <w:t xml:space="preserve">Transforming our economy and our energy systems to net zero requires a systematic and sustained effort to scale up our clean energy workforce. Facilitating pathways into the sector needs to harness the breadth and depth of policies available. This will require reskilling and upskilling workers, broadening the pool of workers we hire from to consider more diverse candidates, and broadening where we hire from to attract experts from around the world. The </w:t>
      </w:r>
      <w:r w:rsidR="009A7BEB" w:rsidRPr="0006336F">
        <w:t>JSA</w:t>
      </w:r>
      <w:r w:rsidRPr="0006336F">
        <w:t xml:space="preserve"> Clean Energy Capacity Study will map out the workforce requirements, outline the workforce pathways and make recommendations on the policies required to get us there.</w:t>
      </w:r>
    </w:p>
    <w:p w14:paraId="185CE2A1" w14:textId="24FC194B" w:rsidR="001A6491" w:rsidRPr="005E5903" w:rsidRDefault="001A6491" w:rsidP="001A6491">
      <w:pPr>
        <w:rPr>
          <w:spacing w:val="-2"/>
        </w:rPr>
      </w:pPr>
      <w:r w:rsidRPr="005E5903">
        <w:rPr>
          <w:spacing w:val="-2"/>
        </w:rPr>
        <w:t xml:space="preserve">Building on the JSA study, the Government is working to develop workforce pathways to increase the pipeline of workers in the sector. </w:t>
      </w:r>
      <w:r w:rsidR="00873234" w:rsidRPr="005E5903">
        <w:rPr>
          <w:spacing w:val="-2"/>
        </w:rPr>
        <w:t>We are</w:t>
      </w:r>
      <w:r w:rsidRPr="005E5903">
        <w:rPr>
          <w:spacing w:val="-2"/>
        </w:rPr>
        <w:t xml:space="preserve"> developing the National Energy Workforce Strategy to be released by the end of 2024. The Strategy will seek to address key challenges for the energy workforce, including attracting and retaining workers, ensuring productive quality careers in energy supply and demand sectors, and improving coordination between the Australian, state and territory governments. </w:t>
      </w:r>
      <w:r w:rsidR="00FD3514" w:rsidRPr="005E5903">
        <w:rPr>
          <w:spacing w:val="-2"/>
        </w:rPr>
        <w:t>The Government</w:t>
      </w:r>
      <w:r w:rsidRPr="005E5903">
        <w:rPr>
          <w:spacing w:val="-2"/>
        </w:rPr>
        <w:t xml:space="preserve"> will also work with the newly established </w:t>
      </w:r>
      <w:r w:rsidR="0023496D" w:rsidRPr="005E5903">
        <w:rPr>
          <w:spacing w:val="-2"/>
        </w:rPr>
        <w:t>JSC</w:t>
      </w:r>
      <w:r w:rsidRPr="005E5903">
        <w:rPr>
          <w:spacing w:val="-2"/>
        </w:rPr>
        <w:t xml:space="preserve"> for the energy sectors, Powering Skills Organisation, to leverage their insight on addressing skills and workforce challenges in the energy sector.</w:t>
      </w:r>
    </w:p>
    <w:p w14:paraId="194BC915" w14:textId="4322CD90" w:rsidR="00822637" w:rsidRPr="005E5903" w:rsidRDefault="00644C7D" w:rsidP="005E5903">
      <w:pPr>
        <w:keepLines/>
        <w:rPr>
          <w:spacing w:val="-2"/>
        </w:rPr>
      </w:pPr>
      <w:r w:rsidRPr="005E5903">
        <w:rPr>
          <w:spacing w:val="-2"/>
        </w:rPr>
        <w:t>In addition, the Government has formalised its commitment to gender equality in the clean energy transition by signing up to the equal pay, equal leadership and equal opportunity objectives of the global Equal by 30 campaign. This involves working to close the gender gap across the Australian clean energy sector, including by creating an Australian Women in Energy Roundtable, working across government agencies to build a Women in Energy Resources Hub, and expanding engagement across domestic and international forums within the energy sector by championing diversity and gender equality</w:t>
      </w:r>
      <w:r w:rsidR="00822637" w:rsidRPr="005E5903">
        <w:rPr>
          <w:spacing w:val="-2"/>
        </w:rPr>
        <w:t xml:space="preserve">. </w:t>
      </w:r>
    </w:p>
    <w:p w14:paraId="3E6F0365" w14:textId="59EC0F01" w:rsidR="001A6491" w:rsidRPr="0006336F" w:rsidRDefault="001A6491" w:rsidP="00F4496B">
      <w:pPr>
        <w:pStyle w:val="Heading3"/>
      </w:pPr>
      <w:r w:rsidRPr="0006336F">
        <w:lastRenderedPageBreak/>
        <w:t xml:space="preserve">Expanding our digital skills base </w:t>
      </w:r>
    </w:p>
    <w:p w14:paraId="43E2096A" w14:textId="7663147B" w:rsidR="001A6491" w:rsidRPr="0006336F" w:rsidRDefault="001A6491" w:rsidP="001A6491">
      <w:r w:rsidRPr="0006336F">
        <w:t>Our economy is becoming increasingly digital and more workers need to perform tech</w:t>
      </w:r>
      <w:r w:rsidR="00B16861">
        <w:noBreakHyphen/>
      </w:r>
      <w:r w:rsidRPr="0006336F">
        <w:t xml:space="preserve">related tasks. We need to uplift foundation digital skills across our workforce and expand the supply of workers with specialist digital skills in our economy. </w:t>
      </w:r>
      <w:r w:rsidR="00582962" w:rsidRPr="0006336F">
        <w:t>Victoria University projections for JSA show tech occupations will grow by 12</w:t>
      </w:r>
      <w:r w:rsidR="00B16861">
        <w:t> per c</w:t>
      </w:r>
      <w:r w:rsidR="00582962" w:rsidRPr="0006336F">
        <w:t>ent over the next five</w:t>
      </w:r>
      <w:r w:rsidR="000F0ED2">
        <w:t> year</w:t>
      </w:r>
      <w:r w:rsidR="00582962" w:rsidRPr="0006336F">
        <w:t>s to 2028, and by around 21</w:t>
      </w:r>
      <w:r w:rsidR="00B16861">
        <w:t> per c</w:t>
      </w:r>
      <w:r w:rsidR="00582962" w:rsidRPr="0006336F">
        <w:t>ent over the 10</w:t>
      </w:r>
      <w:r w:rsidR="000F0ED2">
        <w:t> year</w:t>
      </w:r>
      <w:r w:rsidR="00582962" w:rsidRPr="0006336F">
        <w:t>s to 2033.</w:t>
      </w:r>
      <w:r w:rsidR="00582962" w:rsidRPr="00A2348F">
        <w:rPr>
          <w:rStyle w:val="FootnoteReference"/>
        </w:rPr>
        <w:footnoteReference w:id="4"/>
      </w:r>
      <w:r w:rsidR="00A2348F" w:rsidRPr="001965A3">
        <w:rPr>
          <w:vertAlign w:val="superscript"/>
        </w:rPr>
        <w:t>,</w:t>
      </w:r>
      <w:r w:rsidR="008F544F" w:rsidRPr="0006336F">
        <w:rPr>
          <w:rStyle w:val="EndnoteReference"/>
        </w:rPr>
        <w:endnoteReference w:id="4"/>
      </w:r>
      <w:r w:rsidR="00A2348F">
        <w:t xml:space="preserve"> </w:t>
      </w:r>
      <w:r w:rsidRPr="0006336F">
        <w:t>Tech</w:t>
      </w:r>
      <w:r w:rsidR="00B16861">
        <w:noBreakHyphen/>
      </w:r>
      <w:r w:rsidRPr="0006336F">
        <w:t>related shortages are spread across the economy and are not constrained to one sector, making it challenging to address in a targeted manner. Achieving the Government</w:t>
      </w:r>
      <w:r w:rsidR="00B16861">
        <w:t>’</w:t>
      </w:r>
      <w:r w:rsidRPr="0006336F">
        <w:t>s goal of 1.2</w:t>
      </w:r>
      <w:r w:rsidR="000F0ED2">
        <w:t> million</w:t>
      </w:r>
      <w:r w:rsidRPr="0006336F">
        <w:t xml:space="preserve"> tech</w:t>
      </w:r>
      <w:r w:rsidR="00B16861">
        <w:noBreakHyphen/>
      </w:r>
      <w:r w:rsidRPr="0006336F">
        <w:t>related jobs by 2030 will require a broad</w:t>
      </w:r>
      <w:r w:rsidR="00B16861">
        <w:noBreakHyphen/>
      </w:r>
      <w:r w:rsidRPr="0006336F">
        <w:t>based approach and better collaboration between industry, the education and training system</w:t>
      </w:r>
      <w:r w:rsidR="00A2348F">
        <w:t>s</w:t>
      </w:r>
      <w:r w:rsidRPr="0006336F">
        <w:t xml:space="preserve"> and the migration system. </w:t>
      </w:r>
    </w:p>
    <w:p w14:paraId="51900B89" w14:textId="5215A267" w:rsidR="001A6491" w:rsidRPr="0006336F" w:rsidRDefault="001A6491" w:rsidP="001A6491">
      <w:r w:rsidRPr="0006336F">
        <w:t xml:space="preserve">Better coordination, analysis and planning for the tech workforce are </w:t>
      </w:r>
      <w:r w:rsidR="00B22234">
        <w:t>vital</w:t>
      </w:r>
      <w:r w:rsidR="00B22234" w:rsidRPr="0006336F" w:rsidDel="00B22234">
        <w:t xml:space="preserve"> </w:t>
      </w:r>
      <w:r w:rsidRPr="0006336F">
        <w:t xml:space="preserve">to unlocking productivity opportunities across the country. </w:t>
      </w:r>
      <w:r w:rsidR="00FD3514">
        <w:t>The Government</w:t>
      </w:r>
      <w:r w:rsidRPr="0006336F">
        <w:t xml:space="preserve"> has taken a first step in this direction by establishing the Future Skills Organisation, a </w:t>
      </w:r>
      <w:r w:rsidR="0023496D" w:rsidRPr="0006336F">
        <w:t>JSC</w:t>
      </w:r>
      <w:r w:rsidRPr="0006336F">
        <w:t xml:space="preserve"> that covers key areas of the tech industry and works in partnership with JSA to align workforce planning for the tech sector</w:t>
      </w:r>
      <w:r w:rsidR="00276B88" w:rsidRPr="0006336F">
        <w:t>.</w:t>
      </w:r>
    </w:p>
    <w:p w14:paraId="1E17736B" w14:textId="2ED60626" w:rsidR="001A6491" w:rsidRPr="0006336F" w:rsidRDefault="001A6491" w:rsidP="001A6491">
      <w:r w:rsidRPr="0006336F">
        <w:t xml:space="preserve">A challenge to growing the pipeline of digitally skilled workers is a lack of awareness of technologies and associated jobs. This leads to a lack of diversity and narrows the pool of potential workers. </w:t>
      </w:r>
      <w:r w:rsidR="001718AE" w:rsidRPr="0006336F">
        <w:rPr>
          <w:lang w:eastAsia="en-US"/>
        </w:rPr>
        <w:t xml:space="preserve">Building stronger and more inclusive foundations in science and technology will better equip workers for the modern job market. </w:t>
      </w:r>
      <w:r w:rsidRPr="0006336F">
        <w:t>Women, older Australians and regional Australians are under</w:t>
      </w:r>
      <w:r w:rsidR="00B16861">
        <w:noBreakHyphen/>
      </w:r>
      <w:r w:rsidRPr="0006336F">
        <w:t xml:space="preserve">represented in digital jobs. Ensuring training and pathways into tech jobs are fit for purpose will help increase the diversity of workers coming into the sector. </w:t>
      </w:r>
    </w:p>
    <w:p w14:paraId="04B391E3" w14:textId="3EAF61A9" w:rsidR="001A6491" w:rsidRPr="0006336F" w:rsidRDefault="00FD3514" w:rsidP="001A6491">
      <w:r>
        <w:t>The Government</w:t>
      </w:r>
      <w:r w:rsidR="001A6491" w:rsidRPr="0006336F">
        <w:t xml:space="preserve"> has already taken action to boost training opportunities. Technology and digital skills courses are a core part of the Government</w:t>
      </w:r>
      <w:r w:rsidR="00B16861">
        <w:t>’</w:t>
      </w:r>
      <w:r w:rsidR="001A6491" w:rsidRPr="0006336F">
        <w:t xml:space="preserve">s </w:t>
      </w:r>
      <w:r w:rsidR="005B1D72" w:rsidRPr="0006336F">
        <w:t>F</w:t>
      </w:r>
      <w:r w:rsidR="00CF275E" w:rsidRPr="0006336F">
        <w:t>ee</w:t>
      </w:r>
      <w:r w:rsidR="00B16861">
        <w:noBreakHyphen/>
      </w:r>
      <w:r w:rsidR="005B1D72" w:rsidRPr="0006336F">
        <w:t>F</w:t>
      </w:r>
      <w:r w:rsidR="00CF275E" w:rsidRPr="0006336F">
        <w:t>ree</w:t>
      </w:r>
      <w:r w:rsidR="001A6491" w:rsidRPr="0006336F">
        <w:t xml:space="preserve"> TAFE places</w:t>
      </w:r>
      <w:r w:rsidR="005F5B6B" w:rsidRPr="0006336F">
        <w:t xml:space="preserve"> delivered in 2023</w:t>
      </w:r>
      <w:r w:rsidR="001A6491" w:rsidRPr="0006336F">
        <w:t xml:space="preserve">, with </w:t>
      </w:r>
      <w:r w:rsidR="006C4081" w:rsidRPr="0006336F">
        <w:t xml:space="preserve">more than </w:t>
      </w:r>
      <w:r w:rsidR="00551A35" w:rsidRPr="0006336F">
        <w:t>16,700</w:t>
      </w:r>
      <w:r w:rsidR="00D005C6">
        <w:t> </w:t>
      </w:r>
      <w:r w:rsidR="00551A35" w:rsidRPr="0006336F">
        <w:t>technology and digital enrolments in the first half of 2023.</w:t>
      </w:r>
      <w:r w:rsidR="001A6491" w:rsidRPr="0006336F">
        <w:t xml:space="preserve"> </w:t>
      </w:r>
      <w:r>
        <w:t>The Government</w:t>
      </w:r>
      <w:r w:rsidR="001A6491" w:rsidRPr="0006336F">
        <w:t xml:space="preserve"> is also leading the way in relation to its own workforce, by introducing the new APS Digital Traineeships Program. </w:t>
      </w:r>
      <w:r>
        <w:t>The Government</w:t>
      </w:r>
      <w:r w:rsidR="00B16861">
        <w:t>’</w:t>
      </w:r>
      <w:r w:rsidR="001A6491" w:rsidRPr="0006336F">
        <w:t xml:space="preserve">s cyber warden program will </w:t>
      </w:r>
      <w:r w:rsidR="00B568AC" w:rsidRPr="0006336F">
        <w:t>support small businesses to train more than 50,000</w:t>
      </w:r>
      <w:r w:rsidR="00D005C6">
        <w:t> </w:t>
      </w:r>
      <w:r w:rsidR="00B568AC" w:rsidRPr="0006336F">
        <w:t>in</w:t>
      </w:r>
      <w:r w:rsidR="00B16861">
        <w:noBreakHyphen/>
      </w:r>
      <w:r w:rsidR="00B568AC" w:rsidRPr="0006336F">
        <w:t xml:space="preserve">house </w:t>
      </w:r>
      <w:r w:rsidR="00B16861">
        <w:t>‘</w:t>
      </w:r>
      <w:r w:rsidR="00B568AC" w:rsidRPr="0006336F">
        <w:t>cyber wardens</w:t>
      </w:r>
      <w:r w:rsidR="00B16861">
        <w:t>’</w:t>
      </w:r>
      <w:r w:rsidR="00B568AC" w:rsidRPr="0006336F">
        <w:t xml:space="preserve"> to guard against threats</w:t>
      </w:r>
      <w:r w:rsidR="001A6491" w:rsidRPr="0006336F">
        <w:t>, building small business cyber resilience through an accessible education tool.</w:t>
      </w:r>
    </w:p>
    <w:p w14:paraId="77F065E9" w14:textId="288A0D09" w:rsidR="001A6491" w:rsidRPr="0006336F" w:rsidRDefault="001A6491" w:rsidP="001A6491">
      <w:r w:rsidRPr="0006336F">
        <w:t>The Australian Digital Capability Framework describes the broad digital capabilities required by the Australian workforce. This will create a common language and collaboration on the implementation of digital skills for the VET reform pathways and help build the digital capability of the nation</w:t>
      </w:r>
      <w:r w:rsidR="00B16861">
        <w:t>’</w:t>
      </w:r>
      <w:r w:rsidRPr="0006336F">
        <w:t>s workforce. Using common, easily understood language, and a simple, intuitive structure, the Framework is helping to align and strengthen a wide variety of efforts to build the digital capability of the nation</w:t>
      </w:r>
      <w:r w:rsidR="00B16861">
        <w:t>’</w:t>
      </w:r>
      <w:r w:rsidRPr="0006336F">
        <w:t>s workforce.</w:t>
      </w:r>
    </w:p>
    <w:p w14:paraId="2AD11AD5" w14:textId="733B7FBC" w:rsidR="00202B6F" w:rsidRPr="0006336F" w:rsidRDefault="001A6491" w:rsidP="00F4496B">
      <w:r w:rsidRPr="0006336F">
        <w:t>Greater collaboration across the digital skills ecosystem will be a focus of the Government</w:t>
      </w:r>
      <w:r w:rsidR="00B16861">
        <w:t>’</w:t>
      </w:r>
      <w:r w:rsidRPr="0006336F">
        <w:t xml:space="preserve">s future approach. This will enable workers and businesses to harness the opportunities from the growing digital economy. </w:t>
      </w:r>
      <w:r w:rsidR="00FD3514">
        <w:t>The Government</w:t>
      </w:r>
      <w:r w:rsidRPr="0006336F">
        <w:t xml:space="preserve"> established a Digital and Tech Skills Working Group as a practical mechanism to take forward the compact between Government, union</w:t>
      </w:r>
      <w:r w:rsidR="00C67B08" w:rsidRPr="0006336F">
        <w:t>s</w:t>
      </w:r>
      <w:r w:rsidRPr="0006336F">
        <w:t xml:space="preserve"> and employer</w:t>
      </w:r>
      <w:r w:rsidR="00A2348F">
        <w:t>s</w:t>
      </w:r>
      <w:r w:rsidRPr="0006336F">
        <w:t xml:space="preserve"> announced at the Jobs and Skills Summit. The Working Group</w:t>
      </w:r>
      <w:r w:rsidR="00B16861">
        <w:t>’</w:t>
      </w:r>
      <w:r w:rsidRPr="0006336F">
        <w:t>s final report confirmed that earn while you learn models will be an important part of broader digital and tech skills development efforts to support Australia</w:t>
      </w:r>
      <w:r w:rsidR="00B16861">
        <w:t>’</w:t>
      </w:r>
      <w:r w:rsidRPr="0006336F">
        <w:t xml:space="preserve">s rapid technological advancement. </w:t>
      </w:r>
      <w:r w:rsidR="00FD3514">
        <w:t>The Government</w:t>
      </w:r>
      <w:r w:rsidRPr="0006336F">
        <w:t xml:space="preserve"> is considering the Working Group</w:t>
      </w:r>
      <w:r w:rsidR="00B16861">
        <w:t>’</w:t>
      </w:r>
      <w:r w:rsidRPr="0006336F">
        <w:t xml:space="preserve">s </w:t>
      </w:r>
      <w:r w:rsidR="006A7D54" w:rsidRPr="0006336F">
        <w:t xml:space="preserve">advice on </w:t>
      </w:r>
      <w:r w:rsidRPr="0006336F">
        <w:t>design and delivery</w:t>
      </w:r>
      <w:r w:rsidR="006A7D54" w:rsidRPr="0006336F">
        <w:t xml:space="preserve"> models</w:t>
      </w:r>
      <w:r w:rsidRPr="0006336F">
        <w:t>.</w:t>
      </w:r>
    </w:p>
    <w:p w14:paraId="09A44272" w14:textId="3A48C98C" w:rsidR="00202B6F" w:rsidRPr="0006336F" w:rsidRDefault="00A309DD" w:rsidP="00F4496B">
      <w:pPr>
        <w:pStyle w:val="Heading2"/>
      </w:pPr>
      <w:bookmarkStart w:id="9" w:name="_Toc146292918"/>
      <w:r w:rsidRPr="0006336F">
        <w:lastRenderedPageBreak/>
        <w:t xml:space="preserve">4 </w:t>
      </w:r>
      <w:r w:rsidR="00C819FA">
        <w:tab/>
      </w:r>
      <w:r w:rsidR="00D976B7" w:rsidRPr="0006336F">
        <w:t>Broadening access to foundation skills</w:t>
      </w:r>
      <w:bookmarkEnd w:id="9"/>
    </w:p>
    <w:p w14:paraId="50038DC1" w14:textId="37205BBA" w:rsidR="00E74A98" w:rsidRPr="0006336F" w:rsidRDefault="00A309DD" w:rsidP="00F4496B">
      <w:pPr>
        <w:pStyle w:val="TableMainHeadingRoadmap"/>
      </w:pPr>
      <w:r w:rsidRPr="0006336F">
        <w:t>Actions</w:t>
      </w:r>
      <w:r w:rsidR="00B41FF9" w:rsidRPr="0006336F">
        <w:t xml:space="preserve"> to broaden access to foundation skills </w:t>
      </w:r>
    </w:p>
    <w:tbl>
      <w:tblPr>
        <w:tblStyle w:val="TableGrid"/>
        <w:tblW w:w="5000" w:type="pct"/>
        <w:tblLook w:val="01E0" w:firstRow="1" w:lastRow="1" w:firstColumn="1" w:lastColumn="1" w:noHBand="0" w:noVBand="0"/>
      </w:tblPr>
      <w:tblGrid>
        <w:gridCol w:w="3023"/>
        <w:gridCol w:w="3023"/>
        <w:gridCol w:w="3024"/>
      </w:tblGrid>
      <w:tr w:rsidR="00E55CCB" w:rsidRPr="0006336F" w14:paraId="46E8820B" w14:textId="77777777" w:rsidTr="00A715AC">
        <w:trPr>
          <w:cnfStyle w:val="100000000000" w:firstRow="1" w:lastRow="0" w:firstColumn="0" w:lastColumn="0" w:oddVBand="0" w:evenVBand="0" w:oddHBand="0" w:evenHBand="0" w:firstRowFirstColumn="0" w:firstRowLastColumn="0" w:lastRowFirstColumn="0" w:lastRowLastColumn="0"/>
          <w:tblHeader/>
        </w:trPr>
        <w:tc>
          <w:tcPr>
            <w:tcW w:w="1666" w:type="pct"/>
          </w:tcPr>
          <w:p w14:paraId="687EC704" w14:textId="4BDD850C" w:rsidR="00E55CCB" w:rsidRPr="0006336F" w:rsidRDefault="00E55CCB" w:rsidP="00EE19B9">
            <w:pPr>
              <w:pStyle w:val="TableColumnHeadingLeft"/>
            </w:pPr>
            <w:r w:rsidRPr="0006336F">
              <w:t>Implemented</w:t>
            </w:r>
          </w:p>
        </w:tc>
        <w:tc>
          <w:tcPr>
            <w:tcW w:w="1666" w:type="pct"/>
          </w:tcPr>
          <w:p w14:paraId="62A5DCF0" w14:textId="6FECEE80" w:rsidR="00E55CCB" w:rsidRPr="0006336F" w:rsidRDefault="00E55CCB" w:rsidP="00EE19B9">
            <w:pPr>
              <w:pStyle w:val="TableColumnHeadingLeft"/>
            </w:pPr>
            <w:r w:rsidRPr="0006336F">
              <w:t>Underway</w:t>
            </w:r>
          </w:p>
        </w:tc>
        <w:tc>
          <w:tcPr>
            <w:tcW w:w="1667" w:type="pct"/>
          </w:tcPr>
          <w:p w14:paraId="1019C007" w14:textId="560E855D" w:rsidR="00E55CCB" w:rsidRPr="0006336F" w:rsidRDefault="00E55CCB" w:rsidP="00EE19B9">
            <w:pPr>
              <w:pStyle w:val="TableColumnHeadingLeft"/>
            </w:pPr>
            <w:r w:rsidRPr="0006336F">
              <w:t>Future reform directions</w:t>
            </w:r>
          </w:p>
        </w:tc>
      </w:tr>
      <w:tr w:rsidR="00E55CCB" w:rsidRPr="0006336F" w14:paraId="3DBD8CBE" w14:textId="77777777" w:rsidTr="00A715AC">
        <w:tc>
          <w:tcPr>
            <w:tcW w:w="1666" w:type="pct"/>
          </w:tcPr>
          <w:p w14:paraId="7C84BD13" w14:textId="69E2A89F" w:rsidR="00F3076E" w:rsidRPr="0006336F" w:rsidRDefault="00F3076E" w:rsidP="00C7066D">
            <w:pPr>
              <w:pStyle w:val="TableTextLeft"/>
              <w:rPr>
                <w:b/>
                <w:bCs/>
              </w:rPr>
            </w:pPr>
            <w:r w:rsidRPr="0006336F">
              <w:rPr>
                <w:b/>
              </w:rPr>
              <w:t>Ma</w:t>
            </w:r>
            <w:r w:rsidR="00582440" w:rsidRPr="0006336F">
              <w:rPr>
                <w:b/>
                <w:bCs/>
              </w:rPr>
              <w:t>de</w:t>
            </w:r>
            <w:r w:rsidRPr="0006336F">
              <w:rPr>
                <w:b/>
                <w:bCs/>
              </w:rPr>
              <w:t xml:space="preserve"> child</w:t>
            </w:r>
            <w:r w:rsidR="00C15EE4" w:rsidRPr="0006336F">
              <w:rPr>
                <w:b/>
                <w:bCs/>
              </w:rPr>
              <w:t xml:space="preserve"> </w:t>
            </w:r>
            <w:r w:rsidRPr="0006336F">
              <w:rPr>
                <w:b/>
                <w:bCs/>
              </w:rPr>
              <w:t xml:space="preserve">care cheaper and </w:t>
            </w:r>
            <w:r w:rsidR="00A31AFF" w:rsidRPr="0006336F">
              <w:rPr>
                <w:b/>
                <w:bCs/>
              </w:rPr>
              <w:t>invested in better</w:t>
            </w:r>
            <w:r w:rsidR="00AA4A0A" w:rsidRPr="0006336F">
              <w:rPr>
                <w:b/>
                <w:bCs/>
              </w:rPr>
              <w:t xml:space="preserve"> outcomes</w:t>
            </w:r>
          </w:p>
          <w:p w14:paraId="0B568A46" w14:textId="2203F5A6" w:rsidR="00F3076E" w:rsidRPr="0006336F" w:rsidRDefault="00B10DDC">
            <w:pPr>
              <w:pStyle w:val="TableTextBullet"/>
            </w:pPr>
            <w:r w:rsidRPr="0006336F">
              <w:t xml:space="preserve">Invested </w:t>
            </w:r>
            <w:r w:rsidR="00F3076E" w:rsidRPr="0006336F">
              <w:t>$4.6</w:t>
            </w:r>
            <w:r w:rsidR="000F0ED2">
              <w:t> billion</w:t>
            </w:r>
            <w:r w:rsidR="002B3C6B" w:rsidRPr="0006336F">
              <w:t xml:space="preserve"> through the</w:t>
            </w:r>
            <w:r w:rsidR="00F3076E" w:rsidRPr="0006336F">
              <w:t xml:space="preserve"> Cheaper Child</w:t>
            </w:r>
            <w:r w:rsidR="00C0222B" w:rsidRPr="0006336F">
              <w:t xml:space="preserve"> C</w:t>
            </w:r>
            <w:r w:rsidR="00F3076E" w:rsidRPr="0006336F">
              <w:t xml:space="preserve">are Package </w:t>
            </w:r>
            <w:r w:rsidR="00602A13" w:rsidRPr="0006336F">
              <w:t xml:space="preserve">to </w:t>
            </w:r>
            <w:r w:rsidR="00F3076E" w:rsidRPr="0006336F">
              <w:t xml:space="preserve">increase Child Care Subsidy rates for families earning </w:t>
            </w:r>
            <w:r w:rsidR="00EC4C4A" w:rsidRPr="0006336F">
              <w:t xml:space="preserve">up to </w:t>
            </w:r>
            <w:r w:rsidR="00F3076E" w:rsidRPr="0006336F">
              <w:t>$530,000</w:t>
            </w:r>
            <w:r w:rsidR="00EC4C4A" w:rsidRPr="0006336F">
              <w:t xml:space="preserve"> per annum</w:t>
            </w:r>
          </w:p>
          <w:p w14:paraId="3DC9C795" w14:textId="770CAA11" w:rsidR="007A0355" w:rsidRPr="0006336F" w:rsidRDefault="00D11523" w:rsidP="00F4496B">
            <w:pPr>
              <w:pStyle w:val="TableTextBullet"/>
            </w:pPr>
            <w:r w:rsidRPr="0006336F">
              <w:t>I</w:t>
            </w:r>
            <w:r w:rsidR="00C418C8" w:rsidRPr="0006336F">
              <w:t>ntroduce</w:t>
            </w:r>
            <w:r w:rsidRPr="0006336F">
              <w:t>d</w:t>
            </w:r>
            <w:r w:rsidR="00C418C8" w:rsidRPr="0006336F">
              <w:t xml:space="preserve"> a base entitlement </w:t>
            </w:r>
            <w:r w:rsidR="00D46979" w:rsidRPr="0006336F">
              <w:t xml:space="preserve">to 36 hours of </w:t>
            </w:r>
            <w:r w:rsidR="0035679C" w:rsidRPr="0006336F">
              <w:t>C</w:t>
            </w:r>
            <w:r w:rsidR="007D65DC" w:rsidRPr="0006336F">
              <w:t xml:space="preserve">hild </w:t>
            </w:r>
            <w:r w:rsidR="0035679C" w:rsidRPr="0006336F">
              <w:t>C</w:t>
            </w:r>
            <w:r w:rsidR="007D65DC" w:rsidRPr="0006336F">
              <w:t xml:space="preserve">are </w:t>
            </w:r>
            <w:r w:rsidR="0035679C" w:rsidRPr="0006336F">
              <w:t>S</w:t>
            </w:r>
            <w:r w:rsidR="007D65DC" w:rsidRPr="0006336F">
              <w:t>ubsidy</w:t>
            </w:r>
            <w:r w:rsidR="00D46979" w:rsidRPr="0006336F">
              <w:t xml:space="preserve"> </w:t>
            </w:r>
            <w:r w:rsidR="0039624F" w:rsidRPr="0006336F">
              <w:t xml:space="preserve">per fortnight for Aboriginal and </w:t>
            </w:r>
            <w:r w:rsidR="00FD3514">
              <w:t>Torres Strait</w:t>
            </w:r>
            <w:r w:rsidR="00571AA0" w:rsidRPr="0006336F">
              <w:t xml:space="preserve"> Islander children</w:t>
            </w:r>
          </w:p>
          <w:p w14:paraId="12036963" w14:textId="6C036D1E" w:rsidR="00F3076E" w:rsidRPr="0006336F" w:rsidRDefault="00BC4115" w:rsidP="00F4496B">
            <w:pPr>
              <w:pStyle w:val="TableTextBullet"/>
            </w:pPr>
            <w:r w:rsidRPr="0006336F">
              <w:t xml:space="preserve">Developed </w:t>
            </w:r>
            <w:r w:rsidR="002B3C6B" w:rsidRPr="0006336F">
              <w:t xml:space="preserve">the </w:t>
            </w:r>
            <w:r w:rsidR="00F3076E" w:rsidRPr="0006336F">
              <w:t>Early Childhood Care and Development Policy Partnership</w:t>
            </w:r>
            <w:r w:rsidRPr="0006336F">
              <w:t xml:space="preserve"> to improve outcomes for </w:t>
            </w:r>
            <w:r w:rsidR="00FD3514">
              <w:t>First Nation</w:t>
            </w:r>
            <w:r w:rsidRPr="0006336F">
              <w:t>s children</w:t>
            </w:r>
          </w:p>
          <w:p w14:paraId="27EEB928" w14:textId="5C3CA213" w:rsidR="00F3076E" w:rsidRPr="0006336F" w:rsidRDefault="00640559" w:rsidP="00C7066D">
            <w:pPr>
              <w:pStyle w:val="TableTextLeft"/>
              <w:rPr>
                <w:b/>
                <w:bCs/>
              </w:rPr>
            </w:pPr>
            <w:r w:rsidRPr="0006336F">
              <w:rPr>
                <w:b/>
              </w:rPr>
              <w:t>Increas</w:t>
            </w:r>
            <w:r w:rsidR="00582440" w:rsidRPr="0006336F">
              <w:rPr>
                <w:b/>
                <w:bCs/>
              </w:rPr>
              <w:t>ed</w:t>
            </w:r>
            <w:r w:rsidRPr="0006336F">
              <w:rPr>
                <w:b/>
                <w:bCs/>
              </w:rPr>
              <w:t xml:space="preserve"> support for </w:t>
            </w:r>
            <w:r w:rsidR="00076B53" w:rsidRPr="0006336F">
              <w:rPr>
                <w:b/>
                <w:bCs/>
              </w:rPr>
              <w:t xml:space="preserve">students and </w:t>
            </w:r>
            <w:r w:rsidRPr="0006336F">
              <w:rPr>
                <w:b/>
                <w:bCs/>
              </w:rPr>
              <w:t>the teacher workforce</w:t>
            </w:r>
          </w:p>
          <w:p w14:paraId="1F343321" w14:textId="2F9AB581" w:rsidR="00D55275" w:rsidRPr="0006336F" w:rsidRDefault="00D55275">
            <w:pPr>
              <w:pStyle w:val="TableTextBullet"/>
            </w:pPr>
            <w:r w:rsidRPr="0006336F">
              <w:t>Expanded the High Achieving Teachers Program</w:t>
            </w:r>
          </w:p>
          <w:p w14:paraId="7EBC8256" w14:textId="5D31EC7B" w:rsidR="003D1BF0" w:rsidRPr="0006336F" w:rsidRDefault="003D1BF0" w:rsidP="003D1BF0">
            <w:pPr>
              <w:pStyle w:val="TableTextBullet"/>
            </w:pPr>
            <w:r w:rsidRPr="0006336F">
              <w:t>Reformed NAPLAN to raise the standard and better identify students who need additional support</w:t>
            </w:r>
          </w:p>
          <w:p w14:paraId="60D1ADFF" w14:textId="5F4A039F" w:rsidR="00640559" w:rsidRPr="0006336F" w:rsidRDefault="00D55275" w:rsidP="00F4496B">
            <w:pPr>
              <w:pStyle w:val="TableTextBullet"/>
            </w:pPr>
            <w:r w:rsidRPr="0006336F">
              <w:t>Launched the National Teacher Workforce Action Plan</w:t>
            </w:r>
          </w:p>
        </w:tc>
        <w:tc>
          <w:tcPr>
            <w:tcW w:w="1666" w:type="pct"/>
          </w:tcPr>
          <w:p w14:paraId="0D18C927" w14:textId="77A3E71F" w:rsidR="001C2C5A" w:rsidRPr="0006336F" w:rsidRDefault="0094058E" w:rsidP="001C2C5A">
            <w:pPr>
              <w:pStyle w:val="TableTextLeft"/>
              <w:rPr>
                <w:b/>
                <w:bCs/>
              </w:rPr>
            </w:pPr>
            <w:r w:rsidRPr="0006336F">
              <w:rPr>
                <w:b/>
                <w:bCs/>
              </w:rPr>
              <w:t>Making</w:t>
            </w:r>
            <w:r w:rsidR="001C2C5A" w:rsidRPr="0006336F">
              <w:rPr>
                <w:b/>
                <w:bCs/>
              </w:rPr>
              <w:t xml:space="preserve"> </w:t>
            </w:r>
            <w:r w:rsidR="00A35AA4" w:rsidRPr="0006336F">
              <w:rPr>
                <w:b/>
                <w:bCs/>
              </w:rPr>
              <w:t xml:space="preserve">early childhood education and care </w:t>
            </w:r>
            <w:r w:rsidRPr="0006336F">
              <w:rPr>
                <w:b/>
                <w:bCs/>
              </w:rPr>
              <w:t>cheaper, better and more accessible</w:t>
            </w:r>
          </w:p>
          <w:p w14:paraId="0AE9A314" w14:textId="5209FCA7" w:rsidR="001C2C5A" w:rsidRPr="0006336F" w:rsidRDefault="00B158E3" w:rsidP="00F4496B">
            <w:pPr>
              <w:pStyle w:val="TableTextBullet"/>
            </w:pPr>
            <w:r w:rsidRPr="0006336F">
              <w:t xml:space="preserve">Examining </w:t>
            </w:r>
            <w:r w:rsidR="001C2C5A" w:rsidRPr="0006336F">
              <w:t>child</w:t>
            </w:r>
            <w:r w:rsidR="006C6082" w:rsidRPr="0006336F">
              <w:t xml:space="preserve"> </w:t>
            </w:r>
            <w:r w:rsidR="001C2C5A" w:rsidRPr="0006336F">
              <w:t>care costs</w:t>
            </w:r>
            <w:r w:rsidRPr="0006336F">
              <w:t xml:space="preserve"> through ACCC inquiry</w:t>
            </w:r>
          </w:p>
          <w:p w14:paraId="4021FBCD" w14:textId="7D02CDC9" w:rsidR="001C2C5A" w:rsidRPr="0006336F" w:rsidRDefault="00E969A6" w:rsidP="00F4496B">
            <w:pPr>
              <w:pStyle w:val="TableTextBullet"/>
            </w:pPr>
            <w:r w:rsidRPr="0006336F">
              <w:t xml:space="preserve">Identifying opportunities to improve the </w:t>
            </w:r>
            <w:r w:rsidR="00A35AA4" w:rsidRPr="0006336F">
              <w:t xml:space="preserve">early childhood education and </w:t>
            </w:r>
            <w:r w:rsidR="00D94C6B" w:rsidRPr="0006336F">
              <w:t xml:space="preserve">care </w:t>
            </w:r>
            <w:r w:rsidRPr="0006336F">
              <w:t xml:space="preserve">sector through </w:t>
            </w:r>
            <w:r w:rsidR="002B3C6B" w:rsidRPr="0006336F">
              <w:t xml:space="preserve">a </w:t>
            </w:r>
            <w:r w:rsidR="001C2C5A" w:rsidRPr="0006336F">
              <w:t>Productivity Commission inquiry</w:t>
            </w:r>
          </w:p>
          <w:p w14:paraId="72C5B086" w14:textId="41DF262A" w:rsidR="001C2C5A" w:rsidRPr="0006336F" w:rsidRDefault="001C2C5A" w:rsidP="00F4496B">
            <w:pPr>
              <w:pStyle w:val="TableTextBullet"/>
            </w:pPr>
            <w:r w:rsidRPr="0006336F">
              <w:t xml:space="preserve">Developing an Early Years Strategy to support </w:t>
            </w:r>
            <w:r w:rsidR="0072076C" w:rsidRPr="0006336F">
              <w:t xml:space="preserve">early </w:t>
            </w:r>
            <w:r w:rsidR="00410718" w:rsidRPr="0006336F">
              <w:t>learning</w:t>
            </w:r>
            <w:r w:rsidRPr="0006336F">
              <w:t>, wellbeing and development</w:t>
            </w:r>
          </w:p>
          <w:p w14:paraId="251208B5" w14:textId="28C7F366" w:rsidR="001C2C5A" w:rsidRPr="0006336F" w:rsidRDefault="001C2C5A" w:rsidP="001C2C5A">
            <w:pPr>
              <w:pStyle w:val="TableTextLeft"/>
              <w:rPr>
                <w:b/>
                <w:bCs/>
              </w:rPr>
            </w:pPr>
            <w:r w:rsidRPr="0006336F">
              <w:rPr>
                <w:b/>
                <w:bCs/>
              </w:rPr>
              <w:t xml:space="preserve">Building </w:t>
            </w:r>
            <w:r w:rsidR="00822637" w:rsidRPr="0006336F">
              <w:rPr>
                <w:b/>
                <w:bCs/>
              </w:rPr>
              <w:t>a better</w:t>
            </w:r>
            <w:r w:rsidR="00D94C6B" w:rsidRPr="0006336F">
              <w:rPr>
                <w:b/>
                <w:bCs/>
              </w:rPr>
              <w:t xml:space="preserve">, </w:t>
            </w:r>
            <w:r w:rsidR="00822637" w:rsidRPr="0006336F">
              <w:rPr>
                <w:b/>
                <w:bCs/>
              </w:rPr>
              <w:t>fairer school system</w:t>
            </w:r>
            <w:r w:rsidR="00ED3CAB" w:rsidRPr="0006336F">
              <w:rPr>
                <w:b/>
                <w:bCs/>
              </w:rPr>
              <w:t xml:space="preserve"> </w:t>
            </w:r>
          </w:p>
          <w:p w14:paraId="27DB623B" w14:textId="0F0C8812" w:rsidR="00B15012" w:rsidRPr="0006336F" w:rsidRDefault="001620E6">
            <w:pPr>
              <w:pStyle w:val="TableTextBullet"/>
            </w:pPr>
            <w:r w:rsidRPr="0006336F">
              <w:t>Undertaking</w:t>
            </w:r>
            <w:r w:rsidR="002D58B6" w:rsidRPr="0006336F">
              <w:t xml:space="preserve"> an</w:t>
            </w:r>
            <w:r w:rsidR="00DA7D74" w:rsidRPr="0006336F">
              <w:t xml:space="preserve"> </w:t>
            </w:r>
            <w:r w:rsidR="00A90E8D" w:rsidRPr="0006336F">
              <w:t>Expert Panel R</w:t>
            </w:r>
            <w:r w:rsidR="001C2C5A" w:rsidRPr="0006336F">
              <w:t>eview to Inform a Better and Fairer Education System</w:t>
            </w:r>
          </w:p>
          <w:p w14:paraId="21620D66" w14:textId="23041CAA" w:rsidR="003D1BF0" w:rsidRPr="0006336F" w:rsidRDefault="004740AB" w:rsidP="00F4496B">
            <w:pPr>
              <w:pStyle w:val="TableTextBullet"/>
            </w:pPr>
            <w:r w:rsidRPr="0006336F">
              <w:t>Encouraging high</w:t>
            </w:r>
            <w:r w:rsidR="00AB2E52">
              <w:t>-</w:t>
            </w:r>
            <w:r w:rsidRPr="0006336F">
              <w:t xml:space="preserve">quality candidates to study teaching through </w:t>
            </w:r>
            <w:r w:rsidR="003D1BF0" w:rsidRPr="0006336F">
              <w:t>scholarships of up to $40,000 each</w:t>
            </w:r>
          </w:p>
          <w:p w14:paraId="4540147C" w14:textId="7D726205" w:rsidR="001C2C5A" w:rsidRPr="0006336F" w:rsidRDefault="008129AD" w:rsidP="001C2C5A">
            <w:pPr>
              <w:pStyle w:val="TableTextLeft"/>
              <w:rPr>
                <w:b/>
                <w:bCs/>
              </w:rPr>
            </w:pPr>
            <w:r w:rsidRPr="0006336F">
              <w:rPr>
                <w:b/>
                <w:bCs/>
              </w:rPr>
              <w:t xml:space="preserve">Boosting adult </w:t>
            </w:r>
            <w:r w:rsidR="002424D7" w:rsidRPr="0006336F">
              <w:rPr>
                <w:b/>
                <w:bCs/>
              </w:rPr>
              <w:t>foundation skills</w:t>
            </w:r>
            <w:r w:rsidR="00AA4A0A" w:rsidRPr="0006336F">
              <w:rPr>
                <w:b/>
                <w:bCs/>
              </w:rPr>
              <w:t xml:space="preserve"> </w:t>
            </w:r>
          </w:p>
          <w:p w14:paraId="1E08BF79" w14:textId="14942A8E" w:rsidR="00E55CCB" w:rsidRPr="0006336F" w:rsidRDefault="00237D00" w:rsidP="00F4496B">
            <w:pPr>
              <w:pStyle w:val="TableTextBullet"/>
            </w:pPr>
            <w:r w:rsidRPr="0006336F">
              <w:t>Undertaking a National Study of Adult Literacy, Numeracy and Digital Skills</w:t>
            </w:r>
          </w:p>
          <w:p w14:paraId="77BB44DA" w14:textId="70F32B75" w:rsidR="00E7597A" w:rsidRPr="00391E1C" w:rsidRDefault="00E7597A" w:rsidP="00E7597A">
            <w:pPr>
              <w:pStyle w:val="TableTextBullet"/>
              <w:rPr>
                <w:spacing w:val="-2"/>
              </w:rPr>
            </w:pPr>
            <w:r w:rsidRPr="00391E1C">
              <w:rPr>
                <w:spacing w:val="-2"/>
              </w:rPr>
              <w:t>Redesigning and broadening eligibility for the Skills for Education and Employment program</w:t>
            </w:r>
          </w:p>
          <w:p w14:paraId="670CECD8" w14:textId="427BE11E" w:rsidR="009760EB" w:rsidRPr="0006336F" w:rsidRDefault="00D6468E" w:rsidP="00F4496B">
            <w:pPr>
              <w:pStyle w:val="TableTextBullet"/>
            </w:pPr>
            <w:r w:rsidRPr="0006336F">
              <w:t>Including foundation skills as a focus area for National Skills Agreement negotiations</w:t>
            </w:r>
          </w:p>
        </w:tc>
        <w:tc>
          <w:tcPr>
            <w:tcW w:w="1667" w:type="pct"/>
          </w:tcPr>
          <w:p w14:paraId="77A2A984" w14:textId="06313851" w:rsidR="00403E15" w:rsidRPr="0006336F" w:rsidRDefault="007C0F09" w:rsidP="00403E15">
            <w:pPr>
              <w:pStyle w:val="TableTextLeft"/>
              <w:rPr>
                <w:b/>
                <w:bCs/>
              </w:rPr>
            </w:pPr>
            <w:r w:rsidRPr="0006336F">
              <w:rPr>
                <w:b/>
              </w:rPr>
              <w:t>Chart</w:t>
            </w:r>
            <w:r w:rsidRPr="0006336F">
              <w:rPr>
                <w:b/>
                <w:bCs/>
              </w:rPr>
              <w:t xml:space="preserve"> a cou</w:t>
            </w:r>
            <w:r w:rsidR="00590F44" w:rsidRPr="0006336F">
              <w:rPr>
                <w:b/>
                <w:bCs/>
              </w:rPr>
              <w:t>r</w:t>
            </w:r>
            <w:r w:rsidRPr="0006336F">
              <w:rPr>
                <w:b/>
                <w:bCs/>
              </w:rPr>
              <w:t>se to u</w:t>
            </w:r>
            <w:r w:rsidR="00403E15" w:rsidRPr="0006336F">
              <w:rPr>
                <w:b/>
                <w:bCs/>
              </w:rPr>
              <w:t xml:space="preserve">niversal </w:t>
            </w:r>
            <w:r w:rsidR="00560BE9" w:rsidRPr="0006336F">
              <w:rPr>
                <w:b/>
                <w:bCs/>
              </w:rPr>
              <w:t>early childhood education and care</w:t>
            </w:r>
          </w:p>
          <w:p w14:paraId="364E13AE" w14:textId="65480022" w:rsidR="00403E15" w:rsidRPr="0006336F" w:rsidRDefault="00FD35A9" w:rsidP="00F4496B">
            <w:pPr>
              <w:pStyle w:val="TableTextBullet"/>
            </w:pPr>
            <w:r w:rsidRPr="0006336F">
              <w:t xml:space="preserve">New principles in this </w:t>
            </w:r>
            <w:r w:rsidR="00B11F1A" w:rsidRPr="0006336F">
              <w:t>Roadmap will guide reforms for establishing</w:t>
            </w:r>
            <w:r w:rsidR="00B02BDE" w:rsidRPr="0006336F">
              <w:t xml:space="preserve"> universal access to early childhood education and care</w:t>
            </w:r>
          </w:p>
          <w:p w14:paraId="6C55D53F" w14:textId="487D2E6E" w:rsidR="00403E15" w:rsidRPr="0006336F" w:rsidRDefault="00403E15" w:rsidP="00403E15">
            <w:pPr>
              <w:pStyle w:val="TableTextLeft"/>
              <w:rPr>
                <w:b/>
                <w:bCs/>
              </w:rPr>
            </w:pPr>
            <w:r w:rsidRPr="0006336F">
              <w:rPr>
                <w:b/>
                <w:bCs/>
              </w:rPr>
              <w:t>Improv</w:t>
            </w:r>
            <w:r w:rsidR="00F92F19" w:rsidRPr="0006336F">
              <w:rPr>
                <w:b/>
                <w:bCs/>
              </w:rPr>
              <w:t>e</w:t>
            </w:r>
            <w:r w:rsidRPr="0006336F">
              <w:rPr>
                <w:b/>
                <w:bCs/>
              </w:rPr>
              <w:t xml:space="preserve"> </w:t>
            </w:r>
            <w:r w:rsidR="00910DCF" w:rsidRPr="0006336F">
              <w:rPr>
                <w:b/>
                <w:bCs/>
              </w:rPr>
              <w:t>equity of school outcomes</w:t>
            </w:r>
          </w:p>
          <w:p w14:paraId="33E2C654" w14:textId="6C8FE38D" w:rsidR="00403E15" w:rsidRPr="0006336F" w:rsidRDefault="00403E15" w:rsidP="00F4496B">
            <w:pPr>
              <w:pStyle w:val="TableTextBullet"/>
            </w:pPr>
            <w:r w:rsidRPr="0006336F">
              <w:t>Negotiat</w:t>
            </w:r>
            <w:r w:rsidR="00A55084" w:rsidRPr="0006336F">
              <w:t>e</w:t>
            </w:r>
            <w:r w:rsidRPr="0006336F">
              <w:t xml:space="preserve"> new National School Reform Agreement to improve equity and student outcomes</w:t>
            </w:r>
          </w:p>
          <w:p w14:paraId="1DDF427C" w14:textId="6C102C3D" w:rsidR="00403E15" w:rsidRPr="0006336F" w:rsidRDefault="001A50F7" w:rsidP="00F4496B">
            <w:pPr>
              <w:pStyle w:val="TableTextBullet"/>
            </w:pPr>
            <w:r w:rsidRPr="0006336F">
              <w:t>Work with stat</w:t>
            </w:r>
            <w:r w:rsidR="004A5F76" w:rsidRPr="0006336F">
              <w:t xml:space="preserve">es and territories to have </w:t>
            </w:r>
            <w:r w:rsidR="00403E15" w:rsidRPr="0006336F">
              <w:t>every school on a path to 100</w:t>
            </w:r>
            <w:r w:rsidR="00B16861">
              <w:t> per c</w:t>
            </w:r>
            <w:r w:rsidR="00403E15" w:rsidRPr="0006336F">
              <w:t>ent of its fair funding level</w:t>
            </w:r>
          </w:p>
          <w:p w14:paraId="2BD5208A" w14:textId="69CF83E1" w:rsidR="00812E6B" w:rsidRPr="0006336F" w:rsidRDefault="00812E6B" w:rsidP="00403E15">
            <w:pPr>
              <w:pStyle w:val="TableTextLeft"/>
              <w:rPr>
                <w:b/>
                <w:bCs/>
              </w:rPr>
            </w:pPr>
            <w:r w:rsidRPr="0006336F">
              <w:rPr>
                <w:b/>
                <w:bCs/>
              </w:rPr>
              <w:t>Improv</w:t>
            </w:r>
            <w:r w:rsidR="00F92F19" w:rsidRPr="0006336F">
              <w:rPr>
                <w:b/>
                <w:bCs/>
              </w:rPr>
              <w:t>e</w:t>
            </w:r>
            <w:r w:rsidRPr="0006336F">
              <w:rPr>
                <w:b/>
                <w:bCs/>
              </w:rPr>
              <w:t xml:space="preserve"> access to foundation skills </w:t>
            </w:r>
            <w:r w:rsidR="001A329E" w:rsidRPr="0006336F">
              <w:rPr>
                <w:b/>
                <w:bCs/>
              </w:rPr>
              <w:t>training programs</w:t>
            </w:r>
            <w:r w:rsidRPr="0006336F">
              <w:rPr>
                <w:b/>
                <w:bCs/>
              </w:rPr>
              <w:t xml:space="preserve"> </w:t>
            </w:r>
          </w:p>
          <w:p w14:paraId="03688469" w14:textId="6077291E" w:rsidR="00224021" w:rsidRPr="0006336F" w:rsidRDefault="00224021" w:rsidP="00F4496B">
            <w:pPr>
              <w:pStyle w:val="TableTextBullet"/>
            </w:pPr>
            <w:r w:rsidRPr="0006336F">
              <w:t>Better integrat</w:t>
            </w:r>
            <w:r w:rsidR="008B6ACA" w:rsidRPr="0006336F">
              <w:t>e</w:t>
            </w:r>
            <w:r w:rsidRPr="0006336F">
              <w:t xml:space="preserve"> </w:t>
            </w:r>
            <w:r w:rsidR="008B6ACA" w:rsidRPr="0006336F">
              <w:t>foundation skills</w:t>
            </w:r>
            <w:r w:rsidRPr="0006336F">
              <w:t xml:space="preserve"> with employment services</w:t>
            </w:r>
            <w:r w:rsidR="00DC284B" w:rsidRPr="0006336F">
              <w:t xml:space="preserve"> to help job seekers get the skills they need</w:t>
            </w:r>
            <w:r w:rsidR="009F5256" w:rsidRPr="0006336F">
              <w:t xml:space="preserve"> to </w:t>
            </w:r>
            <w:r w:rsidR="007544D5" w:rsidRPr="0006336F">
              <w:t>improve economic participation outcomes</w:t>
            </w:r>
            <w:r w:rsidR="0098039F" w:rsidRPr="0006336F">
              <w:t xml:space="preserve"> and overcome disadvantage</w:t>
            </w:r>
          </w:p>
          <w:p w14:paraId="75E7192B" w14:textId="0D988E71" w:rsidR="00E55CCB" w:rsidRPr="0006336F" w:rsidRDefault="00E7597A" w:rsidP="00EE19B9">
            <w:pPr>
              <w:pStyle w:val="TableTextBullet"/>
            </w:pPr>
            <w:r w:rsidRPr="0006336F">
              <w:t xml:space="preserve">Establish new coordinated efforts to lift </w:t>
            </w:r>
            <w:r w:rsidR="00017003" w:rsidRPr="0006336F">
              <w:t xml:space="preserve">the foundation skills of Australian adults with </w:t>
            </w:r>
            <w:r w:rsidR="00513B10" w:rsidRPr="0006336F">
              <w:t>states and territories</w:t>
            </w:r>
          </w:p>
        </w:tc>
      </w:tr>
    </w:tbl>
    <w:p w14:paraId="71E3BFCA" w14:textId="77777777" w:rsidR="00C819FA" w:rsidRDefault="00C819FA" w:rsidP="00A73B6C">
      <w:pPr>
        <w:pStyle w:val="ChartTableFiguresectionline"/>
      </w:pPr>
    </w:p>
    <w:p w14:paraId="6DCEAF3A" w14:textId="69A62AB5" w:rsidR="007579FB" w:rsidRPr="0006336F" w:rsidRDefault="00FD3514" w:rsidP="00FB2BA3">
      <w:r>
        <w:t>The Government</w:t>
      </w:r>
      <w:r w:rsidR="00B16861">
        <w:t>’</w:t>
      </w:r>
      <w:r w:rsidR="007579FB" w:rsidRPr="0006336F">
        <w:t>s aim is to ensure all Australians have the foundation skills they need to participate fully in the labour market</w:t>
      </w:r>
      <w:r w:rsidR="00547A97" w:rsidRPr="0006336F">
        <w:t xml:space="preserve"> and in their community, undertaking activities that many people take for granted</w:t>
      </w:r>
      <w:r w:rsidR="007579FB" w:rsidRPr="0006336F">
        <w:t>. Foundation skills enable participation, build an adaptable workforce, and form the basis for developing specialised skills that make us more productive</w:t>
      </w:r>
      <w:r w:rsidR="00A106AB" w:rsidRPr="0006336F">
        <w:t xml:space="preserve"> and engaged</w:t>
      </w:r>
      <w:r w:rsidR="007579FB" w:rsidRPr="0006336F">
        <w:t xml:space="preserve">. </w:t>
      </w:r>
      <w:r w:rsidR="00232FE4" w:rsidRPr="0006336F">
        <w:t>These</w:t>
      </w:r>
      <w:r w:rsidR="007579FB" w:rsidRPr="0006336F">
        <w:t xml:space="preserve"> skills include language, literacy, numeracy, and digital literacy as well as employability skills such as critical thinking, organising, problem solving, creativity, communication and teamwork. </w:t>
      </w:r>
      <w:r w:rsidR="00A671A5" w:rsidRPr="0006336F">
        <w:t xml:space="preserve">Education plays a key role in developing these skills. </w:t>
      </w:r>
      <w:r w:rsidR="00B94CC9" w:rsidRPr="0006336F">
        <w:t>T</w:t>
      </w:r>
      <w:r w:rsidR="007579FB" w:rsidRPr="0006336F">
        <w:t>hrough investments in early childhood education and care</w:t>
      </w:r>
      <w:r w:rsidR="008D5E63" w:rsidRPr="0006336F">
        <w:t xml:space="preserve"> (</w:t>
      </w:r>
      <w:r w:rsidR="008F4C7A" w:rsidRPr="0006336F">
        <w:t>ECEC</w:t>
      </w:r>
      <w:r w:rsidR="008D5E63" w:rsidRPr="0006336F">
        <w:t>)</w:t>
      </w:r>
      <w:r w:rsidR="007579FB" w:rsidRPr="0006336F">
        <w:t>, school and foundation skills programs</w:t>
      </w:r>
      <w:r w:rsidR="00F11F84" w:rsidRPr="0006336F">
        <w:t xml:space="preserve">, </w:t>
      </w:r>
      <w:r w:rsidR="00032663" w:rsidRPr="0006336F">
        <w:t>we will deliver foundation skills and education t</w:t>
      </w:r>
      <w:r w:rsidR="00744870" w:rsidRPr="0006336F">
        <w:t>o</w:t>
      </w:r>
      <w:r w:rsidR="00032663" w:rsidRPr="0006336F">
        <w:t xml:space="preserve"> Australians</w:t>
      </w:r>
      <w:r w:rsidR="007579FB" w:rsidRPr="0006336F">
        <w:t>.</w:t>
      </w:r>
    </w:p>
    <w:p w14:paraId="2D25452C" w14:textId="3B93986F" w:rsidR="007579FB" w:rsidRPr="0006336F" w:rsidRDefault="007579FB" w:rsidP="007579FB">
      <w:r w:rsidRPr="0006336F">
        <w:t xml:space="preserve">More attention on foundation skills development is urgently needed. One in </w:t>
      </w:r>
      <w:r w:rsidR="00854793" w:rsidRPr="0006336F">
        <w:t>five</w:t>
      </w:r>
      <w:r w:rsidRPr="0006336F">
        <w:t xml:space="preserve"> adult Australians have low literacy skills, numeracy skills or both. NAPLAN testing has shown educational gaps that start </w:t>
      </w:r>
      <w:r w:rsidR="00C139AA" w:rsidRPr="0006336F">
        <w:t xml:space="preserve">early </w:t>
      </w:r>
      <w:r w:rsidR="00C848A5" w:rsidRPr="0006336F">
        <w:t>tend to</w:t>
      </w:r>
      <w:r w:rsidR="00C139AA" w:rsidRPr="0006336F">
        <w:t xml:space="preserve"> </w:t>
      </w:r>
      <w:r w:rsidRPr="0006336F">
        <w:t>persist</w:t>
      </w:r>
      <w:r w:rsidR="00C139AA" w:rsidRPr="0006336F">
        <w:t xml:space="preserve"> or even get worse</w:t>
      </w:r>
      <w:r w:rsidRPr="0006336F">
        <w:t>. These gaps are more difficult to address later in life. Adults who have fallen behind need more support to build their foundation skills. Without action, too many Australians will be left without the skills they need to participate in the future labour market.</w:t>
      </w:r>
    </w:p>
    <w:p w14:paraId="09DB81A1" w14:textId="5BF8BD5B" w:rsidR="007579FB" w:rsidRPr="0006336F" w:rsidRDefault="00FD3514" w:rsidP="007579FB">
      <w:r>
        <w:lastRenderedPageBreak/>
        <w:t>The Government</w:t>
      </w:r>
      <w:r w:rsidR="00B16861">
        <w:t>’</w:t>
      </w:r>
      <w:r w:rsidR="007579FB" w:rsidRPr="0006336F">
        <w:t>s intent is for all Australians to be equipped with adequate foundation skills. This</w:t>
      </w:r>
      <w:r w:rsidR="00E90BF2">
        <w:t> </w:t>
      </w:r>
      <w:r w:rsidR="007579FB" w:rsidRPr="0006336F">
        <w:t xml:space="preserve">means increasing access to quality </w:t>
      </w:r>
      <w:r w:rsidR="008F4C7A" w:rsidRPr="0006336F">
        <w:t xml:space="preserve">ECEC </w:t>
      </w:r>
      <w:r w:rsidR="007579FB" w:rsidRPr="0006336F">
        <w:t xml:space="preserve">and a renewed focus on improving the quality of student learning outcomes and attainment, including year 12 or equivalent completions. </w:t>
      </w:r>
      <w:r>
        <w:t>The Government</w:t>
      </w:r>
      <w:r w:rsidR="007579FB" w:rsidRPr="0006336F">
        <w:t xml:space="preserve"> intends to better incorporate foundation skills training within our employment services system, continuing our commitment to ensuring there is </w:t>
      </w:r>
      <w:r w:rsidR="00B16861">
        <w:t>‘</w:t>
      </w:r>
      <w:r w:rsidR="007579FB" w:rsidRPr="0006336F">
        <w:t>no wrong door</w:t>
      </w:r>
      <w:r w:rsidR="00B16861">
        <w:t>’</w:t>
      </w:r>
      <w:r w:rsidR="007579FB" w:rsidRPr="0006336F">
        <w:t xml:space="preserve"> for foundation skills training.</w:t>
      </w:r>
    </w:p>
    <w:p w14:paraId="4508AC65" w14:textId="1BE45B24" w:rsidR="007579FB" w:rsidRPr="0006336F" w:rsidRDefault="00FD3514" w:rsidP="007579FB">
      <w:r>
        <w:t>The Government</w:t>
      </w:r>
      <w:r w:rsidR="007579FB" w:rsidRPr="0006336F">
        <w:t xml:space="preserve"> has made child care more affordable for </w:t>
      </w:r>
      <w:r w:rsidR="00D7331E" w:rsidRPr="0006336F">
        <w:t>around</w:t>
      </w:r>
      <w:r w:rsidR="007579FB" w:rsidRPr="0006336F">
        <w:t xml:space="preserve"> 1.2</w:t>
      </w:r>
      <w:r w:rsidR="000F0ED2">
        <w:t> million</w:t>
      </w:r>
      <w:r w:rsidR="007579FB" w:rsidRPr="0006336F">
        <w:t xml:space="preserve"> families </w:t>
      </w:r>
      <w:r w:rsidR="007D49DF" w:rsidRPr="0006336F">
        <w:t xml:space="preserve">from </w:t>
      </w:r>
      <w:r w:rsidR="007579FB" w:rsidRPr="0006336F">
        <w:t xml:space="preserve">July 2023. This will allow more children to benefit from quality child care, more parents and </w:t>
      </w:r>
      <w:r w:rsidR="00C66339" w:rsidRPr="0006336F">
        <w:t xml:space="preserve">unpaid </w:t>
      </w:r>
      <w:r w:rsidR="007579FB" w:rsidRPr="0006336F">
        <w:t>carers to participate in paid work and ease some of the cost</w:t>
      </w:r>
      <w:r w:rsidR="00B16861">
        <w:noBreakHyphen/>
      </w:r>
      <w:r w:rsidR="007579FB" w:rsidRPr="0006336F">
        <w:t>of</w:t>
      </w:r>
      <w:r w:rsidR="00B16861">
        <w:noBreakHyphen/>
      </w:r>
      <w:r w:rsidR="007579FB" w:rsidRPr="0006336F">
        <w:t xml:space="preserve">living pressures families are facing. </w:t>
      </w:r>
      <w:r>
        <w:t>The Government</w:t>
      </w:r>
      <w:r w:rsidR="007579FB" w:rsidRPr="0006336F">
        <w:t xml:space="preserve"> </w:t>
      </w:r>
      <w:r w:rsidR="00F308A4" w:rsidRPr="0006336F">
        <w:t>has</w:t>
      </w:r>
      <w:r w:rsidR="007579FB" w:rsidRPr="0006336F">
        <w:t xml:space="preserve"> also invested in attracting more and </w:t>
      </w:r>
      <w:r w:rsidR="000E5B91" w:rsidRPr="0006336F">
        <w:t>better</w:t>
      </w:r>
      <w:r w:rsidR="00B16861">
        <w:noBreakHyphen/>
      </w:r>
      <w:r w:rsidR="000E5B91" w:rsidRPr="0006336F">
        <w:t>prepared</w:t>
      </w:r>
      <w:r w:rsidR="007579FB" w:rsidRPr="0006336F">
        <w:t xml:space="preserve"> teachers to our schools. These are the first steps in making sure our children have strong foundation skills.</w:t>
      </w:r>
    </w:p>
    <w:p w14:paraId="78CA6D4A" w14:textId="45F7EA1F" w:rsidR="007579FB" w:rsidRPr="0006336F" w:rsidRDefault="0010048A" w:rsidP="007579FB">
      <w:r>
        <w:t>Work underway includes</w:t>
      </w:r>
      <w:r w:rsidR="007579FB" w:rsidRPr="0006336F">
        <w:t xml:space="preserve"> major inquiries by the</w:t>
      </w:r>
      <w:r w:rsidR="00B64622" w:rsidRPr="0006336F">
        <w:t xml:space="preserve"> </w:t>
      </w:r>
      <w:r w:rsidR="007579FB" w:rsidRPr="0006336F">
        <w:t xml:space="preserve">ACCC and PC to </w:t>
      </w:r>
      <w:r w:rsidR="004B0BE4" w:rsidRPr="0006336F">
        <w:t>explore options</w:t>
      </w:r>
      <w:r w:rsidR="007579FB" w:rsidRPr="0006336F">
        <w:t xml:space="preserve"> for significant reform of the </w:t>
      </w:r>
      <w:r w:rsidR="000B11D9" w:rsidRPr="0006336F">
        <w:t>ECEC</w:t>
      </w:r>
      <w:r w:rsidR="009C74D4" w:rsidRPr="0006336F">
        <w:t xml:space="preserve"> </w:t>
      </w:r>
      <w:r w:rsidR="007579FB" w:rsidRPr="0006336F">
        <w:t xml:space="preserve">sector. Work is also underway to develop a new Early Years Strategy. The Review to Inform a Better and Fairer Education System will report on the targets and reforms in the next </w:t>
      </w:r>
      <w:r w:rsidR="009C74D4" w:rsidRPr="0006336F">
        <w:t>National School Reform Agreement (</w:t>
      </w:r>
      <w:r w:rsidR="007579FB" w:rsidRPr="0006336F">
        <w:t>NSRA</w:t>
      </w:r>
      <w:r w:rsidR="009C74D4" w:rsidRPr="0006336F">
        <w:t>)</w:t>
      </w:r>
      <w:r w:rsidR="007579FB" w:rsidRPr="0006336F">
        <w:t xml:space="preserve"> to drive improvements and support better outcomes for all students. In addition, the Government has been working with states and territories on a new National Skills Agreement with a specific focus on foundation skills.</w:t>
      </w:r>
    </w:p>
    <w:p w14:paraId="08CF9E7B" w14:textId="1032D152" w:rsidR="007579FB" w:rsidRPr="00391E1C" w:rsidRDefault="007579FB" w:rsidP="00391E1C">
      <w:r w:rsidRPr="00391E1C">
        <w:t>Going forward, the Government</w:t>
      </w:r>
      <w:r w:rsidR="00B16861" w:rsidRPr="00391E1C">
        <w:t>’</w:t>
      </w:r>
      <w:r w:rsidRPr="00391E1C">
        <w:t xml:space="preserve">s goal is for people to have access to foundation skills development throughout their lives. </w:t>
      </w:r>
      <w:r w:rsidR="00465DDB" w:rsidRPr="00391E1C">
        <w:t xml:space="preserve">The </w:t>
      </w:r>
      <w:r w:rsidRPr="00391E1C">
        <w:t>reform pathway seeks to embed foundation skills development within our education system</w:t>
      </w:r>
      <w:r w:rsidR="00FD3514" w:rsidRPr="00391E1C">
        <w:t xml:space="preserve"> – </w:t>
      </w:r>
      <w:r w:rsidRPr="00391E1C">
        <w:t>ECEC and schools through to adult learning</w:t>
      </w:r>
      <w:r w:rsidR="00FD3514" w:rsidRPr="00391E1C">
        <w:t xml:space="preserve"> – </w:t>
      </w:r>
      <w:r w:rsidRPr="00391E1C">
        <w:t>and within the employment services</w:t>
      </w:r>
      <w:r w:rsidR="00FB2BA3" w:rsidRPr="00391E1C">
        <w:t> </w:t>
      </w:r>
      <w:r w:rsidRPr="00391E1C">
        <w:t xml:space="preserve">network. </w:t>
      </w:r>
    </w:p>
    <w:p w14:paraId="1FFF8C0F" w14:textId="7064DCD5" w:rsidR="007579FB" w:rsidRPr="0006336F" w:rsidRDefault="00CA0384" w:rsidP="00F4496B">
      <w:pPr>
        <w:pStyle w:val="Heading3"/>
      </w:pPr>
      <w:r w:rsidRPr="0006336F">
        <w:t>Charting a course to u</w:t>
      </w:r>
      <w:r w:rsidR="007579FB" w:rsidRPr="0006336F">
        <w:t xml:space="preserve">niversal early childhood education and care </w:t>
      </w:r>
    </w:p>
    <w:p w14:paraId="29ACD7D8" w14:textId="53253365" w:rsidR="007579FB" w:rsidRPr="0006336F" w:rsidRDefault="007579FB" w:rsidP="007579FB">
      <w:r w:rsidRPr="0006336F">
        <w:t xml:space="preserve">Expanding access to ECEC is critical to our labour market policy objectives. Quality care and education for children in their early years sets them up for later life achievement and provides a strong basis for learning foundation skills necessary to </w:t>
      </w:r>
      <w:r w:rsidR="00870699" w:rsidRPr="0006336F">
        <w:t xml:space="preserve">engage in their community and </w:t>
      </w:r>
      <w:r w:rsidRPr="0006336F">
        <w:t>gain employment. In particular, preschool has been found to support children</w:t>
      </w:r>
      <w:r w:rsidR="00B16861">
        <w:t>’</w:t>
      </w:r>
      <w:r w:rsidRPr="0006336F">
        <w:t>s cognitive and social development. Expanding access to ECEC support</w:t>
      </w:r>
      <w:r w:rsidR="002B2B6D" w:rsidRPr="0006336F">
        <w:t>s</w:t>
      </w:r>
      <w:r w:rsidRPr="0006336F">
        <w:t xml:space="preserve"> </w:t>
      </w:r>
      <w:r w:rsidR="002B2B6D" w:rsidRPr="0006336F">
        <w:t xml:space="preserve">parents </w:t>
      </w:r>
      <w:r w:rsidRPr="0006336F">
        <w:t>to make the best choices for their families and enabl</w:t>
      </w:r>
      <w:r w:rsidR="001F3C2B" w:rsidRPr="0006336F">
        <w:t>es</w:t>
      </w:r>
      <w:r w:rsidRPr="0006336F">
        <w:t xml:space="preserve"> their participation in the labour force.</w:t>
      </w:r>
    </w:p>
    <w:p w14:paraId="66E13C61" w14:textId="52DD7CFB" w:rsidR="007579FB" w:rsidRPr="0006336F" w:rsidRDefault="007579FB" w:rsidP="007579FB">
      <w:r w:rsidRPr="0006336F">
        <w:t xml:space="preserve">Expanding access to ECEC is complex. There is a clear need to improve access, particularly for children from disadvantaged backgrounds who </w:t>
      </w:r>
      <w:r w:rsidR="00940052" w:rsidRPr="0006336F">
        <w:t xml:space="preserve">stand to </w:t>
      </w:r>
      <w:r w:rsidRPr="0006336F">
        <w:t xml:space="preserve">benefit the most. Ensuring care is of high quality is also necessary </w:t>
      </w:r>
      <w:r w:rsidR="0025432E">
        <w:t xml:space="preserve">if we are to achieve </w:t>
      </w:r>
      <w:r w:rsidRPr="0006336F">
        <w:t xml:space="preserve">good outcomes for children. Growing </w:t>
      </w:r>
      <w:r w:rsidR="007D1ECB" w:rsidRPr="0006336F">
        <w:t xml:space="preserve">supply in </w:t>
      </w:r>
      <w:r w:rsidRPr="0006336F">
        <w:t>this sector while maintaining quality care environments that nurture children will require a skilled and sustainable workforce that is valued and respected.</w:t>
      </w:r>
    </w:p>
    <w:p w14:paraId="69D636F1" w14:textId="19CDE5A2" w:rsidR="007579FB" w:rsidRPr="0006336F" w:rsidRDefault="00FD3514" w:rsidP="007579FB">
      <w:r>
        <w:t>The Government</w:t>
      </w:r>
      <w:r w:rsidR="007579FB" w:rsidRPr="0006336F">
        <w:t xml:space="preserve"> has already increased assistance with ECEC fees through changes to the </w:t>
      </w:r>
      <w:r w:rsidR="00FE0D32" w:rsidRPr="0006336F">
        <w:t>C</w:t>
      </w:r>
      <w:r w:rsidR="007579FB" w:rsidRPr="0006336F">
        <w:t xml:space="preserve">hild </w:t>
      </w:r>
      <w:r w:rsidR="00FE0D32" w:rsidRPr="0006336F">
        <w:t>C</w:t>
      </w:r>
      <w:r w:rsidR="007579FB" w:rsidRPr="0006336F">
        <w:t xml:space="preserve">are </w:t>
      </w:r>
      <w:r w:rsidR="00FE0D32" w:rsidRPr="0006336F">
        <w:t>S</w:t>
      </w:r>
      <w:r w:rsidR="007579FB" w:rsidRPr="0006336F">
        <w:t xml:space="preserve">ubsidy, which has delivered cheaper child care from July 2023. This reform is intended to deliver more affordable ECEC and </w:t>
      </w:r>
      <w:r w:rsidR="00DF43F5" w:rsidRPr="0006336F">
        <w:t>support parents</w:t>
      </w:r>
      <w:r w:rsidR="00B16861">
        <w:t>’</w:t>
      </w:r>
      <w:r w:rsidR="00DF43F5" w:rsidRPr="0006336F">
        <w:t xml:space="preserve"> workforce participation</w:t>
      </w:r>
      <w:r w:rsidR="007579FB" w:rsidRPr="0006336F">
        <w:t xml:space="preserve">. </w:t>
      </w:r>
      <w:r w:rsidR="00FD1BAD" w:rsidRPr="0006336F">
        <w:t xml:space="preserve">In addition, </w:t>
      </w:r>
      <w:r w:rsidR="0051204D" w:rsidRPr="0006336F">
        <w:t>the</w:t>
      </w:r>
      <w:r w:rsidR="00E6364A" w:rsidRPr="0006336F">
        <w:t xml:space="preserve"> Government </w:t>
      </w:r>
      <w:r w:rsidR="00247095" w:rsidRPr="0006336F">
        <w:t>has</w:t>
      </w:r>
      <w:r w:rsidR="00E6364A" w:rsidRPr="0006336F">
        <w:t xml:space="preserve"> introduce</w:t>
      </w:r>
      <w:r w:rsidR="00247095" w:rsidRPr="0006336F">
        <w:t>d</w:t>
      </w:r>
      <w:r w:rsidR="00E6364A" w:rsidRPr="0006336F">
        <w:t xml:space="preserve"> a base entitlement to 36 hours per fortnight of subsidise</w:t>
      </w:r>
      <w:r w:rsidR="00282550" w:rsidRPr="0006336F">
        <w:t>d</w:t>
      </w:r>
      <w:r w:rsidR="00E6364A" w:rsidRPr="0006336F">
        <w:t xml:space="preserve"> </w:t>
      </w:r>
      <w:r w:rsidR="00282550" w:rsidRPr="0006336F">
        <w:t>care</w:t>
      </w:r>
      <w:r w:rsidR="00E6364A" w:rsidRPr="0006336F">
        <w:t xml:space="preserve"> for families with </w:t>
      </w:r>
      <w:r w:rsidR="009F46EF" w:rsidRPr="0006336F">
        <w:t xml:space="preserve">Aboriginal and </w:t>
      </w:r>
      <w:r w:rsidR="009F46EF">
        <w:t>Torres Strait</w:t>
      </w:r>
      <w:r w:rsidR="009F46EF" w:rsidRPr="0006336F">
        <w:t xml:space="preserve"> </w:t>
      </w:r>
      <w:r w:rsidR="009F46EF" w:rsidRPr="009F46EF">
        <w:t xml:space="preserve">Islander </w:t>
      </w:r>
      <w:r w:rsidR="009F46EF" w:rsidRPr="001965A3">
        <w:t>c</w:t>
      </w:r>
      <w:r w:rsidR="00E6364A" w:rsidRPr="009F46EF">
        <w:t>hildren</w:t>
      </w:r>
      <w:r w:rsidR="00E6364A" w:rsidRPr="0006336F">
        <w:t xml:space="preserve">, regardless of activity hours or income level. </w:t>
      </w:r>
      <w:r>
        <w:t>The Government</w:t>
      </w:r>
      <w:r w:rsidR="00E6364A" w:rsidRPr="0006336F">
        <w:t xml:space="preserve"> is also working in partnership with </w:t>
      </w:r>
      <w:r>
        <w:t>First Nation</w:t>
      </w:r>
      <w:r w:rsidR="00E6364A" w:rsidRPr="0006336F">
        <w:t>s representatives and state and territory governments through the Closing the Gap Early Childhood Care and Development Policy Partnership to guide further reforms to improve access to high</w:t>
      </w:r>
      <w:r w:rsidR="00856E9F">
        <w:t>-</w:t>
      </w:r>
      <w:r w:rsidR="00E6364A" w:rsidRPr="0006336F">
        <w:t xml:space="preserve">quality and culturally safe ECEC for </w:t>
      </w:r>
      <w:r>
        <w:t>First Nation</w:t>
      </w:r>
      <w:r w:rsidR="00E6364A" w:rsidRPr="0006336F">
        <w:t xml:space="preserve">s children and families. </w:t>
      </w:r>
    </w:p>
    <w:p w14:paraId="5A06B65B" w14:textId="0AEF3239" w:rsidR="007579FB" w:rsidRPr="00391E1C" w:rsidRDefault="00FD3514" w:rsidP="007579FB">
      <w:pPr>
        <w:rPr>
          <w:spacing w:val="-2"/>
        </w:rPr>
      </w:pPr>
      <w:r w:rsidRPr="00391E1C">
        <w:rPr>
          <w:spacing w:val="-2"/>
        </w:rPr>
        <w:t>The Government</w:t>
      </w:r>
      <w:r w:rsidR="007579FB" w:rsidRPr="00391E1C">
        <w:rPr>
          <w:spacing w:val="-2"/>
        </w:rPr>
        <w:t xml:space="preserve"> is building the evidence base on how to achieve its vision for universal ECEC. Through a comprehensive inquiry into Australia</w:t>
      </w:r>
      <w:r w:rsidR="00B16861" w:rsidRPr="00391E1C">
        <w:rPr>
          <w:spacing w:val="-2"/>
        </w:rPr>
        <w:t>’</w:t>
      </w:r>
      <w:r w:rsidR="007579FB" w:rsidRPr="00391E1C">
        <w:rPr>
          <w:spacing w:val="-2"/>
        </w:rPr>
        <w:t>s ECEC system, the PC will make recommendations to support affordable, accessible, equitable and high</w:t>
      </w:r>
      <w:r w:rsidR="00B16861" w:rsidRPr="00391E1C">
        <w:rPr>
          <w:spacing w:val="-2"/>
        </w:rPr>
        <w:noBreakHyphen/>
      </w:r>
      <w:r w:rsidR="007579FB" w:rsidRPr="00391E1C">
        <w:rPr>
          <w:spacing w:val="-2"/>
        </w:rPr>
        <w:t xml:space="preserve">quality ECEC that reduces barriers to workforce participation </w:t>
      </w:r>
      <w:r w:rsidR="007579FB" w:rsidRPr="00391E1C">
        <w:rPr>
          <w:spacing w:val="-2"/>
        </w:rPr>
        <w:lastRenderedPageBreak/>
        <w:t>and supports children</w:t>
      </w:r>
      <w:r w:rsidR="00B16861" w:rsidRPr="00391E1C">
        <w:rPr>
          <w:spacing w:val="-2"/>
        </w:rPr>
        <w:t>’</w:t>
      </w:r>
      <w:r w:rsidR="007579FB" w:rsidRPr="00391E1C">
        <w:rPr>
          <w:spacing w:val="-2"/>
        </w:rPr>
        <w:t xml:space="preserve">s learning and development. </w:t>
      </w:r>
      <w:r w:rsidRPr="00391E1C">
        <w:rPr>
          <w:spacing w:val="-2"/>
        </w:rPr>
        <w:t>The Government</w:t>
      </w:r>
      <w:r w:rsidR="00E337BA" w:rsidRPr="00391E1C">
        <w:rPr>
          <w:spacing w:val="-2"/>
        </w:rPr>
        <w:t xml:space="preserve"> has </w:t>
      </w:r>
      <w:r w:rsidR="007579FB" w:rsidRPr="00391E1C">
        <w:rPr>
          <w:spacing w:val="-2"/>
        </w:rPr>
        <w:t>also commissioned the ACCC to conduct an inquiry into the market for the supply of child care services. The ACCC inquiry will examine how ECEC costs and prices differ by geographic location, service size, type of operator, and care types.</w:t>
      </w:r>
    </w:p>
    <w:p w14:paraId="53ECAC48" w14:textId="1794A3C5" w:rsidR="007579FB" w:rsidRPr="0006336F" w:rsidRDefault="00FD3514" w:rsidP="007579FB">
      <w:r>
        <w:t>The Government</w:t>
      </w:r>
      <w:r w:rsidR="007579FB" w:rsidRPr="0006336F">
        <w:t xml:space="preserve"> will use these reviews to underpin policy reforms to deliver high</w:t>
      </w:r>
      <w:r w:rsidR="00856E9F">
        <w:t>-</w:t>
      </w:r>
      <w:r w:rsidR="007579FB" w:rsidRPr="0006336F">
        <w:t xml:space="preserve">quality, equitable, affordable, accessible ECEC. </w:t>
      </w:r>
      <w:r>
        <w:t>The Government</w:t>
      </w:r>
      <w:r w:rsidR="00B16861">
        <w:t>’</w:t>
      </w:r>
      <w:r w:rsidR="007579FB" w:rsidRPr="0006336F">
        <w:t xml:space="preserve">s approach to the provision of ECEC is captured in the </w:t>
      </w:r>
      <w:r w:rsidR="00EA4DCD" w:rsidRPr="0006336F">
        <w:t xml:space="preserve">reform principles </w:t>
      </w:r>
      <w:r w:rsidR="007579FB" w:rsidRPr="0006336F">
        <w:t xml:space="preserve">on charting a course for universal </w:t>
      </w:r>
      <w:r w:rsidR="000B11D9" w:rsidRPr="0006336F">
        <w:t>ECEC</w:t>
      </w:r>
      <w:r w:rsidR="00517588" w:rsidRPr="0006336F">
        <w:t xml:space="preserve"> </w:t>
      </w:r>
      <w:r w:rsidR="00B45575">
        <w:t xml:space="preserve">(Box </w:t>
      </w:r>
      <w:r w:rsidR="00A17FE5">
        <w:t>R.3)</w:t>
      </w:r>
      <w:r w:rsidR="00517588" w:rsidRPr="0006336F">
        <w:t xml:space="preserve"> in a fiscally responsible and sustainable manner.</w:t>
      </w:r>
    </w:p>
    <w:p w14:paraId="59A4B1DC" w14:textId="3C5B86E5" w:rsidR="00C63ABD" w:rsidRDefault="007579FB" w:rsidP="00391E1C">
      <w:r w:rsidRPr="0006336F">
        <w:t xml:space="preserve">The purpose of these principles is to </w:t>
      </w:r>
      <w:r w:rsidR="00D93D86" w:rsidRPr="0006336F">
        <w:t>support the delivery of</w:t>
      </w:r>
      <w:r w:rsidRPr="0006336F">
        <w:t xml:space="preserve"> two benefits. The first is to reduce barriers to work faced by many families. Access to affordable ECEC is vital for supporting labour market participation and ensuring Australians can make the best choices for their families without being unduly influenced by their ability to find care. High</w:t>
      </w:r>
      <w:r w:rsidR="000C23CB">
        <w:t>-</w:t>
      </w:r>
      <w:r w:rsidRPr="0006336F">
        <w:t>quality ECEC is also part of the Government</w:t>
      </w:r>
      <w:r w:rsidR="00B16861">
        <w:t>’</w:t>
      </w:r>
      <w:r w:rsidRPr="0006336F">
        <w:t>s broader approach to lifting human capital. A good start in life supports attainment through school and sets up children to succeed. Investment in ECEC is a recognition that building our future labour force starts early in life, with strong foundations.</w:t>
      </w:r>
    </w:p>
    <w:p w14:paraId="59A43B92" w14:textId="77777777" w:rsidR="00B41944" w:rsidRDefault="00B41944" w:rsidP="00B41944">
      <w:pPr>
        <w:pStyle w:val="SingleParagraph"/>
      </w:pPr>
    </w:p>
    <w:tbl>
      <w:tblPr>
        <w:tblStyle w:val="TableGrid"/>
        <w:tblW w:w="5000" w:type="pct"/>
        <w:shd w:val="clear" w:color="auto" w:fill="F2F2F2" w:themeFill="background1" w:themeFillShade="F2"/>
        <w:tblCellMar>
          <w:top w:w="227" w:type="dxa"/>
          <w:left w:w="227" w:type="dxa"/>
          <w:bottom w:w="227" w:type="dxa"/>
          <w:right w:w="227" w:type="dxa"/>
        </w:tblCellMar>
        <w:tblLook w:val="0620" w:firstRow="1" w:lastRow="0" w:firstColumn="0" w:lastColumn="0" w:noHBand="1" w:noVBand="1"/>
      </w:tblPr>
      <w:tblGrid>
        <w:gridCol w:w="9070"/>
      </w:tblGrid>
      <w:tr w:rsidR="00C63ABD" w:rsidRPr="0006336F" w14:paraId="5C18A769" w14:textId="77777777" w:rsidTr="00A715A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1E4835C4" w14:textId="258FCC4D" w:rsidR="00C63ABD" w:rsidRPr="0006336F" w:rsidRDefault="00C63ABD" w:rsidP="00391E1C">
            <w:pPr>
              <w:pStyle w:val="BoxHeadingBoxR1Roadmap"/>
            </w:pPr>
            <w:r w:rsidRPr="0006336F">
              <w:t xml:space="preserve">Universal </w:t>
            </w:r>
            <w:r w:rsidR="00D43836" w:rsidRPr="0006336F">
              <w:t xml:space="preserve">access to </w:t>
            </w:r>
            <w:r w:rsidR="007819B1">
              <w:t>e</w:t>
            </w:r>
            <w:r w:rsidR="00D43836" w:rsidRPr="0006336F">
              <w:t xml:space="preserve">arly </w:t>
            </w:r>
            <w:r w:rsidR="007819B1">
              <w:t>c</w:t>
            </w:r>
            <w:r w:rsidR="00D43836" w:rsidRPr="0006336F">
              <w:t>hild</w:t>
            </w:r>
            <w:r w:rsidR="00B61C6A" w:rsidRPr="0006336F">
              <w:t>hood</w:t>
            </w:r>
            <w:r w:rsidR="00D43836" w:rsidRPr="0006336F">
              <w:t xml:space="preserve"> </w:t>
            </w:r>
            <w:r w:rsidR="007819B1">
              <w:t>e</w:t>
            </w:r>
            <w:r w:rsidR="00D43836" w:rsidRPr="0006336F">
              <w:t xml:space="preserve">ducation and </w:t>
            </w:r>
            <w:r w:rsidR="007819B1">
              <w:t>c</w:t>
            </w:r>
            <w:r w:rsidRPr="0006336F">
              <w:t>are</w:t>
            </w:r>
          </w:p>
          <w:p w14:paraId="3230045F" w14:textId="6037230C" w:rsidR="003478C3" w:rsidRPr="00391E1C" w:rsidRDefault="00FD3514" w:rsidP="003478C3">
            <w:pPr>
              <w:pStyle w:val="BoxText"/>
              <w:rPr>
                <w:spacing w:val="-2"/>
              </w:rPr>
            </w:pPr>
            <w:r w:rsidRPr="00391E1C">
              <w:rPr>
                <w:spacing w:val="-2"/>
              </w:rPr>
              <w:t>The Government</w:t>
            </w:r>
            <w:r w:rsidR="00C87FD6" w:rsidRPr="00391E1C">
              <w:rPr>
                <w:spacing w:val="-2"/>
              </w:rPr>
              <w:t xml:space="preserve"> is committed to charting </w:t>
            </w:r>
            <w:r w:rsidR="003478C3" w:rsidRPr="00391E1C">
              <w:rPr>
                <w:spacing w:val="-2"/>
              </w:rPr>
              <w:t>the</w:t>
            </w:r>
            <w:r w:rsidR="00C87FD6" w:rsidRPr="00391E1C">
              <w:rPr>
                <w:spacing w:val="-2"/>
              </w:rPr>
              <w:t xml:space="preserve"> course for universal </w:t>
            </w:r>
            <w:r w:rsidR="003478C3" w:rsidRPr="00391E1C">
              <w:rPr>
                <w:spacing w:val="-2"/>
              </w:rPr>
              <w:t xml:space="preserve">access to </w:t>
            </w:r>
            <w:r w:rsidR="001D5599" w:rsidRPr="00391E1C">
              <w:rPr>
                <w:spacing w:val="-2"/>
              </w:rPr>
              <w:t xml:space="preserve">ECEC </w:t>
            </w:r>
            <w:r w:rsidR="00C87FD6" w:rsidRPr="00391E1C">
              <w:rPr>
                <w:spacing w:val="-2"/>
              </w:rPr>
              <w:t>in Australia that is high</w:t>
            </w:r>
            <w:r w:rsidR="000C23CB" w:rsidRPr="00391E1C">
              <w:rPr>
                <w:spacing w:val="-2"/>
              </w:rPr>
              <w:noBreakHyphen/>
            </w:r>
            <w:r w:rsidR="00C87FD6" w:rsidRPr="00391E1C">
              <w:rPr>
                <w:spacing w:val="-2"/>
              </w:rPr>
              <w:t>quality, equitable, affordable and accessible</w:t>
            </w:r>
            <w:r w:rsidR="002F77E7" w:rsidRPr="00391E1C">
              <w:rPr>
                <w:spacing w:val="-2"/>
              </w:rPr>
              <w:t xml:space="preserve"> in a </w:t>
            </w:r>
            <w:r w:rsidR="00CC2886" w:rsidRPr="00391E1C">
              <w:rPr>
                <w:spacing w:val="-2"/>
              </w:rPr>
              <w:t>fiscally</w:t>
            </w:r>
            <w:r w:rsidR="002F77E7" w:rsidRPr="00391E1C">
              <w:rPr>
                <w:spacing w:val="-2"/>
              </w:rPr>
              <w:t xml:space="preserve"> responsible and sustainable manner</w:t>
            </w:r>
            <w:r w:rsidR="00C87FD6" w:rsidRPr="00391E1C">
              <w:rPr>
                <w:spacing w:val="-2"/>
              </w:rPr>
              <w:t xml:space="preserve">. The education journey starts early. </w:t>
            </w:r>
            <w:r w:rsidR="003478C3" w:rsidRPr="00391E1C">
              <w:rPr>
                <w:spacing w:val="-2"/>
              </w:rPr>
              <w:t>Brain development occurs most quickly in the first 5</w:t>
            </w:r>
            <w:r w:rsidR="000F0ED2" w:rsidRPr="00391E1C">
              <w:rPr>
                <w:spacing w:val="-2"/>
              </w:rPr>
              <w:t> year</w:t>
            </w:r>
            <w:r w:rsidR="003478C3" w:rsidRPr="00391E1C">
              <w:rPr>
                <w:spacing w:val="-2"/>
              </w:rPr>
              <w:t>s of life, making these years the best opportunity for children to get a positive start. ECEC helps children develop cognitive function, social skills, and emotional health that are fundamental to lifelong learning and achievement throughout life. It also boosts parent and carer engagement in education, training and the workforce, particularly for women.</w:t>
            </w:r>
          </w:p>
          <w:p w14:paraId="77248879" w14:textId="1D62C489" w:rsidR="003478C3" w:rsidRPr="0006336F" w:rsidRDefault="003478C3" w:rsidP="003478C3">
            <w:pPr>
              <w:pStyle w:val="BoxText"/>
            </w:pPr>
            <w:r w:rsidRPr="0006336F">
              <w:t>ECEC, which includes preschool, long day care, family day care and out of school hours care, has significant benefits to child learning and development, helping to break cycles of disadvantage, and providing a foundation for our children</w:t>
            </w:r>
            <w:r w:rsidR="00B16861">
              <w:t>’</w:t>
            </w:r>
            <w:r w:rsidRPr="0006336F">
              <w:t>s future well</w:t>
            </w:r>
            <w:r w:rsidR="00B16861">
              <w:noBreakHyphen/>
            </w:r>
            <w:r w:rsidRPr="0006336F">
              <w:t>being and success.</w:t>
            </w:r>
          </w:p>
          <w:p w14:paraId="4F94939A" w14:textId="7B350E7D" w:rsidR="003478C3" w:rsidRPr="0006336F" w:rsidRDefault="003478C3" w:rsidP="003478C3">
            <w:pPr>
              <w:pStyle w:val="BoxText"/>
            </w:pPr>
            <w:r w:rsidRPr="0006336F">
              <w:t>An accessible, affordable ECEC system is also a key enabler of workforce participation, especially for women. Barriers to workforce participation are more pronounced for women, who are overrepresented in part</w:t>
            </w:r>
            <w:r w:rsidR="00B16861">
              <w:noBreakHyphen/>
            </w:r>
            <w:r w:rsidRPr="0006336F">
              <w:t>time and casual employment, and twice as likely as men to be working part</w:t>
            </w:r>
            <w:r w:rsidR="00B16861">
              <w:noBreakHyphen/>
            </w:r>
            <w:r w:rsidRPr="0006336F">
              <w:t>time or casually from age</w:t>
            </w:r>
            <w:r w:rsidR="000F0ED2">
              <w:t> </w:t>
            </w:r>
            <w:r w:rsidRPr="0006336F">
              <w:t>35. Supporting families to access ECEC is integral to Australia</w:t>
            </w:r>
            <w:r w:rsidR="00B16861">
              <w:t>’</w:t>
            </w:r>
            <w:r w:rsidRPr="0006336F">
              <w:t>s economic prosperity as a powerful lever for increasing workforce participation.</w:t>
            </w:r>
          </w:p>
          <w:p w14:paraId="11EF4859" w14:textId="3E4871F4" w:rsidR="003478C3" w:rsidRPr="0006336F" w:rsidRDefault="003478C3" w:rsidP="003478C3">
            <w:pPr>
              <w:pStyle w:val="BoxText"/>
            </w:pPr>
            <w:r w:rsidRPr="0006336F">
              <w:t>High</w:t>
            </w:r>
            <w:r w:rsidR="000C23CB">
              <w:t>-</w:t>
            </w:r>
            <w:r w:rsidRPr="0006336F">
              <w:t>quality ECEC requires that services are delivered by a qualified workforce, are culturally inclusive and responsive, and meet standards in providing learning and development outcomes for children to ensure that they are engaged as lifelong learners. A sustainable ECEC workforce who are valued and respected as will be central to maintaining quality ECEC.</w:t>
            </w:r>
          </w:p>
          <w:p w14:paraId="23B74A29" w14:textId="7C487B5F" w:rsidR="003478C3" w:rsidRPr="0006336F" w:rsidRDefault="003478C3" w:rsidP="003478C3">
            <w:pPr>
              <w:pStyle w:val="BoxText"/>
            </w:pPr>
            <w:r w:rsidRPr="0006336F">
              <w:t>An accessible and affordable ECEC system would ensure all families can reasonably access ECEC services regardless of geographical and cultural barriers</w:t>
            </w:r>
            <w:r w:rsidR="00C36B78" w:rsidRPr="0006336F">
              <w:t>;</w:t>
            </w:r>
            <w:r w:rsidR="00E4098D" w:rsidRPr="0006336F">
              <w:t xml:space="preserve"> </w:t>
            </w:r>
            <w:r w:rsidR="00072908" w:rsidRPr="0006336F">
              <w:t>and</w:t>
            </w:r>
            <w:r w:rsidRPr="0006336F">
              <w:t xml:space="preserve"> services are flexible enough to meet the differing needs of children, families and communities, including culturally appropriate </w:t>
            </w:r>
            <w:r w:rsidRPr="009F46EF">
              <w:t xml:space="preserve">ECEC for </w:t>
            </w:r>
            <w:r w:rsidR="00FD3514" w:rsidRPr="009F46EF">
              <w:t>First Nation</w:t>
            </w:r>
            <w:r w:rsidRPr="009F46EF">
              <w:t>s families</w:t>
            </w:r>
            <w:r w:rsidRPr="0006336F">
              <w:t xml:space="preserve">. Equitable ECEC will help make sure children have the same opportunity to benefit from </w:t>
            </w:r>
            <w:r w:rsidR="001D5599">
              <w:t>ECEC</w:t>
            </w:r>
            <w:r w:rsidRPr="0006336F">
              <w:t xml:space="preserve"> services, regardless of their circumstances or background.</w:t>
            </w:r>
          </w:p>
          <w:p w14:paraId="534368CF" w14:textId="5B48EF47" w:rsidR="00C63ABD" w:rsidRPr="0006336F" w:rsidRDefault="003478C3" w:rsidP="002F36BC">
            <w:pPr>
              <w:pStyle w:val="BoxText"/>
            </w:pPr>
            <w:r w:rsidRPr="0006336F">
              <w:t>A strong ECEC system which meets these objectives of affordable, accessible, equitable and high quality will deliver outcomes now, and into the future, for Australia</w:t>
            </w:r>
            <w:r w:rsidR="00B16861">
              <w:t>’</w:t>
            </w:r>
            <w:r w:rsidRPr="0006336F">
              <w:t>s children and their families.</w:t>
            </w:r>
          </w:p>
        </w:tc>
      </w:tr>
    </w:tbl>
    <w:p w14:paraId="5A493B26" w14:textId="77777777" w:rsidR="0003286C" w:rsidRPr="0003286C" w:rsidRDefault="0003286C" w:rsidP="0003286C">
      <w:r w:rsidRPr="0003286C">
        <w:br w:type="page"/>
      </w:r>
    </w:p>
    <w:p w14:paraId="5182D8B6" w14:textId="3E30340A" w:rsidR="00132A70" w:rsidRPr="0006336F" w:rsidRDefault="00132A70" w:rsidP="00F4496B">
      <w:pPr>
        <w:pStyle w:val="Heading3"/>
      </w:pPr>
      <w:r w:rsidRPr="0006336F">
        <w:lastRenderedPageBreak/>
        <w:t>Improv</w:t>
      </w:r>
      <w:r w:rsidR="00060C85" w:rsidRPr="0006336F">
        <w:t>ing</w:t>
      </w:r>
      <w:r w:rsidRPr="0006336F">
        <w:t xml:space="preserve"> </w:t>
      </w:r>
      <w:r w:rsidR="00D67FDC" w:rsidRPr="0006336F">
        <w:t>equity of school outcomes</w:t>
      </w:r>
    </w:p>
    <w:p w14:paraId="1B900E67" w14:textId="45D25E70" w:rsidR="00D2075F" w:rsidRPr="0006336F" w:rsidRDefault="00E90FB4" w:rsidP="00132A70">
      <w:r w:rsidRPr="0006336F">
        <w:t xml:space="preserve">Education is </w:t>
      </w:r>
      <w:r w:rsidR="00167455" w:rsidRPr="0006336F">
        <w:t>helping</w:t>
      </w:r>
      <w:r w:rsidR="00132A70" w:rsidRPr="0006336F">
        <w:t xml:space="preserve"> all children reach their potential. </w:t>
      </w:r>
      <w:r w:rsidR="00DA6E30" w:rsidRPr="0006336F">
        <w:t>But while</w:t>
      </w:r>
      <w:r w:rsidR="00132A70" w:rsidRPr="0006336F">
        <w:t xml:space="preserve"> Australia</w:t>
      </w:r>
      <w:r w:rsidR="00B16861">
        <w:t>’</w:t>
      </w:r>
      <w:r w:rsidR="00132A70" w:rsidRPr="0006336F">
        <w:t>s education system performs well for many</w:t>
      </w:r>
      <w:r w:rsidR="00DA6E30" w:rsidRPr="0006336F">
        <w:t xml:space="preserve"> students</w:t>
      </w:r>
      <w:r w:rsidR="00132A70" w:rsidRPr="0006336F">
        <w:t xml:space="preserve">, </w:t>
      </w:r>
      <w:r w:rsidR="00DA6E30" w:rsidRPr="0006336F">
        <w:t>that is not the case</w:t>
      </w:r>
      <w:r w:rsidR="00132A70" w:rsidRPr="0006336F">
        <w:t xml:space="preserve"> for all. Education outcomes need to be improved across the board, but especially for students in disadvantaged cohorts</w:t>
      </w:r>
      <w:r w:rsidR="00EA5D78" w:rsidRPr="0006336F">
        <w:t xml:space="preserve">, including students with disability, </w:t>
      </w:r>
      <w:r w:rsidR="00132A70" w:rsidRPr="0006336F">
        <w:t xml:space="preserve">who are at higher risk of falling behind. </w:t>
      </w:r>
    </w:p>
    <w:p w14:paraId="23C08FDE" w14:textId="6FEB2E63" w:rsidR="00132A70" w:rsidRPr="0006336F" w:rsidRDefault="00132A70" w:rsidP="00132A70">
      <w:r w:rsidRPr="0006336F">
        <w:t>School outcomes are often strongly linked to socio</w:t>
      </w:r>
      <w:r w:rsidR="00B16861">
        <w:noBreakHyphen/>
      </w:r>
      <w:r w:rsidRPr="0006336F">
        <w:t>economic status</w:t>
      </w:r>
      <w:r w:rsidR="00FD3514">
        <w:t xml:space="preserve"> – </w:t>
      </w:r>
      <w:r w:rsidRPr="0006336F">
        <w:t xml:space="preserve">decoupling these links is a critical step in lifting learning and attainment outcomes. </w:t>
      </w:r>
      <w:r w:rsidR="00856F4B" w:rsidRPr="0006336F">
        <w:t>Supporting teachers to be effective</w:t>
      </w:r>
      <w:r w:rsidRPr="0006336F">
        <w:t>, supporting the wellbeing that enables students to learn, and evidence</w:t>
      </w:r>
      <w:r w:rsidR="00B16861">
        <w:noBreakHyphen/>
      </w:r>
      <w:r w:rsidRPr="0006336F">
        <w:t xml:space="preserve">based resources are also essential to achieving these objectives. Seeking to lift education opportunities and achievement for all children </w:t>
      </w:r>
      <w:r w:rsidR="005750EB" w:rsidRPr="0006336F">
        <w:t>and young people</w:t>
      </w:r>
      <w:r w:rsidRPr="0006336F">
        <w:t xml:space="preserve"> is at the core of our plan to lift productivity growth by raising human capital levels across the future workforce.</w:t>
      </w:r>
    </w:p>
    <w:p w14:paraId="3B52110C" w14:textId="098255E4" w:rsidR="00132A70" w:rsidRPr="0006336F" w:rsidRDefault="002F1A4E" w:rsidP="00132A70">
      <w:r w:rsidRPr="0006336F">
        <w:t>Su</w:t>
      </w:r>
      <w:r w:rsidR="00410700" w:rsidRPr="0006336F">
        <w:t>pporting teachers to be effective</w:t>
      </w:r>
      <w:r w:rsidR="00FB5326" w:rsidRPr="0006336F">
        <w:t xml:space="preserve"> is a precondition to improving student outcomes</w:t>
      </w:r>
      <w:r w:rsidR="007E26E4" w:rsidRPr="0006336F">
        <w:t xml:space="preserve">. </w:t>
      </w:r>
      <w:r w:rsidR="00FD3514">
        <w:t>The Government</w:t>
      </w:r>
      <w:r w:rsidR="007E26E4" w:rsidRPr="0006336F">
        <w:t xml:space="preserve"> is </w:t>
      </w:r>
      <w:r w:rsidR="00387FEC" w:rsidRPr="0006336F">
        <w:t>addressing teacher workforce shortages</w:t>
      </w:r>
      <w:r w:rsidR="00132A70" w:rsidRPr="0006336F">
        <w:t xml:space="preserve"> </w:t>
      </w:r>
      <w:r w:rsidR="0090131E" w:rsidRPr="0006336F">
        <w:t>t</w:t>
      </w:r>
      <w:r w:rsidR="00132A70" w:rsidRPr="0006336F">
        <w:t xml:space="preserve">hrough the National Teacher Workforce Action Plan. </w:t>
      </w:r>
      <w:r w:rsidR="00D34527" w:rsidRPr="0006336F">
        <w:t>This</w:t>
      </w:r>
      <w:r w:rsidR="000F0ED2">
        <w:t> </w:t>
      </w:r>
      <w:r w:rsidR="00D34527" w:rsidRPr="0006336F">
        <w:t>includes investments in additional university places, employment</w:t>
      </w:r>
      <w:r w:rsidR="00B16861">
        <w:noBreakHyphen/>
      </w:r>
      <w:r w:rsidR="00D34527" w:rsidRPr="0006336F">
        <w:t>based pathways and scholarships</w:t>
      </w:r>
      <w:r w:rsidR="00FA53E5" w:rsidRPr="0006336F">
        <w:t xml:space="preserve">, and a strong focus on improving the status of the profession. </w:t>
      </w:r>
      <w:r w:rsidR="00132A70" w:rsidRPr="0006336F">
        <w:t xml:space="preserve">The next NSRA provides a significant opportunity to tie funding to reforms needed to lift student outcomes. Building on efforts to date, the Government will look to drive </w:t>
      </w:r>
      <w:r w:rsidR="00C26B04" w:rsidRPr="0006336F">
        <w:t xml:space="preserve">increased </w:t>
      </w:r>
      <w:r w:rsidR="00132A70" w:rsidRPr="0006336F">
        <w:t xml:space="preserve">transparency and accountability in school </w:t>
      </w:r>
      <w:r w:rsidR="005C1E85" w:rsidRPr="0006336F">
        <w:t xml:space="preserve">systems </w:t>
      </w:r>
      <w:r w:rsidR="00132A70" w:rsidRPr="0006336F">
        <w:t xml:space="preserve">to </w:t>
      </w:r>
      <w:r w:rsidR="005C1E85" w:rsidRPr="0006336F">
        <w:t xml:space="preserve">improve </w:t>
      </w:r>
      <w:r w:rsidR="00132A70" w:rsidRPr="0006336F">
        <w:t>the community</w:t>
      </w:r>
      <w:r w:rsidR="00B16861">
        <w:t>’</w:t>
      </w:r>
      <w:r w:rsidR="005C1E85" w:rsidRPr="0006336F">
        <w:t>s</w:t>
      </w:r>
      <w:r w:rsidR="00132A70" w:rsidRPr="0006336F">
        <w:t xml:space="preserve"> visibility of the links between expenditure and educational outcomes and the</w:t>
      </w:r>
      <w:r w:rsidR="005C1E85" w:rsidRPr="0006336F">
        <w:t>ir</w:t>
      </w:r>
      <w:r w:rsidR="00132A70" w:rsidRPr="0006336F">
        <w:t xml:space="preserve"> ability to identify and address areas for improvement. A new NSRA that better targets funding at children most in need will significantly improve equity in educational outcomes and ensure fair opportunities for all children.</w:t>
      </w:r>
    </w:p>
    <w:p w14:paraId="4B18F5D9" w14:textId="1EF1F5B0" w:rsidR="00F235E7" w:rsidRPr="00FB2BA3" w:rsidRDefault="00132A70" w:rsidP="00132A70">
      <w:pPr>
        <w:rPr>
          <w:spacing w:val="-2"/>
        </w:rPr>
      </w:pPr>
      <w:r w:rsidRPr="00FB2BA3">
        <w:rPr>
          <w:spacing w:val="-2"/>
        </w:rPr>
        <w:t xml:space="preserve">With this in mind, the next NSRA </w:t>
      </w:r>
      <w:r w:rsidR="00DC2F0B" w:rsidRPr="00FB2BA3">
        <w:rPr>
          <w:spacing w:val="-2"/>
        </w:rPr>
        <w:t xml:space="preserve">could </w:t>
      </w:r>
      <w:r w:rsidRPr="00FB2BA3">
        <w:rPr>
          <w:spacing w:val="-2"/>
        </w:rPr>
        <w:t xml:space="preserve">establish new targets and </w:t>
      </w:r>
      <w:r w:rsidR="00D6645C" w:rsidRPr="00FB2BA3">
        <w:rPr>
          <w:spacing w:val="-2"/>
        </w:rPr>
        <w:t xml:space="preserve">specific </w:t>
      </w:r>
      <w:r w:rsidRPr="00FB2BA3">
        <w:rPr>
          <w:spacing w:val="-2"/>
        </w:rPr>
        <w:t xml:space="preserve">reforms, focused on students who have fallen behind or are at risk of falling behind, </w:t>
      </w:r>
      <w:r w:rsidR="00CB4480" w:rsidRPr="00FB2BA3">
        <w:rPr>
          <w:spacing w:val="-2"/>
        </w:rPr>
        <w:t xml:space="preserve">underpinned by increased </w:t>
      </w:r>
      <w:r w:rsidRPr="00FB2BA3">
        <w:rPr>
          <w:spacing w:val="-2"/>
        </w:rPr>
        <w:t xml:space="preserve">transparency and accountability to support success. The final report of the Review </w:t>
      </w:r>
      <w:r w:rsidR="000230E5" w:rsidRPr="00FB2BA3">
        <w:rPr>
          <w:spacing w:val="-2"/>
        </w:rPr>
        <w:t>to Inform a Better and Fairer Education System</w:t>
      </w:r>
      <w:r w:rsidRPr="00FB2BA3">
        <w:rPr>
          <w:spacing w:val="-2"/>
        </w:rPr>
        <w:t xml:space="preserve"> will be provided to Education Ministers by the end of October 2023 and will guide future reform in schools. The development of the next NSRA will </w:t>
      </w:r>
      <w:r w:rsidR="00F235E7" w:rsidRPr="00FB2BA3">
        <w:rPr>
          <w:spacing w:val="-2"/>
        </w:rPr>
        <w:t xml:space="preserve">reflect </w:t>
      </w:r>
      <w:r w:rsidR="00803696" w:rsidRPr="00FB2BA3">
        <w:rPr>
          <w:spacing w:val="-2"/>
        </w:rPr>
        <w:t>the Government</w:t>
      </w:r>
      <w:r w:rsidR="00B16861" w:rsidRPr="00FB2BA3">
        <w:rPr>
          <w:spacing w:val="-2"/>
        </w:rPr>
        <w:t>’</w:t>
      </w:r>
      <w:r w:rsidR="00803696" w:rsidRPr="00FB2BA3">
        <w:rPr>
          <w:spacing w:val="-2"/>
        </w:rPr>
        <w:t>s commitment to work</w:t>
      </w:r>
      <w:r w:rsidR="00F235E7" w:rsidRPr="00FB2BA3">
        <w:rPr>
          <w:spacing w:val="-2"/>
        </w:rPr>
        <w:t>ing</w:t>
      </w:r>
      <w:r w:rsidR="00803696" w:rsidRPr="00FB2BA3">
        <w:rPr>
          <w:spacing w:val="-2"/>
        </w:rPr>
        <w:t xml:space="preserve"> with states and territories to </w:t>
      </w:r>
      <w:r w:rsidR="00BF604D" w:rsidRPr="00FB2BA3">
        <w:rPr>
          <w:spacing w:val="-2"/>
        </w:rPr>
        <w:t xml:space="preserve">have </w:t>
      </w:r>
      <w:r w:rsidR="00803696" w:rsidRPr="00FB2BA3">
        <w:rPr>
          <w:spacing w:val="-2"/>
        </w:rPr>
        <w:t>every school on a path to</w:t>
      </w:r>
      <w:r w:rsidRPr="00FB2BA3">
        <w:rPr>
          <w:spacing w:val="-2"/>
        </w:rPr>
        <w:t xml:space="preserve"> 100</w:t>
      </w:r>
      <w:r w:rsidR="00B16861" w:rsidRPr="00FB2BA3">
        <w:rPr>
          <w:spacing w:val="-2"/>
        </w:rPr>
        <w:t> per c</w:t>
      </w:r>
      <w:r w:rsidRPr="00FB2BA3">
        <w:rPr>
          <w:spacing w:val="-2"/>
        </w:rPr>
        <w:t xml:space="preserve">ent of </w:t>
      </w:r>
      <w:r w:rsidR="00BF604D" w:rsidRPr="00FB2BA3">
        <w:rPr>
          <w:spacing w:val="-2"/>
        </w:rPr>
        <w:t>its fair funding level</w:t>
      </w:r>
      <w:r w:rsidRPr="00FB2BA3">
        <w:rPr>
          <w:spacing w:val="-2"/>
        </w:rPr>
        <w:t xml:space="preserve"> and lift attainment outcomes for all students, especially those from priority equity cohorts.</w:t>
      </w:r>
    </w:p>
    <w:p w14:paraId="58A254ED" w14:textId="5D02ADE9" w:rsidR="00132A70" w:rsidRPr="0006336F" w:rsidRDefault="00132A70" w:rsidP="00132A70">
      <w:r w:rsidRPr="0006336F">
        <w:t xml:space="preserve">Education is central to supporting people to reach their full potential. Going forward, improving the outcomes for all students, regardless of background, will remain a core focus of the Government. Lifting attainment among those Australians who fall behind is one of the biggest opportunities to </w:t>
      </w:r>
      <w:r w:rsidR="00B152B2">
        <w:t xml:space="preserve">improve </w:t>
      </w:r>
      <w:r w:rsidR="00641C24" w:rsidRPr="0006336F">
        <w:t>long</w:t>
      </w:r>
      <w:r w:rsidR="00B16861">
        <w:noBreakHyphen/>
      </w:r>
      <w:r w:rsidR="00641C24" w:rsidRPr="0006336F">
        <w:t xml:space="preserve">term </w:t>
      </w:r>
      <w:r w:rsidRPr="0006336F">
        <w:t xml:space="preserve">labour market productivity, economic activity and standards of living. </w:t>
      </w:r>
    </w:p>
    <w:p w14:paraId="66A0DEA3" w14:textId="792FDDCE" w:rsidR="00132A70" w:rsidRPr="0006336F" w:rsidRDefault="001A2B4F" w:rsidP="00F4496B">
      <w:pPr>
        <w:pStyle w:val="Heading3"/>
      </w:pPr>
      <w:r w:rsidRPr="0006336F">
        <w:t>Improv</w:t>
      </w:r>
      <w:r w:rsidR="002F70F6" w:rsidRPr="0006336F">
        <w:t>ing</w:t>
      </w:r>
      <w:r w:rsidRPr="0006336F">
        <w:t xml:space="preserve"> </w:t>
      </w:r>
      <w:r w:rsidR="00132A70" w:rsidRPr="0006336F">
        <w:t xml:space="preserve">access to foundation skills </w:t>
      </w:r>
      <w:r w:rsidRPr="0006336F">
        <w:t>training programs</w:t>
      </w:r>
      <w:r w:rsidR="00812E6B" w:rsidRPr="0006336F">
        <w:t xml:space="preserve"> </w:t>
      </w:r>
    </w:p>
    <w:p w14:paraId="448A0B8D" w14:textId="4AD6B34A" w:rsidR="00132A70" w:rsidRPr="0006336F" w:rsidRDefault="00132A70" w:rsidP="00132A70">
      <w:r w:rsidRPr="0006336F">
        <w:t xml:space="preserve">Strengthening foundation skills at any stage in life can deliver great benefits to individuals and communities. Improving access to foundation skills for adults will allow them to pursue further learning, </w:t>
      </w:r>
      <w:r w:rsidR="00341256">
        <w:t>boost</w:t>
      </w:r>
      <w:r w:rsidR="00341256" w:rsidRPr="0006336F">
        <w:t xml:space="preserve"> </w:t>
      </w:r>
      <w:r w:rsidRPr="0006336F">
        <w:t>their employment prospects and participate more fully in the community. Expanding access to all adults, including those experiencing shifts in their industry or job, will help facilitate structural change in the economy while lifting the level of human capital in the workforce.</w:t>
      </w:r>
    </w:p>
    <w:p w14:paraId="7EE9EF1E" w14:textId="293C9550" w:rsidR="00132A70" w:rsidRPr="0006336F" w:rsidRDefault="00FD3514" w:rsidP="00132A70">
      <w:r>
        <w:t>The Government</w:t>
      </w:r>
      <w:r w:rsidR="00132A70" w:rsidRPr="0006336F">
        <w:t xml:space="preserve"> will deliver stronger and more inclusive foundation skills training through the redesign of the Skills for Education and Employment (SEE) program. Previously, the SEE</w:t>
      </w:r>
      <w:r w:rsidR="00A715AC">
        <w:t> </w:t>
      </w:r>
      <w:r w:rsidR="00132A70" w:rsidRPr="0006336F">
        <w:t>program was accessible only to registered job seekers, leaving out a large portion of society. From</w:t>
      </w:r>
      <w:r w:rsidR="000F0ED2">
        <w:t> </w:t>
      </w:r>
      <w:r w:rsidR="00132A70" w:rsidRPr="0006336F">
        <w:t>July</w:t>
      </w:r>
      <w:r w:rsidR="000F0ED2">
        <w:t> </w:t>
      </w:r>
      <w:r w:rsidR="00132A70" w:rsidRPr="0006336F">
        <w:t xml:space="preserve">2024, the redesigned program </w:t>
      </w:r>
      <w:r w:rsidR="009E7383" w:rsidRPr="0006336F">
        <w:t>will</w:t>
      </w:r>
      <w:r w:rsidR="00132A70" w:rsidRPr="0006336F">
        <w:t xml:space="preserve"> provid</w:t>
      </w:r>
      <w:r w:rsidR="009E7383" w:rsidRPr="0006336F">
        <w:t>e</w:t>
      </w:r>
      <w:r w:rsidR="00132A70" w:rsidRPr="0006336F">
        <w:t xml:space="preserve"> more pathways and improv</w:t>
      </w:r>
      <w:r w:rsidR="009E7383" w:rsidRPr="0006336F">
        <w:t>e</w:t>
      </w:r>
      <w:r w:rsidR="00132A70" w:rsidRPr="0006336F">
        <w:t xml:space="preserve"> access to foundation skills training for </w:t>
      </w:r>
      <w:r w:rsidR="00132A70" w:rsidRPr="0006336F">
        <w:lastRenderedPageBreak/>
        <w:t>around 27,000 Australians aged over 15</w:t>
      </w:r>
      <w:r w:rsidR="000F0ED2">
        <w:t> year</w:t>
      </w:r>
      <w:r w:rsidR="00132A70" w:rsidRPr="0006336F">
        <w:t>s and who have left school. Delivery will be through a mix of national and local solutions to broaden access and include specific place</w:t>
      </w:r>
      <w:r w:rsidR="00B16861">
        <w:noBreakHyphen/>
      </w:r>
      <w:r w:rsidR="00132A70" w:rsidRPr="0006336F">
        <w:t xml:space="preserve">based </w:t>
      </w:r>
      <w:r>
        <w:t>First Nation</w:t>
      </w:r>
      <w:r w:rsidR="00132A70" w:rsidRPr="0006336F">
        <w:t>s</w:t>
      </w:r>
      <w:r w:rsidR="00B16861">
        <w:noBreakHyphen/>
      </w:r>
      <w:r w:rsidR="00132A70" w:rsidRPr="0006336F">
        <w:t xml:space="preserve">led support for </w:t>
      </w:r>
      <w:r>
        <w:t>First Nation</w:t>
      </w:r>
      <w:r w:rsidR="00132A70" w:rsidRPr="0006336F">
        <w:t>s people. The program will also support projects within workplaces for workers who face insecure work challenges as a result of low foundation skills.</w:t>
      </w:r>
    </w:p>
    <w:p w14:paraId="6F875C5D" w14:textId="6EEA7C6B" w:rsidR="00132A70" w:rsidRPr="0006336F" w:rsidRDefault="00132A70" w:rsidP="00132A70">
      <w:r w:rsidRPr="0006336F">
        <w:t xml:space="preserve">To inform future reform directions, </w:t>
      </w:r>
      <w:r w:rsidR="009A7BEB" w:rsidRPr="0006336F">
        <w:t xml:space="preserve">JSA </w:t>
      </w:r>
      <w:r w:rsidR="00945B44" w:rsidRPr="0006336F">
        <w:t xml:space="preserve">is </w:t>
      </w:r>
      <w:r w:rsidR="008E2083" w:rsidRPr="0006336F">
        <w:t>completing</w:t>
      </w:r>
      <w:r w:rsidRPr="0006336F">
        <w:t xml:space="preserve"> a </w:t>
      </w:r>
      <w:r w:rsidR="00A6440B" w:rsidRPr="0006336F">
        <w:t xml:space="preserve">national </w:t>
      </w:r>
      <w:r w:rsidRPr="0006336F">
        <w:t xml:space="preserve">Foundation Skills Study. The </w:t>
      </w:r>
      <w:r w:rsidR="004F3C69" w:rsidRPr="0006336F">
        <w:t>s</w:t>
      </w:r>
      <w:r w:rsidRPr="0006336F">
        <w:t>tudy will provide up</w:t>
      </w:r>
      <w:r w:rsidR="00B16861">
        <w:noBreakHyphen/>
      </w:r>
      <w:r w:rsidRPr="0006336F">
        <w:t>to</w:t>
      </w:r>
      <w:r w:rsidR="00B16861">
        <w:noBreakHyphen/>
      </w:r>
      <w:r w:rsidRPr="0006336F">
        <w:t xml:space="preserve">date evidence on the level of foundation skills among Australian adults. </w:t>
      </w:r>
      <w:r w:rsidR="004F3C69" w:rsidRPr="0006336F">
        <w:t>It</w:t>
      </w:r>
      <w:r w:rsidRPr="0006336F">
        <w:t xml:space="preserve"> will provide a critical evidence base on the state of foundation skills in Australia and </w:t>
      </w:r>
      <w:r w:rsidR="007919BD" w:rsidRPr="0006336F">
        <w:t>inform how governments can better target support for foundation skill development in adults.</w:t>
      </w:r>
      <w:r w:rsidR="00472220">
        <w:t xml:space="preserve"> </w:t>
      </w:r>
      <w:r w:rsidR="00FC16C8" w:rsidRPr="0006336F">
        <w:t>This</w:t>
      </w:r>
      <w:r w:rsidRPr="0006336F">
        <w:t xml:space="preserve"> is an example of how the Government intends to use new insights generated by JSA to guide policy. </w:t>
      </w:r>
    </w:p>
    <w:p w14:paraId="36EF4F67" w14:textId="7667B3C7" w:rsidR="00132A70" w:rsidRPr="0006336F" w:rsidRDefault="00132A70" w:rsidP="00132A70">
      <w:r w:rsidRPr="0006336F">
        <w:t xml:space="preserve">Delivering </w:t>
      </w:r>
      <w:r w:rsidR="00FC16C8" w:rsidRPr="0006336F">
        <w:t xml:space="preserve">robust </w:t>
      </w:r>
      <w:r w:rsidRPr="0006336F">
        <w:t xml:space="preserve">foundation skills for </w:t>
      </w:r>
      <w:r w:rsidR="00FC16C8" w:rsidRPr="0006336F">
        <w:t>more</w:t>
      </w:r>
      <w:r w:rsidRPr="0006336F">
        <w:t xml:space="preserve"> Australians requires collaboration between all levels of government and better data to inform policy decisions. The new National Skills Agreement currently being negotiated with states and territories will recognise that increasing access and removing barriers to foundation skills programs is a shared priority of governments and will complement the work to redesign the SEE program. Building on the new Agreement </w:t>
      </w:r>
      <w:r w:rsidR="00417AD3" w:rsidRPr="0006336F">
        <w:t>and</w:t>
      </w:r>
      <w:r w:rsidRPr="0006336F">
        <w:t xml:space="preserve"> the JSA Foundation Skills Study</w:t>
      </w:r>
      <w:r w:rsidR="00417AD3" w:rsidRPr="0006336F">
        <w:t>, the Government will</w:t>
      </w:r>
      <w:r w:rsidRPr="0006336F">
        <w:t xml:space="preserve"> shape national coordination of practical policies to lift foundation skill levels for adult Australians. This is part of the Government</w:t>
      </w:r>
      <w:r w:rsidR="00B16861">
        <w:t>’</w:t>
      </w:r>
      <w:r w:rsidRPr="0006336F">
        <w:t xml:space="preserve">s broader approach to lifting human capital across the workforce, starting </w:t>
      </w:r>
      <w:r w:rsidR="00250721" w:rsidRPr="0006336F">
        <w:t>i</w:t>
      </w:r>
      <w:r w:rsidRPr="0006336F">
        <w:t xml:space="preserve">n the </w:t>
      </w:r>
      <w:r w:rsidR="006738BB" w:rsidRPr="0006336F">
        <w:t xml:space="preserve">compulsory </w:t>
      </w:r>
      <w:r w:rsidRPr="0006336F">
        <w:t xml:space="preserve">education system </w:t>
      </w:r>
      <w:r w:rsidR="00636130" w:rsidRPr="0006336F">
        <w:t xml:space="preserve">and </w:t>
      </w:r>
      <w:r w:rsidRPr="0006336F">
        <w:t>continuing throughout people</w:t>
      </w:r>
      <w:r w:rsidR="00B16861">
        <w:t>’</w:t>
      </w:r>
      <w:r w:rsidRPr="0006336F">
        <w:t xml:space="preserve">s lives. </w:t>
      </w:r>
    </w:p>
    <w:p w14:paraId="73AC23DA" w14:textId="643B9149" w:rsidR="00D976B7" w:rsidRPr="0006336F" w:rsidRDefault="00132A70" w:rsidP="000D70B0">
      <w:r w:rsidRPr="0006336F">
        <w:t xml:space="preserve">All workers should be able to </w:t>
      </w:r>
      <w:r w:rsidR="008F6E5D" w:rsidRPr="0006336F">
        <w:t xml:space="preserve">develop </w:t>
      </w:r>
      <w:r w:rsidRPr="0006336F">
        <w:t>through lifelong learning</w:t>
      </w:r>
      <w:r w:rsidR="00FD3514">
        <w:t xml:space="preserve"> – </w:t>
      </w:r>
      <w:r w:rsidRPr="0006336F">
        <w:t>future reforms will be targeted at improving core foundation skills for all Australians</w:t>
      </w:r>
      <w:r w:rsidR="00A402B8" w:rsidRPr="0006336F">
        <w:t xml:space="preserve">, </w:t>
      </w:r>
      <w:r w:rsidRPr="0006336F">
        <w:t>including through employment services reform</w:t>
      </w:r>
      <w:r w:rsidR="00F4440E" w:rsidRPr="0006336F">
        <w:t xml:space="preserve"> to better integrate foundation skills</w:t>
      </w:r>
      <w:r w:rsidR="00D35F47" w:rsidRPr="0006336F">
        <w:t xml:space="preserve"> training</w:t>
      </w:r>
      <w:r w:rsidRPr="0006336F">
        <w:t>. Through stronger foundation skills, we will be in a better position to upskill workers in the face of major shifts in the economy, improve labour market dynamism and contribute to productivity growth.</w:t>
      </w:r>
    </w:p>
    <w:p w14:paraId="37BF479D" w14:textId="77777777" w:rsidR="00203685" w:rsidRPr="0006336F" w:rsidRDefault="00203685">
      <w:pPr>
        <w:spacing w:before="0" w:after="160" w:line="259" w:lineRule="auto"/>
      </w:pPr>
      <w:r w:rsidRPr="0006336F">
        <w:br w:type="page"/>
      </w:r>
    </w:p>
    <w:p w14:paraId="65BBA000" w14:textId="6B2FE4A7" w:rsidR="00D976B7" w:rsidRPr="0006336F" w:rsidRDefault="00A309DD" w:rsidP="00A73B6C">
      <w:pPr>
        <w:pStyle w:val="Heading2"/>
      </w:pPr>
      <w:bookmarkStart w:id="10" w:name="_Toc146292919"/>
      <w:r w:rsidRPr="0006336F">
        <w:lastRenderedPageBreak/>
        <w:t xml:space="preserve">5 </w:t>
      </w:r>
      <w:r w:rsidR="00A73B6C">
        <w:tab/>
      </w:r>
      <w:r w:rsidR="008D4CBF" w:rsidRPr="00A73B6C">
        <w:rPr>
          <w:spacing w:val="-10"/>
          <w:kern w:val="24"/>
        </w:rPr>
        <w:t>Investing in skills, tertiary education and lifelong learning</w:t>
      </w:r>
      <w:bookmarkEnd w:id="10"/>
    </w:p>
    <w:p w14:paraId="26DFB01A" w14:textId="4A636F97" w:rsidR="006D7CFC" w:rsidRPr="0006336F" w:rsidRDefault="00A309DD" w:rsidP="00A73B6C">
      <w:pPr>
        <w:pStyle w:val="TableMainHeadingRoadmap"/>
        <w:spacing w:before="240"/>
      </w:pPr>
      <w:r w:rsidRPr="0006336F">
        <w:t>Actions</w:t>
      </w:r>
      <w:r w:rsidR="00B41FF9" w:rsidRPr="0006336F">
        <w:t xml:space="preserve"> to invest in skills, tertiary education and lifelong learning </w:t>
      </w:r>
    </w:p>
    <w:tbl>
      <w:tblPr>
        <w:tblStyle w:val="TableGrid"/>
        <w:tblW w:w="5000" w:type="pct"/>
        <w:tblLook w:val="01E0" w:firstRow="1" w:lastRow="1" w:firstColumn="1" w:lastColumn="1" w:noHBand="0" w:noVBand="0"/>
      </w:tblPr>
      <w:tblGrid>
        <w:gridCol w:w="3023"/>
        <w:gridCol w:w="3023"/>
        <w:gridCol w:w="3024"/>
      </w:tblGrid>
      <w:tr w:rsidR="000C57ED" w:rsidRPr="0006336F" w14:paraId="629530CD" w14:textId="77777777" w:rsidTr="00A715AC">
        <w:trPr>
          <w:cnfStyle w:val="100000000000" w:firstRow="1" w:lastRow="0" w:firstColumn="0" w:lastColumn="0" w:oddVBand="0" w:evenVBand="0" w:oddHBand="0" w:evenHBand="0" w:firstRowFirstColumn="0" w:firstRowLastColumn="0" w:lastRowFirstColumn="0" w:lastRowLastColumn="0"/>
          <w:tblHeader/>
        </w:trPr>
        <w:tc>
          <w:tcPr>
            <w:tcW w:w="1666" w:type="pct"/>
          </w:tcPr>
          <w:p w14:paraId="0916113B" w14:textId="77ADF191" w:rsidR="000C57ED" w:rsidRPr="0006336F" w:rsidRDefault="000C57ED" w:rsidP="00EE19B9">
            <w:pPr>
              <w:pStyle w:val="TableColumnHeadingLeft"/>
            </w:pPr>
            <w:r w:rsidRPr="0006336F">
              <w:t>Implemented</w:t>
            </w:r>
          </w:p>
        </w:tc>
        <w:tc>
          <w:tcPr>
            <w:tcW w:w="1666" w:type="pct"/>
          </w:tcPr>
          <w:p w14:paraId="2E9FC0D4" w14:textId="68C21CE0" w:rsidR="000C57ED" w:rsidRPr="0006336F" w:rsidRDefault="000C57ED" w:rsidP="00EE19B9">
            <w:pPr>
              <w:pStyle w:val="TableColumnHeadingLeft"/>
            </w:pPr>
            <w:r w:rsidRPr="0006336F">
              <w:t>Underway</w:t>
            </w:r>
          </w:p>
        </w:tc>
        <w:tc>
          <w:tcPr>
            <w:tcW w:w="1667" w:type="pct"/>
          </w:tcPr>
          <w:p w14:paraId="41B547ED" w14:textId="11DA0532" w:rsidR="000C57ED" w:rsidRPr="0006336F" w:rsidRDefault="000C57ED" w:rsidP="00EE19B9">
            <w:pPr>
              <w:pStyle w:val="TableColumnHeadingLeft"/>
            </w:pPr>
            <w:r w:rsidRPr="0006336F">
              <w:t>Future reform directions</w:t>
            </w:r>
          </w:p>
        </w:tc>
      </w:tr>
      <w:tr w:rsidR="000C57ED" w:rsidRPr="0006336F" w14:paraId="6D8BA061" w14:textId="77777777" w:rsidTr="00A715AC">
        <w:tc>
          <w:tcPr>
            <w:tcW w:w="1666" w:type="pct"/>
          </w:tcPr>
          <w:p w14:paraId="310074CD" w14:textId="5F7EFC90" w:rsidR="0061601A" w:rsidRPr="0006336F" w:rsidRDefault="00C0750B" w:rsidP="00F4496B">
            <w:pPr>
              <w:pStyle w:val="TableTextLeft"/>
              <w:rPr>
                <w:b/>
              </w:rPr>
            </w:pPr>
            <w:r w:rsidRPr="0006336F">
              <w:rPr>
                <w:b/>
              </w:rPr>
              <w:t xml:space="preserve">Broadened </w:t>
            </w:r>
            <w:r w:rsidR="00E37702" w:rsidRPr="0006336F">
              <w:rPr>
                <w:b/>
                <w:bCs/>
              </w:rPr>
              <w:t>opportunities for people</w:t>
            </w:r>
            <w:r w:rsidR="002D1B03" w:rsidRPr="0006336F">
              <w:rPr>
                <w:b/>
                <w:bCs/>
              </w:rPr>
              <w:t xml:space="preserve"> </w:t>
            </w:r>
            <w:r w:rsidR="00766963" w:rsidRPr="0006336F">
              <w:rPr>
                <w:b/>
                <w:bCs/>
              </w:rPr>
              <w:t xml:space="preserve">to study </w:t>
            </w:r>
            <w:r w:rsidR="002D1B03" w:rsidRPr="0006336F">
              <w:rPr>
                <w:b/>
                <w:bCs/>
              </w:rPr>
              <w:t xml:space="preserve">in </w:t>
            </w:r>
            <w:r w:rsidR="005D5FFD" w:rsidRPr="0006336F">
              <w:rPr>
                <w:b/>
                <w:bCs/>
              </w:rPr>
              <w:t xml:space="preserve">areas of skills shortage </w:t>
            </w:r>
          </w:p>
          <w:p w14:paraId="30AED442" w14:textId="1CCA00D1" w:rsidR="00D97F81" w:rsidRPr="0006336F" w:rsidRDefault="002D1B03" w:rsidP="00F4496B">
            <w:pPr>
              <w:pStyle w:val="TableTextBullet"/>
            </w:pPr>
            <w:r w:rsidRPr="0006336F">
              <w:t>Expand</w:t>
            </w:r>
            <w:r w:rsidR="00D97F81" w:rsidRPr="0006336F">
              <w:t>ed</w:t>
            </w:r>
            <w:r w:rsidRPr="0006336F">
              <w:t xml:space="preserve"> </w:t>
            </w:r>
            <w:r w:rsidR="00AD783D" w:rsidRPr="0006336F">
              <w:t xml:space="preserve">the </w:t>
            </w:r>
            <w:r w:rsidRPr="0006336F">
              <w:t>Australian Apprenticeships Priority List</w:t>
            </w:r>
          </w:p>
          <w:p w14:paraId="0E69E86F" w14:textId="65857C53" w:rsidR="00766963" w:rsidRPr="0006336F" w:rsidRDefault="00205CE9" w:rsidP="00F4496B">
            <w:pPr>
              <w:pStyle w:val="TableTextBullet"/>
            </w:pPr>
            <w:r w:rsidRPr="0006336F">
              <w:t xml:space="preserve">Delivered </w:t>
            </w:r>
            <w:r w:rsidR="00325124" w:rsidRPr="0006336F">
              <w:t>around</w:t>
            </w:r>
            <w:r w:rsidR="008B2112" w:rsidRPr="0006336F">
              <w:t xml:space="preserve"> </w:t>
            </w:r>
            <w:r w:rsidR="009F05DC" w:rsidRPr="0006336F">
              <w:t>215,000</w:t>
            </w:r>
            <w:r w:rsidRPr="0006336F">
              <w:t xml:space="preserve"> </w:t>
            </w:r>
            <w:r w:rsidR="005E0192" w:rsidRPr="0006336F">
              <w:t>F</w:t>
            </w:r>
            <w:r w:rsidRPr="0006336F">
              <w:t>ee</w:t>
            </w:r>
            <w:r w:rsidR="00B16861">
              <w:noBreakHyphen/>
            </w:r>
            <w:r w:rsidR="005E0192" w:rsidRPr="0006336F">
              <w:t>F</w:t>
            </w:r>
            <w:r w:rsidRPr="0006336F">
              <w:t xml:space="preserve">ree TAFE </w:t>
            </w:r>
            <w:r w:rsidR="00B02240" w:rsidRPr="0006336F">
              <w:t xml:space="preserve">enrolments </w:t>
            </w:r>
            <w:r w:rsidR="004D0BA8" w:rsidRPr="0006336F">
              <w:t xml:space="preserve">with the states and territories </w:t>
            </w:r>
            <w:r w:rsidRPr="0006336F">
              <w:t>in areas of skills shortage</w:t>
            </w:r>
          </w:p>
          <w:p w14:paraId="1692BEAD" w14:textId="39562185" w:rsidR="00766963" w:rsidRPr="0006336F" w:rsidRDefault="003712D6" w:rsidP="00F4496B">
            <w:pPr>
              <w:pStyle w:val="TableTextLeft"/>
              <w:rPr>
                <w:b/>
                <w:bCs/>
              </w:rPr>
            </w:pPr>
            <w:r w:rsidRPr="0006336F">
              <w:rPr>
                <w:b/>
              </w:rPr>
              <w:t>Implemented t</w:t>
            </w:r>
            <w:r w:rsidR="00A73D9D" w:rsidRPr="0006336F">
              <w:rPr>
                <w:b/>
              </w:rPr>
              <w:t>arget</w:t>
            </w:r>
            <w:r w:rsidRPr="0006336F">
              <w:rPr>
                <w:b/>
                <w:bCs/>
              </w:rPr>
              <w:t>ed</w:t>
            </w:r>
            <w:r w:rsidR="00A73D9D" w:rsidRPr="0006336F">
              <w:rPr>
                <w:b/>
                <w:bCs/>
              </w:rPr>
              <w:t xml:space="preserve"> action </w:t>
            </w:r>
            <w:r w:rsidR="00C964F9" w:rsidRPr="0006336F">
              <w:rPr>
                <w:b/>
                <w:bCs/>
              </w:rPr>
              <w:t xml:space="preserve">within the tertiary education sector </w:t>
            </w:r>
            <w:r w:rsidR="00FD5480" w:rsidRPr="0006336F">
              <w:rPr>
                <w:b/>
                <w:bCs/>
              </w:rPr>
              <w:t xml:space="preserve">on </w:t>
            </w:r>
            <w:r w:rsidR="00C964F9" w:rsidRPr="0006336F">
              <w:rPr>
                <w:b/>
                <w:bCs/>
              </w:rPr>
              <w:t xml:space="preserve">priority areas </w:t>
            </w:r>
          </w:p>
          <w:p w14:paraId="30F75D82" w14:textId="77777777" w:rsidR="00D97F81" w:rsidRPr="0006336F" w:rsidRDefault="00D97F81" w:rsidP="00F4496B">
            <w:pPr>
              <w:pStyle w:val="TableTextBullet"/>
            </w:pPr>
            <w:r w:rsidRPr="0006336F">
              <w:t>Established the TAFE Technology Fund to help TAFEs upgrade and expand their facilities</w:t>
            </w:r>
          </w:p>
          <w:p w14:paraId="7DA2C979" w14:textId="291A24C1" w:rsidR="00FD5480" w:rsidRPr="0006336F" w:rsidRDefault="004A6F00" w:rsidP="00F4496B">
            <w:pPr>
              <w:pStyle w:val="TableTextBullet"/>
            </w:pPr>
            <w:r w:rsidRPr="0006336F">
              <w:t xml:space="preserve">Launched </w:t>
            </w:r>
            <w:r w:rsidR="00D97F81" w:rsidRPr="0006336F">
              <w:t xml:space="preserve">New Energy Apprenticeships and </w:t>
            </w:r>
            <w:r w:rsidR="00AE4208" w:rsidRPr="0006336F">
              <w:t xml:space="preserve">the </w:t>
            </w:r>
            <w:r w:rsidR="00D97F81" w:rsidRPr="0006336F">
              <w:t>New Energy Skills Program to support workers in new energy industries</w:t>
            </w:r>
          </w:p>
          <w:p w14:paraId="6C76A4A2" w14:textId="64F756B7" w:rsidR="00252740" w:rsidRPr="0006336F" w:rsidRDefault="00252740" w:rsidP="00F4496B">
            <w:pPr>
              <w:pStyle w:val="TableTextBullet"/>
            </w:pPr>
            <w:r w:rsidRPr="0006336F">
              <w:t>Established Startup Year to support students</w:t>
            </w:r>
            <w:r w:rsidR="00B16861">
              <w:t>’</w:t>
            </w:r>
            <w:r w:rsidRPr="0006336F">
              <w:t xml:space="preserve"> participation in startup courses</w:t>
            </w:r>
          </w:p>
          <w:p w14:paraId="4F6F0135" w14:textId="6B00C532" w:rsidR="00766963" w:rsidRPr="0006336F" w:rsidRDefault="00FD5480" w:rsidP="00F4496B">
            <w:pPr>
              <w:pStyle w:val="TableTextLeft"/>
              <w:rPr>
                <w:b/>
                <w:bCs/>
              </w:rPr>
            </w:pPr>
            <w:r w:rsidRPr="0006336F">
              <w:rPr>
                <w:b/>
              </w:rPr>
              <w:t>Develop</w:t>
            </w:r>
            <w:r w:rsidR="00CF4405" w:rsidRPr="0006336F">
              <w:rPr>
                <w:b/>
              </w:rPr>
              <w:t>ed</w:t>
            </w:r>
            <w:r w:rsidRPr="0006336F">
              <w:rPr>
                <w:b/>
              </w:rPr>
              <w:t xml:space="preserve"> partnerships</w:t>
            </w:r>
            <w:r w:rsidR="0001153A" w:rsidRPr="0006336F">
              <w:rPr>
                <w:b/>
                <w:bCs/>
              </w:rPr>
              <w:t xml:space="preserve"> with industry </w:t>
            </w:r>
          </w:p>
          <w:p w14:paraId="40212E1D" w14:textId="02B481A2" w:rsidR="00843B11" w:rsidRPr="0006336F" w:rsidRDefault="00DD225F" w:rsidP="00F4496B">
            <w:pPr>
              <w:pStyle w:val="TableTextBullet"/>
            </w:pPr>
            <w:r w:rsidRPr="0006336F">
              <w:t>Supported</w:t>
            </w:r>
            <w:r w:rsidR="00766963" w:rsidRPr="0006336F">
              <w:t xml:space="preserve"> the new Digital and Tech Skills Compact to grow the tech sector</w:t>
            </w:r>
          </w:p>
          <w:p w14:paraId="107E2349" w14:textId="006075EC" w:rsidR="00D97F81" w:rsidRPr="0006336F" w:rsidRDefault="00843B11" w:rsidP="00F4496B">
            <w:pPr>
              <w:pStyle w:val="TableTextBullet"/>
            </w:pPr>
            <w:r w:rsidRPr="0006336F">
              <w:t>Extend</w:t>
            </w:r>
            <w:r w:rsidR="006A4C96" w:rsidRPr="0006336F">
              <w:t>ed</w:t>
            </w:r>
            <w:r w:rsidRPr="0006336F">
              <w:t xml:space="preserve"> the Women in STEM Cadetships and Advanced Apprenticeships program to give women more opportunities to work in STEM careers </w:t>
            </w:r>
          </w:p>
        </w:tc>
        <w:tc>
          <w:tcPr>
            <w:tcW w:w="1666" w:type="pct"/>
          </w:tcPr>
          <w:p w14:paraId="300A5016" w14:textId="7F479E84" w:rsidR="005D13B4" w:rsidRPr="0006336F" w:rsidRDefault="00775AD9" w:rsidP="00344999">
            <w:pPr>
              <w:pStyle w:val="TableTextLeft"/>
              <w:rPr>
                <w:b/>
                <w:bCs/>
              </w:rPr>
            </w:pPr>
            <w:r w:rsidRPr="0006336F">
              <w:rPr>
                <w:b/>
                <w:bCs/>
              </w:rPr>
              <w:t>G</w:t>
            </w:r>
            <w:r w:rsidR="00344999" w:rsidRPr="0006336F">
              <w:rPr>
                <w:b/>
                <w:bCs/>
              </w:rPr>
              <w:t xml:space="preserve">rowing </w:t>
            </w:r>
            <w:r w:rsidRPr="0006336F">
              <w:rPr>
                <w:b/>
                <w:bCs/>
              </w:rPr>
              <w:t>and strengthening Australia</w:t>
            </w:r>
            <w:r w:rsidR="00B16861">
              <w:rPr>
                <w:b/>
                <w:bCs/>
              </w:rPr>
              <w:t>’</w:t>
            </w:r>
            <w:r w:rsidRPr="0006336F">
              <w:rPr>
                <w:b/>
                <w:bCs/>
              </w:rPr>
              <w:t>s</w:t>
            </w:r>
            <w:r w:rsidR="00344999" w:rsidRPr="0006336F">
              <w:rPr>
                <w:b/>
                <w:bCs/>
              </w:rPr>
              <w:t xml:space="preserve"> vocational education sector </w:t>
            </w:r>
          </w:p>
          <w:p w14:paraId="435A249C" w14:textId="0826BF04" w:rsidR="00775AD9" w:rsidRPr="0006336F" w:rsidRDefault="003E0BF3" w:rsidP="00F4496B">
            <w:pPr>
              <w:pStyle w:val="TableTextBullet"/>
            </w:pPr>
            <w:r w:rsidRPr="0006336F">
              <w:t>Investing an additional</w:t>
            </w:r>
            <w:r w:rsidR="00775AD9" w:rsidRPr="0006336F">
              <w:t xml:space="preserve"> $</w:t>
            </w:r>
            <w:r w:rsidR="0049284D" w:rsidRPr="0006336F">
              <w:t>3.7</w:t>
            </w:r>
            <w:r w:rsidR="000F0ED2">
              <w:t> billion</w:t>
            </w:r>
            <w:r w:rsidR="00775AD9" w:rsidRPr="0006336F">
              <w:t xml:space="preserve"> </w:t>
            </w:r>
            <w:r w:rsidRPr="0006336F">
              <w:t xml:space="preserve">in a new </w:t>
            </w:r>
            <w:r w:rsidR="00775AD9" w:rsidRPr="0006336F">
              <w:t xml:space="preserve">National Skills Agreement with states and territories </w:t>
            </w:r>
          </w:p>
          <w:p w14:paraId="2F96E897" w14:textId="7B33BBB3" w:rsidR="005D13B4" w:rsidRPr="0006336F" w:rsidRDefault="00205CE9" w:rsidP="00F4496B">
            <w:pPr>
              <w:pStyle w:val="TableTextBullet"/>
            </w:pPr>
            <w:r w:rsidRPr="0006336F">
              <w:t>Delivering a</w:t>
            </w:r>
            <w:r w:rsidR="009E43D3" w:rsidRPr="0006336F">
              <w:t xml:space="preserve"> further </w:t>
            </w:r>
            <w:r w:rsidRPr="0006336F">
              <w:t xml:space="preserve">300,000 </w:t>
            </w:r>
            <w:r w:rsidR="008F122B" w:rsidRPr="0006336F">
              <w:t>Fee</w:t>
            </w:r>
            <w:r w:rsidR="00B16861">
              <w:noBreakHyphen/>
            </w:r>
            <w:r w:rsidR="008F122B" w:rsidRPr="0006336F">
              <w:t>Free</w:t>
            </w:r>
            <w:r w:rsidR="00344999" w:rsidRPr="0006336F">
              <w:t xml:space="preserve"> TAFE places</w:t>
            </w:r>
            <w:r w:rsidR="00FD5F18" w:rsidRPr="0006336F">
              <w:t xml:space="preserve"> in areas </w:t>
            </w:r>
            <w:r w:rsidR="009B745C" w:rsidRPr="0006336F">
              <w:t>of skills shortage</w:t>
            </w:r>
            <w:r w:rsidR="00344999" w:rsidRPr="0006336F">
              <w:t xml:space="preserve"> </w:t>
            </w:r>
            <w:r w:rsidR="00CE2D1D" w:rsidRPr="0006336F">
              <w:t>from</w:t>
            </w:r>
            <w:r w:rsidR="00344999" w:rsidRPr="0006336F">
              <w:t xml:space="preserve"> </w:t>
            </w:r>
            <w:r w:rsidRPr="0006336F">
              <w:t xml:space="preserve">2024 </w:t>
            </w:r>
          </w:p>
          <w:p w14:paraId="299F20F3" w14:textId="58DC684A" w:rsidR="00F64A4E" w:rsidRPr="0006336F" w:rsidRDefault="00F64A4E" w:rsidP="00F4496B">
            <w:pPr>
              <w:pStyle w:val="TableTextBullet"/>
            </w:pPr>
            <w:r w:rsidRPr="0006336F">
              <w:t>Building diversity in apprenticeships and driving completions</w:t>
            </w:r>
            <w:r w:rsidR="00BB4B98" w:rsidRPr="0006336F">
              <w:t>, including through a new</w:t>
            </w:r>
            <w:r w:rsidR="00AD76D4" w:rsidRPr="0006336F">
              <w:t xml:space="preserve"> Australian Apprentices Support Services model</w:t>
            </w:r>
          </w:p>
          <w:p w14:paraId="437EA596" w14:textId="30BF45C8" w:rsidR="000973A7" w:rsidRPr="0006336F" w:rsidRDefault="000973A7" w:rsidP="00F4496B">
            <w:pPr>
              <w:pStyle w:val="TableTextBullet"/>
            </w:pPr>
            <w:r w:rsidRPr="0006336F">
              <w:t>Undertaking a VET Workforce Blueprint</w:t>
            </w:r>
          </w:p>
          <w:p w14:paraId="086A342B" w14:textId="26DA22F1" w:rsidR="00AD76D4" w:rsidRPr="0006336F" w:rsidRDefault="00AD76D4" w:rsidP="00AD76D4">
            <w:pPr>
              <w:pStyle w:val="TableTextBullet"/>
            </w:pPr>
            <w:r w:rsidRPr="0006336F">
              <w:t>Turbocharg</w:t>
            </w:r>
            <w:r w:rsidR="0021002E" w:rsidRPr="0006336F">
              <w:t>ing</w:t>
            </w:r>
            <w:r w:rsidRPr="0006336F">
              <w:t xml:space="preserve"> TAFE Centres of Excellence to fast track their establishment </w:t>
            </w:r>
          </w:p>
          <w:p w14:paraId="2BEAED64" w14:textId="30F683A1" w:rsidR="00AD76D4" w:rsidRPr="0006336F" w:rsidRDefault="00AD76D4" w:rsidP="00FA5C62">
            <w:pPr>
              <w:pStyle w:val="TableTextBullet"/>
            </w:pPr>
            <w:r w:rsidRPr="0006336F">
              <w:t>Introduc</w:t>
            </w:r>
            <w:r w:rsidR="0021002E" w:rsidRPr="0006336F">
              <w:t>ing</w:t>
            </w:r>
            <w:r w:rsidRPr="0006336F">
              <w:t xml:space="preserve"> </w:t>
            </w:r>
            <w:r w:rsidR="00B16861">
              <w:t>‘</w:t>
            </w:r>
            <w:r w:rsidRPr="0006336F">
              <w:t>higher apprenticeships</w:t>
            </w:r>
            <w:r w:rsidR="00B16861">
              <w:t>’</w:t>
            </w:r>
            <w:r w:rsidRPr="0006336F">
              <w:t xml:space="preserve"> to deliver advanced tertiary skills responsive to industry needs</w:t>
            </w:r>
          </w:p>
          <w:p w14:paraId="390B0F62" w14:textId="0A2704E1" w:rsidR="00161859" w:rsidRPr="0006336F" w:rsidRDefault="00344999" w:rsidP="00C7066D">
            <w:pPr>
              <w:pStyle w:val="TableTextLeft"/>
            </w:pPr>
            <w:r w:rsidRPr="0006336F">
              <w:rPr>
                <w:b/>
                <w:bCs/>
              </w:rPr>
              <w:t xml:space="preserve">Improving outcomes and broadening access </w:t>
            </w:r>
            <w:r w:rsidR="004A06C7" w:rsidRPr="0006336F">
              <w:rPr>
                <w:b/>
                <w:bCs/>
              </w:rPr>
              <w:t xml:space="preserve">to </w:t>
            </w:r>
            <w:r w:rsidRPr="0006336F">
              <w:rPr>
                <w:b/>
                <w:bCs/>
              </w:rPr>
              <w:t>university</w:t>
            </w:r>
          </w:p>
          <w:p w14:paraId="734FB736" w14:textId="2FC037EF" w:rsidR="00161859" w:rsidRPr="0006336F" w:rsidRDefault="00161859" w:rsidP="00161859">
            <w:pPr>
              <w:pStyle w:val="TableTextBullet"/>
            </w:pPr>
            <w:r w:rsidRPr="0006336F">
              <w:t>Developing a Universities Accord</w:t>
            </w:r>
          </w:p>
          <w:p w14:paraId="632391AA" w14:textId="50F40FC4" w:rsidR="005D13B4" w:rsidRPr="0006336F" w:rsidRDefault="00161859" w:rsidP="00F4496B">
            <w:pPr>
              <w:pStyle w:val="TableTextBullet"/>
            </w:pPr>
            <w:r w:rsidRPr="0006336F">
              <w:t>Delivering</w:t>
            </w:r>
            <w:r w:rsidR="0060018B" w:rsidRPr="0006336F">
              <w:t xml:space="preserve"> </w:t>
            </w:r>
            <w:r w:rsidR="00344999" w:rsidRPr="0006336F">
              <w:t>20</w:t>
            </w:r>
            <w:r w:rsidR="002B475A" w:rsidRPr="0006336F">
              <w:t>,</w:t>
            </w:r>
            <w:r w:rsidR="00344999" w:rsidRPr="0006336F">
              <w:t xml:space="preserve">000 additional </w:t>
            </w:r>
            <w:r w:rsidR="0060018B" w:rsidRPr="0006336F">
              <w:t xml:space="preserve">university </w:t>
            </w:r>
            <w:r w:rsidR="00344999" w:rsidRPr="0006336F">
              <w:t>places for students from under</w:t>
            </w:r>
            <w:r w:rsidR="005C702B">
              <w:t>-</w:t>
            </w:r>
            <w:r w:rsidR="00344999" w:rsidRPr="0006336F">
              <w:t xml:space="preserve">represented backgrounds </w:t>
            </w:r>
          </w:p>
          <w:p w14:paraId="78604262" w14:textId="6CCD4F84" w:rsidR="00344999" w:rsidRPr="0006336F" w:rsidRDefault="000D53BB" w:rsidP="00F4496B">
            <w:pPr>
              <w:pStyle w:val="TableTextBullet"/>
            </w:pPr>
            <w:r w:rsidRPr="0006336F">
              <w:t xml:space="preserve">Delivering an additional 4,000 university places </w:t>
            </w:r>
            <w:r w:rsidR="00FE2ED3" w:rsidRPr="0006336F">
              <w:t>in</w:t>
            </w:r>
            <w:r w:rsidRPr="0006336F">
              <w:t xml:space="preserve"> STEM </w:t>
            </w:r>
            <w:r w:rsidR="00FE2ED3" w:rsidRPr="0006336F">
              <w:t>courses</w:t>
            </w:r>
            <w:r w:rsidRPr="0006336F">
              <w:t xml:space="preserve"> </w:t>
            </w:r>
          </w:p>
          <w:p w14:paraId="5FC3C36A" w14:textId="7991782E" w:rsidR="00864585" w:rsidRPr="0006336F" w:rsidRDefault="00864585" w:rsidP="00F4496B">
            <w:pPr>
              <w:pStyle w:val="TableTextBullet"/>
            </w:pPr>
            <w:r w:rsidRPr="0006336F">
              <w:t>Establishing new Regional and Suburban University Study Hubs</w:t>
            </w:r>
          </w:p>
          <w:p w14:paraId="4B06E92D" w14:textId="12CB338F" w:rsidR="00864585" w:rsidRPr="0006336F" w:rsidRDefault="00864585" w:rsidP="00F4496B">
            <w:pPr>
              <w:pStyle w:val="TableTextBullet"/>
            </w:pPr>
            <w:r w:rsidRPr="0006336F">
              <w:t>Ceasing the 50</w:t>
            </w:r>
            <w:r w:rsidR="00B16861">
              <w:t> per c</w:t>
            </w:r>
            <w:r w:rsidRPr="0006336F">
              <w:t>ent pass rule</w:t>
            </w:r>
          </w:p>
          <w:p w14:paraId="297B1383" w14:textId="00656302" w:rsidR="00864585" w:rsidRPr="0006336F" w:rsidRDefault="00864585" w:rsidP="00F4496B">
            <w:pPr>
              <w:pStyle w:val="TableTextBullet"/>
            </w:pPr>
            <w:r w:rsidRPr="0006336F">
              <w:t xml:space="preserve">Introducing demand driven university places for all </w:t>
            </w:r>
            <w:r w:rsidR="00FD3514">
              <w:t>First Nation</w:t>
            </w:r>
            <w:r w:rsidRPr="0006336F">
              <w:t>s students</w:t>
            </w:r>
          </w:p>
          <w:p w14:paraId="318A6F0C" w14:textId="40DBF133" w:rsidR="00BD3B54" w:rsidRPr="0006336F" w:rsidRDefault="00461008" w:rsidP="00344999">
            <w:pPr>
              <w:pStyle w:val="TableTextLeft"/>
              <w:rPr>
                <w:b/>
                <w:bCs/>
              </w:rPr>
            </w:pPr>
            <w:r w:rsidRPr="0006336F">
              <w:rPr>
                <w:b/>
                <w:bCs/>
              </w:rPr>
              <w:t>Improving skills recognition</w:t>
            </w:r>
          </w:p>
          <w:p w14:paraId="521C4FD5" w14:textId="55D83A53" w:rsidR="00C819AA" w:rsidRPr="0006336F" w:rsidRDefault="00FF014A" w:rsidP="00F4496B">
            <w:pPr>
              <w:pStyle w:val="TableTextBullet"/>
            </w:pPr>
            <w:r w:rsidRPr="0006336F">
              <w:t>Defining the scope, outcomes and benefits of a National Skills Passport in consultation with industry</w:t>
            </w:r>
            <w:r w:rsidR="00F27145" w:rsidRPr="0006336F">
              <w:t>, unions, tertiary institutions</w:t>
            </w:r>
            <w:r w:rsidRPr="0006336F">
              <w:t xml:space="preserve"> and across government to help people more easily demonstrate their skills to employers and reduce barriers to lifelong learning</w:t>
            </w:r>
            <w:r w:rsidR="00344999" w:rsidRPr="0006336F">
              <w:t xml:space="preserve"> </w:t>
            </w:r>
          </w:p>
        </w:tc>
        <w:tc>
          <w:tcPr>
            <w:tcW w:w="1667" w:type="pct"/>
          </w:tcPr>
          <w:p w14:paraId="10965B14" w14:textId="74D4CD7E" w:rsidR="00964D1F" w:rsidRPr="0006336F" w:rsidRDefault="00927E57" w:rsidP="00964D1F">
            <w:pPr>
              <w:pStyle w:val="TableTextLeft"/>
              <w:rPr>
                <w:b/>
                <w:bCs/>
              </w:rPr>
            </w:pPr>
            <w:r w:rsidRPr="0006336F">
              <w:rPr>
                <w:b/>
                <w:bCs/>
              </w:rPr>
              <w:t>Promote</w:t>
            </w:r>
            <w:r w:rsidR="008A1D11" w:rsidRPr="0006336F">
              <w:rPr>
                <w:b/>
                <w:bCs/>
              </w:rPr>
              <w:t xml:space="preserve"> a</w:t>
            </w:r>
            <w:r w:rsidR="00964D1F" w:rsidRPr="0006336F">
              <w:rPr>
                <w:b/>
                <w:bCs/>
              </w:rPr>
              <w:t xml:space="preserve"> larger share of Australians </w:t>
            </w:r>
            <w:r w:rsidR="008A1D11" w:rsidRPr="0006336F">
              <w:rPr>
                <w:b/>
                <w:bCs/>
              </w:rPr>
              <w:t>study</w:t>
            </w:r>
            <w:r w:rsidR="00006054" w:rsidRPr="0006336F">
              <w:rPr>
                <w:b/>
                <w:bCs/>
              </w:rPr>
              <w:t>ing</w:t>
            </w:r>
            <w:r w:rsidR="008A1D11" w:rsidRPr="0006336F">
              <w:rPr>
                <w:b/>
                <w:bCs/>
              </w:rPr>
              <w:t xml:space="preserve"> </w:t>
            </w:r>
            <w:r w:rsidR="005C5E11" w:rsidRPr="0006336F">
              <w:rPr>
                <w:b/>
                <w:bCs/>
              </w:rPr>
              <w:t>in areas of high skills need</w:t>
            </w:r>
          </w:p>
          <w:p w14:paraId="34177E92" w14:textId="22DC5E5A" w:rsidR="00964D1F" w:rsidRPr="0006336F" w:rsidRDefault="00802BDB" w:rsidP="00F4496B">
            <w:pPr>
              <w:pStyle w:val="TableTextBullet"/>
            </w:pPr>
            <w:r w:rsidRPr="0006336F">
              <w:t>Leverag</w:t>
            </w:r>
            <w:r w:rsidR="005E0192" w:rsidRPr="0006336F">
              <w:t>e</w:t>
            </w:r>
            <w:r w:rsidR="00964D1F" w:rsidRPr="0006336F">
              <w:t xml:space="preserve"> </w:t>
            </w:r>
            <w:r w:rsidR="005C0239" w:rsidRPr="0006336F">
              <w:t xml:space="preserve">Jobs and Skills Australia </w:t>
            </w:r>
            <w:r w:rsidR="00964D1F" w:rsidRPr="0006336F">
              <w:t xml:space="preserve">to forecast skills needs and guide </w:t>
            </w:r>
            <w:r w:rsidR="00270455" w:rsidRPr="0006336F">
              <w:t xml:space="preserve">a responsive </w:t>
            </w:r>
            <w:r w:rsidR="00964D1F" w:rsidRPr="0006336F">
              <w:t>tertiary sector</w:t>
            </w:r>
            <w:r w:rsidR="00CA582D" w:rsidRPr="0006336F">
              <w:t xml:space="preserve"> to respond to changing demands</w:t>
            </w:r>
          </w:p>
          <w:p w14:paraId="0B8C0BC3" w14:textId="006F8A0C" w:rsidR="003B1DAB" w:rsidRPr="0006336F" w:rsidRDefault="003C470E" w:rsidP="00F4496B">
            <w:pPr>
              <w:pStyle w:val="TableTextBullet"/>
            </w:pPr>
            <w:r w:rsidRPr="0006336F">
              <w:t>Promot</w:t>
            </w:r>
            <w:r w:rsidR="005E0192" w:rsidRPr="0006336F">
              <w:t>e</w:t>
            </w:r>
            <w:r w:rsidRPr="0006336F">
              <w:t xml:space="preserve"> g</w:t>
            </w:r>
            <w:r w:rsidR="00964D1F" w:rsidRPr="0006336F">
              <w:t xml:space="preserve">reater participation </w:t>
            </w:r>
            <w:r w:rsidR="00CF46C5" w:rsidRPr="0006336F">
              <w:t xml:space="preserve">in tertiary education </w:t>
            </w:r>
            <w:r w:rsidR="00964D1F" w:rsidRPr="0006336F">
              <w:t xml:space="preserve">of </w:t>
            </w:r>
            <w:r w:rsidR="00270455" w:rsidRPr="0006336F">
              <w:t>under</w:t>
            </w:r>
            <w:r w:rsidR="005C702B">
              <w:noBreakHyphen/>
            </w:r>
            <w:r w:rsidR="00270455" w:rsidRPr="0006336F">
              <w:t>represented groups</w:t>
            </w:r>
            <w:r w:rsidR="00CF46C5" w:rsidRPr="0006336F">
              <w:t xml:space="preserve">, including regional students </w:t>
            </w:r>
          </w:p>
          <w:p w14:paraId="28225DEF" w14:textId="426931C2" w:rsidR="00836B43" w:rsidRPr="0006336F" w:rsidRDefault="00F017B0" w:rsidP="00964D1F">
            <w:pPr>
              <w:pStyle w:val="TableTextLeft"/>
              <w:rPr>
                <w:b/>
                <w:bCs/>
              </w:rPr>
            </w:pPr>
            <w:r w:rsidRPr="0006336F">
              <w:rPr>
                <w:b/>
                <w:bCs/>
              </w:rPr>
              <w:t>Boost c</w:t>
            </w:r>
            <w:r w:rsidR="00836B43" w:rsidRPr="0006336F">
              <w:rPr>
                <w:b/>
                <w:bCs/>
              </w:rPr>
              <w:t>ollaborat</w:t>
            </w:r>
            <w:r w:rsidRPr="0006336F">
              <w:rPr>
                <w:b/>
                <w:bCs/>
              </w:rPr>
              <w:t>ion</w:t>
            </w:r>
            <w:r w:rsidR="00C11B3F" w:rsidRPr="0006336F">
              <w:rPr>
                <w:b/>
                <w:bCs/>
              </w:rPr>
              <w:t xml:space="preserve"> </w:t>
            </w:r>
            <w:r w:rsidRPr="0006336F">
              <w:rPr>
                <w:b/>
                <w:bCs/>
              </w:rPr>
              <w:t>in</w:t>
            </w:r>
            <w:r w:rsidR="00130464" w:rsidRPr="0006336F">
              <w:rPr>
                <w:b/>
                <w:bCs/>
              </w:rPr>
              <w:t xml:space="preserve"> </w:t>
            </w:r>
            <w:r w:rsidR="0087601B" w:rsidRPr="0006336F">
              <w:rPr>
                <w:b/>
                <w:bCs/>
              </w:rPr>
              <w:t>t</w:t>
            </w:r>
            <w:r w:rsidR="0052239B" w:rsidRPr="0006336F">
              <w:rPr>
                <w:b/>
                <w:bCs/>
              </w:rPr>
              <w:t>he</w:t>
            </w:r>
            <w:r w:rsidR="0087601B" w:rsidRPr="0006336F">
              <w:rPr>
                <w:b/>
                <w:bCs/>
              </w:rPr>
              <w:t xml:space="preserve"> </w:t>
            </w:r>
            <w:r w:rsidR="00130464" w:rsidRPr="0006336F">
              <w:rPr>
                <w:b/>
                <w:bCs/>
              </w:rPr>
              <w:t xml:space="preserve">tertiary </w:t>
            </w:r>
            <w:r w:rsidR="00836B43" w:rsidRPr="0006336F">
              <w:rPr>
                <w:b/>
                <w:bCs/>
              </w:rPr>
              <w:t>sector</w:t>
            </w:r>
          </w:p>
          <w:p w14:paraId="7F1A08FD" w14:textId="2974A7F8" w:rsidR="00111712" w:rsidRPr="0006336F" w:rsidRDefault="00111712" w:rsidP="00964D1F">
            <w:pPr>
              <w:pStyle w:val="TableTextBullet"/>
            </w:pPr>
            <w:r w:rsidRPr="0006336F">
              <w:t>Develop collaborative institutions including TAFE Centres of Excellence, with focuses on priority areas</w:t>
            </w:r>
          </w:p>
          <w:p w14:paraId="4E09F495" w14:textId="1F81E036" w:rsidR="00111712" w:rsidRPr="0006336F" w:rsidRDefault="00111712" w:rsidP="00C7066D">
            <w:pPr>
              <w:pStyle w:val="TableTextBullet"/>
            </w:pPr>
            <w:r w:rsidRPr="0006336F">
              <w:t>Develop new innovative qualifications, which combine the best of the tertiary education system, like higher apprenticeships</w:t>
            </w:r>
          </w:p>
          <w:p w14:paraId="6BA17427" w14:textId="27F77B68" w:rsidR="00964D1F" w:rsidRPr="0006336F" w:rsidRDefault="003B2342" w:rsidP="00964D1F">
            <w:pPr>
              <w:pStyle w:val="TableTextLeft"/>
              <w:rPr>
                <w:b/>
                <w:bCs/>
              </w:rPr>
            </w:pPr>
            <w:r w:rsidRPr="0006336F">
              <w:rPr>
                <w:b/>
                <w:bCs/>
              </w:rPr>
              <w:t>Remov</w:t>
            </w:r>
            <w:r w:rsidR="00A16B3E" w:rsidRPr="0006336F">
              <w:rPr>
                <w:b/>
                <w:bCs/>
              </w:rPr>
              <w:t>e</w:t>
            </w:r>
            <w:r w:rsidRPr="0006336F">
              <w:rPr>
                <w:b/>
                <w:bCs/>
              </w:rPr>
              <w:t xml:space="preserve"> barriers to lifelong learning</w:t>
            </w:r>
          </w:p>
          <w:p w14:paraId="4E33DF4C" w14:textId="49D0DBDB" w:rsidR="00942BFD" w:rsidRPr="0006336F" w:rsidRDefault="00942BFD" w:rsidP="00F4496B">
            <w:pPr>
              <w:pStyle w:val="TableTextBullet"/>
            </w:pPr>
            <w:r w:rsidRPr="0006336F">
              <w:t>Encourage ongoing learning in the workplace</w:t>
            </w:r>
          </w:p>
          <w:p w14:paraId="232F6D95" w14:textId="072C942C" w:rsidR="000C57ED" w:rsidRPr="0006336F" w:rsidRDefault="00942BFD" w:rsidP="00EE19B9">
            <w:pPr>
              <w:pStyle w:val="TableTextBullet"/>
            </w:pPr>
            <w:r w:rsidRPr="0006336F">
              <w:t xml:space="preserve">Support people </w:t>
            </w:r>
            <w:r w:rsidR="004B064D" w:rsidRPr="0006336F">
              <w:t>to better demonstrate their skills to employers</w:t>
            </w:r>
          </w:p>
        </w:tc>
      </w:tr>
    </w:tbl>
    <w:p w14:paraId="0E82BD32" w14:textId="77777777" w:rsidR="00A73B6C" w:rsidRDefault="00A73B6C" w:rsidP="00A73B6C">
      <w:pPr>
        <w:pStyle w:val="ChartTableFiguresectionline"/>
      </w:pPr>
    </w:p>
    <w:p w14:paraId="3BF3ABF0" w14:textId="1E58AB59" w:rsidR="00AE6F36" w:rsidRPr="0006336F" w:rsidRDefault="00AE6F36" w:rsidP="00AE6F36">
      <w:r w:rsidRPr="0006336F">
        <w:lastRenderedPageBreak/>
        <w:t xml:space="preserve">A high performing tertiary </w:t>
      </w:r>
      <w:r w:rsidR="006A6712" w:rsidRPr="0006336F">
        <w:t>education</w:t>
      </w:r>
      <w:r w:rsidRPr="0006336F">
        <w:t xml:space="preserve"> system, working in a more collaborative and joined</w:t>
      </w:r>
      <w:r w:rsidR="00B16861">
        <w:noBreakHyphen/>
      </w:r>
      <w:r w:rsidRPr="0006336F">
        <w:t xml:space="preserve">up way, </w:t>
      </w:r>
      <w:r w:rsidR="006A6712" w:rsidRPr="0006336F">
        <w:t>will</w:t>
      </w:r>
      <w:r w:rsidRPr="0006336F">
        <w:t xml:space="preserve"> help the labour market respond to the forces shaping our economy. Australia</w:t>
      </w:r>
      <w:r w:rsidR="00B16861">
        <w:t>’</w:t>
      </w:r>
      <w:r w:rsidRPr="0006336F">
        <w:t xml:space="preserve">s labour force will shift towards jobs that require greater levels of skills and knowledge, requiring our tertiary education system to grow. </w:t>
      </w:r>
      <w:r w:rsidR="008C0659" w:rsidRPr="0006336F">
        <w:t>I</w:t>
      </w:r>
      <w:r w:rsidRPr="0006336F">
        <w:t xml:space="preserve">nvestment in tertiary education will deliver greater opportunities for workers to undertake </w:t>
      </w:r>
      <w:r w:rsidR="007F72CF" w:rsidRPr="0006336F">
        <w:t xml:space="preserve">education and </w:t>
      </w:r>
      <w:r w:rsidRPr="0006336F">
        <w:t>training throughout their lives. By expanding opportunity and facilitating growth in priority industries, the education and training system</w:t>
      </w:r>
      <w:r w:rsidR="00E71B4A">
        <w:t>s</w:t>
      </w:r>
      <w:r w:rsidRPr="0006336F">
        <w:t xml:space="preserve"> can promote productivity and wage growth and support the achievement of full employment.</w:t>
      </w:r>
    </w:p>
    <w:p w14:paraId="0E17F127" w14:textId="5E2E25CE" w:rsidR="00AE6F36" w:rsidRPr="0006336F" w:rsidRDefault="00AE6F36" w:rsidP="00AE6F36">
      <w:r w:rsidRPr="0006336F">
        <w:t xml:space="preserve">The </w:t>
      </w:r>
      <w:r w:rsidR="00BF626B" w:rsidRPr="0006336F">
        <w:t>vocational education and training (</w:t>
      </w:r>
      <w:r w:rsidRPr="0006336F">
        <w:t>VET</w:t>
      </w:r>
      <w:r w:rsidR="00BF626B" w:rsidRPr="0006336F">
        <w:t>)</w:t>
      </w:r>
      <w:r w:rsidRPr="0006336F">
        <w:t xml:space="preserve"> sector is not perceived as having the same status as higher education, skewing flows into each system. Completion rates for apprenticeships, especially for priority cohorts, are low. There needs to be a more student</w:t>
      </w:r>
      <w:r w:rsidR="00B16861">
        <w:noBreakHyphen/>
      </w:r>
      <w:r w:rsidRPr="0006336F">
        <w:t>centred approach to delivering tertiary education and increased collaboration with industry to ensure there are clear pathways into growing sectors and secure work.</w:t>
      </w:r>
    </w:p>
    <w:p w14:paraId="478B2C46" w14:textId="2BE0E70B" w:rsidR="00AE6F36" w:rsidRPr="0006336F" w:rsidRDefault="00FD3514" w:rsidP="00AE6F36">
      <w:r>
        <w:t>The Government</w:t>
      </w:r>
      <w:r w:rsidR="00AE6F36" w:rsidRPr="0006336F">
        <w:t xml:space="preserve"> is already addressing these issues by taking a comprehensive approach to tertiary education. We want </w:t>
      </w:r>
      <w:r w:rsidR="00FF4E88" w:rsidRPr="0006336F">
        <w:t>more</w:t>
      </w:r>
      <w:r w:rsidR="00AE6F36" w:rsidRPr="0006336F">
        <w:t xml:space="preserve"> people to be studying in areas that provide them with opportunities, so they are best positioned to participate in the labour market. We also want to increase collaboration across the tertiary system, particularly in priority areas</w:t>
      </w:r>
      <w:r w:rsidR="00FF4E88" w:rsidRPr="0006336F">
        <w:t xml:space="preserve"> and</w:t>
      </w:r>
      <w:r w:rsidR="00AE6F36" w:rsidRPr="0006336F">
        <w:t xml:space="preserve"> we </w:t>
      </w:r>
      <w:r w:rsidR="00FF4E88" w:rsidRPr="0006336F">
        <w:t xml:space="preserve">are working </w:t>
      </w:r>
      <w:r w:rsidR="00AE6F36" w:rsidRPr="0006336F">
        <w:t>to remov</w:t>
      </w:r>
      <w:r w:rsidR="00DF2F4E" w:rsidRPr="0006336F">
        <w:t>e</w:t>
      </w:r>
      <w:r w:rsidR="00AE6F36" w:rsidRPr="0006336F">
        <w:t xml:space="preserve"> barriers </w:t>
      </w:r>
      <w:r w:rsidR="006F74AF" w:rsidRPr="0006336F">
        <w:t xml:space="preserve">so people are encouraged to continue </w:t>
      </w:r>
      <w:r w:rsidR="00AE6F36" w:rsidRPr="0006336F">
        <w:t>learning</w:t>
      </w:r>
      <w:r w:rsidR="006F74AF" w:rsidRPr="0006336F">
        <w:t xml:space="preserve"> throughout the course of their lives</w:t>
      </w:r>
      <w:r w:rsidR="00AE6F36" w:rsidRPr="0006336F">
        <w:t>.</w:t>
      </w:r>
    </w:p>
    <w:p w14:paraId="412E61BB" w14:textId="6D0F698D" w:rsidR="00AE6F36" w:rsidRPr="0006336F" w:rsidRDefault="00AE6F36" w:rsidP="00AE6F36">
      <w:r w:rsidRPr="0006336F">
        <w:t xml:space="preserve">Work is already underway to elevate the status of VET and improve the quality of and access to </w:t>
      </w:r>
      <w:r w:rsidR="009C395D" w:rsidRPr="0006336F">
        <w:t xml:space="preserve">education and </w:t>
      </w:r>
      <w:r w:rsidRPr="0006336F">
        <w:t xml:space="preserve">training. </w:t>
      </w:r>
      <w:r w:rsidR="00FD3514">
        <w:t>The Government</w:t>
      </w:r>
      <w:r w:rsidRPr="0006336F">
        <w:t xml:space="preserve"> is delivering </w:t>
      </w:r>
      <w:r w:rsidR="00BE57B1" w:rsidRPr="0006336F">
        <w:t>F</w:t>
      </w:r>
      <w:r w:rsidR="00CF275E" w:rsidRPr="0006336F">
        <w:t>ee</w:t>
      </w:r>
      <w:r w:rsidR="00B16861">
        <w:noBreakHyphen/>
      </w:r>
      <w:r w:rsidR="00BE57B1" w:rsidRPr="0006336F">
        <w:t>Free</w:t>
      </w:r>
      <w:r w:rsidRPr="0006336F">
        <w:t xml:space="preserve"> TAFE, implementing the Australian Skills Guarantee and negotiating a new </w:t>
      </w:r>
      <w:r w:rsidR="00A4674E" w:rsidRPr="0006336F">
        <w:t>five</w:t>
      </w:r>
      <w:r w:rsidR="00B16861">
        <w:noBreakHyphen/>
      </w:r>
      <w:r w:rsidR="00A4674E" w:rsidRPr="0006336F">
        <w:t xml:space="preserve">year </w:t>
      </w:r>
      <w:r w:rsidRPr="0006336F">
        <w:t xml:space="preserve">National Skills Agreement </w:t>
      </w:r>
      <w:r w:rsidR="00A4674E" w:rsidRPr="0006336F">
        <w:t>with the states and territories</w:t>
      </w:r>
      <w:r w:rsidRPr="0006336F">
        <w:t xml:space="preserve"> </w:t>
      </w:r>
      <w:r w:rsidR="009104AD" w:rsidRPr="0006336F">
        <w:t xml:space="preserve">to address </w:t>
      </w:r>
      <w:r w:rsidRPr="0006336F">
        <w:t>national priorities. Work is also underway to drive greater collaboration between the tertiary sector and industry through the Digital and Tech Skills Compact. The Australian Universities Accord will inform how to better join</w:t>
      </w:r>
      <w:r w:rsidR="00B16861">
        <w:noBreakHyphen/>
      </w:r>
      <w:r w:rsidRPr="0006336F">
        <w:t>up the tertiary sector so it works more cohesively</w:t>
      </w:r>
      <w:r w:rsidR="41FB0DA4" w:rsidRPr="0006336F">
        <w:t>.</w:t>
      </w:r>
      <w:r w:rsidR="00361A9C" w:rsidRPr="0006336F">
        <w:t xml:space="preserve"> </w:t>
      </w:r>
      <w:r w:rsidR="48DC21B1" w:rsidRPr="0006336F">
        <w:t>It</w:t>
      </w:r>
      <w:r w:rsidR="00A73B6C">
        <w:t> </w:t>
      </w:r>
      <w:r w:rsidR="48DC21B1" w:rsidRPr="0006336F">
        <w:t>will</w:t>
      </w:r>
      <w:r w:rsidR="00361A9C" w:rsidRPr="0006336F">
        <w:t xml:space="preserve"> </w:t>
      </w:r>
      <w:r w:rsidR="191519FD" w:rsidRPr="0006336F">
        <w:t>consider</w:t>
      </w:r>
      <w:r w:rsidR="00361A9C" w:rsidRPr="0006336F">
        <w:t xml:space="preserve"> the intent of recommendations from the 2019 review of the Australian Qualifications Framework and opportunities to work with education providers, unions and employers to best position the higher education and VET sectors to design innovative, fit</w:t>
      </w:r>
      <w:r w:rsidR="00B16861">
        <w:noBreakHyphen/>
      </w:r>
      <w:r w:rsidR="00361A9C" w:rsidRPr="0006336F">
        <w:t>for</w:t>
      </w:r>
      <w:r w:rsidR="00B16861">
        <w:noBreakHyphen/>
      </w:r>
      <w:r w:rsidR="00361A9C" w:rsidRPr="0006336F">
        <w:t>purpose qualifications which recognise skills alongside knowledge</w:t>
      </w:r>
      <w:r w:rsidRPr="0006336F">
        <w:t xml:space="preserve">. </w:t>
      </w:r>
    </w:p>
    <w:p w14:paraId="2B6816C8" w14:textId="42B16097" w:rsidR="00AE6F36" w:rsidRPr="0006336F" w:rsidRDefault="00AE6F36" w:rsidP="00AE6F36">
      <w:r w:rsidRPr="0006336F">
        <w:t xml:space="preserve">Going forward, more needs to be done to increase the </w:t>
      </w:r>
      <w:r w:rsidR="002C2049" w:rsidRPr="0006336F">
        <w:t xml:space="preserve">number </w:t>
      </w:r>
      <w:r w:rsidRPr="0006336F">
        <w:t xml:space="preserve">of Australians </w:t>
      </w:r>
      <w:r w:rsidR="009A3AD9" w:rsidRPr="0006336F">
        <w:t>studying in areas of high skills need</w:t>
      </w:r>
      <w:r w:rsidRPr="0006336F">
        <w:t xml:space="preserve">. Better collaboration between </w:t>
      </w:r>
      <w:r w:rsidR="001A7436" w:rsidRPr="0006336F">
        <w:t>all government</w:t>
      </w:r>
      <w:r w:rsidR="00C2602D" w:rsidRPr="0006336F">
        <w:t>s</w:t>
      </w:r>
      <w:r w:rsidR="001A7436" w:rsidRPr="0006336F">
        <w:t xml:space="preserve">, the </w:t>
      </w:r>
      <w:r w:rsidRPr="0006336F">
        <w:t xml:space="preserve">tertiary sector and industry is needed to manage the forces shaping the economy over the coming years. </w:t>
      </w:r>
    </w:p>
    <w:p w14:paraId="533EB3F2" w14:textId="4174E128" w:rsidR="00AE6F36" w:rsidRPr="0006336F" w:rsidRDefault="00601141" w:rsidP="000F0ED2">
      <w:pPr>
        <w:pStyle w:val="Heading3"/>
      </w:pPr>
      <w:r w:rsidRPr="0006336F">
        <w:t>Promot</w:t>
      </w:r>
      <w:r w:rsidR="00D42630" w:rsidRPr="0006336F">
        <w:t>ing</w:t>
      </w:r>
      <w:r w:rsidRPr="0006336F">
        <w:t xml:space="preserve"> a larger share of Australians studying in </w:t>
      </w:r>
      <w:r w:rsidRPr="000F0ED2">
        <w:t>areas</w:t>
      </w:r>
      <w:r w:rsidRPr="0006336F">
        <w:t xml:space="preserve"> of high</w:t>
      </w:r>
      <w:r w:rsidR="00722C03">
        <w:t> </w:t>
      </w:r>
      <w:r w:rsidRPr="0006336F">
        <w:t>skills</w:t>
      </w:r>
      <w:r w:rsidR="00722C03">
        <w:t> </w:t>
      </w:r>
      <w:r w:rsidRPr="0006336F">
        <w:t>need</w:t>
      </w:r>
    </w:p>
    <w:p w14:paraId="278A3B15" w14:textId="6E540EF3" w:rsidR="00AE6F36" w:rsidRPr="0006336F" w:rsidRDefault="00AE6F36" w:rsidP="00AE6F36">
      <w:r w:rsidRPr="0006336F">
        <w:t>Tertiary education will need to keep pace with Australia</w:t>
      </w:r>
      <w:r w:rsidR="00B16861">
        <w:t>’</w:t>
      </w:r>
      <w:r w:rsidRPr="0006336F">
        <w:t xml:space="preserve">s changing industry composition and the evolving mix of skills required by business. Students need to be informed to better align their interests with strong employment prospects. We need to increase the number of Australians with a tertiary qualification, particularly in the areas that best position them to take advantage of future opportunities. </w:t>
      </w:r>
      <w:r w:rsidR="00556470" w:rsidRPr="0006336F">
        <w:t xml:space="preserve">A significant portion of </w:t>
      </w:r>
      <w:r w:rsidRPr="0006336F">
        <w:t>growth in tertiary attainment will need to come from cohorts currently under</w:t>
      </w:r>
      <w:r w:rsidR="005C702B">
        <w:t>-</w:t>
      </w:r>
      <w:r w:rsidRPr="0006336F">
        <w:t xml:space="preserve">represented in tertiary education. Achieving this will require coordinated efforts to address barriers to access and course completion in the tertiary system. </w:t>
      </w:r>
    </w:p>
    <w:p w14:paraId="7D096B3E" w14:textId="37EF98A8" w:rsidR="00AE6F36" w:rsidRPr="005C6467" w:rsidRDefault="00AE6F36" w:rsidP="00722C03">
      <w:pPr>
        <w:rPr>
          <w:spacing w:val="-3"/>
        </w:rPr>
      </w:pPr>
      <w:r w:rsidRPr="005C6467">
        <w:rPr>
          <w:spacing w:val="-3"/>
        </w:rPr>
        <w:t xml:space="preserve">To support these goals, the Government </w:t>
      </w:r>
      <w:r w:rsidR="00601141" w:rsidRPr="005C6467">
        <w:rPr>
          <w:spacing w:val="-3"/>
        </w:rPr>
        <w:t xml:space="preserve">committed to </w:t>
      </w:r>
      <w:r w:rsidRPr="005C6467">
        <w:rPr>
          <w:spacing w:val="-3"/>
        </w:rPr>
        <w:t xml:space="preserve">480,000 </w:t>
      </w:r>
      <w:r w:rsidR="003F6DD8" w:rsidRPr="005C6467">
        <w:rPr>
          <w:spacing w:val="-3"/>
        </w:rPr>
        <w:t>F</w:t>
      </w:r>
      <w:r w:rsidR="00CF275E" w:rsidRPr="005C6467">
        <w:rPr>
          <w:spacing w:val="-3"/>
        </w:rPr>
        <w:t>ee</w:t>
      </w:r>
      <w:r w:rsidR="00B16861" w:rsidRPr="005C6467">
        <w:rPr>
          <w:spacing w:val="-3"/>
        </w:rPr>
        <w:noBreakHyphen/>
      </w:r>
      <w:r w:rsidR="003F6DD8" w:rsidRPr="005C6467">
        <w:rPr>
          <w:spacing w:val="-3"/>
        </w:rPr>
        <w:t>F</w:t>
      </w:r>
      <w:r w:rsidR="00CF275E" w:rsidRPr="005C6467">
        <w:rPr>
          <w:spacing w:val="-3"/>
        </w:rPr>
        <w:t>ree</w:t>
      </w:r>
      <w:r w:rsidRPr="005C6467">
        <w:rPr>
          <w:spacing w:val="-3"/>
        </w:rPr>
        <w:t xml:space="preserve"> TAFE places</w:t>
      </w:r>
      <w:r w:rsidR="00F864EF" w:rsidRPr="005C6467">
        <w:rPr>
          <w:spacing w:val="-3"/>
        </w:rPr>
        <w:t xml:space="preserve">, with 180,000 </w:t>
      </w:r>
      <w:r w:rsidR="00601141" w:rsidRPr="005C6467">
        <w:rPr>
          <w:spacing w:val="-3"/>
        </w:rPr>
        <w:t xml:space="preserve">to be </w:t>
      </w:r>
      <w:r w:rsidR="00F864EF" w:rsidRPr="005C6467">
        <w:rPr>
          <w:spacing w:val="-3"/>
        </w:rPr>
        <w:t>delivered in 2023 and a further 300,000 to be delivered from 2024.</w:t>
      </w:r>
      <w:r w:rsidRPr="005C6467">
        <w:rPr>
          <w:spacing w:val="-3"/>
        </w:rPr>
        <w:t xml:space="preserve"> </w:t>
      </w:r>
      <w:r w:rsidR="00FD3514" w:rsidRPr="005C6467">
        <w:rPr>
          <w:spacing w:val="-3"/>
        </w:rPr>
        <w:t>The Government</w:t>
      </w:r>
      <w:r w:rsidR="00F864EF" w:rsidRPr="005C6467">
        <w:rPr>
          <w:spacing w:val="-3"/>
        </w:rPr>
        <w:t xml:space="preserve"> also </w:t>
      </w:r>
      <w:r w:rsidR="0049524F" w:rsidRPr="005C6467">
        <w:rPr>
          <w:spacing w:val="-3"/>
        </w:rPr>
        <w:t>committed to</w:t>
      </w:r>
      <w:r w:rsidRPr="005C6467">
        <w:rPr>
          <w:spacing w:val="-3"/>
        </w:rPr>
        <w:t xml:space="preserve"> an additional 20,000 Commonwealth supported places at universities. Both initiatives are targeted </w:t>
      </w:r>
      <w:r w:rsidR="00E200E2" w:rsidRPr="005C6467">
        <w:rPr>
          <w:spacing w:val="-3"/>
        </w:rPr>
        <w:t>in areas of national priority and seek to engage</w:t>
      </w:r>
      <w:r w:rsidRPr="005C6467">
        <w:rPr>
          <w:spacing w:val="-3"/>
        </w:rPr>
        <w:t xml:space="preserve"> priority groups such as </w:t>
      </w:r>
      <w:r w:rsidR="009F46EF" w:rsidRPr="005C6467">
        <w:rPr>
          <w:spacing w:val="-3"/>
        </w:rPr>
        <w:t>Aboriginal</w:t>
      </w:r>
      <w:r w:rsidRPr="005C6467">
        <w:rPr>
          <w:spacing w:val="-3"/>
        </w:rPr>
        <w:t xml:space="preserve"> and </w:t>
      </w:r>
      <w:r w:rsidR="009F46EF" w:rsidRPr="005C6467">
        <w:rPr>
          <w:spacing w:val="-3"/>
        </w:rPr>
        <w:t xml:space="preserve">Torres Strait Islander </w:t>
      </w:r>
      <w:r w:rsidRPr="005C6467">
        <w:rPr>
          <w:spacing w:val="-3"/>
        </w:rPr>
        <w:lastRenderedPageBreak/>
        <w:t xml:space="preserve">Australians and people with disability. In the first </w:t>
      </w:r>
      <w:r w:rsidR="00667764" w:rsidRPr="005C6467">
        <w:rPr>
          <w:spacing w:val="-3"/>
        </w:rPr>
        <w:t>six</w:t>
      </w:r>
      <w:r w:rsidRPr="005C6467">
        <w:rPr>
          <w:spacing w:val="-3"/>
        </w:rPr>
        <w:t xml:space="preserve"> months of </w:t>
      </w:r>
      <w:r w:rsidR="0055599C" w:rsidRPr="005C6467">
        <w:rPr>
          <w:spacing w:val="-3"/>
        </w:rPr>
        <w:t>F</w:t>
      </w:r>
      <w:r w:rsidR="00CF275E" w:rsidRPr="005C6467">
        <w:rPr>
          <w:spacing w:val="-3"/>
        </w:rPr>
        <w:t>ee</w:t>
      </w:r>
      <w:r w:rsidR="00B16861" w:rsidRPr="005C6467">
        <w:rPr>
          <w:spacing w:val="-3"/>
        </w:rPr>
        <w:noBreakHyphen/>
      </w:r>
      <w:r w:rsidR="0055599C" w:rsidRPr="005C6467">
        <w:rPr>
          <w:spacing w:val="-3"/>
        </w:rPr>
        <w:t>F</w:t>
      </w:r>
      <w:r w:rsidR="00CF275E" w:rsidRPr="005C6467">
        <w:rPr>
          <w:spacing w:val="-3"/>
        </w:rPr>
        <w:t>ree</w:t>
      </w:r>
      <w:r w:rsidRPr="005C6467">
        <w:rPr>
          <w:spacing w:val="-3"/>
        </w:rPr>
        <w:t xml:space="preserve"> TAFE delivery, almost 215,000</w:t>
      </w:r>
      <w:r w:rsidR="000F0ED2" w:rsidRPr="005C6467">
        <w:rPr>
          <w:spacing w:val="-3"/>
        </w:rPr>
        <w:t> </w:t>
      </w:r>
      <w:r w:rsidRPr="005C6467">
        <w:rPr>
          <w:spacing w:val="-3"/>
        </w:rPr>
        <w:t xml:space="preserve">Australians enrolled in a </w:t>
      </w:r>
      <w:r w:rsidR="008F122B" w:rsidRPr="005C6467">
        <w:rPr>
          <w:spacing w:val="-3"/>
        </w:rPr>
        <w:t>Fee</w:t>
      </w:r>
      <w:r w:rsidR="00B16861" w:rsidRPr="005C6467">
        <w:rPr>
          <w:spacing w:val="-3"/>
        </w:rPr>
        <w:noBreakHyphen/>
      </w:r>
      <w:r w:rsidR="008F122B" w:rsidRPr="005C6467">
        <w:rPr>
          <w:spacing w:val="-3"/>
        </w:rPr>
        <w:t>Free</w:t>
      </w:r>
      <w:r w:rsidRPr="005C6467">
        <w:rPr>
          <w:spacing w:val="-3"/>
        </w:rPr>
        <w:t xml:space="preserve"> course</w:t>
      </w:r>
      <w:r w:rsidR="00B528DB" w:rsidRPr="005C6467">
        <w:rPr>
          <w:spacing w:val="-3"/>
        </w:rPr>
        <w:t xml:space="preserve">, surpassing the </w:t>
      </w:r>
      <w:r w:rsidR="009870DE" w:rsidRPr="005C6467">
        <w:rPr>
          <w:spacing w:val="-3"/>
        </w:rPr>
        <w:t xml:space="preserve">target of </w:t>
      </w:r>
      <w:r w:rsidR="00B528DB" w:rsidRPr="005C6467">
        <w:rPr>
          <w:spacing w:val="-3"/>
        </w:rPr>
        <w:t>180,000</w:t>
      </w:r>
      <w:r w:rsidR="005C6467" w:rsidRPr="005C6467">
        <w:rPr>
          <w:spacing w:val="-3"/>
        </w:rPr>
        <w:t> </w:t>
      </w:r>
      <w:r w:rsidR="009870DE" w:rsidRPr="005C6467">
        <w:rPr>
          <w:spacing w:val="-3"/>
        </w:rPr>
        <w:t>places</w:t>
      </w:r>
      <w:r w:rsidRPr="005C6467">
        <w:rPr>
          <w:spacing w:val="-3"/>
        </w:rPr>
        <w:t>. This</w:t>
      </w:r>
      <w:r w:rsidR="00722C03" w:rsidRPr="005C6467">
        <w:rPr>
          <w:spacing w:val="-3"/>
        </w:rPr>
        <w:t> </w:t>
      </w:r>
      <w:r w:rsidRPr="005C6467">
        <w:rPr>
          <w:spacing w:val="-3"/>
        </w:rPr>
        <w:t xml:space="preserve">includes over 51,000 care </w:t>
      </w:r>
      <w:r w:rsidR="001B0345" w:rsidRPr="005C6467">
        <w:rPr>
          <w:spacing w:val="-3"/>
        </w:rPr>
        <w:t xml:space="preserve">and support </w:t>
      </w:r>
      <w:r w:rsidRPr="005C6467">
        <w:rPr>
          <w:spacing w:val="-3"/>
        </w:rPr>
        <w:t>sector enrolments and over 16,700</w:t>
      </w:r>
      <w:r w:rsidR="005C6467" w:rsidRPr="005C6467">
        <w:rPr>
          <w:spacing w:val="-3"/>
        </w:rPr>
        <w:t> </w:t>
      </w:r>
      <w:r w:rsidRPr="005C6467">
        <w:rPr>
          <w:spacing w:val="-3"/>
        </w:rPr>
        <w:t>technology and digital enrolments.</w:t>
      </w:r>
      <w:r w:rsidRPr="005C6467" w:rsidDel="00AB3BF0">
        <w:rPr>
          <w:spacing w:val="-3"/>
        </w:rPr>
        <w:t xml:space="preserve"> </w:t>
      </w:r>
      <w:r w:rsidR="007732F4" w:rsidRPr="005C6467">
        <w:rPr>
          <w:spacing w:val="-3"/>
        </w:rPr>
        <w:t>Women make up around 60</w:t>
      </w:r>
      <w:r w:rsidR="00B16861" w:rsidRPr="005C6467">
        <w:rPr>
          <w:spacing w:val="-3"/>
        </w:rPr>
        <w:t> per c</w:t>
      </w:r>
      <w:r w:rsidR="007732F4" w:rsidRPr="005C6467">
        <w:rPr>
          <w:spacing w:val="-3"/>
        </w:rPr>
        <w:t xml:space="preserve">ent of these </w:t>
      </w:r>
      <w:r w:rsidR="00BE1B87" w:rsidRPr="005C6467">
        <w:rPr>
          <w:spacing w:val="-3"/>
        </w:rPr>
        <w:t>F</w:t>
      </w:r>
      <w:r w:rsidR="007732F4" w:rsidRPr="005C6467">
        <w:rPr>
          <w:spacing w:val="-3"/>
        </w:rPr>
        <w:t>ee</w:t>
      </w:r>
      <w:r w:rsidR="00B16861" w:rsidRPr="005C6467">
        <w:rPr>
          <w:spacing w:val="-3"/>
        </w:rPr>
        <w:noBreakHyphen/>
      </w:r>
      <w:r w:rsidR="00BE1B87" w:rsidRPr="005C6467">
        <w:rPr>
          <w:spacing w:val="-3"/>
        </w:rPr>
        <w:t>F</w:t>
      </w:r>
      <w:r w:rsidR="007732F4" w:rsidRPr="005C6467">
        <w:rPr>
          <w:spacing w:val="-3"/>
        </w:rPr>
        <w:t>ree enrolments, and over 50,000</w:t>
      </w:r>
      <w:r w:rsidR="000F0ED2" w:rsidRPr="005C6467">
        <w:rPr>
          <w:spacing w:val="-3"/>
        </w:rPr>
        <w:t> </w:t>
      </w:r>
      <w:r w:rsidR="007732F4" w:rsidRPr="005C6467">
        <w:rPr>
          <w:spacing w:val="-3"/>
        </w:rPr>
        <w:t xml:space="preserve">job seekers, more than 15,000 people with disability and more than 6,800 </w:t>
      </w:r>
      <w:r w:rsidR="00FD3514" w:rsidRPr="005C6467">
        <w:rPr>
          <w:spacing w:val="-3"/>
        </w:rPr>
        <w:t>First Nation</w:t>
      </w:r>
      <w:r w:rsidR="007732F4" w:rsidRPr="005C6467">
        <w:rPr>
          <w:spacing w:val="-3"/>
        </w:rPr>
        <w:t xml:space="preserve">s people have also enrolled in </w:t>
      </w:r>
      <w:r w:rsidR="00253A03" w:rsidRPr="005C6467">
        <w:rPr>
          <w:spacing w:val="-3"/>
        </w:rPr>
        <w:t>F</w:t>
      </w:r>
      <w:r w:rsidR="007732F4" w:rsidRPr="005C6467">
        <w:rPr>
          <w:spacing w:val="-3"/>
        </w:rPr>
        <w:t>ee</w:t>
      </w:r>
      <w:r w:rsidR="00B16861" w:rsidRPr="005C6467">
        <w:rPr>
          <w:spacing w:val="-3"/>
        </w:rPr>
        <w:noBreakHyphen/>
      </w:r>
      <w:r w:rsidR="00253A03" w:rsidRPr="005C6467">
        <w:rPr>
          <w:spacing w:val="-3"/>
        </w:rPr>
        <w:t>F</w:t>
      </w:r>
      <w:r w:rsidR="007732F4" w:rsidRPr="005C6467">
        <w:rPr>
          <w:spacing w:val="-3"/>
        </w:rPr>
        <w:t>ree TAFE.</w:t>
      </w:r>
      <w:r w:rsidRPr="005C6467" w:rsidDel="00AB3BF0">
        <w:rPr>
          <w:spacing w:val="-3"/>
        </w:rPr>
        <w:t xml:space="preserve"> </w:t>
      </w:r>
      <w:r w:rsidR="00FD3514" w:rsidRPr="005C6467">
        <w:rPr>
          <w:spacing w:val="-3"/>
        </w:rPr>
        <w:t>The Government</w:t>
      </w:r>
      <w:r w:rsidRPr="005C6467">
        <w:rPr>
          <w:spacing w:val="-3"/>
        </w:rPr>
        <w:t xml:space="preserve"> is also acting on the five immediate priority actions identified in the Accord Interim Report, which focus on improving access to and experience at university for students from under</w:t>
      </w:r>
      <w:r w:rsidR="00B16861" w:rsidRPr="005C6467">
        <w:rPr>
          <w:spacing w:val="-3"/>
        </w:rPr>
        <w:noBreakHyphen/>
      </w:r>
      <w:r w:rsidRPr="005C6467">
        <w:rPr>
          <w:spacing w:val="-3"/>
        </w:rPr>
        <w:t>represented backgrounds. These include establishing more Regional University Study Hubs and new Suburban University Study hubs and extending demand</w:t>
      </w:r>
      <w:r w:rsidR="00B16861" w:rsidRPr="005C6467">
        <w:rPr>
          <w:spacing w:val="-3"/>
        </w:rPr>
        <w:noBreakHyphen/>
      </w:r>
      <w:r w:rsidRPr="005C6467">
        <w:rPr>
          <w:spacing w:val="-3"/>
        </w:rPr>
        <w:t xml:space="preserve">driven funding to all </w:t>
      </w:r>
      <w:r w:rsidR="00FD3514" w:rsidRPr="005C6467">
        <w:rPr>
          <w:spacing w:val="-3"/>
        </w:rPr>
        <w:t>First Nation</w:t>
      </w:r>
      <w:r w:rsidRPr="005C6467">
        <w:rPr>
          <w:spacing w:val="-3"/>
        </w:rPr>
        <w:t xml:space="preserve">s students. </w:t>
      </w:r>
    </w:p>
    <w:p w14:paraId="6D6428D3" w14:textId="43D6D523" w:rsidR="00AE6F36" w:rsidRPr="0006336F" w:rsidRDefault="00AE6F36" w:rsidP="00AE6F36">
      <w:r w:rsidRPr="0006336F">
        <w:t xml:space="preserve">The analysis produced by </w:t>
      </w:r>
      <w:r w:rsidR="002E2C48" w:rsidRPr="0006336F">
        <w:t xml:space="preserve">Jobs and Skills Australia </w:t>
      </w:r>
      <w:r w:rsidR="00E2123C">
        <w:t xml:space="preserve">(JSA) </w:t>
      </w:r>
      <w:r w:rsidRPr="0006336F">
        <w:t xml:space="preserve">will help inform students of the potential labour market outcomes of their qualification choices. To support this, </w:t>
      </w:r>
      <w:r w:rsidR="00EA7737" w:rsidRPr="0006336F">
        <w:t xml:space="preserve">negotiations on </w:t>
      </w:r>
      <w:r w:rsidRPr="0006336F">
        <w:t>the new National Skills Agreement will embed joint stewardship of the VET sector</w:t>
      </w:r>
      <w:r w:rsidR="00C800A7" w:rsidRPr="0006336F">
        <w:t>, including collaboration between the Commonwealth and the</w:t>
      </w:r>
      <w:r w:rsidR="00C70849" w:rsidRPr="0006336F">
        <w:t xml:space="preserve"> states and territories </w:t>
      </w:r>
      <w:r w:rsidRPr="0006336F">
        <w:t>to identify areas of national priorit</w:t>
      </w:r>
      <w:r w:rsidR="00C800A7" w:rsidRPr="0006336F">
        <w:t>y and ensure delivery of high</w:t>
      </w:r>
      <w:r w:rsidR="00A5030E">
        <w:t>-</w:t>
      </w:r>
      <w:r w:rsidR="00C800A7" w:rsidRPr="0006336F">
        <w:t>quality, relevant training to students</w:t>
      </w:r>
      <w:r w:rsidRPr="0006336F">
        <w:t>.</w:t>
      </w:r>
    </w:p>
    <w:p w14:paraId="367F17DF" w14:textId="61755364" w:rsidR="00AE6F36" w:rsidRPr="0006336F" w:rsidRDefault="00AE6F36" w:rsidP="00AE6F36">
      <w:r w:rsidRPr="0006336F">
        <w:t xml:space="preserve">In the future, effective student support services and outcomes monitoring are required to ensure we make progress on improving access to </w:t>
      </w:r>
      <w:r w:rsidR="005A0431">
        <w:t>and outcomes from</w:t>
      </w:r>
      <w:r w:rsidRPr="0006336F">
        <w:t xml:space="preserve"> tertiary education. Whole</w:t>
      </w:r>
      <w:r w:rsidR="00B16861">
        <w:noBreakHyphen/>
      </w:r>
      <w:r w:rsidRPr="0006336F">
        <w:t>of</w:t>
      </w:r>
      <w:r w:rsidR="00B16861">
        <w:noBreakHyphen/>
      </w:r>
      <w:r w:rsidRPr="0006336F">
        <w:t>tertiary attainment targets are potential avenues to track progress towards lifting post</w:t>
      </w:r>
      <w:r w:rsidR="00B16861">
        <w:noBreakHyphen/>
      </w:r>
      <w:r w:rsidRPr="0006336F">
        <w:t xml:space="preserve">school educational attainment. </w:t>
      </w:r>
      <w:r w:rsidR="00325B0D" w:rsidRPr="0006336F">
        <w:t>A</w:t>
      </w:r>
      <w:r w:rsidR="000F0ED2">
        <w:t> </w:t>
      </w:r>
      <w:r w:rsidR="00325B0D" w:rsidRPr="0006336F">
        <w:t xml:space="preserve">particular focus on apprenticeship completions is needed to ensure we can address longstanding skills shortages in trade occupations. </w:t>
      </w:r>
      <w:r w:rsidRPr="0006336F">
        <w:t xml:space="preserve">The new Australian Apprentices Support Services model, which </w:t>
      </w:r>
      <w:r w:rsidR="0049524F" w:rsidRPr="0006336F">
        <w:t xml:space="preserve">will </w:t>
      </w:r>
      <w:r w:rsidRPr="0006336F">
        <w:t>commence</w:t>
      </w:r>
      <w:r w:rsidR="0049524F" w:rsidRPr="0006336F">
        <w:t xml:space="preserve"> </w:t>
      </w:r>
      <w:r w:rsidR="005A0431">
        <w:t>in</w:t>
      </w:r>
      <w:r w:rsidRPr="0006336F">
        <w:t xml:space="preserve"> July 2024, will complement the new National Skills Agreement by ensuring more apprentices in priority cohorts have access to specialised mentoring and support. </w:t>
      </w:r>
    </w:p>
    <w:p w14:paraId="44C38B2C" w14:textId="29EE230A" w:rsidR="00AE6F36" w:rsidRPr="0006336F" w:rsidRDefault="00AE6F36" w:rsidP="00AE6F36">
      <w:r w:rsidRPr="0006336F">
        <w:t xml:space="preserve">Better alignment between industry and the tertiary sector is essential </w:t>
      </w:r>
      <w:r w:rsidR="003E18B5">
        <w:t>if</w:t>
      </w:r>
      <w:r w:rsidRPr="0006336F">
        <w:t xml:space="preserve"> students </w:t>
      </w:r>
      <w:r w:rsidR="003E18B5">
        <w:t>are to</w:t>
      </w:r>
      <w:r w:rsidRPr="0006336F">
        <w:t xml:space="preserve"> study in the areas</w:t>
      </w:r>
      <w:r w:rsidR="00995327" w:rsidRPr="0006336F">
        <w:t xml:space="preserve"> of need</w:t>
      </w:r>
      <w:r w:rsidRPr="0006336F">
        <w:t>. Future reforms will be driven by collaboration between stakeholders. The new</w:t>
      </w:r>
      <w:r w:rsidRPr="0006336F" w:rsidDel="002E2C48">
        <w:t xml:space="preserve"> </w:t>
      </w:r>
      <w:r w:rsidR="002E2C48" w:rsidRPr="0006336F">
        <w:t>Jobs and Skills Councils (JSCs)</w:t>
      </w:r>
      <w:r w:rsidRPr="0006336F">
        <w:t xml:space="preserve"> will work with </w:t>
      </w:r>
      <w:r w:rsidR="003767A5" w:rsidRPr="0006336F">
        <w:t>JSA</w:t>
      </w:r>
      <w:r w:rsidRPr="0006336F">
        <w:t xml:space="preserve"> to align effort across industry to improve </w:t>
      </w:r>
      <w:r w:rsidR="00D619A6" w:rsidRPr="0006336F">
        <w:t xml:space="preserve">education and training </w:t>
      </w:r>
      <w:r w:rsidRPr="0006336F">
        <w:t xml:space="preserve">responsiveness, while the </w:t>
      </w:r>
      <w:r w:rsidR="003767A5" w:rsidRPr="0006336F">
        <w:t xml:space="preserve">Australian </w:t>
      </w:r>
      <w:r w:rsidRPr="0006336F">
        <w:t xml:space="preserve">Universities Accord process is a model for a collaborative approach to improving the higher education sector. The principle of working with stakeholders to ensure the tertiary sector is responsive to industry needs is at the centre of ensuring students study in areas with </w:t>
      </w:r>
      <w:r w:rsidR="003E18B5">
        <w:t xml:space="preserve">strong </w:t>
      </w:r>
      <w:r w:rsidRPr="0006336F">
        <w:t xml:space="preserve">future prospects. </w:t>
      </w:r>
    </w:p>
    <w:p w14:paraId="1CBEE390" w14:textId="13431374" w:rsidR="00AE6F36" w:rsidRPr="0006336F" w:rsidRDefault="00C06981" w:rsidP="00F4496B">
      <w:pPr>
        <w:pStyle w:val="Heading3"/>
      </w:pPr>
      <w:r w:rsidRPr="0006336F">
        <w:t>Boosting collaboration in the tertiary sector</w:t>
      </w:r>
    </w:p>
    <w:p w14:paraId="104F5FAA" w14:textId="555E1467" w:rsidR="00A030B7" w:rsidRPr="0006336F" w:rsidRDefault="00E71B4A" w:rsidP="00AE6F36">
      <w:r>
        <w:t>S</w:t>
      </w:r>
      <w:r w:rsidR="00AE6F36" w:rsidRPr="0006336F">
        <w:t>trong education and training system</w:t>
      </w:r>
      <w:r>
        <w:t>s</w:t>
      </w:r>
      <w:r w:rsidR="00AE6F36" w:rsidRPr="0006336F">
        <w:t xml:space="preserve"> that meet the skills needs of all Australians will need more collaboration between tertiary sectors and industry. This includes collaboration that results in greater innovation in course delivery and in developing new qualifications. Currently</w:t>
      </w:r>
      <w:r w:rsidR="009A3733" w:rsidRPr="0006336F">
        <w:t>,</w:t>
      </w:r>
      <w:r w:rsidR="00AE6F36" w:rsidRPr="0006336F">
        <w:t xml:space="preserve"> significant barriers such as inconsistent funding arrangements, different regulatory systems, and limited </w:t>
      </w:r>
      <w:r w:rsidR="003F6D76" w:rsidRPr="0006336F">
        <w:t>credit transfer, prevent different providers from collaborating with each other and with industry</w:t>
      </w:r>
      <w:r w:rsidR="00276B88" w:rsidRPr="0006336F">
        <w:t xml:space="preserve">. </w:t>
      </w:r>
    </w:p>
    <w:p w14:paraId="19CDD749" w14:textId="5AD5B709" w:rsidR="00C5523E" w:rsidRPr="0006336F" w:rsidDel="001B31B1" w:rsidRDefault="00FD3514" w:rsidP="00C5523E">
      <w:r>
        <w:t>The Government</w:t>
      </w:r>
      <w:r w:rsidR="00AE6F36" w:rsidRPr="0006336F">
        <w:t xml:space="preserve"> has committed to </w:t>
      </w:r>
      <w:r w:rsidR="00673E4C" w:rsidRPr="0006336F">
        <w:t>partnering with the states and territories</w:t>
      </w:r>
      <w:r w:rsidR="00AE6F36" w:rsidRPr="0006336F">
        <w:t xml:space="preserve"> to establish TAFE Centres of Excellence as a flagship model under the new National Skills Agreement. </w:t>
      </w:r>
      <w:r w:rsidR="003E27B4" w:rsidRPr="0006336F">
        <w:t>Building on this momentum, the Government is providing additional funding to fast</w:t>
      </w:r>
      <w:r w:rsidR="009B2F00" w:rsidRPr="0006336F">
        <w:t xml:space="preserve"> </w:t>
      </w:r>
      <w:r w:rsidR="003E27B4" w:rsidRPr="0006336F">
        <w:t xml:space="preserve">track the establishment of </w:t>
      </w:r>
      <w:r w:rsidR="009B2F00" w:rsidRPr="0006336F">
        <w:t xml:space="preserve">up </w:t>
      </w:r>
      <w:r w:rsidR="00577869" w:rsidRPr="0006336F">
        <w:t xml:space="preserve">to six </w:t>
      </w:r>
      <w:r w:rsidR="003E27B4" w:rsidRPr="0006336F">
        <w:t xml:space="preserve">TAFE Centres of Excellence. </w:t>
      </w:r>
      <w:r w:rsidR="00AE6F36" w:rsidRPr="0006336F">
        <w:t>TAFE is at the heart of VET and will play an important leadership role in reforms to boost collaboration within the tertiary sector and with industry to address some of the critical challenges facing the economy. TAFE Centres of Excellence will enrich students</w:t>
      </w:r>
      <w:r w:rsidR="00B16861">
        <w:t>’</w:t>
      </w:r>
      <w:r w:rsidR="00AE6F36" w:rsidRPr="0006336F">
        <w:t xml:space="preserve"> learning experience through applied research and work directly with industry to respond to immediate and future demand. These new TAFE Centres of Excellence add to a rich and growing ecosystem of innovative tertiary models in Australia</w:t>
      </w:r>
      <w:r>
        <w:t xml:space="preserve"> – </w:t>
      </w:r>
      <w:r w:rsidR="00AE6F36" w:rsidRPr="0006336F">
        <w:t>building a strong institutional platform to support the future labour market.</w:t>
      </w:r>
    </w:p>
    <w:p w14:paraId="2C3253D5" w14:textId="2FEC603D" w:rsidR="00AE6F36" w:rsidRPr="0006336F" w:rsidRDefault="005E5438" w:rsidP="00AE6F36">
      <w:r w:rsidRPr="0006336F">
        <w:lastRenderedPageBreak/>
        <w:t xml:space="preserve">By </w:t>
      </w:r>
      <w:r w:rsidR="006E7D2A" w:rsidRPr="0006336F">
        <w:t>accelerating the establishment of</w:t>
      </w:r>
      <w:r w:rsidR="00D60903" w:rsidRPr="0006336F">
        <w:t xml:space="preserve"> TAFE Centres of Excellence, t</w:t>
      </w:r>
      <w:r w:rsidR="00AE6F36" w:rsidRPr="0006336F">
        <w:t xml:space="preserve">he Government will facilitate new innovative models of tertiary collaboration. Employers and workers are demanding a more responsive approach to skills acquisition, with many noting the need for workforce skills to be at increasingly higher levels. Examples of innovative models of teaching and learning are already emerging across the country (discussed in Chapter 5). Universities, TAFEs, </w:t>
      </w:r>
      <w:r w:rsidR="00673E4C" w:rsidRPr="0006336F">
        <w:t>JSC</w:t>
      </w:r>
      <w:r w:rsidR="00AE6F36" w:rsidRPr="0006336F">
        <w:t>s and industry are working together to develop in demand skills, co</w:t>
      </w:r>
      <w:r w:rsidR="00B16861">
        <w:noBreakHyphen/>
      </w:r>
      <w:r w:rsidR="00AE6F36" w:rsidRPr="0006336F">
        <w:t xml:space="preserve">design new qualifications, including microcredentials, and address key challenges in the economy. </w:t>
      </w:r>
      <w:r w:rsidR="00FD3514">
        <w:t>The Government</w:t>
      </w:r>
      <w:r w:rsidR="00B16861">
        <w:t>’</w:t>
      </w:r>
      <w:r w:rsidR="00C14E11" w:rsidRPr="0006336F">
        <w:t>s additional investment into TAFE Centres of Excellence</w:t>
      </w:r>
      <w:r w:rsidR="00AE6F36" w:rsidRPr="0006336F">
        <w:t xml:space="preserve"> will expedite work to marshal the efforts of industry, universities, and governments to address challenges in the key areas of the net zero, digital transformation, and care and support.</w:t>
      </w:r>
    </w:p>
    <w:p w14:paraId="28BDF6EF" w14:textId="3945283C" w:rsidR="00C94B26" w:rsidRPr="0006336F" w:rsidRDefault="00FD3514" w:rsidP="00AE6F36">
      <w:r>
        <w:t>The Government</w:t>
      </w:r>
      <w:r w:rsidR="000777F8" w:rsidRPr="0006336F">
        <w:t xml:space="preserve"> will also </w:t>
      </w:r>
      <w:r w:rsidR="00CD3A53" w:rsidRPr="0006336F">
        <w:t>collaborate to explore opportunities for new</w:t>
      </w:r>
      <w:r w:rsidR="000777F8" w:rsidRPr="0006336F">
        <w:t xml:space="preserve"> higher apprenticeships. TAFE</w:t>
      </w:r>
      <w:r w:rsidR="000F0ED2">
        <w:t> </w:t>
      </w:r>
      <w:r w:rsidR="000777F8" w:rsidRPr="0006336F">
        <w:t xml:space="preserve">Centres of Excellence will be instrumental in facilitating this. </w:t>
      </w:r>
      <w:r w:rsidR="00AE6F36" w:rsidRPr="0006336F">
        <w:t xml:space="preserve">Higher apprenticeships will combine structured on the job training via apprenticeships with </w:t>
      </w:r>
      <w:r w:rsidR="00C14740" w:rsidRPr="0006336F">
        <w:t>degree</w:t>
      </w:r>
      <w:r w:rsidR="00B16861">
        <w:noBreakHyphen/>
      </w:r>
      <w:r w:rsidR="00C14740" w:rsidRPr="0006336F">
        <w:t>level</w:t>
      </w:r>
      <w:r w:rsidR="00AE6F36" w:rsidRPr="0006336F">
        <w:t xml:space="preserve"> study</w:t>
      </w:r>
      <w:r w:rsidR="003C61BF" w:rsidRPr="0006336F">
        <w:t xml:space="preserve"> and </w:t>
      </w:r>
      <w:r w:rsidR="00AE6F36" w:rsidRPr="0006336F">
        <w:t xml:space="preserve">allow students to develop </w:t>
      </w:r>
      <w:r w:rsidR="00CD3A53" w:rsidRPr="0006336F">
        <w:t>advanced</w:t>
      </w:r>
      <w:r w:rsidR="00AE6F36" w:rsidRPr="0006336F">
        <w:t xml:space="preserve"> skills in areas such as net zero, care and support, and digital, not offered under existing models. </w:t>
      </w:r>
      <w:r w:rsidR="00CD3A53" w:rsidRPr="0006336F">
        <w:t>These pathways</w:t>
      </w:r>
      <w:r w:rsidR="00AE6F36" w:rsidRPr="0006336F">
        <w:t xml:space="preserve"> will also allow learning to be contextualised through on</w:t>
      </w:r>
      <w:r w:rsidR="00B16861">
        <w:noBreakHyphen/>
      </w:r>
      <w:r w:rsidR="00AE6F36" w:rsidRPr="0006336F">
        <w:t>the</w:t>
      </w:r>
      <w:r w:rsidR="00B16861">
        <w:noBreakHyphen/>
      </w:r>
      <w:r w:rsidR="00AE6F36" w:rsidRPr="0006336F">
        <w:t>job training so the skills learned are tailored to meet industry needs. Local universities will be key partners with TAFEs to rapidly develop and expand delivery of high</w:t>
      </w:r>
      <w:r w:rsidR="00B16861">
        <w:noBreakHyphen/>
      </w:r>
      <w:r w:rsidR="00AE6F36" w:rsidRPr="0006336F">
        <w:t xml:space="preserve">quality courses in these sectors, alongside industry, other </w:t>
      </w:r>
      <w:r w:rsidR="00CD3A53" w:rsidRPr="0006336F">
        <w:t>VET</w:t>
      </w:r>
      <w:r w:rsidR="00AE6F36" w:rsidRPr="0006336F">
        <w:t xml:space="preserve"> providers, </w:t>
      </w:r>
      <w:r w:rsidR="00CD3A53" w:rsidRPr="0006336F">
        <w:t>JSCs and state and territory governments</w:t>
      </w:r>
      <w:r w:rsidR="00AE6F36" w:rsidRPr="0006336F">
        <w:t>.</w:t>
      </w:r>
      <w:r w:rsidR="007F0CE3" w:rsidRPr="0006336F">
        <w:t xml:space="preserve"> </w:t>
      </w:r>
      <w:r w:rsidR="00AE6F36" w:rsidRPr="0006336F">
        <w:t xml:space="preserve">A future expanded higher education and VET system, adept at providing </w:t>
      </w:r>
      <w:r w:rsidR="005020FB" w:rsidRPr="0006336F">
        <w:t>widely accessible core</w:t>
      </w:r>
      <w:r w:rsidR="00AE6F36" w:rsidRPr="0006336F">
        <w:t xml:space="preserve"> and higher skills, is at the heart of a responsive tertiary system</w:t>
      </w:r>
      <w:r>
        <w:t xml:space="preserve"> – </w:t>
      </w:r>
      <w:r w:rsidR="00AE6F36" w:rsidRPr="0006336F">
        <w:t xml:space="preserve">one where there is greater achievement by key equity groups, high standards of teaching, and an </w:t>
      </w:r>
      <w:r w:rsidR="006F185F" w:rsidRPr="0006336F">
        <w:t xml:space="preserve">adaptive </w:t>
      </w:r>
      <w:r w:rsidR="00AE6F36" w:rsidRPr="0006336F">
        <w:t>training and education curriculum that evolves with the labour market and shifts in the economy.</w:t>
      </w:r>
    </w:p>
    <w:p w14:paraId="34B08B67" w14:textId="2FB4432B" w:rsidR="00AE6F36" w:rsidRPr="0006336F" w:rsidRDefault="00C06981" w:rsidP="00F4496B">
      <w:pPr>
        <w:pStyle w:val="Heading3"/>
        <w:rPr>
          <w:rFonts w:ascii="Calibri Light" w:hAnsi="Calibri Light" w:cs="Times New Roman"/>
          <w:color w:val="auto"/>
          <w:kern w:val="0"/>
          <w:sz w:val="22"/>
          <w:szCs w:val="20"/>
        </w:rPr>
      </w:pPr>
      <w:r w:rsidRPr="0006336F">
        <w:t>Remov</w:t>
      </w:r>
      <w:r w:rsidR="00D42630" w:rsidRPr="0006336F">
        <w:t>ing</w:t>
      </w:r>
      <w:r w:rsidRPr="0006336F">
        <w:t xml:space="preserve"> barriers to </w:t>
      </w:r>
      <w:r w:rsidR="00AE6F36" w:rsidRPr="0006336F">
        <w:t>lifelong learning</w:t>
      </w:r>
    </w:p>
    <w:p w14:paraId="73E0CC86" w14:textId="1541992C" w:rsidR="00AE6F36" w:rsidRPr="0006336F" w:rsidRDefault="00AE6F36" w:rsidP="00AE6F36">
      <w:r w:rsidRPr="0006336F">
        <w:t>A key role of government in facilitating greater upskilling and reskilling over a person</w:t>
      </w:r>
      <w:r w:rsidR="00B16861">
        <w:t>’</w:t>
      </w:r>
      <w:r w:rsidRPr="0006336F">
        <w:t>s lifetime is removing barriers</w:t>
      </w:r>
      <w:r w:rsidR="00B426C0" w:rsidRPr="0006336F">
        <w:t>, and promoting access</w:t>
      </w:r>
      <w:r w:rsidR="001508D0" w:rsidRPr="0006336F">
        <w:t>,</w:t>
      </w:r>
      <w:r w:rsidR="00B426C0" w:rsidRPr="0006336F">
        <w:t xml:space="preserve"> to</w:t>
      </w:r>
      <w:r w:rsidRPr="0006336F">
        <w:t xml:space="preserve"> lifelong learning. The current education and training system</w:t>
      </w:r>
      <w:r w:rsidR="00544F61">
        <w:t>s</w:t>
      </w:r>
      <w:r w:rsidRPr="0006336F">
        <w:t xml:space="preserve"> emphasise initial formal education. However, as the nature of work changes more rapidly, people will need to upskill and reskill throughout their lives.</w:t>
      </w:r>
    </w:p>
    <w:p w14:paraId="12133648" w14:textId="45B8747A" w:rsidR="00AE6F36" w:rsidRPr="0006336F" w:rsidRDefault="00FD3514" w:rsidP="00AE6F36">
      <w:r>
        <w:t>The Government</w:t>
      </w:r>
      <w:r w:rsidR="00AE6F36" w:rsidRPr="0006336F">
        <w:t xml:space="preserve"> is promoting lifelong learning by helping to build up the microcredentials ecosystem. Microcredentials are short, stackable qualifications that workers can undertake to build their skills portfolio. Uncertainty around the recognition of microcredentials can make it difficult for individuals to demonstrate the skills they have gained to employers, and hard for both parties to verify their quality. </w:t>
      </w:r>
    </w:p>
    <w:p w14:paraId="0528D44B" w14:textId="0C16425F" w:rsidR="008F5737" w:rsidRPr="0006336F" w:rsidRDefault="00FD3514" w:rsidP="00132A70">
      <w:r>
        <w:t>The Government</w:t>
      </w:r>
      <w:r w:rsidR="00AE6F36" w:rsidRPr="0006336F">
        <w:t xml:space="preserve"> </w:t>
      </w:r>
      <w:r w:rsidR="008E5188" w:rsidRPr="0006336F">
        <w:t xml:space="preserve">is </w:t>
      </w:r>
      <w:r w:rsidR="00E13D45" w:rsidRPr="0006336F">
        <w:t>consult</w:t>
      </w:r>
      <w:r w:rsidR="008E5188" w:rsidRPr="0006336F">
        <w:t>ing</w:t>
      </w:r>
      <w:r w:rsidR="00E13D45" w:rsidRPr="0006336F">
        <w:t xml:space="preserve"> with industry and across government to define the </w:t>
      </w:r>
      <w:r w:rsidR="00AE6F36" w:rsidRPr="0006336F">
        <w:t>scope</w:t>
      </w:r>
      <w:r w:rsidR="00E13D45" w:rsidRPr="0006336F">
        <w:t>, outcomes and</w:t>
      </w:r>
      <w:r w:rsidR="00AE6F36" w:rsidRPr="0006336F">
        <w:t xml:space="preserve"> </w:t>
      </w:r>
      <w:r w:rsidR="00EA0BBE" w:rsidRPr="0006336F">
        <w:t xml:space="preserve">benefits </w:t>
      </w:r>
      <w:r w:rsidR="00AE6F36" w:rsidRPr="0006336F">
        <w:t>of a National Skills Passport</w:t>
      </w:r>
      <w:r w:rsidR="00AD1EC5" w:rsidRPr="0006336F">
        <w:t>,</w:t>
      </w:r>
      <w:r w:rsidR="00AE6F36" w:rsidRPr="0006336F">
        <w:t xml:space="preserve"> to reduce barriers to lifelong learning. Stakeholders have long called for the creation of a tool to help Australians demonstrate their qualifications to prospective employers. A skills passport </w:t>
      </w:r>
      <w:r w:rsidR="008D4318" w:rsidRPr="0006336F">
        <w:t>c</w:t>
      </w:r>
      <w:r w:rsidR="00AE6F36" w:rsidRPr="0006336F">
        <w:t>ould combine a person</w:t>
      </w:r>
      <w:r w:rsidR="00B16861">
        <w:t>’</w:t>
      </w:r>
      <w:r w:rsidR="00AE6F36" w:rsidRPr="0006336F">
        <w:t xml:space="preserve">s qualifications across VET and higher education to </w:t>
      </w:r>
      <w:r w:rsidR="00615BC3" w:rsidRPr="0006336F">
        <w:t xml:space="preserve">more </w:t>
      </w:r>
      <w:r w:rsidR="00AE6F36" w:rsidRPr="0006336F">
        <w:t xml:space="preserve">effectively demonstrate their skills to employers. </w:t>
      </w:r>
    </w:p>
    <w:p w14:paraId="1A804A36" w14:textId="4DC9E4AF" w:rsidR="00132A70" w:rsidRPr="0006336F" w:rsidRDefault="00AE6F36" w:rsidP="00722C03">
      <w:r w:rsidRPr="0006336F">
        <w:t xml:space="preserve">The </w:t>
      </w:r>
      <w:r w:rsidR="00C27956" w:rsidRPr="0006336F">
        <w:t>scoping of a</w:t>
      </w:r>
      <w:r w:rsidRPr="0006336F">
        <w:t xml:space="preserve"> </w:t>
      </w:r>
      <w:r w:rsidR="00F16BB7" w:rsidRPr="0006336F">
        <w:t>National S</w:t>
      </w:r>
      <w:r w:rsidRPr="0006336F">
        <w:t xml:space="preserve">kills </w:t>
      </w:r>
      <w:r w:rsidR="00F16BB7" w:rsidRPr="0006336F">
        <w:t>P</w:t>
      </w:r>
      <w:r w:rsidRPr="0006336F">
        <w:t>assport is illustrative of the Government</w:t>
      </w:r>
      <w:r w:rsidR="00B16861">
        <w:t>’</w:t>
      </w:r>
      <w:r w:rsidRPr="0006336F">
        <w:t xml:space="preserve">s future focus on encouraging lifelong learning. </w:t>
      </w:r>
      <w:r w:rsidR="00FD3514">
        <w:t>The Government</w:t>
      </w:r>
      <w:r w:rsidR="00B16861">
        <w:t>’</w:t>
      </w:r>
      <w:r w:rsidRPr="0006336F">
        <w:t>s approach is to encourage a joined up tertiary system linked to what businesses are looking for</w:t>
      </w:r>
      <w:r w:rsidR="006738FB" w:rsidRPr="0006336F">
        <w:t xml:space="preserve">, to </w:t>
      </w:r>
      <w:r w:rsidR="00B75E4E" w:rsidRPr="0006336F">
        <w:t>promote</w:t>
      </w:r>
      <w:r w:rsidR="006738FB" w:rsidRPr="0006336F">
        <w:t xml:space="preserve"> ongoing learning in the workplace</w:t>
      </w:r>
      <w:r w:rsidRPr="0006336F">
        <w:t xml:space="preserve">. Employers need to be part of this future direction through supporting employees to upskill and access relevant courses. Lifelong learning initiatives are part of a broader suite of measures the Government is taking to smooth the pathway into work, such as </w:t>
      </w:r>
      <w:r w:rsidR="000D6D71" w:rsidRPr="0006336F">
        <w:t>cheaper</w:t>
      </w:r>
      <w:r w:rsidRPr="0006336F">
        <w:t xml:space="preserve"> child care, help</w:t>
      </w:r>
      <w:r w:rsidR="00CB7991" w:rsidRPr="0006336F">
        <w:t>ing</w:t>
      </w:r>
      <w:r w:rsidRPr="0006336F">
        <w:t xml:space="preserve"> people stay in work and </w:t>
      </w:r>
      <w:r w:rsidR="00CB7991" w:rsidRPr="0006336F">
        <w:t xml:space="preserve">aiding continual </w:t>
      </w:r>
      <w:r w:rsidRPr="0006336F">
        <w:t>develop</w:t>
      </w:r>
      <w:r w:rsidR="00CB7991" w:rsidRPr="0006336F">
        <w:t>ment</w:t>
      </w:r>
      <w:r w:rsidRPr="0006336F">
        <w:t xml:space="preserve"> across their careers</w:t>
      </w:r>
      <w:r w:rsidR="00276B88" w:rsidRPr="0006336F">
        <w:t xml:space="preserve">. </w:t>
      </w:r>
    </w:p>
    <w:p w14:paraId="6C08189B" w14:textId="3B8A8CDB" w:rsidR="00132A70" w:rsidRPr="0006336F" w:rsidRDefault="007A28A7" w:rsidP="00F4496B">
      <w:pPr>
        <w:pStyle w:val="Heading2"/>
      </w:pPr>
      <w:bookmarkStart w:id="11" w:name="_Toc146292920"/>
      <w:r w:rsidRPr="0006336F">
        <w:lastRenderedPageBreak/>
        <w:t>6</w:t>
      </w:r>
      <w:r w:rsidR="004C240A" w:rsidRPr="0006336F">
        <w:t xml:space="preserve"> </w:t>
      </w:r>
      <w:r w:rsidR="00A73B6C">
        <w:tab/>
      </w:r>
      <w:r w:rsidR="0030778E" w:rsidRPr="0006336F">
        <w:t>Reforming the migration system</w:t>
      </w:r>
      <w:bookmarkEnd w:id="11"/>
    </w:p>
    <w:p w14:paraId="3B146EA4" w14:textId="1148E467" w:rsidR="006050D0" w:rsidRPr="0006336F" w:rsidRDefault="002F752C" w:rsidP="000010B3">
      <w:pPr>
        <w:pStyle w:val="TableMainHeadingRoadmap"/>
      </w:pPr>
      <w:r w:rsidRPr="0006336F">
        <w:t>Actions</w:t>
      </w:r>
      <w:r w:rsidR="00B41FF9" w:rsidRPr="0006336F">
        <w:t xml:space="preserve"> to reform the migration system </w:t>
      </w:r>
    </w:p>
    <w:tbl>
      <w:tblPr>
        <w:tblStyle w:val="TableGrid"/>
        <w:tblW w:w="5000" w:type="pct"/>
        <w:tblLook w:val="01E0" w:firstRow="1" w:lastRow="1" w:firstColumn="1" w:lastColumn="1" w:noHBand="0" w:noVBand="0"/>
      </w:tblPr>
      <w:tblGrid>
        <w:gridCol w:w="3023"/>
        <w:gridCol w:w="3023"/>
        <w:gridCol w:w="3024"/>
      </w:tblGrid>
      <w:tr w:rsidR="006050D0" w:rsidRPr="0006336F" w14:paraId="413FFF8A" w14:textId="77777777" w:rsidTr="00A715AC">
        <w:trPr>
          <w:cnfStyle w:val="100000000000" w:firstRow="1" w:lastRow="0" w:firstColumn="0" w:lastColumn="0" w:oddVBand="0" w:evenVBand="0" w:oddHBand="0" w:evenHBand="0" w:firstRowFirstColumn="0" w:firstRowLastColumn="0" w:lastRowFirstColumn="0" w:lastRowLastColumn="0"/>
          <w:tblHeader/>
        </w:trPr>
        <w:tc>
          <w:tcPr>
            <w:tcW w:w="1666" w:type="pct"/>
          </w:tcPr>
          <w:p w14:paraId="143FBAC2" w14:textId="77777777" w:rsidR="006050D0" w:rsidRPr="0006336F" w:rsidRDefault="006050D0">
            <w:pPr>
              <w:pStyle w:val="TableColumnHeadingLeft"/>
            </w:pPr>
            <w:r w:rsidRPr="0006336F">
              <w:t xml:space="preserve">Implemented </w:t>
            </w:r>
          </w:p>
        </w:tc>
        <w:tc>
          <w:tcPr>
            <w:tcW w:w="1666" w:type="pct"/>
          </w:tcPr>
          <w:p w14:paraId="6BEC53D4" w14:textId="77777777" w:rsidR="006050D0" w:rsidRPr="0006336F" w:rsidRDefault="006050D0">
            <w:pPr>
              <w:pStyle w:val="TableColumnHeadingLeft"/>
            </w:pPr>
            <w:r w:rsidRPr="0006336F">
              <w:t>Underway</w:t>
            </w:r>
          </w:p>
        </w:tc>
        <w:tc>
          <w:tcPr>
            <w:tcW w:w="1667" w:type="pct"/>
          </w:tcPr>
          <w:p w14:paraId="6458E46C" w14:textId="77777777" w:rsidR="006050D0" w:rsidRPr="0006336F" w:rsidRDefault="006050D0">
            <w:pPr>
              <w:pStyle w:val="TableColumnHeadingLeft"/>
            </w:pPr>
            <w:r w:rsidRPr="0006336F">
              <w:t>Future reform directions</w:t>
            </w:r>
          </w:p>
        </w:tc>
      </w:tr>
      <w:tr w:rsidR="006050D0" w:rsidRPr="0006336F" w14:paraId="26A29EA2" w14:textId="77777777" w:rsidTr="00A715AC">
        <w:tc>
          <w:tcPr>
            <w:tcW w:w="1666" w:type="pct"/>
          </w:tcPr>
          <w:p w14:paraId="04595AB6" w14:textId="5A88C61D" w:rsidR="00A728F5" w:rsidRPr="0006336F" w:rsidRDefault="00507347" w:rsidP="00F4496B">
            <w:pPr>
              <w:pStyle w:val="TableTextLeft"/>
              <w:rPr>
                <w:b/>
                <w:bCs/>
              </w:rPr>
            </w:pPr>
            <w:r w:rsidRPr="0006336F">
              <w:rPr>
                <w:b/>
              </w:rPr>
              <w:t>Taken action to a</w:t>
            </w:r>
            <w:r w:rsidR="00A728F5" w:rsidRPr="0006336F">
              <w:rPr>
                <w:b/>
              </w:rPr>
              <w:t>ddress backlogs and restor</w:t>
            </w:r>
            <w:r w:rsidRPr="0006336F">
              <w:rPr>
                <w:b/>
              </w:rPr>
              <w:t>e</w:t>
            </w:r>
            <w:r w:rsidR="00A728F5" w:rsidRPr="0006336F">
              <w:rPr>
                <w:b/>
              </w:rPr>
              <w:t xml:space="preserve"> integrity to the visa system</w:t>
            </w:r>
          </w:p>
          <w:p w14:paraId="72F9B4F5" w14:textId="4C25228C" w:rsidR="00A728F5" w:rsidRPr="0006336F" w:rsidRDefault="00A728F5" w:rsidP="00F4496B">
            <w:pPr>
              <w:pStyle w:val="TableTextBullet"/>
            </w:pPr>
            <w:r w:rsidRPr="0006336F">
              <w:t>Accelerated visa processing and reduced visa backlog</w:t>
            </w:r>
          </w:p>
          <w:p w14:paraId="70A007B9" w14:textId="0D7BD715" w:rsidR="00A728F5" w:rsidRPr="0006336F" w:rsidRDefault="000C5058" w:rsidP="00F4496B">
            <w:pPr>
              <w:pStyle w:val="TableTextBullet"/>
            </w:pPr>
            <w:r w:rsidRPr="0006336F">
              <w:t>Provided m</w:t>
            </w:r>
            <w:r w:rsidR="00A728F5" w:rsidRPr="0006336F">
              <w:t>ore funding to Australian Border Force</w:t>
            </w:r>
            <w:r w:rsidR="000B78F3" w:rsidRPr="0006336F">
              <w:t xml:space="preserve"> to address exploitation</w:t>
            </w:r>
          </w:p>
          <w:p w14:paraId="4DAA5EDC" w14:textId="037E4D57" w:rsidR="00A728F5" w:rsidRPr="0006336F" w:rsidRDefault="00A728F5" w:rsidP="00F4496B">
            <w:pPr>
              <w:pStyle w:val="TableTextBullet"/>
            </w:pPr>
            <w:r w:rsidRPr="0006336F">
              <w:t>Raised the Temporary Skilled Migration Income Threshold</w:t>
            </w:r>
          </w:p>
          <w:p w14:paraId="1C0600AE" w14:textId="1F69C764" w:rsidR="00A728F5" w:rsidRPr="0006336F" w:rsidRDefault="00A728F5" w:rsidP="00F4496B">
            <w:pPr>
              <w:pStyle w:val="TableTextBullet"/>
            </w:pPr>
            <w:r w:rsidRPr="0006336F">
              <w:t>Ended pandemic event measures</w:t>
            </w:r>
          </w:p>
          <w:p w14:paraId="2AA744F8" w14:textId="6D7C3ECF" w:rsidR="00A728F5" w:rsidRPr="0006336F" w:rsidRDefault="00A728F5" w:rsidP="00F4496B">
            <w:pPr>
              <w:pStyle w:val="TableTextBullet"/>
            </w:pPr>
            <w:r w:rsidRPr="0006336F">
              <w:t xml:space="preserve">Completed </w:t>
            </w:r>
            <w:r w:rsidR="00172202" w:rsidRPr="0006336F">
              <w:t xml:space="preserve">the </w:t>
            </w:r>
            <w:r w:rsidRPr="0006336F">
              <w:t>Rapid Review into the Exploitation of Australia</w:t>
            </w:r>
            <w:r w:rsidR="00B16861">
              <w:t>’</w:t>
            </w:r>
            <w:r w:rsidRPr="0006336F">
              <w:t>s Visa System</w:t>
            </w:r>
          </w:p>
          <w:p w14:paraId="6E0DB289" w14:textId="35485AEE" w:rsidR="00A728F5" w:rsidRPr="0006336F" w:rsidRDefault="004871E5" w:rsidP="00F4496B">
            <w:pPr>
              <w:pStyle w:val="TableTextLeft"/>
              <w:rPr>
                <w:b/>
                <w:bCs/>
              </w:rPr>
            </w:pPr>
            <w:r w:rsidRPr="0006336F">
              <w:rPr>
                <w:b/>
              </w:rPr>
              <w:t>Taken action to address</w:t>
            </w:r>
            <w:r w:rsidR="00A728F5" w:rsidRPr="0006336F">
              <w:rPr>
                <w:b/>
                <w:bCs/>
              </w:rPr>
              <w:t xml:space="preserve"> skills shortages</w:t>
            </w:r>
          </w:p>
          <w:p w14:paraId="1E8726CF" w14:textId="5110912B" w:rsidR="00A728F5" w:rsidRPr="0006336F" w:rsidRDefault="000C5058" w:rsidP="00F4496B">
            <w:pPr>
              <w:pStyle w:val="TableTextBullet"/>
              <w:rPr>
                <w:szCs w:val="16"/>
              </w:rPr>
            </w:pPr>
            <w:r w:rsidRPr="0006336F">
              <w:t>Extended p</w:t>
            </w:r>
            <w:r w:rsidR="00A728F5" w:rsidRPr="0006336F">
              <w:t>ost</w:t>
            </w:r>
            <w:r w:rsidR="00B16861">
              <w:noBreakHyphen/>
            </w:r>
            <w:r w:rsidR="00A728F5" w:rsidRPr="0006336F">
              <w:t>study work rights for students in areas of labour sh</w:t>
            </w:r>
            <w:r w:rsidR="00A728F5" w:rsidRPr="0006336F">
              <w:rPr>
                <w:szCs w:val="16"/>
              </w:rPr>
              <w:t>ortage</w:t>
            </w:r>
          </w:p>
          <w:p w14:paraId="54191B7C" w14:textId="089C5E22" w:rsidR="00E30F9F" w:rsidRPr="0006336F" w:rsidRDefault="00F20BB5" w:rsidP="00F4496B">
            <w:pPr>
              <w:pStyle w:val="TableTextBullet"/>
            </w:pPr>
            <w:r>
              <w:t xml:space="preserve">Increased the permanent migration planning level in </w:t>
            </w:r>
            <w:r w:rsidR="00681D64">
              <w:t xml:space="preserve">   </w:t>
            </w:r>
            <w:r>
              <w:t>2022</w:t>
            </w:r>
            <w:r w:rsidR="00681D64">
              <w:t>–</w:t>
            </w:r>
            <w:r>
              <w:t xml:space="preserve">23, including tripling the places for regional Australia </w:t>
            </w:r>
          </w:p>
          <w:p w14:paraId="5B38E308" w14:textId="240D7243" w:rsidR="00A728F5" w:rsidRPr="0006336F" w:rsidRDefault="00A728F5" w:rsidP="00F4496B">
            <w:pPr>
              <w:pStyle w:val="TableTextLeft"/>
              <w:rPr>
                <w:b/>
                <w:bCs/>
                <w:szCs w:val="16"/>
              </w:rPr>
            </w:pPr>
            <w:r w:rsidRPr="0006336F">
              <w:rPr>
                <w:b/>
              </w:rPr>
              <w:t>Put permanency back at the heart of the migration system</w:t>
            </w:r>
          </w:p>
          <w:p w14:paraId="306A9069" w14:textId="20B31ADF" w:rsidR="00A728F5" w:rsidRPr="0006336F" w:rsidRDefault="000C5058" w:rsidP="00F4496B">
            <w:pPr>
              <w:pStyle w:val="TableTextBullet"/>
              <w:rPr>
                <w:szCs w:val="16"/>
              </w:rPr>
            </w:pPr>
            <w:r w:rsidRPr="0006336F">
              <w:t>Provided</w:t>
            </w:r>
            <w:r w:rsidRPr="0006336F">
              <w:rPr>
                <w:szCs w:val="16"/>
              </w:rPr>
              <w:t xml:space="preserve"> a p</w:t>
            </w:r>
            <w:r w:rsidR="00A728F5" w:rsidRPr="0006336F">
              <w:rPr>
                <w:szCs w:val="16"/>
              </w:rPr>
              <w:t>athway to permanent residency for all temporary skilled visa holders</w:t>
            </w:r>
          </w:p>
          <w:p w14:paraId="5E16A555" w14:textId="44D5D3C0" w:rsidR="006050D0" w:rsidRPr="0006336F" w:rsidRDefault="0064132F" w:rsidP="00F4496B">
            <w:pPr>
              <w:pStyle w:val="TableTextBullet"/>
            </w:pPr>
            <w:r w:rsidRPr="0006336F">
              <w:t>Introduced a</w:t>
            </w:r>
            <w:r w:rsidRPr="0006336F">
              <w:rPr>
                <w:szCs w:val="16"/>
              </w:rPr>
              <w:t xml:space="preserve"> d</w:t>
            </w:r>
            <w:r w:rsidR="00A728F5" w:rsidRPr="0006336F">
              <w:rPr>
                <w:szCs w:val="16"/>
              </w:rPr>
              <w:t xml:space="preserve">irect pathway to citizenship for eligible </w:t>
            </w:r>
            <w:r w:rsidR="000F0ED2">
              <w:rPr>
                <w:szCs w:val="16"/>
              </w:rPr>
              <w:t>New Zealand</w:t>
            </w:r>
            <w:r w:rsidR="00A728F5" w:rsidRPr="0006336F">
              <w:rPr>
                <w:szCs w:val="16"/>
              </w:rPr>
              <w:t xml:space="preserve">ers </w:t>
            </w:r>
          </w:p>
        </w:tc>
        <w:tc>
          <w:tcPr>
            <w:tcW w:w="1666" w:type="pct"/>
          </w:tcPr>
          <w:p w14:paraId="427ED451" w14:textId="2C083DF8" w:rsidR="00A728F5" w:rsidRPr="0006336F" w:rsidRDefault="00B46732" w:rsidP="00F4496B">
            <w:pPr>
              <w:pStyle w:val="TableTextLeft"/>
              <w:rPr>
                <w:b/>
                <w:bCs/>
                <w:szCs w:val="16"/>
              </w:rPr>
            </w:pPr>
            <w:r w:rsidRPr="0006336F">
              <w:rPr>
                <w:b/>
              </w:rPr>
              <w:t>Creating a</w:t>
            </w:r>
            <w:r w:rsidR="00A728F5" w:rsidRPr="0006336F">
              <w:rPr>
                <w:b/>
                <w:bCs/>
                <w:szCs w:val="16"/>
              </w:rPr>
              <w:t xml:space="preserve"> Migration Strategy for a more prosperous and secure Australia</w:t>
            </w:r>
          </w:p>
          <w:p w14:paraId="16A3EC70" w14:textId="3B1981B0" w:rsidR="00A728F5" w:rsidRPr="0006336F" w:rsidRDefault="00A728F5" w:rsidP="00F4496B">
            <w:pPr>
              <w:pStyle w:val="TableTextBullet"/>
              <w:rPr>
                <w:szCs w:val="16"/>
              </w:rPr>
            </w:pPr>
            <w:r w:rsidRPr="0006336F">
              <w:t xml:space="preserve">Responding </w:t>
            </w:r>
            <w:r w:rsidRPr="0006336F">
              <w:rPr>
                <w:szCs w:val="18"/>
              </w:rPr>
              <w:t xml:space="preserve">to the 2023 </w:t>
            </w:r>
            <w:r w:rsidRPr="0006336F">
              <w:rPr>
                <w:szCs w:val="16"/>
              </w:rPr>
              <w:t xml:space="preserve">Review of the Migration System with new vision, objectives and </w:t>
            </w:r>
            <w:r w:rsidR="00AF030B" w:rsidRPr="0006336F">
              <w:rPr>
                <w:szCs w:val="16"/>
              </w:rPr>
              <w:t>r</w:t>
            </w:r>
            <w:r w:rsidRPr="0006336F">
              <w:rPr>
                <w:szCs w:val="16"/>
              </w:rPr>
              <w:t>oadmap</w:t>
            </w:r>
          </w:p>
          <w:p w14:paraId="29B24354" w14:textId="6BAF8FAE" w:rsidR="00A728F5" w:rsidRPr="0006336F" w:rsidRDefault="00A728F5" w:rsidP="00F4496B">
            <w:pPr>
              <w:pStyle w:val="TableTextBullet"/>
              <w:rPr>
                <w:szCs w:val="16"/>
              </w:rPr>
            </w:pPr>
            <w:r w:rsidRPr="0006336F">
              <w:t>Streng</w:t>
            </w:r>
            <w:r w:rsidRPr="0006336F">
              <w:rPr>
                <w:szCs w:val="16"/>
              </w:rPr>
              <w:t>thening integrity in international education</w:t>
            </w:r>
          </w:p>
          <w:p w14:paraId="0E8B4990" w14:textId="3FD21828" w:rsidR="00A728F5" w:rsidRPr="0006336F" w:rsidRDefault="00A728F5" w:rsidP="00F4496B">
            <w:pPr>
              <w:pStyle w:val="TableTextBullet"/>
              <w:rPr>
                <w:b/>
                <w:szCs w:val="16"/>
              </w:rPr>
            </w:pPr>
            <w:r w:rsidRPr="0006336F">
              <w:t xml:space="preserve">Improving </w:t>
            </w:r>
            <w:r w:rsidRPr="0006336F">
              <w:rPr>
                <w:szCs w:val="16"/>
              </w:rPr>
              <w:t>recognition of priority qualification</w:t>
            </w:r>
            <w:r w:rsidR="00465226" w:rsidRPr="0006336F">
              <w:rPr>
                <w:szCs w:val="16"/>
              </w:rPr>
              <w:t>s</w:t>
            </w:r>
            <w:r w:rsidRPr="0006336F">
              <w:rPr>
                <w:szCs w:val="16"/>
              </w:rPr>
              <w:t xml:space="preserve">, including by responding to the Independent Review of Health Practitioner Regulatory Settings </w:t>
            </w:r>
          </w:p>
          <w:p w14:paraId="1091D2A3" w14:textId="77777777" w:rsidR="00A728F5" w:rsidRPr="0006336F" w:rsidRDefault="00A728F5" w:rsidP="00F4496B">
            <w:pPr>
              <w:pStyle w:val="TableTextLeft"/>
              <w:rPr>
                <w:b/>
                <w:bCs/>
                <w:szCs w:val="16"/>
              </w:rPr>
            </w:pPr>
            <w:r w:rsidRPr="0006336F">
              <w:rPr>
                <w:b/>
              </w:rPr>
              <w:t>T</w:t>
            </w:r>
            <w:r w:rsidRPr="0006336F">
              <w:rPr>
                <w:b/>
                <w:bCs/>
                <w:szCs w:val="16"/>
              </w:rPr>
              <w:t>aking further measures to combat worker exploitation</w:t>
            </w:r>
          </w:p>
          <w:p w14:paraId="46E833A5" w14:textId="33E3A4E8" w:rsidR="006614F7" w:rsidRPr="0006336F" w:rsidRDefault="0064132F" w:rsidP="006614F7">
            <w:pPr>
              <w:pStyle w:val="TableTextBullet"/>
            </w:pPr>
            <w:r w:rsidRPr="0006336F">
              <w:t>Introducing c</w:t>
            </w:r>
            <w:r w:rsidR="006614F7" w:rsidRPr="0006336F">
              <w:t>riminal penalties for exploitation</w:t>
            </w:r>
          </w:p>
          <w:p w14:paraId="454A68F8" w14:textId="7EAC9356" w:rsidR="00A728F5" w:rsidRPr="0006336F" w:rsidRDefault="00A728F5" w:rsidP="00F4496B">
            <w:pPr>
              <w:pStyle w:val="TableTextBullet"/>
              <w:rPr>
                <w:szCs w:val="16"/>
              </w:rPr>
            </w:pPr>
            <w:r w:rsidRPr="0006336F">
              <w:t>Consultin</w:t>
            </w:r>
            <w:r w:rsidRPr="0006336F">
              <w:rPr>
                <w:szCs w:val="16"/>
              </w:rPr>
              <w:t xml:space="preserve">g with business, unions and civil society on whistleblower protections for temporary visa holders </w:t>
            </w:r>
          </w:p>
          <w:p w14:paraId="17A786B6" w14:textId="27A2EC74" w:rsidR="006050D0" w:rsidRPr="00A73B6C" w:rsidRDefault="003A6F6A" w:rsidP="00A73B6C">
            <w:pPr>
              <w:pStyle w:val="TableTextBullet"/>
              <w:rPr>
                <w:szCs w:val="16"/>
              </w:rPr>
            </w:pPr>
            <w:r w:rsidRPr="0006336F">
              <w:rPr>
                <w:szCs w:val="16"/>
              </w:rPr>
              <w:t>Design</w:t>
            </w:r>
            <w:r w:rsidR="00203814" w:rsidRPr="0006336F">
              <w:rPr>
                <w:szCs w:val="16"/>
              </w:rPr>
              <w:t>ing</w:t>
            </w:r>
            <w:r w:rsidR="00A728F5" w:rsidRPr="0006336F">
              <w:rPr>
                <w:szCs w:val="16"/>
              </w:rPr>
              <w:t xml:space="preserve"> the firewall between the Fair Work Ombudsman and the Department of Home Affairs</w:t>
            </w:r>
          </w:p>
        </w:tc>
        <w:tc>
          <w:tcPr>
            <w:tcW w:w="1667" w:type="pct"/>
          </w:tcPr>
          <w:p w14:paraId="10E7B30F" w14:textId="313FBFD0" w:rsidR="006050D0" w:rsidRPr="0006336F" w:rsidRDefault="006050D0">
            <w:pPr>
              <w:pStyle w:val="TableTextLeft"/>
              <w:rPr>
                <w:b/>
                <w:bCs/>
              </w:rPr>
            </w:pPr>
            <w:r w:rsidRPr="0006336F">
              <w:rPr>
                <w:b/>
                <w:bCs/>
              </w:rPr>
              <w:t>Better target skilled migration</w:t>
            </w:r>
          </w:p>
          <w:p w14:paraId="512F46B7" w14:textId="753BFF63" w:rsidR="00A728F5" w:rsidRPr="0006336F" w:rsidRDefault="00723CC0" w:rsidP="00F4496B">
            <w:pPr>
              <w:pStyle w:val="TableTextBullet"/>
            </w:pPr>
            <w:r w:rsidRPr="0006336F">
              <w:t>Deliver a</w:t>
            </w:r>
            <w:r w:rsidR="00A728F5" w:rsidRPr="0006336F">
              <w:t xml:space="preserve"> new temporary skilled migration system that is effective at targeting Australia</w:t>
            </w:r>
            <w:r w:rsidR="00B16861">
              <w:t>’</w:t>
            </w:r>
            <w:r w:rsidR="00A728F5" w:rsidRPr="0006336F">
              <w:t>s evolving skill</w:t>
            </w:r>
            <w:r w:rsidR="00F94410" w:rsidRPr="0006336F">
              <w:t>s</w:t>
            </w:r>
            <w:r w:rsidR="00A728F5" w:rsidRPr="0006336F">
              <w:t xml:space="preserve"> needs</w:t>
            </w:r>
          </w:p>
          <w:p w14:paraId="1DB8B406" w14:textId="311B2AB4" w:rsidR="00A728F5" w:rsidRPr="0006336F" w:rsidRDefault="00A728F5" w:rsidP="00F4496B">
            <w:pPr>
              <w:pStyle w:val="TableTextBullet"/>
            </w:pPr>
            <w:r w:rsidRPr="0006336F">
              <w:t xml:space="preserve">Develop </w:t>
            </w:r>
            <w:r w:rsidR="00805881" w:rsidRPr="0006336F">
              <w:t xml:space="preserve">an </w:t>
            </w:r>
            <w:r w:rsidRPr="0006336F">
              <w:t xml:space="preserve">improved occupation list in partnership with </w:t>
            </w:r>
            <w:r w:rsidR="00C01C7F" w:rsidRPr="0006336F">
              <w:t>Jobs and Skills Australia</w:t>
            </w:r>
          </w:p>
          <w:p w14:paraId="730F03B1" w14:textId="70B5FD99" w:rsidR="00A728F5" w:rsidRPr="0006336F" w:rsidRDefault="007E31D1" w:rsidP="00F4496B">
            <w:pPr>
              <w:pStyle w:val="TableTextBullet"/>
            </w:pPr>
            <w:r w:rsidRPr="0006336F">
              <w:t>Introduce n</w:t>
            </w:r>
            <w:r w:rsidR="00A728F5" w:rsidRPr="0006336F">
              <w:t>ew permanent skilled visa settings, including exploring a revised points test</w:t>
            </w:r>
          </w:p>
          <w:p w14:paraId="60863097" w14:textId="2B97B7B8" w:rsidR="006050D0" w:rsidRPr="0006336F" w:rsidRDefault="006050D0">
            <w:pPr>
              <w:pStyle w:val="TableTextLeft"/>
              <w:rPr>
                <w:b/>
                <w:bCs/>
              </w:rPr>
            </w:pPr>
            <w:r w:rsidRPr="0006336F">
              <w:rPr>
                <w:b/>
                <w:bCs/>
              </w:rPr>
              <w:t>Realis</w:t>
            </w:r>
            <w:r w:rsidR="00024BF6" w:rsidRPr="0006336F">
              <w:rPr>
                <w:b/>
                <w:bCs/>
              </w:rPr>
              <w:t>e</w:t>
            </w:r>
            <w:r w:rsidRPr="0006336F">
              <w:rPr>
                <w:b/>
                <w:bCs/>
              </w:rPr>
              <w:t xml:space="preserve"> </w:t>
            </w:r>
            <w:r w:rsidR="00BD56B6" w:rsidRPr="0006336F">
              <w:rPr>
                <w:b/>
                <w:bCs/>
              </w:rPr>
              <w:t>migrants</w:t>
            </w:r>
            <w:r w:rsidR="00B16861">
              <w:rPr>
                <w:b/>
                <w:bCs/>
              </w:rPr>
              <w:t>’</w:t>
            </w:r>
            <w:r w:rsidR="00BD56B6" w:rsidRPr="0006336F">
              <w:rPr>
                <w:b/>
                <w:bCs/>
              </w:rPr>
              <w:t xml:space="preserve"> </w:t>
            </w:r>
            <w:r w:rsidRPr="0006336F">
              <w:rPr>
                <w:b/>
                <w:bCs/>
              </w:rPr>
              <w:t xml:space="preserve">employment potential </w:t>
            </w:r>
          </w:p>
          <w:p w14:paraId="7D69262A" w14:textId="6DD377E6" w:rsidR="00A728F5" w:rsidRPr="0006336F" w:rsidRDefault="007E31D1" w:rsidP="00F4496B">
            <w:pPr>
              <w:pStyle w:val="TableTextBullet"/>
            </w:pPr>
            <w:r w:rsidRPr="0006336F">
              <w:t>Take f</w:t>
            </w:r>
            <w:r w:rsidR="00A728F5" w:rsidRPr="0006336F">
              <w:t>urther action to combat migrant worker exploitation</w:t>
            </w:r>
          </w:p>
          <w:p w14:paraId="76DF0226" w14:textId="2183B5CA" w:rsidR="00330737" w:rsidRPr="0006336F" w:rsidRDefault="006050D0" w:rsidP="00F4496B">
            <w:pPr>
              <w:pStyle w:val="TableTextBullet"/>
            </w:pPr>
            <w:r w:rsidRPr="0006336F">
              <w:t>Improv</w:t>
            </w:r>
            <w:r w:rsidR="007E31D1" w:rsidRPr="0006336F">
              <w:t>e</w:t>
            </w:r>
            <w:r w:rsidRPr="0006336F">
              <w:t xml:space="preserve"> skills assessments</w:t>
            </w:r>
          </w:p>
          <w:p w14:paraId="4BFCBDB9" w14:textId="54E1C4CC" w:rsidR="006050D0" w:rsidRPr="0006336F" w:rsidRDefault="006050D0">
            <w:pPr>
              <w:pStyle w:val="TableTextLeft"/>
              <w:rPr>
                <w:b/>
                <w:bCs/>
              </w:rPr>
            </w:pPr>
            <w:r w:rsidRPr="0006336F">
              <w:rPr>
                <w:b/>
                <w:bCs/>
              </w:rPr>
              <w:t>Improv</w:t>
            </w:r>
            <w:r w:rsidR="00024BF6" w:rsidRPr="0006336F">
              <w:rPr>
                <w:b/>
                <w:bCs/>
              </w:rPr>
              <w:t>e</w:t>
            </w:r>
            <w:r w:rsidRPr="0006336F">
              <w:rPr>
                <w:b/>
                <w:bCs/>
              </w:rPr>
              <w:t xml:space="preserve"> employment outcomes for international students</w:t>
            </w:r>
          </w:p>
          <w:p w14:paraId="6883522E" w14:textId="7C934AA4" w:rsidR="00A728F5" w:rsidRPr="0006336F" w:rsidRDefault="00A728F5" w:rsidP="00F4496B">
            <w:pPr>
              <w:pStyle w:val="TableTextBullet"/>
            </w:pPr>
            <w:r w:rsidRPr="0006336F">
              <w:t>Improve pathways to work in higher skilled roles</w:t>
            </w:r>
          </w:p>
          <w:p w14:paraId="4A6BDCEE" w14:textId="77777777" w:rsidR="005A6FF0" w:rsidRPr="0006336F" w:rsidRDefault="005A6FF0" w:rsidP="00BA5781">
            <w:pPr>
              <w:pStyle w:val="TableTextBullet"/>
              <w:numPr>
                <w:ilvl w:val="0"/>
                <w:numId w:val="0"/>
              </w:numPr>
              <w:rPr>
                <w:i/>
                <w:iCs/>
              </w:rPr>
            </w:pPr>
          </w:p>
          <w:p w14:paraId="4080C216" w14:textId="4FA24320" w:rsidR="006050D0" w:rsidRPr="0006336F" w:rsidRDefault="006050D0" w:rsidP="00F4496B">
            <w:pPr>
              <w:pStyle w:val="TableTextBullet"/>
              <w:numPr>
                <w:ilvl w:val="0"/>
                <w:numId w:val="0"/>
              </w:numPr>
              <w:rPr>
                <w:i/>
              </w:rPr>
            </w:pPr>
            <w:r w:rsidRPr="0006336F">
              <w:rPr>
                <w:i/>
              </w:rPr>
              <w:t>Further reforms will be outlined in the Migration Strategy</w:t>
            </w:r>
          </w:p>
        </w:tc>
      </w:tr>
    </w:tbl>
    <w:p w14:paraId="04899E20" w14:textId="77777777" w:rsidR="00A73B6C" w:rsidRDefault="00A73B6C" w:rsidP="00A73B6C">
      <w:pPr>
        <w:pStyle w:val="ChartTableFiguresectionline"/>
      </w:pPr>
    </w:p>
    <w:p w14:paraId="15D4132A" w14:textId="6B27C13A" w:rsidR="009976C1" w:rsidRPr="0006336F" w:rsidRDefault="009976C1" w:rsidP="009976C1">
      <w:r w:rsidRPr="0006336F">
        <w:t>Working alongside our high</w:t>
      </w:r>
      <w:r w:rsidR="00B16861">
        <w:noBreakHyphen/>
      </w:r>
      <w:r w:rsidRPr="0006336F">
        <w:t xml:space="preserve">quality education and training sector, effective migration settings have the power to address </w:t>
      </w:r>
      <w:r w:rsidR="007671AB" w:rsidRPr="0006336F">
        <w:t xml:space="preserve">skills </w:t>
      </w:r>
      <w:r w:rsidRPr="0006336F">
        <w:t xml:space="preserve">shortages and boost productivity, while providing fair access to labour markets for migrant and local workers. To harness these benefits, </w:t>
      </w:r>
      <w:r w:rsidR="003208FF">
        <w:t>the Government is</w:t>
      </w:r>
      <w:r w:rsidR="00934E83" w:rsidRPr="0006336F">
        <w:t xml:space="preserve"> focused on aligning</w:t>
      </w:r>
      <w:r w:rsidRPr="0006336F">
        <w:t xml:space="preserve"> migration settings </w:t>
      </w:r>
      <w:r w:rsidR="00B570CE" w:rsidRPr="0006336F">
        <w:t>with Australia</w:t>
      </w:r>
      <w:r w:rsidR="00B16861">
        <w:t>’</w:t>
      </w:r>
      <w:r w:rsidR="00B570CE" w:rsidRPr="0006336F">
        <w:t>s</w:t>
      </w:r>
      <w:r w:rsidRPr="0006336F">
        <w:t xml:space="preserve"> skills needs</w:t>
      </w:r>
      <w:r w:rsidR="0018128B" w:rsidRPr="0006336F">
        <w:t>, and ensuring</w:t>
      </w:r>
      <w:r w:rsidR="00B570CE" w:rsidRPr="0006336F">
        <w:t xml:space="preserve"> </w:t>
      </w:r>
      <w:r w:rsidR="008906F5" w:rsidRPr="0006336F">
        <w:t>migrants are</w:t>
      </w:r>
      <w:r w:rsidRPr="0006336F">
        <w:t xml:space="preserve"> supported to work to their capacity and provided with the mobility to move across the workforce into roles that suit their skills.</w:t>
      </w:r>
    </w:p>
    <w:p w14:paraId="03EFEB82" w14:textId="5C403624" w:rsidR="009976C1" w:rsidRPr="0006336F" w:rsidRDefault="009976C1" w:rsidP="009976C1">
      <w:r w:rsidRPr="0006336F">
        <w:t>The Review of the Migration System Final Report found that Australia</w:t>
      </w:r>
      <w:r w:rsidR="00B16861">
        <w:t>’</w:t>
      </w:r>
      <w:r w:rsidRPr="0006336F">
        <w:t>s migration program is not fit</w:t>
      </w:r>
      <w:r w:rsidR="00B16861">
        <w:noBreakHyphen/>
      </w:r>
      <w:r w:rsidRPr="0006336F">
        <w:t>for</w:t>
      </w:r>
      <w:r w:rsidR="00B16861">
        <w:noBreakHyphen/>
      </w:r>
      <w:r w:rsidRPr="0006336F">
        <w:t xml:space="preserve">purpose. Australia </w:t>
      </w:r>
      <w:r w:rsidR="00072406" w:rsidRPr="0006336F">
        <w:t xml:space="preserve">can do more </w:t>
      </w:r>
      <w:r w:rsidRPr="0006336F">
        <w:t xml:space="preserve">to attract the most highly skilled migrants and support businesses to access these skilled workers. Moreover, evidence has emerged of exploitation of migrants, driven by a focus on </w:t>
      </w:r>
      <w:r w:rsidR="00C513B9">
        <w:t>‘</w:t>
      </w:r>
      <w:r w:rsidRPr="0006336F">
        <w:t>temporariness</w:t>
      </w:r>
      <w:r w:rsidR="00C513B9">
        <w:t>’</w:t>
      </w:r>
      <w:r w:rsidRPr="0006336F">
        <w:t xml:space="preserve"> over clear pathways to permanency and visa settings that tie migrant workers to their employer. </w:t>
      </w:r>
    </w:p>
    <w:p w14:paraId="262A9084" w14:textId="671E8ED2" w:rsidR="009976C1" w:rsidRPr="0006336F" w:rsidRDefault="009976C1" w:rsidP="009976C1">
      <w:r w:rsidRPr="0006336F">
        <w:t>To realign the migration system with Australia</w:t>
      </w:r>
      <w:r w:rsidR="00B16861">
        <w:t>’</w:t>
      </w:r>
      <w:r w:rsidRPr="0006336F">
        <w:t>s labour market priorities</w:t>
      </w:r>
      <w:r w:rsidR="00CA0B96" w:rsidRPr="0006336F">
        <w:t>,</w:t>
      </w:r>
      <w:r w:rsidRPr="0006336F">
        <w:t xml:space="preserve"> we are undertaking </w:t>
      </w:r>
      <w:r w:rsidR="00BB44DD" w:rsidRPr="0006336F">
        <w:t xml:space="preserve">significant </w:t>
      </w:r>
      <w:r w:rsidRPr="0006336F">
        <w:t xml:space="preserve">reform </w:t>
      </w:r>
      <w:r w:rsidR="00765DF5" w:rsidRPr="0006336F">
        <w:t xml:space="preserve">and refocusing </w:t>
      </w:r>
      <w:r w:rsidRPr="0006336F">
        <w:t xml:space="preserve">of the system. To date, the Government has focused on </w:t>
      </w:r>
      <w:r w:rsidR="00314272" w:rsidRPr="0006336F">
        <w:t xml:space="preserve">strengthening </w:t>
      </w:r>
      <w:r w:rsidRPr="0006336F">
        <w:t xml:space="preserve">integrity and strong management </w:t>
      </w:r>
      <w:r w:rsidR="00314272" w:rsidRPr="0006336F">
        <w:t xml:space="preserve">of </w:t>
      </w:r>
      <w:r w:rsidRPr="0006336F">
        <w:t xml:space="preserve">the migration system. This includes significantly reducing the visa backlog </w:t>
      </w:r>
      <w:r w:rsidRPr="0006336F">
        <w:lastRenderedPageBreak/>
        <w:t xml:space="preserve">and streamlining visa processing, ending pandemic concessions and increasing the Temporary Skilled Migration Income Threshold (TSMIT) from $53,900 to $70,000, as well as other complementary measures. </w:t>
      </w:r>
    </w:p>
    <w:p w14:paraId="3114A5FE" w14:textId="3730765F" w:rsidR="009860B9" w:rsidRPr="0006336F" w:rsidRDefault="00FD3514" w:rsidP="00F4496B">
      <w:r>
        <w:t>The Government</w:t>
      </w:r>
      <w:r w:rsidR="009976C1" w:rsidRPr="0006336F">
        <w:t xml:space="preserve"> will continue to build on these actions and shift to more structural reform through its new Migration Strategy, which will be based around five key objectives:</w:t>
      </w:r>
      <w:r w:rsidR="009860B9" w:rsidRPr="0006336F">
        <w:rPr>
          <w:b/>
          <w:bCs/>
        </w:rPr>
        <w:t xml:space="preserve"> </w:t>
      </w:r>
    </w:p>
    <w:p w14:paraId="546A38AC" w14:textId="422C1B00" w:rsidR="009860B9" w:rsidRPr="0006336F" w:rsidRDefault="009860B9" w:rsidP="009860B9">
      <w:pPr>
        <w:pStyle w:val="Bullet"/>
      </w:pPr>
      <w:r w:rsidRPr="0006336F">
        <w:rPr>
          <w:rStyle w:val="Emphasis"/>
        </w:rPr>
        <w:t>Raising living standards for Australians</w:t>
      </w:r>
      <w:r w:rsidRPr="0006336F">
        <w:t xml:space="preserve"> </w:t>
      </w:r>
      <w:r w:rsidRPr="0006336F">
        <w:rPr>
          <w:iCs/>
        </w:rPr>
        <w:t>by boosting productivity</w:t>
      </w:r>
      <w:r w:rsidRPr="0006336F">
        <w:t>, meeting skills shortages and supporting exports</w:t>
      </w:r>
    </w:p>
    <w:p w14:paraId="0A0D042A" w14:textId="7350F382" w:rsidR="009860B9" w:rsidRPr="0006336F" w:rsidRDefault="009860B9" w:rsidP="009860B9">
      <w:pPr>
        <w:pStyle w:val="Bullet"/>
      </w:pPr>
      <w:r w:rsidRPr="0006336F">
        <w:rPr>
          <w:rStyle w:val="Emphasis"/>
        </w:rPr>
        <w:t>Ensuring a fair go in the workplace</w:t>
      </w:r>
      <w:r w:rsidRPr="0006336F">
        <w:rPr>
          <w:b/>
          <w:bCs/>
        </w:rPr>
        <w:t xml:space="preserve"> </w:t>
      </w:r>
      <w:r w:rsidRPr="0006336F">
        <w:t xml:space="preserve">by complementing the jobs, wages and conditions of </w:t>
      </w:r>
      <w:r w:rsidR="00F33EFD" w:rsidRPr="0006336F">
        <w:t>all</w:t>
      </w:r>
      <w:r w:rsidRPr="0006336F">
        <w:t xml:space="preserve"> workers and preventing migrant worker exploitation</w:t>
      </w:r>
    </w:p>
    <w:p w14:paraId="30658564" w14:textId="054CF9B1" w:rsidR="009860B9" w:rsidRPr="0006336F" w:rsidRDefault="009860B9" w:rsidP="009860B9">
      <w:pPr>
        <w:pStyle w:val="Bullet"/>
      </w:pPr>
      <w:r w:rsidRPr="0006336F">
        <w:rPr>
          <w:rStyle w:val="Emphasis"/>
        </w:rPr>
        <w:t>Building stronger Australian communities</w:t>
      </w:r>
      <w:r w:rsidRPr="0006336F">
        <w:rPr>
          <w:b/>
        </w:rPr>
        <w:t xml:space="preserve"> </w:t>
      </w:r>
      <w:r w:rsidRPr="0006336F">
        <w:rPr>
          <w:rStyle w:val="Emphasis"/>
          <w:i w:val="0"/>
        </w:rPr>
        <w:t xml:space="preserve">by better planning </w:t>
      </w:r>
      <w:r w:rsidR="001D2221" w:rsidRPr="0006336F">
        <w:rPr>
          <w:rStyle w:val="Emphasis"/>
          <w:i w:val="0"/>
          <w:iCs w:val="0"/>
        </w:rPr>
        <w:t>the</w:t>
      </w:r>
      <w:r w:rsidRPr="0006336F">
        <w:rPr>
          <w:rStyle w:val="Emphasis"/>
          <w:i w:val="0"/>
        </w:rPr>
        <w:t xml:space="preserve"> migration</w:t>
      </w:r>
      <w:r w:rsidR="001D2221" w:rsidRPr="0006336F">
        <w:rPr>
          <w:rStyle w:val="Emphasis"/>
          <w:i w:val="0"/>
          <w:iCs w:val="0"/>
        </w:rPr>
        <w:t xml:space="preserve"> intake</w:t>
      </w:r>
      <w:r w:rsidRPr="0006336F">
        <w:rPr>
          <w:rStyle w:val="Emphasis"/>
          <w:i w:val="0"/>
        </w:rPr>
        <w:t xml:space="preserve"> and giving migrants the opportunity to invest in their lives in Australia through permanent residence and citizenship</w:t>
      </w:r>
    </w:p>
    <w:p w14:paraId="41BB27C4" w14:textId="7513B19F" w:rsidR="009860B9" w:rsidRPr="0006336F" w:rsidRDefault="009860B9" w:rsidP="009860B9">
      <w:pPr>
        <w:pStyle w:val="Bullet"/>
      </w:pPr>
      <w:r w:rsidRPr="0006336F">
        <w:rPr>
          <w:rStyle w:val="Emphasis"/>
        </w:rPr>
        <w:t>Strengthening international relationships</w:t>
      </w:r>
      <w:r w:rsidRPr="0006336F">
        <w:t xml:space="preserve"> by building stronger economic and social connections with our region and international partners </w:t>
      </w:r>
    </w:p>
    <w:p w14:paraId="43F16D42" w14:textId="6E5DA817" w:rsidR="009860B9" w:rsidRPr="0006336F" w:rsidRDefault="009860B9" w:rsidP="009860B9">
      <w:pPr>
        <w:pStyle w:val="Bullet"/>
      </w:pPr>
      <w:r w:rsidRPr="0006336F">
        <w:rPr>
          <w:rStyle w:val="Emphasis"/>
        </w:rPr>
        <w:t>Making the system work</w:t>
      </w:r>
      <w:r w:rsidRPr="0006336F">
        <w:t xml:space="preserve"> by being fast, efficient and fair for migrants and employers</w:t>
      </w:r>
      <w:r w:rsidR="00E412E3" w:rsidRPr="0006336F">
        <w:t>.</w:t>
      </w:r>
    </w:p>
    <w:p w14:paraId="0D44997A" w14:textId="103D4E92" w:rsidR="009976C1" w:rsidRPr="0006336F" w:rsidRDefault="009976C1" w:rsidP="00F4496B">
      <w:pPr>
        <w:pStyle w:val="Heading3"/>
      </w:pPr>
      <w:r w:rsidRPr="0006336F">
        <w:t>Better targeting skilled migration</w:t>
      </w:r>
    </w:p>
    <w:p w14:paraId="1BC08D80" w14:textId="24A7688A" w:rsidR="009976C1" w:rsidRPr="0006336F" w:rsidRDefault="009976C1" w:rsidP="009976C1">
      <w:r w:rsidRPr="0006336F">
        <w:t>Skilled migration can play a critical role in addressing skill and labour shortages</w:t>
      </w:r>
      <w:r w:rsidR="00700075" w:rsidRPr="0006336F">
        <w:t xml:space="preserve"> so long as it is not </w:t>
      </w:r>
      <w:r w:rsidR="00C660DB" w:rsidRPr="0006336F">
        <w:t>used</w:t>
      </w:r>
      <w:r w:rsidR="00700075" w:rsidRPr="0006336F">
        <w:t xml:space="preserve"> as a substitute for training Australians</w:t>
      </w:r>
      <w:r w:rsidRPr="0006336F">
        <w:t xml:space="preserve">. Migrants with specialist skills, such as wind turbine engineers, bring with them critical expertise and global knowledge </w:t>
      </w:r>
      <w:r w:rsidR="00366185">
        <w:t>that</w:t>
      </w:r>
      <w:r w:rsidR="00366185" w:rsidRPr="0006336F">
        <w:t xml:space="preserve"> </w:t>
      </w:r>
      <w:r w:rsidRPr="0006336F">
        <w:t xml:space="preserve">will help us to meet future challenges. </w:t>
      </w:r>
      <w:r w:rsidR="005B372C" w:rsidRPr="0006336F">
        <w:t xml:space="preserve">Specific areas of </w:t>
      </w:r>
      <w:r w:rsidR="00E67EA0" w:rsidRPr="0006336F">
        <w:t>our economy</w:t>
      </w:r>
      <w:r w:rsidR="005B372C" w:rsidRPr="0006336F">
        <w:t xml:space="preserve"> </w:t>
      </w:r>
      <w:r w:rsidR="00DC00D5" w:rsidRPr="0006336F">
        <w:t xml:space="preserve">facing acute </w:t>
      </w:r>
      <w:r w:rsidR="000177E3" w:rsidRPr="0006336F">
        <w:t xml:space="preserve">shortages, </w:t>
      </w:r>
      <w:r w:rsidR="00936EEB" w:rsidRPr="0006336F">
        <w:t>such as the care economy</w:t>
      </w:r>
      <w:r w:rsidR="00331AEB" w:rsidRPr="0006336F">
        <w:t xml:space="preserve"> and agricultur</w:t>
      </w:r>
      <w:r w:rsidR="00116D4E" w:rsidRPr="0006336F">
        <w:t>al sector</w:t>
      </w:r>
      <w:r w:rsidR="00331AEB" w:rsidRPr="0006336F">
        <w:t xml:space="preserve">, </w:t>
      </w:r>
      <w:r w:rsidR="00077F25" w:rsidRPr="0006336F">
        <w:t xml:space="preserve">also benefit from migrants working in these areas. </w:t>
      </w:r>
      <w:r w:rsidRPr="0006336F">
        <w:t>More generally, high</w:t>
      </w:r>
      <w:r w:rsidR="00B16861">
        <w:noBreakHyphen/>
      </w:r>
      <w:r w:rsidRPr="0006336F">
        <w:t>skilled migrants can complement Australia</w:t>
      </w:r>
      <w:r w:rsidR="00B16861">
        <w:t>’</w:t>
      </w:r>
      <w:r w:rsidRPr="0006336F">
        <w:t xml:space="preserve">s education and training system to meet our skills needs. When designed </w:t>
      </w:r>
      <w:r w:rsidR="00B154C0" w:rsidRPr="0006336F">
        <w:t>well</w:t>
      </w:r>
      <w:r w:rsidR="00BD36FB" w:rsidRPr="0006336F">
        <w:t>,</w:t>
      </w:r>
      <w:r w:rsidR="00B154C0" w:rsidRPr="0006336F">
        <w:t xml:space="preserve"> </w:t>
      </w:r>
      <w:r w:rsidR="00D030AE" w:rsidRPr="0006336F">
        <w:t>skilled migration</w:t>
      </w:r>
      <w:r w:rsidRPr="0006336F">
        <w:t xml:space="preserve"> will lead to productivity gains for firms</w:t>
      </w:r>
      <w:r w:rsidR="001F26E7">
        <w:t>,</w:t>
      </w:r>
      <w:r w:rsidRPr="0006336F">
        <w:t xml:space="preserve"> increased knowledge transfer to Australian workers</w:t>
      </w:r>
      <w:r w:rsidR="009B0C0C" w:rsidRPr="0006336F">
        <w:t xml:space="preserve"> and address key </w:t>
      </w:r>
      <w:r w:rsidR="00A479E4">
        <w:t xml:space="preserve">workforce </w:t>
      </w:r>
      <w:r w:rsidR="009B0C0C" w:rsidRPr="0006336F">
        <w:t>shortages</w:t>
      </w:r>
      <w:r w:rsidRPr="0006336F">
        <w:t xml:space="preserve">. </w:t>
      </w:r>
    </w:p>
    <w:p w14:paraId="45013979" w14:textId="03819465" w:rsidR="009976C1" w:rsidRPr="0006336F" w:rsidRDefault="009976C1" w:rsidP="009976C1">
      <w:r w:rsidRPr="0006336F">
        <w:t>The new Migration Strategy will outline Australia</w:t>
      </w:r>
      <w:r w:rsidR="00B16861">
        <w:t>’</w:t>
      </w:r>
      <w:r w:rsidRPr="0006336F">
        <w:t xml:space="preserve">s new temporary skilled migration system, to ensure Australia has the skills needed to drive future economic prosperity and security. The new approach will define three clear pathways for temporary skilled workers: </w:t>
      </w:r>
    </w:p>
    <w:p w14:paraId="5B06A5DB" w14:textId="7DCC6945" w:rsidR="009976C1" w:rsidRPr="0006336F" w:rsidRDefault="00F46995" w:rsidP="00DC47D3">
      <w:pPr>
        <w:pStyle w:val="Bullet"/>
      </w:pPr>
      <w:r w:rsidRPr="0006336F">
        <w:t>a</w:t>
      </w:r>
      <w:r w:rsidR="009976C1" w:rsidRPr="0006336F">
        <w:t xml:space="preserve"> fast, simple pathway for specialised, highly skilled workers to drive innovation in our economy and build the jobs of the future </w:t>
      </w:r>
    </w:p>
    <w:p w14:paraId="2915A6AA" w14:textId="7128A1AC" w:rsidR="009976C1" w:rsidRPr="0006336F" w:rsidRDefault="00F46995" w:rsidP="00DC47D3">
      <w:pPr>
        <w:pStyle w:val="Bullet"/>
      </w:pPr>
      <w:r w:rsidRPr="0006336F">
        <w:t>a</w:t>
      </w:r>
      <w:r w:rsidR="009976C1" w:rsidRPr="0006336F">
        <w:t xml:space="preserve"> mainstream temporary skilled pathway to bring in core skills, using an improved approach to determining skills needs, informed by advice from Jobs </w:t>
      </w:r>
      <w:r w:rsidR="00B868EA" w:rsidRPr="0006336F">
        <w:t xml:space="preserve">and Skills Australia </w:t>
      </w:r>
      <w:r w:rsidR="00C01C7F" w:rsidRPr="0006336F">
        <w:t>(JSA)</w:t>
      </w:r>
    </w:p>
    <w:p w14:paraId="3EA79502" w14:textId="3ECF27BD" w:rsidR="009976C1" w:rsidRPr="0006336F" w:rsidRDefault="00F46995" w:rsidP="00DC47D3">
      <w:pPr>
        <w:pStyle w:val="Bullet"/>
      </w:pPr>
      <w:r w:rsidRPr="0006336F">
        <w:t>f</w:t>
      </w:r>
      <w:r w:rsidR="009976C1" w:rsidRPr="0006336F">
        <w:t>urther consideration of a regulated pathway for worker</w:t>
      </w:r>
      <w:r w:rsidR="00732871" w:rsidRPr="0006336F">
        <w:t>s with</w:t>
      </w:r>
      <w:r w:rsidR="009976C1" w:rsidRPr="0006336F">
        <w:t xml:space="preserve"> essential </w:t>
      </w:r>
      <w:r w:rsidR="00280C6C" w:rsidRPr="0006336F">
        <w:t>skills</w:t>
      </w:r>
      <w:r w:rsidR="009976C1" w:rsidRPr="0006336F">
        <w:t>, such as in sectors in the care and support economy</w:t>
      </w:r>
      <w:r w:rsidR="00EF0BCD" w:rsidRPr="0006336F">
        <w:t>.</w:t>
      </w:r>
      <w:r w:rsidR="009976C1" w:rsidRPr="0006336F">
        <w:t xml:space="preserve"> </w:t>
      </w:r>
    </w:p>
    <w:p w14:paraId="05E6F3FF" w14:textId="45624EA0" w:rsidR="0049189E" w:rsidRPr="0006336F" w:rsidRDefault="009976C1" w:rsidP="009976C1">
      <w:r w:rsidRPr="0006336F">
        <w:t>This flexible, responsive and innovative model is at the heart of our future strategy for better targeting skilled migrants.</w:t>
      </w:r>
      <w:r w:rsidR="00CF12A9" w:rsidRPr="0006336F">
        <w:t xml:space="preserve"> </w:t>
      </w:r>
      <w:r w:rsidRPr="0006336F">
        <w:t xml:space="preserve">It will be supported by reforms to </w:t>
      </w:r>
      <w:r w:rsidR="00FD73DA" w:rsidRPr="0006336F">
        <w:t xml:space="preserve">those </w:t>
      </w:r>
      <w:r w:rsidRPr="0006336F">
        <w:t xml:space="preserve">visa settings </w:t>
      </w:r>
      <w:r w:rsidR="00A479E4">
        <w:t>that</w:t>
      </w:r>
      <w:r w:rsidR="00A479E4" w:rsidRPr="0006336F">
        <w:t xml:space="preserve"> </w:t>
      </w:r>
      <w:r w:rsidR="00C77C8A" w:rsidRPr="0006336F">
        <w:t xml:space="preserve">currently </w:t>
      </w:r>
      <w:r w:rsidRPr="0006336F">
        <w:t xml:space="preserve">contribute to </w:t>
      </w:r>
      <w:r w:rsidR="00A479E4">
        <w:t xml:space="preserve">a </w:t>
      </w:r>
      <w:r w:rsidR="0023221D" w:rsidRPr="0006336F">
        <w:t xml:space="preserve">minority of employers </w:t>
      </w:r>
      <w:r w:rsidRPr="0006336F">
        <w:t>exploiti</w:t>
      </w:r>
      <w:r w:rsidR="00B451EB" w:rsidRPr="0006336F">
        <w:t>ng migrant workers</w:t>
      </w:r>
      <w:r w:rsidRPr="0006336F">
        <w:t xml:space="preserve">, including by increasing mobility for migrant workers and restoring permanency </w:t>
      </w:r>
      <w:r w:rsidR="00010F02" w:rsidRPr="0006336F">
        <w:t>to</w:t>
      </w:r>
      <w:r w:rsidRPr="0006336F">
        <w:t xml:space="preserve"> the heart of the skilled migration system. </w:t>
      </w:r>
    </w:p>
    <w:p w14:paraId="79B1E55E" w14:textId="1F741177" w:rsidR="009976C1" w:rsidRPr="0006336F" w:rsidRDefault="009976C1" w:rsidP="009976C1">
      <w:r w:rsidRPr="0006336F">
        <w:t xml:space="preserve">The </w:t>
      </w:r>
      <w:r w:rsidR="00B378B8" w:rsidRPr="0006336F">
        <w:t>Migration</w:t>
      </w:r>
      <w:r w:rsidRPr="0006336F">
        <w:t xml:space="preserve"> Strategy will also outline </w:t>
      </w:r>
      <w:r w:rsidR="00A01617" w:rsidRPr="0006336F">
        <w:t xml:space="preserve">areas </w:t>
      </w:r>
      <w:r w:rsidRPr="0006336F">
        <w:t xml:space="preserve">for </w:t>
      </w:r>
      <w:r w:rsidR="00A01617" w:rsidRPr="0006336F">
        <w:t xml:space="preserve">further </w:t>
      </w:r>
      <w:r w:rsidR="00A17C94" w:rsidRPr="0006336F">
        <w:t xml:space="preserve">work </w:t>
      </w:r>
      <w:r w:rsidR="00A01617" w:rsidRPr="0006336F">
        <w:t xml:space="preserve">on </w:t>
      </w:r>
      <w:r w:rsidRPr="0006336F">
        <w:t xml:space="preserve">how we select permanent residents, including </w:t>
      </w:r>
      <w:r w:rsidR="003C3AE2" w:rsidRPr="0006336F">
        <w:t xml:space="preserve">exploring </w:t>
      </w:r>
      <w:r w:rsidRPr="0006336F">
        <w:t xml:space="preserve">reforms to the points test </w:t>
      </w:r>
      <w:r w:rsidR="00C57489" w:rsidRPr="0006336F">
        <w:t xml:space="preserve">to better select for migrants who </w:t>
      </w:r>
      <w:r w:rsidR="004244BC" w:rsidRPr="0006336F">
        <w:t>will best</w:t>
      </w:r>
      <w:r w:rsidRPr="0006336F">
        <w:t xml:space="preserve"> drive Australia</w:t>
      </w:r>
      <w:r w:rsidR="00B16861">
        <w:t>’</w:t>
      </w:r>
      <w:r w:rsidRPr="0006336F">
        <w:t>s long</w:t>
      </w:r>
      <w:r w:rsidR="00B16861">
        <w:noBreakHyphen/>
      </w:r>
      <w:r w:rsidRPr="0006336F">
        <w:t xml:space="preserve">term prosperity. </w:t>
      </w:r>
      <w:r w:rsidR="00FD3514">
        <w:t>The Government</w:t>
      </w:r>
      <w:r w:rsidRPr="0006336F">
        <w:t xml:space="preserve"> is progressing this as a priority, and will take the time to get settings right, including through building in a greater role for </w:t>
      </w:r>
      <w:r w:rsidR="009A7BEB" w:rsidRPr="0006336F">
        <w:t>JSA</w:t>
      </w:r>
      <w:r w:rsidRPr="0006336F">
        <w:t xml:space="preserve">. </w:t>
      </w:r>
    </w:p>
    <w:p w14:paraId="38B94986" w14:textId="299225F7" w:rsidR="009976C1" w:rsidRPr="0006336F" w:rsidRDefault="009976C1" w:rsidP="00F4496B">
      <w:pPr>
        <w:pStyle w:val="Heading3"/>
      </w:pPr>
      <w:r w:rsidRPr="0006336F">
        <w:lastRenderedPageBreak/>
        <w:t>Realis</w:t>
      </w:r>
      <w:r w:rsidR="00D42630" w:rsidRPr="0006336F">
        <w:t>ing</w:t>
      </w:r>
      <w:r w:rsidRPr="0006336F">
        <w:t xml:space="preserve"> </w:t>
      </w:r>
      <w:r w:rsidR="007A44CE" w:rsidRPr="0006336F">
        <w:t>migrants</w:t>
      </w:r>
      <w:r w:rsidR="00B16861">
        <w:t>’</w:t>
      </w:r>
      <w:r w:rsidR="007A44CE" w:rsidRPr="0006336F">
        <w:t xml:space="preserve"> </w:t>
      </w:r>
      <w:r w:rsidRPr="0006336F">
        <w:t xml:space="preserve">employment potential </w:t>
      </w:r>
    </w:p>
    <w:p w14:paraId="21CBAC53" w14:textId="43FFC73F" w:rsidR="006639FE" w:rsidRPr="0006336F" w:rsidRDefault="009976C1" w:rsidP="006639FE">
      <w:r w:rsidRPr="0006336F">
        <w:t xml:space="preserve">Even for migrants employed in Australia, we do not </w:t>
      </w:r>
      <w:r w:rsidR="00F874DA" w:rsidRPr="0006336F">
        <w:t xml:space="preserve">always </w:t>
      </w:r>
      <w:r w:rsidRPr="0006336F">
        <w:t xml:space="preserve">realise their full potential. Too often migrants work below their skill level or the system takes too long to </w:t>
      </w:r>
      <w:r w:rsidR="00C640C5" w:rsidRPr="0006336F">
        <w:t xml:space="preserve">allow </w:t>
      </w:r>
      <w:r w:rsidR="00F82793" w:rsidRPr="0006336F">
        <w:t xml:space="preserve">them to </w:t>
      </w:r>
      <w:r w:rsidRPr="0006336F">
        <w:t>work in areas of need. A lack of permanent residency and work experience is reported by students as among the main reasons they do not work in a job that fully utilises their skills and education</w:t>
      </w:r>
      <w:r w:rsidR="00276B88" w:rsidRPr="0006336F">
        <w:t xml:space="preserve">. </w:t>
      </w:r>
      <w:r w:rsidRPr="0006336F">
        <w:t>Migrants are also too often subject to exploitation and unfair work conditions</w:t>
      </w:r>
      <w:r w:rsidR="00FD3514">
        <w:t xml:space="preserve"> – </w:t>
      </w:r>
      <w:r w:rsidRPr="0006336F">
        <w:t xml:space="preserve">with some estimates that up to </w:t>
      </w:r>
      <w:r w:rsidR="004B4AD3" w:rsidRPr="0006336F">
        <w:t>16</w:t>
      </w:r>
      <w:r w:rsidR="00B16861">
        <w:t> per c</w:t>
      </w:r>
      <w:r w:rsidRPr="0006336F">
        <w:t>ent of recent</w:t>
      </w:r>
      <w:r w:rsidR="00F66ED6">
        <w:t>ly arrived</w:t>
      </w:r>
      <w:r w:rsidRPr="0006336F">
        <w:t xml:space="preserve"> migrants are </w:t>
      </w:r>
      <w:r w:rsidR="0032471D" w:rsidRPr="0006336F">
        <w:t>paid less than the minimum wage</w:t>
      </w:r>
      <w:r w:rsidR="00276B88" w:rsidRPr="0006336F">
        <w:t>.</w:t>
      </w:r>
      <w:r w:rsidR="002D0020">
        <w:rPr>
          <w:rStyle w:val="EndnoteReference"/>
        </w:rPr>
        <w:endnoteReference w:id="5"/>
      </w:r>
      <w:r w:rsidR="00276B88" w:rsidRPr="0006336F">
        <w:t xml:space="preserve"> </w:t>
      </w:r>
      <w:r w:rsidRPr="0006336F">
        <w:t>Realising the employment potential of migrants by addressing these issues will allow us to achieve better skills matching, higher productivity, lower rates of exploitation, and a higher performing labour market better able to adapt to major shifts in the economy.</w:t>
      </w:r>
    </w:p>
    <w:p w14:paraId="251B035E" w14:textId="3015A358" w:rsidR="009976C1" w:rsidRPr="0006336F" w:rsidRDefault="00FD3514" w:rsidP="009976C1">
      <w:r>
        <w:t>The Government</w:t>
      </w:r>
      <w:r w:rsidR="009976C1" w:rsidRPr="0006336F">
        <w:t xml:space="preserve"> has already acted by commissioning the </w:t>
      </w:r>
      <w:r w:rsidR="00A15C6E" w:rsidRPr="0006336F">
        <w:t xml:space="preserve">Rapid </w:t>
      </w:r>
      <w:r w:rsidR="009976C1" w:rsidRPr="0006336F">
        <w:t>Review into the Exploitation of Australia</w:t>
      </w:r>
      <w:r w:rsidR="00B16861">
        <w:t>’</w:t>
      </w:r>
      <w:r w:rsidR="009976C1" w:rsidRPr="0006336F">
        <w:t xml:space="preserve">s Visa System and taking action to address the exploitation of migrants. </w:t>
      </w:r>
      <w:r w:rsidR="004F4F39">
        <w:t>We</w:t>
      </w:r>
      <w:r w:rsidR="009976C1" w:rsidRPr="0006336F">
        <w:t xml:space="preserve"> </w:t>
      </w:r>
      <w:r w:rsidR="00176F35" w:rsidRPr="0006336F">
        <w:t xml:space="preserve">will expand </w:t>
      </w:r>
      <w:r w:rsidR="009976C1" w:rsidRPr="0006336F">
        <w:t>the time temporary migrants have to find a job</w:t>
      </w:r>
      <w:r w:rsidR="001365C1" w:rsidRPr="0006336F">
        <w:t xml:space="preserve"> and </w:t>
      </w:r>
      <w:r w:rsidR="00B22F08" w:rsidRPr="0006336F">
        <w:t>ha</w:t>
      </w:r>
      <w:r w:rsidR="00847D43">
        <w:t>ve</w:t>
      </w:r>
      <w:r w:rsidR="00B22F08" w:rsidRPr="0006336F">
        <w:t xml:space="preserve"> </w:t>
      </w:r>
      <w:r w:rsidR="00793295" w:rsidRPr="0006336F">
        <w:t>already</w:t>
      </w:r>
      <w:r w:rsidR="00B7089A" w:rsidRPr="0006336F">
        <w:t xml:space="preserve"> </w:t>
      </w:r>
      <w:r w:rsidR="009976C1" w:rsidRPr="0006336F">
        <w:t xml:space="preserve">provided additional funding for compliance measures. </w:t>
      </w:r>
      <w:r>
        <w:t>The Government</w:t>
      </w:r>
      <w:r w:rsidR="009976C1" w:rsidRPr="0006336F">
        <w:t xml:space="preserve"> is committed to supporting migrants who are exploited to speak out. </w:t>
      </w:r>
      <w:r w:rsidR="009976C1" w:rsidRPr="00B42BC0">
        <w:t>To this</w:t>
      </w:r>
      <w:r w:rsidR="00CE451C" w:rsidRPr="00B42BC0">
        <w:t xml:space="preserve"> end</w:t>
      </w:r>
      <w:r w:rsidR="009976C1" w:rsidRPr="00B42BC0">
        <w:t xml:space="preserve">, </w:t>
      </w:r>
      <w:r w:rsidR="00CE451C" w:rsidRPr="00B42BC0">
        <w:t>we</w:t>
      </w:r>
      <w:r w:rsidR="009976C1" w:rsidRPr="00B42BC0">
        <w:t xml:space="preserve"> will</w:t>
      </w:r>
      <w:r w:rsidR="009976C1" w:rsidRPr="0006336F">
        <w:t xml:space="preserve"> consult with business, unions and civil society </w:t>
      </w:r>
      <w:r w:rsidR="009B48B6" w:rsidRPr="0006336F">
        <w:t xml:space="preserve">to develop pilot </w:t>
      </w:r>
      <w:r w:rsidR="004550B9" w:rsidRPr="0006336F">
        <w:t>initiatives</w:t>
      </w:r>
      <w:r w:rsidR="009B48B6" w:rsidRPr="0006336F">
        <w:t xml:space="preserve"> to enhance safeguards and</w:t>
      </w:r>
      <w:r w:rsidR="009976C1" w:rsidRPr="0006336F">
        <w:t xml:space="preserve"> protections for </w:t>
      </w:r>
      <w:r w:rsidR="00C47BAA" w:rsidRPr="0006336F">
        <w:t>migrant workers</w:t>
      </w:r>
      <w:r w:rsidR="003709B2" w:rsidRPr="0006336F">
        <w:t>,</w:t>
      </w:r>
      <w:r w:rsidR="00C47BAA" w:rsidRPr="0006336F">
        <w:t xml:space="preserve"> including de</w:t>
      </w:r>
      <w:r w:rsidR="00BC40C5" w:rsidRPr="0006336F">
        <w:t>sign</w:t>
      </w:r>
      <w:r w:rsidR="00C47BAA" w:rsidRPr="0006336F">
        <w:t xml:space="preserve"> of </w:t>
      </w:r>
      <w:r w:rsidR="001F2F9C" w:rsidRPr="0006336F">
        <w:t>the</w:t>
      </w:r>
      <w:r w:rsidR="009976C1" w:rsidRPr="0006336F">
        <w:t xml:space="preserve"> firewall between the Fair Work Ombudsman and the Department of Home Affairs.</w:t>
      </w:r>
    </w:p>
    <w:p w14:paraId="185D063E" w14:textId="3135F39D" w:rsidR="009976C1" w:rsidRPr="0006336F" w:rsidRDefault="009976C1" w:rsidP="009976C1">
      <w:r w:rsidRPr="0006336F">
        <w:t xml:space="preserve">The Migration Strategy will progress this further and identify additional protections and further areas of work that will help design out migrant worker exploitation from visa settings in the migration system, including new measures to protect the integrity of </w:t>
      </w:r>
      <w:r w:rsidR="00161F39" w:rsidRPr="0006336F">
        <w:t xml:space="preserve">our </w:t>
      </w:r>
      <w:r w:rsidRPr="0006336F">
        <w:t xml:space="preserve">international education </w:t>
      </w:r>
      <w:r w:rsidR="00B954A5" w:rsidRPr="0006336F">
        <w:t>system</w:t>
      </w:r>
      <w:r w:rsidRPr="0006336F">
        <w:t>.</w:t>
      </w:r>
    </w:p>
    <w:p w14:paraId="43C52AE0" w14:textId="1102672E" w:rsidR="009976C1" w:rsidRPr="0006336F" w:rsidRDefault="009976C1" w:rsidP="009976C1">
      <w:r w:rsidRPr="0006336F">
        <w:t xml:space="preserve">Realising the potential of migrants also requires concerted efforts to help migrants work at their skill level, including reforms to skills assessments that will help recognise the existing skills of migrant workers. The Migration Strategy will outline how the Government intends to improve the skills assessment process through enhanced assurance, standards and reporting. This will complement the Discussion Paper released </w:t>
      </w:r>
      <w:r w:rsidR="002C6BA0" w:rsidRPr="0006336F">
        <w:t>in</w:t>
      </w:r>
      <w:r w:rsidRPr="0006336F">
        <w:t xml:space="preserve"> September 2023 by the Minister for Skills and Training, which seeks feedback from stakeholders on the new standards for skilled migration assessing authorities. This will be particularly important for migrant health workers, who are vital contributors to the workforce.</w:t>
      </w:r>
    </w:p>
    <w:p w14:paraId="7E0AAF9C" w14:textId="49282635" w:rsidR="009976C1" w:rsidRPr="0006336F" w:rsidRDefault="009976C1" w:rsidP="009976C1">
      <w:r w:rsidRPr="0006336F">
        <w:t>We also intend to work with states and territories to ensure migrants are able to work where they are most needed. It is particularly important to ensure that health professionals</w:t>
      </w:r>
      <w:r w:rsidR="00FD3514">
        <w:t xml:space="preserve"> – </w:t>
      </w:r>
      <w:r w:rsidRPr="0006336F">
        <w:t>who are essential for our large and growing care workforce</w:t>
      </w:r>
      <w:r w:rsidR="00FD3514">
        <w:t xml:space="preserve"> – </w:t>
      </w:r>
      <w:r w:rsidRPr="0006336F">
        <w:t xml:space="preserve">are </w:t>
      </w:r>
      <w:r w:rsidR="00C276C8" w:rsidRPr="0006336F">
        <w:t xml:space="preserve">able to migrate </w:t>
      </w:r>
      <w:r w:rsidRPr="0006336F">
        <w:t xml:space="preserve">to Australia. </w:t>
      </w:r>
      <w:r w:rsidR="00B62698" w:rsidRPr="00AF5EA6">
        <w:t>Additionally</w:t>
      </w:r>
      <w:r w:rsidR="00AF5EA6" w:rsidRPr="001965A3">
        <w:t>,</w:t>
      </w:r>
      <w:r w:rsidR="00B62698" w:rsidRPr="00AF5EA6">
        <w:t xml:space="preserve"> </w:t>
      </w:r>
      <w:r w:rsidR="00E022A2" w:rsidRPr="0006336F">
        <w:t>JSA</w:t>
      </w:r>
      <w:r w:rsidRPr="0006336F">
        <w:t xml:space="preserve"> will help states and territories select the migrants they need most and identify where migrants can better achieve their employment potential in the labour market. In the future we will continue to take a collaborative, systems</w:t>
      </w:r>
      <w:r w:rsidR="00B16861">
        <w:noBreakHyphen/>
      </w:r>
      <w:r w:rsidRPr="0006336F">
        <w:t>focused approach to making sure we help all migrants who come to Australia realise their employment potential.</w:t>
      </w:r>
    </w:p>
    <w:p w14:paraId="7AFFE483" w14:textId="285AF7AB" w:rsidR="009976C1" w:rsidRPr="0006336F" w:rsidRDefault="009976C1" w:rsidP="00F4496B">
      <w:pPr>
        <w:pStyle w:val="Heading3"/>
      </w:pPr>
      <w:r w:rsidRPr="0006336F">
        <w:t xml:space="preserve">Improving </w:t>
      </w:r>
      <w:r w:rsidR="007A44CE" w:rsidRPr="0006336F">
        <w:t>employment outcomes for</w:t>
      </w:r>
      <w:r w:rsidRPr="0006336F">
        <w:t xml:space="preserve"> international students</w:t>
      </w:r>
    </w:p>
    <w:p w14:paraId="45EE64B5" w14:textId="78146B36" w:rsidR="009976C1" w:rsidRPr="0006336F" w:rsidRDefault="009976C1" w:rsidP="009976C1">
      <w:r w:rsidRPr="0006336F">
        <w:t xml:space="preserve">Australia plays a critical role in training the next generation of global talent. However, the current system does </w:t>
      </w:r>
      <w:r w:rsidR="00F251CD" w:rsidRPr="0006336F">
        <w:t>not best equip international students and graduates to meet Australia</w:t>
      </w:r>
      <w:r w:rsidR="00B16861">
        <w:t>’</w:t>
      </w:r>
      <w:r w:rsidR="00F251CD" w:rsidRPr="0006336F">
        <w:t>s skills needs. More than 50</w:t>
      </w:r>
      <w:r w:rsidR="00B16861">
        <w:t> per c</w:t>
      </w:r>
      <w:r w:rsidR="00E22A5C" w:rsidRPr="0006336F">
        <w:t>ent</w:t>
      </w:r>
      <w:r w:rsidR="00F251CD" w:rsidRPr="0006336F">
        <w:t xml:space="preserve"> of international student graduates end up in jobs at </w:t>
      </w:r>
      <w:r w:rsidR="00A36838" w:rsidRPr="0006336F">
        <w:t xml:space="preserve">the </w:t>
      </w:r>
      <w:r w:rsidR="00F251CD" w:rsidRPr="0006336F">
        <w:t xml:space="preserve">lowest </w:t>
      </w:r>
      <w:r w:rsidR="00EF65AB" w:rsidRPr="0006336F">
        <w:t>two</w:t>
      </w:r>
      <w:r w:rsidR="00F251CD" w:rsidRPr="0006336F">
        <w:t xml:space="preserve"> skill levels despite being qualified for the top level, compared to 20</w:t>
      </w:r>
      <w:r w:rsidR="00FD3514">
        <w:t>–</w:t>
      </w:r>
      <w:r w:rsidR="00F251CD" w:rsidRPr="0006336F">
        <w:t>30</w:t>
      </w:r>
      <w:r w:rsidR="00B16861">
        <w:t> per c</w:t>
      </w:r>
      <w:r w:rsidR="009277B1" w:rsidRPr="0006336F">
        <w:t>ent</w:t>
      </w:r>
      <w:r w:rsidR="00F251CD" w:rsidRPr="0006336F">
        <w:t xml:space="preserve"> for domestic students.</w:t>
      </w:r>
      <w:r w:rsidRPr="0006336F">
        <w:t xml:space="preserve"> Ineffective graduate visa pathways, a lack of work experience and lower English language proficiency than </w:t>
      </w:r>
      <w:r w:rsidR="00BA0922" w:rsidRPr="0006336F">
        <w:t xml:space="preserve">required for </w:t>
      </w:r>
      <w:r w:rsidRPr="0006336F">
        <w:t xml:space="preserve">other skilled visas </w:t>
      </w:r>
      <w:r w:rsidR="00A70EF4" w:rsidRPr="0006336F">
        <w:t xml:space="preserve">and </w:t>
      </w:r>
      <w:r w:rsidR="0091349E" w:rsidRPr="0006336F">
        <w:t xml:space="preserve">in </w:t>
      </w:r>
      <w:r w:rsidR="00A70EF4" w:rsidRPr="0006336F">
        <w:t xml:space="preserve">some other comparable countries </w:t>
      </w:r>
      <w:r w:rsidRPr="0006336F">
        <w:t xml:space="preserve">all contribute to this. There is an opportunity to reform migration settings to better support international students to reach their </w:t>
      </w:r>
      <w:r w:rsidRPr="0006336F">
        <w:lastRenderedPageBreak/>
        <w:t>potential in the labour market. This includes making sure they have the right training and support to find employment and can follow efficient pathways into in</w:t>
      </w:r>
      <w:r w:rsidR="00B16861">
        <w:noBreakHyphen/>
      </w:r>
      <w:r w:rsidRPr="0006336F">
        <w:t xml:space="preserve">demand areas. </w:t>
      </w:r>
    </w:p>
    <w:p w14:paraId="659A5BFA" w14:textId="4C11E7C5" w:rsidR="009976C1" w:rsidRPr="0006336F" w:rsidRDefault="00FD3514" w:rsidP="009976C1">
      <w:r>
        <w:t>The Government</w:t>
      </w:r>
      <w:r w:rsidR="009976C1" w:rsidRPr="0006336F">
        <w:t xml:space="preserve"> has already taken action to retain international students with in</w:t>
      </w:r>
      <w:r w:rsidR="00B16861">
        <w:noBreakHyphen/>
      </w:r>
      <w:r w:rsidR="009976C1" w:rsidRPr="0006336F">
        <w:t xml:space="preserve">demand skills. </w:t>
      </w:r>
      <w:r w:rsidR="00464AEA" w:rsidRPr="0006336F">
        <w:t>We</w:t>
      </w:r>
      <w:r w:rsidR="000F0ED2">
        <w:t> </w:t>
      </w:r>
      <w:r w:rsidR="00464AEA" w:rsidRPr="0006336F">
        <w:t>have</w:t>
      </w:r>
      <w:r w:rsidR="009976C1" w:rsidRPr="0006336F">
        <w:t xml:space="preserve"> extended post</w:t>
      </w:r>
      <w:r w:rsidR="00B16861">
        <w:noBreakHyphen/>
      </w:r>
      <w:r w:rsidR="009976C1" w:rsidRPr="0006336F">
        <w:t xml:space="preserve">study work rights for international students working in priority areas, such as in </w:t>
      </w:r>
      <w:r w:rsidR="00FB0C65" w:rsidRPr="0006336F">
        <w:t>health, teaching and agricultural fields</w:t>
      </w:r>
      <w:r w:rsidR="009976C1" w:rsidRPr="0006336F">
        <w:t xml:space="preserve">. </w:t>
      </w:r>
    </w:p>
    <w:p w14:paraId="6DC7790F" w14:textId="7E97F9AC" w:rsidR="009976C1" w:rsidRPr="0006336F" w:rsidRDefault="009976C1" w:rsidP="009976C1">
      <w:r w:rsidRPr="0006336F">
        <w:t xml:space="preserve">The Migration Strategy will outline measures that will support international students in their transition to skilled work. Employers have little confidence that international students will have access to a graduate visa with work rights at the end of their study, </w:t>
      </w:r>
      <w:r w:rsidR="003E7B09" w:rsidRPr="0006336F">
        <w:t xml:space="preserve">because </w:t>
      </w:r>
      <w:r w:rsidRPr="0006336F">
        <w:t>student visa holders can only apply for a graduate visa after they have graduated, and processing times are long. The</w:t>
      </w:r>
      <w:r w:rsidR="00CD61C6" w:rsidRPr="0006336F">
        <w:t xml:space="preserve"> Migration</w:t>
      </w:r>
      <w:r w:rsidRPr="0006336F">
        <w:t xml:space="preserve"> Strategy will look to develop a more streamlined visa application process to speed up the transition from study to skilled work. </w:t>
      </w:r>
      <w:r w:rsidR="00FD3514">
        <w:t>The Government</w:t>
      </w:r>
      <w:r w:rsidRPr="0006336F">
        <w:t xml:space="preserve"> will also look to commence work with </w:t>
      </w:r>
      <w:r w:rsidR="00ED7514" w:rsidRPr="0006336F">
        <w:t>JSA</w:t>
      </w:r>
      <w:r w:rsidRPr="0006336F">
        <w:t xml:space="preserve"> to better understand the barriers international students face in the labour market</w:t>
      </w:r>
      <w:r w:rsidR="00C24E87" w:rsidRPr="0006336F">
        <w:t xml:space="preserve"> </w:t>
      </w:r>
      <w:r w:rsidRPr="0006336F">
        <w:t xml:space="preserve">and will consider how to support international students </w:t>
      </w:r>
      <w:r w:rsidR="005A7849" w:rsidRPr="0006336F">
        <w:t>to access</w:t>
      </w:r>
      <w:r w:rsidRPr="0006336F">
        <w:t xml:space="preserve"> work</w:t>
      </w:r>
      <w:r w:rsidR="00B16861">
        <w:noBreakHyphen/>
      </w:r>
      <w:r w:rsidRPr="0006336F">
        <w:t>integrated learning opportunities. Improvement in these areas should help resolve skills mismatches that are particularly apparent for some students who have occupation specific skills</w:t>
      </w:r>
      <w:r w:rsidR="00D450F9" w:rsidRPr="0006336F">
        <w:t>,</w:t>
      </w:r>
      <w:r w:rsidRPr="0006336F">
        <w:t xml:space="preserve"> </w:t>
      </w:r>
      <w:r w:rsidR="00DE003B" w:rsidRPr="0006336F">
        <w:t xml:space="preserve">such as </w:t>
      </w:r>
      <w:r w:rsidRPr="0006336F">
        <w:t>engineers</w:t>
      </w:r>
      <w:r w:rsidR="00761932" w:rsidRPr="0006336F">
        <w:t>.</w:t>
      </w:r>
    </w:p>
    <w:p w14:paraId="187C1C3A" w14:textId="4261FFA9" w:rsidR="009976C1" w:rsidRPr="0006336F" w:rsidRDefault="009976C1" w:rsidP="009976C1">
      <w:r w:rsidRPr="0006336F">
        <w:t xml:space="preserve">We can also do more to make sure graduate visa settings do not just leave students </w:t>
      </w:r>
      <w:r w:rsidR="00B16861">
        <w:t>‘</w:t>
      </w:r>
      <w:r w:rsidRPr="0006336F">
        <w:t>permanently temporary</w:t>
      </w:r>
      <w:r w:rsidR="00B16861">
        <w:t>’</w:t>
      </w:r>
      <w:r w:rsidRPr="0006336F">
        <w:t xml:space="preserve">. </w:t>
      </w:r>
      <w:r w:rsidR="00FD3514">
        <w:t>The Government</w:t>
      </w:r>
      <w:r w:rsidRPr="0006336F">
        <w:t xml:space="preserve"> </w:t>
      </w:r>
      <w:r w:rsidR="00FF6E9E" w:rsidRPr="0006336F">
        <w:t>will</w:t>
      </w:r>
      <w:r w:rsidRPr="0006336F">
        <w:t xml:space="preserve"> ensure that those students with the right skills, targeted to our labour market needs, transition into work after study in Australia. Better connection between work visas and a student</w:t>
      </w:r>
      <w:r w:rsidR="00B16861">
        <w:t>’</w:t>
      </w:r>
      <w:r w:rsidRPr="0006336F">
        <w:t xml:space="preserve">s course of study is a promising avenue for improving student labour market outcomes and is one area where </w:t>
      </w:r>
      <w:r w:rsidR="00ED7514" w:rsidRPr="0006336F">
        <w:t>JSA</w:t>
      </w:r>
      <w:r w:rsidRPr="0006336F">
        <w:t xml:space="preserve"> can help link education provision with the migration system and the labour market.</w:t>
      </w:r>
    </w:p>
    <w:p w14:paraId="5A5CEAC9" w14:textId="4499D8C7" w:rsidR="00067A4B" w:rsidRPr="0006336F" w:rsidRDefault="00FD3514" w:rsidP="00132A70">
      <w:r>
        <w:t>The Government</w:t>
      </w:r>
      <w:r w:rsidR="00067A4B" w:rsidRPr="0006336F">
        <w:t xml:space="preserve"> is focused on strengthening integrity in international education, closing loopholes and supporting genuine international students. A first package of integrity measures was announced </w:t>
      </w:r>
      <w:r w:rsidR="00747F54" w:rsidRPr="0006336F">
        <w:t>in</w:t>
      </w:r>
      <w:r w:rsidR="00067A4B" w:rsidRPr="0006336F">
        <w:t xml:space="preserve"> August 2023 and further integrity measures will be announced in the Migration Strategy. These measures will also have positive labour market outcomes as they focus on ensuring international students use students visas for study, rather than primarily for work.</w:t>
      </w:r>
    </w:p>
    <w:p w14:paraId="441EA5C1" w14:textId="3C88320B" w:rsidR="00132A70" w:rsidRPr="0006336F" w:rsidRDefault="00DC47D3">
      <w:pPr>
        <w:spacing w:before="0" w:after="160" w:line="259" w:lineRule="auto"/>
      </w:pPr>
      <w:r w:rsidRPr="0006336F">
        <w:br w:type="page"/>
      </w:r>
    </w:p>
    <w:p w14:paraId="4FF4A9AF" w14:textId="35A6D911" w:rsidR="00132A70" w:rsidRPr="0006336F" w:rsidRDefault="007A28A7" w:rsidP="00F4496B">
      <w:pPr>
        <w:pStyle w:val="Heading2"/>
      </w:pPr>
      <w:bookmarkStart w:id="12" w:name="_Toc146292921"/>
      <w:r w:rsidRPr="0006336F">
        <w:lastRenderedPageBreak/>
        <w:t xml:space="preserve">7 </w:t>
      </w:r>
      <w:r w:rsidR="00A73B6C">
        <w:tab/>
      </w:r>
      <w:r w:rsidR="005A2233" w:rsidRPr="0006336F">
        <w:t>Building capabilities through employment services</w:t>
      </w:r>
      <w:bookmarkEnd w:id="12"/>
    </w:p>
    <w:p w14:paraId="256C40A5" w14:textId="5743A656" w:rsidR="008D28DC" w:rsidRPr="0006336F" w:rsidRDefault="00261928" w:rsidP="00F4496B">
      <w:pPr>
        <w:pStyle w:val="TableMainHeadingRoadmap"/>
      </w:pPr>
      <w:r w:rsidRPr="0006336F">
        <w:t>Actions</w:t>
      </w:r>
      <w:r w:rsidR="00B8081C" w:rsidRPr="0006336F">
        <w:t xml:space="preserve"> to </w:t>
      </w:r>
      <w:r w:rsidR="00B41FF9" w:rsidRPr="0006336F">
        <w:t xml:space="preserve">build capabilities through employment services </w:t>
      </w:r>
    </w:p>
    <w:tbl>
      <w:tblPr>
        <w:tblStyle w:val="TableGrid"/>
        <w:tblW w:w="5000" w:type="pct"/>
        <w:tblLook w:val="01E0" w:firstRow="1" w:lastRow="1" w:firstColumn="1" w:lastColumn="1" w:noHBand="0" w:noVBand="0"/>
      </w:tblPr>
      <w:tblGrid>
        <w:gridCol w:w="3023"/>
        <w:gridCol w:w="3023"/>
        <w:gridCol w:w="3024"/>
      </w:tblGrid>
      <w:tr w:rsidR="00D278F7" w:rsidRPr="0006336F" w14:paraId="4742DEC9" w14:textId="77777777" w:rsidTr="00A715AC">
        <w:trPr>
          <w:cnfStyle w:val="100000000000" w:firstRow="1" w:lastRow="0" w:firstColumn="0" w:lastColumn="0" w:oddVBand="0" w:evenVBand="0" w:oddHBand="0" w:evenHBand="0" w:firstRowFirstColumn="0" w:firstRowLastColumn="0" w:lastRowFirstColumn="0" w:lastRowLastColumn="0"/>
          <w:tblHeader/>
        </w:trPr>
        <w:tc>
          <w:tcPr>
            <w:tcW w:w="1666" w:type="pct"/>
          </w:tcPr>
          <w:p w14:paraId="3ABDD1C9" w14:textId="7C05549D" w:rsidR="00D278F7" w:rsidRPr="0006336F" w:rsidRDefault="00D278F7" w:rsidP="00EE19B9">
            <w:pPr>
              <w:pStyle w:val="TableColumnHeadingLeft"/>
            </w:pPr>
            <w:r w:rsidRPr="0006336F">
              <w:t xml:space="preserve">Implemented </w:t>
            </w:r>
          </w:p>
        </w:tc>
        <w:tc>
          <w:tcPr>
            <w:tcW w:w="1666" w:type="pct"/>
          </w:tcPr>
          <w:p w14:paraId="1F25F213" w14:textId="7D210D3D" w:rsidR="00D278F7" w:rsidRPr="0006336F" w:rsidRDefault="00D278F7" w:rsidP="00EE19B9">
            <w:pPr>
              <w:pStyle w:val="TableColumnHeadingLeft"/>
            </w:pPr>
            <w:r w:rsidRPr="0006336F">
              <w:t>Underway</w:t>
            </w:r>
          </w:p>
        </w:tc>
        <w:tc>
          <w:tcPr>
            <w:tcW w:w="1667" w:type="pct"/>
          </w:tcPr>
          <w:p w14:paraId="0DC48584" w14:textId="424187AF" w:rsidR="00D278F7" w:rsidRPr="0006336F" w:rsidRDefault="00D278F7" w:rsidP="00EE19B9">
            <w:pPr>
              <w:pStyle w:val="TableColumnHeadingLeft"/>
            </w:pPr>
            <w:r w:rsidRPr="0006336F">
              <w:t>Future reform directions</w:t>
            </w:r>
          </w:p>
        </w:tc>
      </w:tr>
      <w:tr w:rsidR="00AC0258" w:rsidRPr="0006336F" w14:paraId="4B71C176" w14:textId="77777777" w:rsidTr="00A715AC">
        <w:tc>
          <w:tcPr>
            <w:tcW w:w="1666" w:type="pct"/>
          </w:tcPr>
          <w:p w14:paraId="7126B93C" w14:textId="3BDD127C" w:rsidR="003A269A" w:rsidRPr="0006336F" w:rsidRDefault="003A072D" w:rsidP="00F4496B">
            <w:pPr>
              <w:pStyle w:val="TableTextLeft"/>
              <w:rPr>
                <w:b/>
              </w:rPr>
            </w:pPr>
            <w:r w:rsidRPr="0006336F">
              <w:rPr>
                <w:b/>
              </w:rPr>
              <w:t>I</w:t>
            </w:r>
            <w:r w:rsidR="00AC0258" w:rsidRPr="0006336F">
              <w:rPr>
                <w:b/>
              </w:rPr>
              <w:t>mmediate improvements</w:t>
            </w:r>
            <w:r w:rsidRPr="0006336F">
              <w:rPr>
                <w:b/>
              </w:rPr>
              <w:t xml:space="preserve"> </w:t>
            </w:r>
            <w:r w:rsidR="00CB0A9A" w:rsidRPr="0006336F">
              <w:rPr>
                <w:b/>
              </w:rPr>
              <w:t>to employment services programs</w:t>
            </w:r>
          </w:p>
          <w:p w14:paraId="0BD46E7C" w14:textId="6F458AD5" w:rsidR="00AC0258" w:rsidRPr="0006336F" w:rsidRDefault="00AC0258" w:rsidP="00F4496B">
            <w:pPr>
              <w:pStyle w:val="TableTextBullet"/>
            </w:pPr>
            <w:r w:rsidRPr="0006336F">
              <w:t xml:space="preserve">Suspended compulsory participation in ParentsNext </w:t>
            </w:r>
          </w:p>
          <w:p w14:paraId="6F9F3860" w14:textId="3390C50A" w:rsidR="00AC0258" w:rsidRPr="0006336F" w:rsidRDefault="004B50A4" w:rsidP="00F4496B">
            <w:pPr>
              <w:pStyle w:val="TableTextBullet"/>
              <w:rPr>
                <w:bCs/>
              </w:rPr>
            </w:pPr>
            <w:r w:rsidRPr="0006336F">
              <w:t>Lau</w:t>
            </w:r>
            <w:r w:rsidR="006D1DCB" w:rsidRPr="0006336F">
              <w:t>nched</w:t>
            </w:r>
            <w:r w:rsidR="00AC0258" w:rsidRPr="0006336F">
              <w:t xml:space="preserve"> Veteran Employment Program to support transitions into the civilian workforce</w:t>
            </w:r>
            <w:r w:rsidR="00AC0258" w:rsidRPr="0006336F">
              <w:rPr>
                <w:bCs/>
              </w:rPr>
              <w:t xml:space="preserve"> </w:t>
            </w:r>
          </w:p>
          <w:p w14:paraId="4A42B6F5" w14:textId="5D1E10B9" w:rsidR="00AC0258" w:rsidRPr="0006336F" w:rsidRDefault="00AC0258" w:rsidP="00F4496B">
            <w:pPr>
              <w:pStyle w:val="TableTextBullet"/>
            </w:pPr>
            <w:r w:rsidRPr="0006336F">
              <w:t>Better</w:t>
            </w:r>
            <w:r w:rsidR="00011B15">
              <w:t>-</w:t>
            </w:r>
            <w:r w:rsidRPr="0006336F">
              <w:t>embed</w:t>
            </w:r>
            <w:r w:rsidR="006B1813" w:rsidRPr="0006336F">
              <w:t>ded</w:t>
            </w:r>
            <w:r w:rsidRPr="0006336F">
              <w:t xml:space="preserve"> employment in National Disability Insurance Scheme plans</w:t>
            </w:r>
          </w:p>
          <w:p w14:paraId="2AD231AC" w14:textId="65747F84" w:rsidR="00983CA1" w:rsidRPr="0006336F" w:rsidRDefault="00D21CDE" w:rsidP="00F4496B">
            <w:pPr>
              <w:pStyle w:val="TableTextBullet"/>
            </w:pPr>
            <w:r w:rsidRPr="0006336F">
              <w:t xml:space="preserve">Extended the </w:t>
            </w:r>
            <w:r w:rsidR="00F90753" w:rsidRPr="0006336F">
              <w:t>Time to Work Employment Service</w:t>
            </w:r>
            <w:r w:rsidR="00A13BA0" w:rsidRPr="0006336F">
              <w:t>,</w:t>
            </w:r>
            <w:r w:rsidR="00F90753" w:rsidRPr="0006336F">
              <w:t xml:space="preserve"> </w:t>
            </w:r>
            <w:r w:rsidR="00835AC9" w:rsidRPr="0006336F">
              <w:t>a</w:t>
            </w:r>
            <w:r w:rsidR="00F90753" w:rsidRPr="0006336F">
              <w:t xml:space="preserve">ssisting </w:t>
            </w:r>
            <w:r w:rsidR="00FD3514">
              <w:t>First Nation</w:t>
            </w:r>
            <w:r w:rsidR="00F90753" w:rsidRPr="0006336F">
              <w:t xml:space="preserve">s people </w:t>
            </w:r>
            <w:r w:rsidR="005A6E4C" w:rsidRPr="0006336F">
              <w:t>in prison</w:t>
            </w:r>
            <w:r w:rsidR="00F90753" w:rsidRPr="0006336F">
              <w:t xml:space="preserve"> </w:t>
            </w:r>
            <w:r w:rsidR="00B73FB1" w:rsidRPr="0006336F">
              <w:t xml:space="preserve">to </w:t>
            </w:r>
            <w:r w:rsidR="00F90753" w:rsidRPr="0006336F">
              <w:t xml:space="preserve">access the support to find work </w:t>
            </w:r>
            <w:r w:rsidR="009D6C2E" w:rsidRPr="0006336F">
              <w:t>post</w:t>
            </w:r>
            <w:r w:rsidR="00B16861">
              <w:noBreakHyphen/>
            </w:r>
            <w:r w:rsidR="00F90753" w:rsidRPr="0006336F">
              <w:t>release</w:t>
            </w:r>
          </w:p>
          <w:p w14:paraId="2175FB74" w14:textId="573A866C" w:rsidR="00AC0258" w:rsidRPr="0006336F" w:rsidRDefault="004D13D0" w:rsidP="000C3FBC">
            <w:pPr>
              <w:pStyle w:val="TableTextBullet"/>
            </w:pPr>
            <w:r w:rsidRPr="0006336F">
              <w:t xml:space="preserve">Launched the Indigenous Skills and Employment Program, connecting </w:t>
            </w:r>
            <w:r w:rsidR="00FD3514">
              <w:t>First Nation</w:t>
            </w:r>
            <w:r w:rsidRPr="0006336F">
              <w:t>s people with jobs, training, and career advancement opportunities</w:t>
            </w:r>
          </w:p>
        </w:tc>
        <w:tc>
          <w:tcPr>
            <w:tcW w:w="1666" w:type="pct"/>
          </w:tcPr>
          <w:p w14:paraId="57B947FD" w14:textId="3DCF5BC0" w:rsidR="00AC0258" w:rsidRPr="0006336F" w:rsidRDefault="00AC0258" w:rsidP="00AC0258">
            <w:pPr>
              <w:pStyle w:val="TableTextLeft"/>
              <w:rPr>
                <w:b/>
                <w:bCs/>
              </w:rPr>
            </w:pPr>
            <w:r w:rsidRPr="0006336F">
              <w:rPr>
                <w:b/>
                <w:bCs/>
              </w:rPr>
              <w:t xml:space="preserve">Consulting </w:t>
            </w:r>
            <w:r w:rsidR="006F7D1C">
              <w:rPr>
                <w:b/>
                <w:bCs/>
              </w:rPr>
              <w:t xml:space="preserve">on </w:t>
            </w:r>
            <w:r w:rsidRPr="0006336F">
              <w:rPr>
                <w:b/>
                <w:bCs/>
              </w:rPr>
              <w:t>and co</w:t>
            </w:r>
            <w:r w:rsidR="00B16861">
              <w:rPr>
                <w:b/>
                <w:bCs/>
              </w:rPr>
              <w:noBreakHyphen/>
            </w:r>
            <w:r w:rsidRPr="0006336F">
              <w:rPr>
                <w:b/>
                <w:bCs/>
              </w:rPr>
              <w:t>designing</w:t>
            </w:r>
            <w:r w:rsidR="00465946" w:rsidRPr="0006336F">
              <w:rPr>
                <w:b/>
                <w:bCs/>
              </w:rPr>
              <w:t xml:space="preserve"> reforms to </w:t>
            </w:r>
            <w:r w:rsidRPr="0006336F">
              <w:rPr>
                <w:b/>
                <w:bCs/>
              </w:rPr>
              <w:t>employment service</w:t>
            </w:r>
            <w:r w:rsidR="00465946" w:rsidRPr="0006336F">
              <w:rPr>
                <w:b/>
                <w:bCs/>
              </w:rPr>
              <w:t>s</w:t>
            </w:r>
            <w:r w:rsidRPr="0006336F">
              <w:rPr>
                <w:b/>
                <w:bCs/>
              </w:rPr>
              <w:t xml:space="preserve"> programs </w:t>
            </w:r>
          </w:p>
          <w:p w14:paraId="7A0B9078" w14:textId="634FFF21" w:rsidR="00AC0258" w:rsidRPr="0006336F" w:rsidRDefault="00AC0258" w:rsidP="00F4496B">
            <w:pPr>
              <w:pStyle w:val="TableTextBullet"/>
            </w:pPr>
            <w:r w:rsidRPr="0006336F">
              <w:t>Conducting a first</w:t>
            </w:r>
            <w:r w:rsidR="00B16861">
              <w:noBreakHyphen/>
            </w:r>
            <w:r w:rsidRPr="0006336F">
              <w:t>principles review of Workforce Australia</w:t>
            </w:r>
          </w:p>
          <w:p w14:paraId="28B24A73" w14:textId="351D75C0" w:rsidR="00AC0258" w:rsidRPr="0006336F" w:rsidRDefault="004759D2" w:rsidP="00F4496B">
            <w:pPr>
              <w:pStyle w:val="TableTextBullet"/>
            </w:pPr>
            <w:r w:rsidRPr="0006336F">
              <w:t>Developing</w:t>
            </w:r>
            <w:r w:rsidR="00AC0258" w:rsidRPr="0006336F">
              <w:t xml:space="preserve"> a new remote jobs program </w:t>
            </w:r>
            <w:r w:rsidR="008F00D0" w:rsidRPr="0006336F">
              <w:t xml:space="preserve">in consultation </w:t>
            </w:r>
            <w:r w:rsidR="00AC0258" w:rsidRPr="0006336F">
              <w:t xml:space="preserve">with </w:t>
            </w:r>
            <w:r w:rsidR="00FD3514">
              <w:t>First Nation</w:t>
            </w:r>
            <w:r w:rsidR="00AC0258" w:rsidRPr="0006336F">
              <w:t>s people and remote communities</w:t>
            </w:r>
            <w:r w:rsidR="00B11E49" w:rsidRPr="0006336F">
              <w:t xml:space="preserve">, including undertaking a trial </w:t>
            </w:r>
            <w:r w:rsidR="00540A45">
              <w:t>that</w:t>
            </w:r>
            <w:r w:rsidR="00B11E49" w:rsidRPr="0006336F">
              <w:t xml:space="preserve"> </w:t>
            </w:r>
            <w:r w:rsidR="0006767B" w:rsidRPr="0006336F">
              <w:t xml:space="preserve">is </w:t>
            </w:r>
            <w:r w:rsidR="00B11E49" w:rsidRPr="0006336F">
              <w:t>creating up to 200 jobs in remote areas</w:t>
            </w:r>
          </w:p>
          <w:p w14:paraId="5ADEE52F" w14:textId="6E2E81ED" w:rsidR="00AC0258" w:rsidRPr="0006336F" w:rsidRDefault="00CF2B05" w:rsidP="00F4496B">
            <w:pPr>
              <w:pStyle w:val="TableTextBullet"/>
            </w:pPr>
            <w:r w:rsidRPr="0006336F">
              <w:t>D</w:t>
            </w:r>
            <w:r w:rsidR="00AC0258" w:rsidRPr="0006336F">
              <w:t xml:space="preserve">esigning a new program to replace ParentsNext in consultation with parents and stakeholders </w:t>
            </w:r>
          </w:p>
          <w:p w14:paraId="463C485D" w14:textId="210C622E" w:rsidR="00AC0258" w:rsidRPr="0006336F" w:rsidRDefault="00CA6E3F" w:rsidP="00910B38">
            <w:pPr>
              <w:pStyle w:val="TableTextBullet"/>
              <w:rPr>
                <w:b/>
                <w:bCs/>
              </w:rPr>
            </w:pPr>
            <w:r w:rsidRPr="0006336F">
              <w:t>Reforming the</w:t>
            </w:r>
            <w:r w:rsidR="00231E04" w:rsidRPr="0006336F">
              <w:t xml:space="preserve"> Local Jobs Program to align with best practices in place</w:t>
            </w:r>
            <w:r w:rsidR="00B16861">
              <w:noBreakHyphen/>
            </w:r>
            <w:r w:rsidR="00231E04" w:rsidRPr="0006336F">
              <w:t>based policy design, and expand</w:t>
            </w:r>
            <w:r w:rsidR="003B7192">
              <w:t>ing</w:t>
            </w:r>
            <w:r w:rsidR="00231E04" w:rsidRPr="0006336F">
              <w:t xml:space="preserve"> eligibility for projects to more people seeking work </w:t>
            </w:r>
          </w:p>
        </w:tc>
        <w:tc>
          <w:tcPr>
            <w:tcW w:w="1667" w:type="pct"/>
          </w:tcPr>
          <w:p w14:paraId="21E06FCF" w14:textId="03ACF310" w:rsidR="00AC0258" w:rsidRPr="0006336F" w:rsidRDefault="00AC0258" w:rsidP="00AC0258">
            <w:pPr>
              <w:pStyle w:val="TableTextLeft"/>
              <w:rPr>
                <w:b/>
                <w:bCs/>
              </w:rPr>
            </w:pPr>
            <w:r w:rsidRPr="0006336F">
              <w:rPr>
                <w:b/>
                <w:bCs/>
              </w:rPr>
              <w:t xml:space="preserve">Reform employment services </w:t>
            </w:r>
          </w:p>
          <w:p w14:paraId="7BEEF0AD" w14:textId="4C549F76" w:rsidR="00AC0258" w:rsidRPr="0006336F" w:rsidRDefault="00AC0258" w:rsidP="00F4496B">
            <w:pPr>
              <w:pStyle w:val="TableTextBullet"/>
              <w:rPr>
                <w:b/>
              </w:rPr>
            </w:pPr>
            <w:r w:rsidRPr="0006336F">
              <w:t xml:space="preserve">Establish clear processes to reform </w:t>
            </w:r>
            <w:r w:rsidR="00372350">
              <w:t>e</w:t>
            </w:r>
            <w:r w:rsidRPr="0006336F">
              <w:t xml:space="preserve">mployment </w:t>
            </w:r>
            <w:r w:rsidR="00372350">
              <w:t>s</w:t>
            </w:r>
            <w:r w:rsidRPr="0006336F">
              <w:t>ervices</w:t>
            </w:r>
            <w:r w:rsidR="0054586C">
              <w:t xml:space="preserve"> </w:t>
            </w:r>
            <w:r w:rsidR="009802CA" w:rsidRPr="0006336F">
              <w:t>guided by new principles</w:t>
            </w:r>
            <w:r w:rsidR="00BC0146" w:rsidRPr="0006336F">
              <w:t xml:space="preserve"> in this Roadmap</w:t>
            </w:r>
          </w:p>
          <w:p w14:paraId="18941449" w14:textId="4DF4886B" w:rsidR="00AC0258" w:rsidRPr="0006336F" w:rsidRDefault="00AC0258" w:rsidP="00AC0258">
            <w:pPr>
              <w:pStyle w:val="TableTextLeft"/>
              <w:rPr>
                <w:b/>
                <w:bCs/>
              </w:rPr>
            </w:pPr>
            <w:r w:rsidRPr="0006336F">
              <w:rPr>
                <w:b/>
                <w:bCs/>
              </w:rPr>
              <w:t>Engag</w:t>
            </w:r>
            <w:r w:rsidR="00740DD7" w:rsidRPr="0006336F">
              <w:rPr>
                <w:b/>
                <w:bCs/>
              </w:rPr>
              <w:t>e</w:t>
            </w:r>
            <w:r w:rsidRPr="0006336F">
              <w:rPr>
                <w:b/>
                <w:bCs/>
              </w:rPr>
              <w:t xml:space="preserve"> with local labour markets </w:t>
            </w:r>
          </w:p>
          <w:p w14:paraId="65CFC8A7" w14:textId="3C6EA2FA" w:rsidR="007F4297" w:rsidRPr="0006336F" w:rsidRDefault="00BC0146" w:rsidP="00F4496B">
            <w:pPr>
              <w:pStyle w:val="TableTextBullet"/>
              <w:rPr>
                <w:b/>
              </w:rPr>
            </w:pPr>
            <w:r w:rsidRPr="0006336F">
              <w:t>Apply place</w:t>
            </w:r>
            <w:r w:rsidR="00B16861">
              <w:noBreakHyphen/>
            </w:r>
            <w:r w:rsidRPr="0006336F">
              <w:t xml:space="preserve">based policy design best practices </w:t>
            </w:r>
            <w:r w:rsidR="007F4297" w:rsidRPr="0006336F">
              <w:t>to employment services programs</w:t>
            </w:r>
          </w:p>
          <w:p w14:paraId="2826738C" w14:textId="7701AE79" w:rsidR="00AC0258" w:rsidRPr="0006336F" w:rsidRDefault="00AC0258" w:rsidP="00AC0258">
            <w:pPr>
              <w:pStyle w:val="TableTextLeft"/>
            </w:pPr>
            <w:r w:rsidRPr="0006336F">
              <w:rPr>
                <w:b/>
                <w:bCs/>
              </w:rPr>
              <w:t>Evaluat</w:t>
            </w:r>
            <w:r w:rsidR="00150A5F" w:rsidRPr="0006336F">
              <w:rPr>
                <w:b/>
                <w:bCs/>
              </w:rPr>
              <w:t>e</w:t>
            </w:r>
            <w:r w:rsidRPr="0006336F">
              <w:rPr>
                <w:b/>
                <w:bCs/>
              </w:rPr>
              <w:t xml:space="preserve"> and learn in employment services </w:t>
            </w:r>
          </w:p>
          <w:p w14:paraId="11B0EC9B" w14:textId="11AF2BD1" w:rsidR="00AC0258" w:rsidRPr="0006336F" w:rsidRDefault="00AC0258" w:rsidP="00F4496B">
            <w:pPr>
              <w:pStyle w:val="TableTextBullet"/>
              <w:rPr>
                <w:b/>
                <w:bCs/>
              </w:rPr>
            </w:pPr>
            <w:r w:rsidRPr="0006336F">
              <w:t>Embed evaluation into policy reform processes, and the design of ongoing programs</w:t>
            </w:r>
          </w:p>
        </w:tc>
      </w:tr>
    </w:tbl>
    <w:p w14:paraId="5DF9FA8E" w14:textId="77777777" w:rsidR="00A73B6C" w:rsidRDefault="00A73B6C" w:rsidP="00A73B6C">
      <w:pPr>
        <w:pStyle w:val="ChartTableFiguresectionline"/>
      </w:pPr>
    </w:p>
    <w:p w14:paraId="5533E08A" w14:textId="0543CF31" w:rsidR="00F77954" w:rsidRPr="0006336F" w:rsidRDefault="00F77954" w:rsidP="00F77954">
      <w:r w:rsidRPr="0006336F">
        <w:t xml:space="preserve">A quality employment services system can deliver social and economic benefits </w:t>
      </w:r>
      <w:r w:rsidR="00CE0663" w:rsidRPr="0006336F">
        <w:t>by</w:t>
      </w:r>
      <w:r w:rsidRPr="0006336F">
        <w:t xml:space="preserve"> building more efficient, inclusive labour markets. An effective employment services system strengthens growth and productivity through lifting participation, skills, and facilitating high</w:t>
      </w:r>
      <w:r w:rsidR="00A5030E">
        <w:t>-</w:t>
      </w:r>
      <w:r w:rsidRPr="0006336F">
        <w:t xml:space="preserve">quality job matches between people seeking work and employers seeking workers. It can smooth the effects of labour market disruptions, such as industry change and retrenchment, and provide supported pathways to employment for people facing barriers to work, earning and social participation. For employers, a quality employment services system </w:t>
      </w:r>
      <w:r w:rsidR="00131195" w:rsidRPr="0006336F">
        <w:t>can</w:t>
      </w:r>
      <w:r w:rsidRPr="0006336F">
        <w:t xml:space="preserve"> connect </w:t>
      </w:r>
      <w:r w:rsidR="00131195" w:rsidRPr="0006336F">
        <w:t>them</w:t>
      </w:r>
      <w:r w:rsidRPr="0006336F">
        <w:t xml:space="preserve"> to a broader pool of applicants and</w:t>
      </w:r>
      <w:r w:rsidR="00296DC0" w:rsidRPr="0006336F">
        <w:t>,</w:t>
      </w:r>
      <w:r w:rsidRPr="0006336F">
        <w:t xml:space="preserve"> through collaboration, enables them to use a range of training and support services that help </w:t>
      </w:r>
      <w:r w:rsidR="00FD4E58" w:rsidRPr="0006336F">
        <w:t xml:space="preserve">them to </w:t>
      </w:r>
      <w:r w:rsidRPr="0006336F">
        <w:t>meet recruitment needs.</w:t>
      </w:r>
    </w:p>
    <w:p w14:paraId="152B71C2" w14:textId="7EC5CC7A" w:rsidR="00F07AEF" w:rsidRPr="0006336F" w:rsidRDefault="00F77954" w:rsidP="00F77954">
      <w:r w:rsidRPr="0006336F">
        <w:t xml:space="preserve">The Australian Government delivers a suite of employment programs including Workforce Australia, the Community Development Program and Disability Employment Services, </w:t>
      </w:r>
      <w:r w:rsidR="00E43463" w:rsidRPr="0006336F">
        <w:t xml:space="preserve">as well as complementary programs such as </w:t>
      </w:r>
      <w:r w:rsidRPr="0006336F">
        <w:t xml:space="preserve">the Local Jobs Program. Chapter 6 identifies that </w:t>
      </w:r>
      <w:r w:rsidR="00265ABC" w:rsidRPr="0006336F">
        <w:t xml:space="preserve">the current </w:t>
      </w:r>
      <w:r w:rsidR="00DD4B4B" w:rsidRPr="0006336F">
        <w:t xml:space="preserve">employment services </w:t>
      </w:r>
      <w:r w:rsidR="00265ABC" w:rsidRPr="0006336F">
        <w:t xml:space="preserve">system </w:t>
      </w:r>
      <w:r w:rsidR="00DA6F4B" w:rsidRPr="0006336F">
        <w:t>does</w:t>
      </w:r>
      <w:r w:rsidRPr="0006336F">
        <w:t xml:space="preserve"> not </w:t>
      </w:r>
      <w:r w:rsidR="00265ABC" w:rsidRPr="0006336F">
        <w:t xml:space="preserve">meet the needs of </w:t>
      </w:r>
      <w:r w:rsidRPr="0006336F">
        <w:t>the most disadvantaged job seekers, nor me</w:t>
      </w:r>
      <w:r w:rsidR="00EF409A" w:rsidRPr="0006336F">
        <w:t>e</w:t>
      </w:r>
      <w:r w:rsidRPr="0006336F">
        <w:t>t the needs of employers</w:t>
      </w:r>
      <w:r w:rsidR="00C51300" w:rsidRPr="0006336F">
        <w:t xml:space="preserve"> seeking to fill work</w:t>
      </w:r>
      <w:r w:rsidR="00296DC0" w:rsidRPr="0006336F">
        <w:t>force</w:t>
      </w:r>
      <w:r w:rsidR="00C51300" w:rsidRPr="0006336F">
        <w:t xml:space="preserve"> shortages</w:t>
      </w:r>
      <w:r w:rsidR="00AA6AAC" w:rsidRPr="0006336F">
        <w:t>. Po</w:t>
      </w:r>
      <w:r w:rsidR="00290A72" w:rsidRPr="0006336F">
        <w:t>orly tailored obligations can have negative effects</w:t>
      </w:r>
      <w:r w:rsidRPr="0006336F">
        <w:t xml:space="preserve">. </w:t>
      </w:r>
    </w:p>
    <w:p w14:paraId="4239E1FA" w14:textId="31905DCF" w:rsidR="00F77954" w:rsidRPr="0006336F" w:rsidRDefault="00F77954" w:rsidP="00F77954">
      <w:r w:rsidRPr="0006336F">
        <w:t xml:space="preserve">To </w:t>
      </w:r>
      <w:r w:rsidR="00D57238" w:rsidRPr="0006336F">
        <w:t>better</w:t>
      </w:r>
      <w:r w:rsidRPr="0006336F">
        <w:t xml:space="preserve"> support people facing barriers to work and to help address skills shortages, </w:t>
      </w:r>
      <w:r w:rsidR="00D21D20" w:rsidRPr="0006336F">
        <w:t xml:space="preserve">employment services </w:t>
      </w:r>
      <w:r w:rsidR="00110E53" w:rsidRPr="0006336F">
        <w:t xml:space="preserve">will build </w:t>
      </w:r>
      <w:r w:rsidR="00104820" w:rsidRPr="0006336F">
        <w:t>people</w:t>
      </w:r>
      <w:r w:rsidR="00B16861">
        <w:t>’</w:t>
      </w:r>
      <w:r w:rsidR="00104820" w:rsidRPr="0006336F">
        <w:t>s capability</w:t>
      </w:r>
      <w:r w:rsidR="00110E53" w:rsidRPr="0006336F">
        <w:t xml:space="preserve"> and</w:t>
      </w:r>
      <w:r w:rsidRPr="0006336F">
        <w:t xml:space="preserve"> stronger, more inclusive labour markets. </w:t>
      </w:r>
    </w:p>
    <w:p w14:paraId="419F177A" w14:textId="15D16491" w:rsidR="00F77954" w:rsidRPr="0006336F" w:rsidRDefault="00FD3514" w:rsidP="00F77954">
      <w:r>
        <w:t>The Government</w:t>
      </w:r>
      <w:r w:rsidR="00F77954" w:rsidRPr="0006336F">
        <w:t xml:space="preserve"> has taken steps to improve pre</w:t>
      </w:r>
      <w:r w:rsidR="00B16861">
        <w:noBreakHyphen/>
      </w:r>
      <w:r w:rsidR="00F77954" w:rsidRPr="0006336F">
        <w:t xml:space="preserve">employment and employment programs. After suspending compliance arrangements in ParentsNext, the Government has committed to </w:t>
      </w:r>
      <w:r w:rsidR="0076793C" w:rsidRPr="0006336F">
        <w:t>introducing a</w:t>
      </w:r>
      <w:r w:rsidR="00F77954" w:rsidRPr="0006336F">
        <w:t xml:space="preserve"> new voluntary, co</w:t>
      </w:r>
      <w:r w:rsidR="00B16861">
        <w:noBreakHyphen/>
      </w:r>
      <w:r w:rsidR="00F77954" w:rsidRPr="0006336F">
        <w:t xml:space="preserve">designed replacement program </w:t>
      </w:r>
      <w:r w:rsidR="0076793C" w:rsidRPr="0006336F">
        <w:t>that better supports parents</w:t>
      </w:r>
      <w:r w:rsidR="00F77954" w:rsidRPr="0006336F">
        <w:t xml:space="preserve">. The Veteran Employment Program has been launched to support veterans to transition into the civilian workforce. </w:t>
      </w:r>
      <w:r w:rsidR="00A14585" w:rsidRPr="0006336F">
        <w:t xml:space="preserve">The Indigenous Skills and Employment Program (ISEP) is supporting local organisations </w:t>
      </w:r>
      <w:r w:rsidR="00CD0FCA" w:rsidRPr="0006336F">
        <w:t xml:space="preserve">to </w:t>
      </w:r>
      <w:r w:rsidR="00A14585" w:rsidRPr="0006336F">
        <w:t>design place</w:t>
      </w:r>
      <w:r w:rsidR="00B16861">
        <w:noBreakHyphen/>
      </w:r>
      <w:r w:rsidR="00A14585" w:rsidRPr="0006336F">
        <w:t xml:space="preserve">based solutions </w:t>
      </w:r>
      <w:r w:rsidR="00A14585" w:rsidRPr="009F46EF">
        <w:t xml:space="preserve">for </w:t>
      </w:r>
      <w:r w:rsidR="009F46EF" w:rsidRPr="009F46EF">
        <w:t xml:space="preserve">Aboriginal and Torres Strait Islander </w:t>
      </w:r>
      <w:r w:rsidR="00A14585" w:rsidRPr="009F46EF">
        <w:t>job</w:t>
      </w:r>
      <w:r w:rsidR="00D25727" w:rsidRPr="009F46EF">
        <w:t xml:space="preserve"> </w:t>
      </w:r>
      <w:r w:rsidR="00A14585" w:rsidRPr="009F46EF">
        <w:t>seekers</w:t>
      </w:r>
      <w:r w:rsidR="00A14585" w:rsidRPr="0006336F">
        <w:t xml:space="preserve"> in partnership with </w:t>
      </w:r>
      <w:r w:rsidR="00A14585" w:rsidRPr="0006336F">
        <w:lastRenderedPageBreak/>
        <w:t>communities.</w:t>
      </w:r>
      <w:r w:rsidR="00BD5BF9" w:rsidRPr="0006336F">
        <w:t xml:space="preserve"> </w:t>
      </w:r>
      <w:r>
        <w:t>The Government</w:t>
      </w:r>
      <w:r w:rsidR="00F77954" w:rsidRPr="0006336F">
        <w:t xml:space="preserve"> is also working with </w:t>
      </w:r>
      <w:r>
        <w:t>First Nation</w:t>
      </w:r>
      <w:r w:rsidR="00F77954" w:rsidRPr="0006336F">
        <w:t xml:space="preserve">s stakeholders and remote communities to replace the Community Development Program with a new </w:t>
      </w:r>
      <w:r w:rsidR="000B44D0" w:rsidRPr="0006336F">
        <w:t xml:space="preserve">remote jobs </w:t>
      </w:r>
      <w:r w:rsidR="00F77954" w:rsidRPr="0006336F">
        <w:t>program with real jobs, proper wages and decent conditions</w:t>
      </w:r>
      <w:r w:rsidR="00276B88" w:rsidRPr="0006336F">
        <w:t xml:space="preserve">. </w:t>
      </w:r>
    </w:p>
    <w:p w14:paraId="0F546D21" w14:textId="1C9C66FC" w:rsidR="00F77954" w:rsidRPr="0006336F" w:rsidRDefault="00FD3514" w:rsidP="00F77954">
      <w:r>
        <w:t>The Government</w:t>
      </w:r>
      <w:r w:rsidR="00F77954" w:rsidRPr="0006336F">
        <w:t xml:space="preserve"> has established processes to strengthen Australian Government employment services. A House of Representatives Select Committee is undertaking a first</w:t>
      </w:r>
      <w:r w:rsidR="00B16861">
        <w:noBreakHyphen/>
      </w:r>
      <w:r w:rsidR="00F77954" w:rsidRPr="0006336F">
        <w:t>principles review of Workforce Australia, examining the design, implementation and performance of the new system</w:t>
      </w:r>
      <w:r w:rsidR="00514E50" w:rsidRPr="0006336F">
        <w:t>. The</w:t>
      </w:r>
      <w:r w:rsidR="000F0ED2">
        <w:t> </w:t>
      </w:r>
      <w:r w:rsidR="00514E50" w:rsidRPr="0006336F">
        <w:t>Committee</w:t>
      </w:r>
      <w:r w:rsidR="00F77954" w:rsidRPr="0006336F">
        <w:t xml:space="preserve"> will make recommendations on future reforms</w:t>
      </w:r>
      <w:r w:rsidR="008C1B4A" w:rsidRPr="0006336F">
        <w:t xml:space="preserve"> with its final report due </w:t>
      </w:r>
      <w:r w:rsidR="00862E78" w:rsidRPr="0006336F">
        <w:t>in</w:t>
      </w:r>
      <w:r w:rsidR="00624B80" w:rsidRPr="0006336F">
        <w:t> </w:t>
      </w:r>
      <w:r w:rsidR="008C1B4A" w:rsidRPr="0006336F">
        <w:t>November</w:t>
      </w:r>
      <w:r w:rsidR="000F0ED2">
        <w:t> </w:t>
      </w:r>
      <w:r w:rsidR="008C1B4A" w:rsidRPr="0006336F">
        <w:t>2023</w:t>
      </w:r>
      <w:r w:rsidR="00F77954" w:rsidRPr="0006336F">
        <w:t xml:space="preserve">. Disability Employment Services are being redesigned in consultation with stakeholders, with a new model that </w:t>
      </w:r>
      <w:r w:rsidR="00701443" w:rsidRPr="0006336F">
        <w:t xml:space="preserve">can </w:t>
      </w:r>
      <w:r w:rsidR="00F77954" w:rsidRPr="0006336F">
        <w:t>better support people with disability</w:t>
      </w:r>
      <w:r w:rsidR="00590681" w:rsidRPr="0006336F">
        <w:t>,</w:t>
      </w:r>
      <w:r w:rsidR="00F77954" w:rsidRPr="0006336F">
        <w:t xml:space="preserve"> starting </w:t>
      </w:r>
      <w:r w:rsidR="00111247" w:rsidRPr="0006336F">
        <w:t>in</w:t>
      </w:r>
      <w:r w:rsidR="00F77954" w:rsidRPr="0006336F">
        <w:t xml:space="preserve"> July 2025. </w:t>
      </w:r>
    </w:p>
    <w:p w14:paraId="02C6A63A" w14:textId="0169022F" w:rsidR="003D044B" w:rsidRPr="0006336F" w:rsidRDefault="00871F94" w:rsidP="003D044B">
      <w:r w:rsidRPr="0006336F">
        <w:t>Supporting</w:t>
      </w:r>
      <w:r w:rsidR="00F77954" w:rsidRPr="0006336F">
        <w:t xml:space="preserve"> these developments, the Government is committed to reforming the employment services system in line with </w:t>
      </w:r>
      <w:r w:rsidR="000A18C2" w:rsidRPr="0006336F">
        <w:t xml:space="preserve">the </w:t>
      </w:r>
      <w:r w:rsidR="00F77954" w:rsidRPr="0006336F">
        <w:t xml:space="preserve">eight key reform principles outlined below. </w:t>
      </w:r>
      <w:r w:rsidR="00FD3514">
        <w:t>The Government</w:t>
      </w:r>
      <w:r w:rsidR="003D044B" w:rsidRPr="0006336F">
        <w:t xml:space="preserve"> will develop detailed reforms after it considers the Select Committee</w:t>
      </w:r>
      <w:r w:rsidR="00B16861">
        <w:t>’</w:t>
      </w:r>
      <w:r w:rsidR="003D044B" w:rsidRPr="0006336F">
        <w:t xml:space="preserve">s report. </w:t>
      </w:r>
    </w:p>
    <w:p w14:paraId="3F4C9277" w14:textId="76ADBB78" w:rsidR="00F77954" w:rsidRPr="0006336F" w:rsidRDefault="0025092F" w:rsidP="00F4496B">
      <w:pPr>
        <w:pStyle w:val="Heading3"/>
      </w:pPr>
      <w:r w:rsidRPr="0006336F">
        <w:t>Reform</w:t>
      </w:r>
      <w:r w:rsidR="00D455FD" w:rsidRPr="0006336F">
        <w:t>ing</w:t>
      </w:r>
      <w:r w:rsidRPr="0006336F">
        <w:t xml:space="preserve"> employment services</w:t>
      </w:r>
    </w:p>
    <w:p w14:paraId="779BAA01" w14:textId="65EAE546" w:rsidR="00F77954" w:rsidRPr="0006336F" w:rsidRDefault="00F77954" w:rsidP="00F77954">
      <w:r w:rsidRPr="0006336F">
        <w:t>It is time to rethink employment services</w:t>
      </w:r>
      <w:r w:rsidR="00C1356A" w:rsidRPr="0006336F">
        <w:t xml:space="preserve"> </w:t>
      </w:r>
      <w:r w:rsidRPr="0006336F">
        <w:t>as part of our vision for a stronger</w:t>
      </w:r>
      <w:r w:rsidR="0043236F" w:rsidRPr="0006336F">
        <w:t xml:space="preserve"> and</w:t>
      </w:r>
      <w:r w:rsidRPr="0006336F">
        <w:t xml:space="preserve"> more inclusive</w:t>
      </w:r>
      <w:r w:rsidR="0043236F" w:rsidRPr="0006336F">
        <w:t xml:space="preserve"> </w:t>
      </w:r>
      <w:r w:rsidRPr="0006336F">
        <w:t xml:space="preserve">economy. </w:t>
      </w:r>
      <w:r w:rsidR="00FD3514">
        <w:rPr>
          <w:rFonts w:eastAsia="Calibri Light" w:cstheme="majorBidi"/>
        </w:rPr>
        <w:t>The Government</w:t>
      </w:r>
      <w:r w:rsidR="00716C0C" w:rsidRPr="0006336F">
        <w:rPr>
          <w:rFonts w:eastAsia="Calibri Light" w:cstheme="majorBidi"/>
        </w:rPr>
        <w:t xml:space="preserve"> has established </w:t>
      </w:r>
      <w:r w:rsidR="008F4D66" w:rsidRPr="0006336F">
        <w:rPr>
          <w:rFonts w:eastAsia="Calibri Light" w:cstheme="majorBidi"/>
        </w:rPr>
        <w:t>eight</w:t>
      </w:r>
      <w:r w:rsidR="00716C0C" w:rsidRPr="0006336F">
        <w:rPr>
          <w:rFonts w:eastAsia="Calibri Light" w:cstheme="majorBidi"/>
        </w:rPr>
        <w:t xml:space="preserve"> key principles (Box </w:t>
      </w:r>
      <w:r w:rsidR="008331F1" w:rsidRPr="0006336F">
        <w:rPr>
          <w:rFonts w:eastAsia="Calibri Light" w:cstheme="majorBidi"/>
        </w:rPr>
        <w:t>R</w:t>
      </w:r>
      <w:r w:rsidR="000D4767" w:rsidRPr="0006336F">
        <w:rPr>
          <w:rFonts w:eastAsia="Calibri Light" w:cstheme="majorBidi"/>
        </w:rPr>
        <w:t>.</w:t>
      </w:r>
      <w:r w:rsidR="00531E47" w:rsidRPr="0006336F">
        <w:rPr>
          <w:rFonts w:eastAsia="Calibri Light" w:cstheme="majorBidi"/>
        </w:rPr>
        <w:t>4</w:t>
      </w:r>
      <w:r w:rsidR="00716C0C" w:rsidRPr="0006336F">
        <w:rPr>
          <w:rFonts w:eastAsia="Calibri Light" w:cstheme="majorBidi"/>
        </w:rPr>
        <w:t xml:space="preserve">) to guide reforms of Disability Employment Services, </w:t>
      </w:r>
      <w:r w:rsidR="00E35DEA" w:rsidRPr="0006336F">
        <w:rPr>
          <w:rFonts w:eastAsia="Calibri Light" w:cstheme="majorBidi"/>
        </w:rPr>
        <w:t xml:space="preserve">the </w:t>
      </w:r>
      <w:r w:rsidR="00716C0C" w:rsidRPr="0006336F">
        <w:rPr>
          <w:rFonts w:eastAsia="Calibri Light" w:cstheme="majorBidi"/>
        </w:rPr>
        <w:t>Community Development Program</w:t>
      </w:r>
      <w:r w:rsidR="000C7D03">
        <w:rPr>
          <w:rFonts w:eastAsia="Calibri Light" w:cstheme="majorBidi"/>
        </w:rPr>
        <w:t xml:space="preserve"> and</w:t>
      </w:r>
      <w:r w:rsidR="00716C0C" w:rsidRPr="0006336F">
        <w:rPr>
          <w:rFonts w:eastAsia="Calibri Light" w:cstheme="majorBidi"/>
        </w:rPr>
        <w:t xml:space="preserve"> </w:t>
      </w:r>
      <w:r w:rsidR="00264361" w:rsidRPr="0006336F">
        <w:rPr>
          <w:rFonts w:eastAsia="Calibri Light" w:cstheme="majorBidi"/>
        </w:rPr>
        <w:t>Workforce Australia</w:t>
      </w:r>
      <w:r w:rsidR="00264361">
        <w:rPr>
          <w:rFonts w:eastAsia="Calibri Light" w:cstheme="majorBidi"/>
        </w:rPr>
        <w:t>,</w:t>
      </w:r>
      <w:r w:rsidR="00264361" w:rsidRPr="0006336F">
        <w:rPr>
          <w:rFonts w:eastAsia="Calibri Light" w:cstheme="majorBidi"/>
        </w:rPr>
        <w:t xml:space="preserve"> </w:t>
      </w:r>
      <w:r w:rsidR="00716C0C" w:rsidRPr="0006336F">
        <w:rPr>
          <w:rFonts w:eastAsia="Calibri Light" w:cstheme="majorBidi"/>
        </w:rPr>
        <w:t>including the Government</w:t>
      </w:r>
      <w:r w:rsidR="00B16861">
        <w:rPr>
          <w:rFonts w:eastAsia="Calibri Light" w:cstheme="majorBidi"/>
        </w:rPr>
        <w:t>’</w:t>
      </w:r>
      <w:r w:rsidR="00716C0C" w:rsidRPr="0006336F">
        <w:rPr>
          <w:rFonts w:eastAsia="Calibri Light" w:cstheme="majorBidi"/>
        </w:rPr>
        <w:t>s response to the Select Committee</w:t>
      </w:r>
      <w:r w:rsidR="00B16861">
        <w:rPr>
          <w:rFonts w:eastAsia="Calibri Light" w:cstheme="majorBidi"/>
        </w:rPr>
        <w:t>’</w:t>
      </w:r>
      <w:r w:rsidR="00716C0C" w:rsidRPr="0006336F">
        <w:rPr>
          <w:rFonts w:eastAsia="Calibri Light" w:cstheme="majorBidi"/>
        </w:rPr>
        <w:t>s recommendations.</w:t>
      </w:r>
    </w:p>
    <w:p w14:paraId="29D5F335" w14:textId="7F6A923B" w:rsidR="00F77954" w:rsidRPr="0006336F" w:rsidRDefault="00F77954" w:rsidP="00F77954">
      <w:r w:rsidRPr="0006336F">
        <w:t xml:space="preserve">These principles set the direction for how the Government will support people seeking jobs, and businesses </w:t>
      </w:r>
      <w:r w:rsidR="00D2355A" w:rsidRPr="0006336F">
        <w:t xml:space="preserve">finding </w:t>
      </w:r>
      <w:r w:rsidRPr="0006336F">
        <w:t>workers. The relationship will be based on protecting people</w:t>
      </w:r>
      <w:r w:rsidR="00B16861">
        <w:t>’</w:t>
      </w:r>
      <w:r w:rsidRPr="0006336F">
        <w:t>s dignity and individual rights, and helping people achieve their individual employment goals and aspirations. The</w:t>
      </w:r>
      <w:r w:rsidR="000F0ED2">
        <w:t> </w:t>
      </w:r>
      <w:r w:rsidRPr="0006336F">
        <w:t xml:space="preserve">system </w:t>
      </w:r>
      <w:r w:rsidR="004D04B6" w:rsidRPr="0006336F">
        <w:t>will</w:t>
      </w:r>
      <w:r w:rsidRPr="0006336F">
        <w:t xml:space="preserve"> invest in people</w:t>
      </w:r>
      <w:r w:rsidR="00B16861">
        <w:t>’</w:t>
      </w:r>
      <w:r w:rsidRPr="0006336F">
        <w:t xml:space="preserve">s potential, building their human capital and connecting with broader social services to help </w:t>
      </w:r>
      <w:r w:rsidR="00EB564C">
        <w:t xml:space="preserve">them </w:t>
      </w:r>
      <w:r w:rsidRPr="0006336F">
        <w:t>overcome barriers to participation and build pathways to decent jobs.</w:t>
      </w:r>
    </w:p>
    <w:p w14:paraId="4A056132" w14:textId="48927DD2" w:rsidR="00DC47D3" w:rsidRPr="0006336F" w:rsidRDefault="00F77954" w:rsidP="00132A70">
      <w:r w:rsidRPr="0006336F">
        <w:t xml:space="preserve">The employment services reform principles will </w:t>
      </w:r>
      <w:r w:rsidR="008856EC" w:rsidRPr="0006336F">
        <w:t>guide future improvements to</w:t>
      </w:r>
      <w:r w:rsidRPr="0006336F">
        <w:t xml:space="preserve"> the system for businesses and regions, ensuring </w:t>
      </w:r>
      <w:r w:rsidR="00DA3007" w:rsidRPr="0006336F">
        <w:t>it</w:t>
      </w:r>
      <w:r w:rsidRPr="0006336F">
        <w:t xml:space="preserve"> is used by </w:t>
      </w:r>
      <w:r w:rsidR="00EF184F" w:rsidRPr="0006336F">
        <w:t>more</w:t>
      </w:r>
      <w:r w:rsidRPr="0006336F">
        <w:t xml:space="preserve"> employers and industries seeking suitable workers. In remote regions with </w:t>
      </w:r>
      <w:r w:rsidR="00811964" w:rsidRPr="0006336F">
        <w:t xml:space="preserve">very </w:t>
      </w:r>
      <w:r w:rsidRPr="0006336F">
        <w:t xml:space="preserve">thin labour markets, </w:t>
      </w:r>
      <w:r w:rsidR="00EF184F" w:rsidRPr="0006336F">
        <w:t>the Government may</w:t>
      </w:r>
      <w:r w:rsidRPr="0006336F">
        <w:t xml:space="preserve"> need to </w:t>
      </w:r>
      <w:r w:rsidR="0098119A" w:rsidRPr="0006336F">
        <w:t xml:space="preserve">promote </w:t>
      </w:r>
      <w:r w:rsidRPr="0006336F">
        <w:t xml:space="preserve">job creation </w:t>
      </w:r>
      <w:r w:rsidR="00EF184F" w:rsidRPr="0006336F">
        <w:t>to help give local opportunities</w:t>
      </w:r>
      <w:r w:rsidRPr="0006336F">
        <w:t xml:space="preserve"> to </w:t>
      </w:r>
      <w:r w:rsidR="0043098B" w:rsidRPr="0006336F">
        <w:t xml:space="preserve">people </w:t>
      </w:r>
      <w:r w:rsidRPr="0006336F">
        <w:t xml:space="preserve">seeking work. </w:t>
      </w:r>
      <w:r w:rsidR="00FD3514">
        <w:t>The Government</w:t>
      </w:r>
      <w:r w:rsidRPr="0006336F">
        <w:t xml:space="preserve"> will seek to build a more active stewardship role for the Australian Public Service, combined with a vibrant diversity of providers, including a greater role for </w:t>
      </w:r>
      <w:r w:rsidR="00E52963" w:rsidRPr="0006336F">
        <w:t xml:space="preserve">Aboriginal </w:t>
      </w:r>
      <w:r w:rsidR="00B3458C" w:rsidRPr="0006336F">
        <w:t xml:space="preserve">and </w:t>
      </w:r>
      <w:r w:rsidR="00FD3514">
        <w:t>Torres Strait</w:t>
      </w:r>
      <w:r w:rsidR="00B3458C" w:rsidRPr="0006336F">
        <w:t xml:space="preserve"> Islander c</w:t>
      </w:r>
      <w:r w:rsidRPr="0006336F">
        <w:t>ommunity</w:t>
      </w:r>
      <w:r w:rsidR="00B16861">
        <w:noBreakHyphen/>
      </w:r>
      <w:r w:rsidR="00D80802" w:rsidRPr="0006336F">
        <w:t>c</w:t>
      </w:r>
      <w:r w:rsidRPr="0006336F">
        <w:t xml:space="preserve">ontrolled </w:t>
      </w:r>
      <w:r w:rsidR="00514672" w:rsidRPr="0006336F">
        <w:t>o</w:t>
      </w:r>
      <w:r w:rsidRPr="0006336F">
        <w:t>rganisations.</w:t>
      </w:r>
    </w:p>
    <w:tbl>
      <w:tblPr>
        <w:tblStyle w:val="TableGrid"/>
        <w:tblW w:w="5000" w:type="pct"/>
        <w:shd w:val="clear" w:color="auto" w:fill="F2F2F2" w:themeFill="background1" w:themeFillShade="F2"/>
        <w:tblCellMar>
          <w:top w:w="227" w:type="dxa"/>
          <w:left w:w="227" w:type="dxa"/>
          <w:bottom w:w="227" w:type="dxa"/>
          <w:right w:w="227" w:type="dxa"/>
        </w:tblCellMar>
        <w:tblLook w:val="0620" w:firstRow="1" w:lastRow="0" w:firstColumn="0" w:lastColumn="0" w:noHBand="1" w:noVBand="1"/>
      </w:tblPr>
      <w:tblGrid>
        <w:gridCol w:w="9070"/>
      </w:tblGrid>
      <w:tr w:rsidR="008D28DC" w:rsidRPr="0006336F" w14:paraId="4EDC1B59" w14:textId="77777777" w:rsidTr="00A715A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0A250FF4" w14:textId="6FA850AE" w:rsidR="008D28DC" w:rsidRPr="0006336F" w:rsidRDefault="002277C3" w:rsidP="00FB0D95">
            <w:pPr>
              <w:pStyle w:val="BoxHeadingBoxR1Roadmap"/>
              <w:spacing w:before="180"/>
            </w:pPr>
            <w:r w:rsidRPr="0006336F">
              <w:lastRenderedPageBreak/>
              <w:t>Our plan for employment services</w:t>
            </w:r>
            <w:r w:rsidR="00FD3514">
              <w:t xml:space="preserve"> – </w:t>
            </w:r>
            <w:r w:rsidRPr="0006336F">
              <w:t>eight principles for reform</w:t>
            </w:r>
          </w:p>
          <w:p w14:paraId="65A9A837" w14:textId="270A1AD3" w:rsidR="004D1E56" w:rsidRPr="00AC08B7" w:rsidRDefault="004D1E56" w:rsidP="009E74D1">
            <w:pPr>
              <w:pStyle w:val="BoxText"/>
              <w:ind w:left="567" w:hanging="567"/>
            </w:pPr>
            <w:r w:rsidRPr="00AC08B7">
              <w:t>1</w:t>
            </w:r>
            <w:r w:rsidRPr="00AC08B7">
              <w:tab/>
              <w:t>Services are viewed as an investment that unlock individual potential, address employer needs and work with industry to bolster growth.</w:t>
            </w:r>
          </w:p>
          <w:p w14:paraId="38A73028" w14:textId="70295BCB" w:rsidR="004D1E56" w:rsidRPr="0006336F" w:rsidRDefault="004D1E56" w:rsidP="009E74D1">
            <w:pPr>
              <w:pStyle w:val="BoxText"/>
              <w:ind w:left="1134" w:hanging="567"/>
            </w:pPr>
            <w:r w:rsidRPr="0006336F">
              <w:t>a)</w:t>
            </w:r>
            <w:r w:rsidRPr="0006336F">
              <w:tab/>
              <w:t>the system builds human capital and ensures job placements are appropriate</w:t>
            </w:r>
          </w:p>
          <w:p w14:paraId="00EF30C6" w14:textId="4FE7305C" w:rsidR="004D1E56" w:rsidRPr="0006336F" w:rsidRDefault="004D1E56" w:rsidP="009E74D1">
            <w:pPr>
              <w:pStyle w:val="BoxText"/>
              <w:ind w:left="1134" w:hanging="567"/>
            </w:pPr>
            <w:r w:rsidRPr="0006336F">
              <w:t>b)</w:t>
            </w:r>
            <w:r w:rsidRPr="0006336F">
              <w:tab/>
              <w:t>services help businesses and communities to grow by connecting people to jobs.</w:t>
            </w:r>
          </w:p>
          <w:p w14:paraId="732EBEEB" w14:textId="66760693" w:rsidR="004D1E56" w:rsidRPr="0006336F" w:rsidRDefault="004D1E56" w:rsidP="009E74D1">
            <w:pPr>
              <w:pStyle w:val="BoxText"/>
              <w:ind w:left="567" w:hanging="567"/>
            </w:pPr>
            <w:r w:rsidRPr="0006336F">
              <w:t>2</w:t>
            </w:r>
            <w:r w:rsidRPr="0006336F">
              <w:tab/>
              <w:t>There is strong Australian Public Service stewardship in the system and the outcomes it delivers to ensure that individuals are not left behind.</w:t>
            </w:r>
          </w:p>
          <w:p w14:paraId="635F36E7" w14:textId="0F4BAB2B" w:rsidR="004D1E56" w:rsidRPr="0006336F" w:rsidRDefault="004D1E56" w:rsidP="009E74D1">
            <w:pPr>
              <w:pStyle w:val="BoxText"/>
              <w:ind w:left="567" w:hanging="567"/>
            </w:pPr>
            <w:r w:rsidRPr="0006336F">
              <w:t>3</w:t>
            </w:r>
            <w:r w:rsidRPr="0006336F">
              <w:tab/>
              <w:t>Services protect the dignity and respect rights of individuals.</w:t>
            </w:r>
          </w:p>
          <w:p w14:paraId="56CA391F" w14:textId="05BB7188" w:rsidR="004D1E56" w:rsidRPr="0006336F" w:rsidRDefault="004D1E56" w:rsidP="009E74D1">
            <w:pPr>
              <w:pStyle w:val="BoxText"/>
              <w:ind w:left="1134" w:hanging="567"/>
            </w:pPr>
            <w:r w:rsidRPr="0006336F">
              <w:t>a)</w:t>
            </w:r>
            <w:r w:rsidRPr="0006336F">
              <w:tab/>
            </w:r>
            <w:r w:rsidR="002B7339" w:rsidRPr="0006336F">
              <w:t>s</w:t>
            </w:r>
            <w:r w:rsidRPr="0006336F">
              <w:t>ervices help individuals meet their employment and personal development goals</w:t>
            </w:r>
          </w:p>
          <w:p w14:paraId="26FE481C" w14:textId="4D6896A4" w:rsidR="004D1E56" w:rsidRPr="0006336F" w:rsidRDefault="004D1E56" w:rsidP="009E74D1">
            <w:pPr>
              <w:pStyle w:val="BoxText"/>
              <w:ind w:left="1134" w:hanging="567"/>
            </w:pPr>
            <w:r w:rsidRPr="0006336F">
              <w:t>b)</w:t>
            </w:r>
            <w:r w:rsidRPr="0006336F">
              <w:tab/>
            </w:r>
            <w:r w:rsidR="002B7339" w:rsidRPr="0006336F">
              <w:t>s</w:t>
            </w:r>
            <w:r w:rsidRPr="0006336F">
              <w:t>ervices are designed and delivered in a culturally responsive and inclusive way that meets communities</w:t>
            </w:r>
            <w:r w:rsidR="00B16861">
              <w:t>’</w:t>
            </w:r>
            <w:r w:rsidRPr="0006336F">
              <w:t xml:space="preserve"> needs.</w:t>
            </w:r>
          </w:p>
          <w:p w14:paraId="04211897" w14:textId="01547907" w:rsidR="004D1E56" w:rsidRPr="0006336F" w:rsidRDefault="004D1E56" w:rsidP="009E74D1">
            <w:pPr>
              <w:pStyle w:val="BoxText"/>
              <w:ind w:left="567" w:hanging="567"/>
            </w:pPr>
            <w:r w:rsidRPr="0006336F">
              <w:t>4</w:t>
            </w:r>
            <w:r w:rsidRPr="0006336F">
              <w:tab/>
              <w:t>Services provide a pathway towards decent jobs that provide the flexibility and security that individuals need.</w:t>
            </w:r>
          </w:p>
          <w:p w14:paraId="04B91819" w14:textId="5E978855" w:rsidR="004D1E56" w:rsidRPr="0006336F" w:rsidRDefault="004D1E56" w:rsidP="009E74D1">
            <w:pPr>
              <w:pStyle w:val="BoxText"/>
              <w:ind w:left="1134" w:hanging="567"/>
            </w:pPr>
            <w:r w:rsidRPr="0006336F">
              <w:t>a)</w:t>
            </w:r>
            <w:r w:rsidRPr="0006336F">
              <w:tab/>
            </w:r>
            <w:r w:rsidR="006C3553" w:rsidRPr="0006336F">
              <w:t>t</w:t>
            </w:r>
            <w:r w:rsidRPr="0006336F">
              <w:t>he Government may need to promote the creation of jobs to alleviate entrenched community disadvantage where labour markets are very thin and where individuals face very high barriers to work.</w:t>
            </w:r>
          </w:p>
          <w:p w14:paraId="4BDE363F" w14:textId="6547FC55" w:rsidR="004D1E56" w:rsidRPr="0006336F" w:rsidRDefault="004D1E56" w:rsidP="009E74D1">
            <w:pPr>
              <w:pStyle w:val="BoxText"/>
              <w:ind w:left="567" w:hanging="567"/>
            </w:pPr>
            <w:r w:rsidRPr="0006336F">
              <w:t>5</w:t>
            </w:r>
            <w:r w:rsidRPr="0006336F">
              <w:tab/>
              <w:t>Employers use employment services to help meet their workforce needs, and can access guidance on innovative job design, recruitment practices and inclusive approaches to workforce development.</w:t>
            </w:r>
          </w:p>
          <w:p w14:paraId="26D3ED73" w14:textId="49D74E1D" w:rsidR="004D1E56" w:rsidRPr="0006336F" w:rsidRDefault="004D1E56" w:rsidP="009E74D1">
            <w:pPr>
              <w:pStyle w:val="BoxText"/>
              <w:ind w:left="567" w:hanging="567"/>
            </w:pPr>
            <w:r w:rsidRPr="0006336F">
              <w:t>6</w:t>
            </w:r>
            <w:r w:rsidRPr="0006336F">
              <w:tab/>
              <w:t xml:space="preserve">Employment services are designed through collaboration with individuals, employers and the community. </w:t>
            </w:r>
          </w:p>
          <w:p w14:paraId="2B491119" w14:textId="56247F95" w:rsidR="004D1E56" w:rsidRPr="0006336F" w:rsidRDefault="004D1E56" w:rsidP="009E74D1">
            <w:pPr>
              <w:pStyle w:val="BoxText"/>
              <w:ind w:left="1134" w:hanging="567"/>
            </w:pPr>
            <w:r w:rsidRPr="0006336F">
              <w:t>a)</w:t>
            </w:r>
            <w:r w:rsidRPr="0006336F">
              <w:tab/>
              <w:t xml:space="preserve">the participation of </w:t>
            </w:r>
            <w:r w:rsidR="0060531B" w:rsidRPr="001965A3">
              <w:t>Aboriginal and Torres Strait Islander</w:t>
            </w:r>
            <w:r w:rsidR="0060531B">
              <w:t xml:space="preserve"> </w:t>
            </w:r>
            <w:r w:rsidRPr="0006336F">
              <w:rPr>
                <w:rFonts w:cstheme="minorHAnsi"/>
              </w:rPr>
              <w:t>Community Controlled Organisations</w:t>
            </w:r>
            <w:r w:rsidRPr="0006336F">
              <w:t>, and community</w:t>
            </w:r>
            <w:r w:rsidR="00B16861">
              <w:noBreakHyphen/>
            </w:r>
            <w:r w:rsidRPr="0006336F">
              <w:t>based organisations, is boosted in the delivery of employment services.</w:t>
            </w:r>
          </w:p>
          <w:p w14:paraId="2D21A807" w14:textId="582E9600" w:rsidR="004D1E56" w:rsidRPr="0006336F" w:rsidRDefault="004D1E56" w:rsidP="009E74D1">
            <w:pPr>
              <w:pStyle w:val="BoxText"/>
              <w:ind w:left="567" w:hanging="567"/>
            </w:pPr>
            <w:r w:rsidRPr="0006336F">
              <w:t>7</w:t>
            </w:r>
            <w:r w:rsidRPr="0006336F">
              <w:tab/>
              <w:t>Services help people at the earliest opportunity, informed by fit</w:t>
            </w:r>
            <w:r w:rsidR="00B16861">
              <w:noBreakHyphen/>
            </w:r>
            <w:r w:rsidRPr="0006336F">
              <w:t>for</w:t>
            </w:r>
            <w:r w:rsidR="00B16861">
              <w:noBreakHyphen/>
            </w:r>
            <w:r w:rsidRPr="0006336F">
              <w:t>purpose assessment processes.</w:t>
            </w:r>
          </w:p>
          <w:p w14:paraId="4AE1ADFA" w14:textId="1C8E415F" w:rsidR="008D28DC" w:rsidRPr="0006336F" w:rsidRDefault="004D1E56" w:rsidP="009E74D1">
            <w:pPr>
              <w:pStyle w:val="BoxText"/>
              <w:ind w:left="567" w:hanging="567"/>
            </w:pPr>
            <w:r w:rsidRPr="0006336F">
              <w:t>8</w:t>
            </w:r>
            <w:r w:rsidRPr="0006336F">
              <w:tab/>
              <w:t xml:space="preserve">Reforms are grounded in evidence, </w:t>
            </w:r>
            <w:r w:rsidR="00DF28D1" w:rsidRPr="0006336F">
              <w:t>high</w:t>
            </w:r>
            <w:r w:rsidRPr="0006336F">
              <w:t xml:space="preserve"> quality evaluation and continuous learning and improvement.</w:t>
            </w:r>
          </w:p>
        </w:tc>
      </w:tr>
    </w:tbl>
    <w:p w14:paraId="16D04AFF" w14:textId="46C57A04" w:rsidR="00E67D44" w:rsidRPr="0006336F" w:rsidRDefault="00B4735A" w:rsidP="00F4496B">
      <w:pPr>
        <w:pStyle w:val="Heading3"/>
      </w:pPr>
      <w:r w:rsidRPr="0006336F">
        <w:t>Evaluat</w:t>
      </w:r>
      <w:r w:rsidR="00D455FD" w:rsidRPr="0006336F">
        <w:t>ing</w:t>
      </w:r>
      <w:r w:rsidRPr="0006336F">
        <w:t xml:space="preserve"> and learn</w:t>
      </w:r>
      <w:r w:rsidR="00D455FD" w:rsidRPr="0006336F">
        <w:t>ing</w:t>
      </w:r>
      <w:r w:rsidRPr="0006336F">
        <w:t xml:space="preserve"> in employment services</w:t>
      </w:r>
    </w:p>
    <w:p w14:paraId="4FD9CCDC" w14:textId="0617A000" w:rsidR="00E67D44" w:rsidRPr="0006336F" w:rsidRDefault="00883D00" w:rsidP="00E67D44">
      <w:r w:rsidRPr="0006336F">
        <w:t xml:space="preserve">One </w:t>
      </w:r>
      <w:r w:rsidR="00E67D44" w:rsidRPr="0006336F">
        <w:t xml:space="preserve">component of the principles for employment services reform is rigorous policy evaluation which is essential to effective public policymaking. </w:t>
      </w:r>
      <w:r w:rsidR="00146715" w:rsidRPr="0006336F">
        <w:t>Evaluation</w:t>
      </w:r>
      <w:r w:rsidR="00E67D44" w:rsidRPr="0006336F">
        <w:t xml:space="preserve"> can help improve the design and implementation of policies and programs</w:t>
      </w:r>
      <w:r w:rsidR="006832D1" w:rsidRPr="0006336F">
        <w:t>. It</w:t>
      </w:r>
      <w:r w:rsidR="00E67D44" w:rsidRPr="0006336F">
        <w:t xml:space="preserve"> is especially important in policy areas like employment services where the effectiveness of these services can be critical in achieving inclusive full employment. This can in turn lead to better outcomes for Australians and contribute to better public accountability, learning, and increased public sector effectiveness through improved decision</w:t>
      </w:r>
      <w:r w:rsidR="00D72A26">
        <w:t>-</w:t>
      </w:r>
      <w:r w:rsidR="00E67D44" w:rsidRPr="0006336F">
        <w:t xml:space="preserve">making. </w:t>
      </w:r>
    </w:p>
    <w:p w14:paraId="45C70245" w14:textId="24C5BFBF" w:rsidR="00E67D44" w:rsidRPr="0006336F" w:rsidRDefault="00E67D44" w:rsidP="005A2C3A">
      <w:r w:rsidRPr="0006336F">
        <w:t xml:space="preserve">As Principle </w:t>
      </w:r>
      <w:r w:rsidR="00A40354" w:rsidRPr="0006336F">
        <w:t>E</w:t>
      </w:r>
      <w:r w:rsidR="009F7576" w:rsidRPr="0006336F">
        <w:t>ight</w:t>
      </w:r>
      <w:r w:rsidRPr="0006336F">
        <w:t xml:space="preserve"> suggests, employment services system design should be based on clear evidence</w:t>
      </w:r>
      <w:r w:rsidR="00FD3514">
        <w:t xml:space="preserve"> – </w:t>
      </w:r>
      <w:r w:rsidRPr="0006336F">
        <w:t>both domestic and international</w:t>
      </w:r>
      <w:r w:rsidR="00FD3514">
        <w:t xml:space="preserve"> – </w:t>
      </w:r>
      <w:r w:rsidRPr="0006336F">
        <w:t>and be open to continuous learning and improvement.</w:t>
      </w:r>
      <w:r w:rsidR="00A01CAA" w:rsidRPr="0006336F">
        <w:t xml:space="preserve"> </w:t>
      </w:r>
      <w:r w:rsidRPr="0006336F">
        <w:t>T</w:t>
      </w:r>
      <w:r w:rsidR="002E5219" w:rsidRPr="0006336F">
        <w:t xml:space="preserve">o support </w:t>
      </w:r>
      <w:r w:rsidR="000B2AD2" w:rsidRPr="0006336F">
        <w:t>t</w:t>
      </w:r>
      <w:r w:rsidRPr="0006336F">
        <w:t>he Government</w:t>
      </w:r>
      <w:r w:rsidR="00B16861">
        <w:t>’</w:t>
      </w:r>
      <w:r w:rsidR="000B2AD2" w:rsidRPr="0006336F">
        <w:t xml:space="preserve">s new direction in employment services, </w:t>
      </w:r>
      <w:r w:rsidR="00622931">
        <w:t>we are</w:t>
      </w:r>
      <w:r w:rsidRPr="0006336F">
        <w:t xml:space="preserve"> committed to building the evidence base</w:t>
      </w:r>
      <w:r w:rsidR="0052761D" w:rsidRPr="0006336F">
        <w:t>, i</w:t>
      </w:r>
      <w:r w:rsidRPr="0006336F">
        <w:t>nclud</w:t>
      </w:r>
      <w:r w:rsidR="00C55F3A" w:rsidRPr="0006336F">
        <w:t>ing</w:t>
      </w:r>
      <w:r w:rsidRPr="0006336F">
        <w:t xml:space="preserve"> using evaluations</w:t>
      </w:r>
      <w:r w:rsidR="00A67073" w:rsidRPr="0006336F">
        <w:t xml:space="preserve"> </w:t>
      </w:r>
      <w:r w:rsidRPr="0006336F">
        <w:t xml:space="preserve">and other strategies. Evaluations can reveal how policies affect different groups in different ways. These insights can be used to design and adapt programs to ensure they work for diverse experiences. </w:t>
      </w:r>
    </w:p>
    <w:p w14:paraId="7EAEE701" w14:textId="490DCC14" w:rsidR="00E67D44" w:rsidRPr="0006336F" w:rsidRDefault="00E67D44" w:rsidP="00F4496B">
      <w:pPr>
        <w:pStyle w:val="Heading3"/>
      </w:pPr>
      <w:r w:rsidRPr="0006336F">
        <w:lastRenderedPageBreak/>
        <w:t xml:space="preserve">Engaging with local labour markets </w:t>
      </w:r>
    </w:p>
    <w:p w14:paraId="16E11EAE" w14:textId="63459A6E" w:rsidR="00E67D44" w:rsidRPr="0006336F" w:rsidRDefault="00E67D44" w:rsidP="00D90263">
      <w:r w:rsidRPr="0006336F">
        <w:t>Employment services need to work for local communities and local labour markets. Engaging at the local level can support the effectiveness and coordination of programs. Those on the ground, and especially communities themselves, are often best placed to identify and develop targeted solutions based on their specific needs. Place</w:t>
      </w:r>
      <w:r w:rsidR="00B16861">
        <w:noBreakHyphen/>
      </w:r>
      <w:r w:rsidRPr="0006336F">
        <w:t xml:space="preserve">based approaches involve communities as active participants in the design of policies and programs </w:t>
      </w:r>
      <w:r w:rsidR="008D20EE" w:rsidRPr="0006336F">
        <w:t xml:space="preserve">and </w:t>
      </w:r>
      <w:r w:rsidRPr="0006336F">
        <w:t xml:space="preserve">provide opportunities to target local labour market responses. </w:t>
      </w:r>
    </w:p>
    <w:p w14:paraId="3AE184AF" w14:textId="5159D33C" w:rsidR="00B7461B" w:rsidRPr="0006336F" w:rsidRDefault="00B7461B" w:rsidP="00B7461B">
      <w:r w:rsidRPr="0006336F">
        <w:t xml:space="preserve">The Local Jobs Program helps bring a local focus to employment services. </w:t>
      </w:r>
      <w:r w:rsidR="00FD3514">
        <w:t>The Government</w:t>
      </w:r>
      <w:r w:rsidRPr="0006336F">
        <w:t xml:space="preserve"> is undertaking a two</w:t>
      </w:r>
      <w:r w:rsidR="00B16861">
        <w:noBreakHyphen/>
      </w:r>
      <w:r w:rsidRPr="0006336F">
        <w:t xml:space="preserve">stage reform process </w:t>
      </w:r>
      <w:r w:rsidR="00302E21">
        <w:t>of</w:t>
      </w:r>
      <w:r w:rsidRPr="0006336F">
        <w:t xml:space="preserve"> the Local Jobs Program to better focus its policy intent </w:t>
      </w:r>
      <w:r w:rsidR="0087193B" w:rsidRPr="0006336F">
        <w:t>and embed best</w:t>
      </w:r>
      <w:r w:rsidR="003408AD" w:rsidRPr="0006336F">
        <w:t xml:space="preserve"> </w:t>
      </w:r>
      <w:r w:rsidR="0087193B" w:rsidRPr="0006336F">
        <w:t>practice</w:t>
      </w:r>
      <w:r w:rsidR="00D048C5" w:rsidRPr="0006336F">
        <w:t xml:space="preserve"> place</w:t>
      </w:r>
      <w:r w:rsidR="00B16861">
        <w:noBreakHyphen/>
      </w:r>
      <w:r w:rsidR="00D048C5" w:rsidRPr="0006336F">
        <w:t>based policy design principles</w:t>
      </w:r>
      <w:r w:rsidR="00FD3514">
        <w:t xml:space="preserve"> – </w:t>
      </w:r>
      <w:r w:rsidRPr="0006336F">
        <w:t xml:space="preserve">supporting better employment outcomes for people seeking work in local labour markets. </w:t>
      </w:r>
    </w:p>
    <w:p w14:paraId="78AC0F6D" w14:textId="143CE795" w:rsidR="00B7461B" w:rsidRPr="0006336F" w:rsidRDefault="00B7461B" w:rsidP="00B7461B">
      <w:r w:rsidRPr="0006336F">
        <w:t>Initial changes to the Local Jobs Program will include: broadening eligibility for projects funded through the Local Recovery Fund to include more people</w:t>
      </w:r>
      <w:r w:rsidR="002D31F1">
        <w:t>,</w:t>
      </w:r>
      <w:r w:rsidRPr="0006336F">
        <w:t xml:space="preserve"> including those who are not receiving income support but need help connecting with work</w:t>
      </w:r>
      <w:r w:rsidR="002D31F1">
        <w:t>,</w:t>
      </w:r>
      <w:r w:rsidR="003C0EE9" w:rsidRPr="0006336F">
        <w:t xml:space="preserve"> </w:t>
      </w:r>
      <w:r w:rsidRPr="0006336F">
        <w:t>strengthening governance structures to enhance community representatio</w:t>
      </w:r>
      <w:r w:rsidR="002D31F1">
        <w:t>n,</w:t>
      </w:r>
      <w:r w:rsidR="003C0EE9" w:rsidRPr="0006336F">
        <w:t xml:space="preserve"> </w:t>
      </w:r>
      <w:r w:rsidRPr="0006336F">
        <w:t>strengthening APS support in Employment Facilitator services in several micro employment regions with thin labour markets</w:t>
      </w:r>
      <w:r w:rsidR="002D31F1">
        <w:t>,</w:t>
      </w:r>
      <w:r w:rsidR="003C0EE9" w:rsidRPr="0006336F">
        <w:t xml:space="preserve"> </w:t>
      </w:r>
      <w:r w:rsidRPr="0006336F">
        <w:t>and enhancing local and regional data and information to inform decision</w:t>
      </w:r>
      <w:r w:rsidR="00D72A26">
        <w:t>-</w:t>
      </w:r>
      <w:r w:rsidRPr="0006336F">
        <w:t>making processes.</w:t>
      </w:r>
    </w:p>
    <w:p w14:paraId="54C4699D" w14:textId="2646CDF2" w:rsidR="008B239F" w:rsidRPr="0006336F" w:rsidRDefault="00FD3514" w:rsidP="00F4496B">
      <w:r>
        <w:t>The Government</w:t>
      </w:r>
      <w:r w:rsidR="00B7461B" w:rsidRPr="0006336F">
        <w:t xml:space="preserve"> is also exploring options for the future design of the Local Jobs Program. </w:t>
      </w:r>
      <w:r>
        <w:t>The Government</w:t>
      </w:r>
      <w:r w:rsidR="00B16861">
        <w:t>’</w:t>
      </w:r>
      <w:r w:rsidR="00B7461B" w:rsidRPr="0006336F">
        <w:t>s reform direction will explicitly consider the scope and priorities for investment to support the smooth functioning of the labour market and the optimal geographic spread to address business capability, industry transitions and the adaptive capacity of local labour markets. Evaluation will play an important role in the program</w:t>
      </w:r>
      <w:r w:rsidR="00B16861">
        <w:t>’</w:t>
      </w:r>
      <w:r w:rsidR="00B7461B" w:rsidRPr="0006336F">
        <w:t>s design over time.</w:t>
      </w:r>
    </w:p>
    <w:p w14:paraId="471DCDD1" w14:textId="29F7A0D0" w:rsidR="00932AD4" w:rsidRPr="0006336F" w:rsidRDefault="00932AD4" w:rsidP="00932AD4">
      <w:r w:rsidRPr="0006336F">
        <w:t xml:space="preserve">More broadly, employment services need to operate in collaboration with local communities (Principle </w:t>
      </w:r>
      <w:r w:rsidR="00D826ED" w:rsidRPr="0006336F">
        <w:t>S</w:t>
      </w:r>
      <w:r w:rsidR="0086314B" w:rsidRPr="0006336F">
        <w:t>ix</w:t>
      </w:r>
      <w:r w:rsidRPr="0006336F">
        <w:t>). They should contribute to the local service infrastructure and community fabric to deliver the best possible outcomes particularly for people facing complex socio</w:t>
      </w:r>
      <w:r w:rsidR="00B16861">
        <w:noBreakHyphen/>
      </w:r>
      <w:r w:rsidRPr="0006336F">
        <w:t>economic disadvantage in collaboration with other services. This focus will be threaded through all programs to create opportunities that work for individuals and communities.</w:t>
      </w:r>
      <w:r w:rsidR="00E3446E" w:rsidRPr="0006336F">
        <w:t xml:space="preserve"> </w:t>
      </w:r>
    </w:p>
    <w:p w14:paraId="26648741" w14:textId="2A68FA94" w:rsidR="00E67D44" w:rsidRPr="0006336F" w:rsidRDefault="00367232" w:rsidP="00932AD4">
      <w:pPr>
        <w:pStyle w:val="Heading4"/>
      </w:pPr>
      <w:r w:rsidRPr="0006336F">
        <w:t xml:space="preserve">Replacing the </w:t>
      </w:r>
      <w:r w:rsidR="00E67D44" w:rsidRPr="0006336F">
        <w:t>Community Development Program</w:t>
      </w:r>
    </w:p>
    <w:p w14:paraId="5353946F" w14:textId="0928BF5A" w:rsidR="007D2339" w:rsidRPr="0006336F" w:rsidRDefault="00FD3514" w:rsidP="00C96C04">
      <w:r>
        <w:t>The Government</w:t>
      </w:r>
      <w:r w:rsidR="00E67D44" w:rsidRPr="0006336F">
        <w:t xml:space="preserve"> is delivering on its election commitment to replace </w:t>
      </w:r>
      <w:r w:rsidR="002946C8" w:rsidRPr="0006336F">
        <w:t xml:space="preserve">the </w:t>
      </w:r>
      <w:r w:rsidR="00A956D6" w:rsidRPr="0006336F">
        <w:t>Community Development Program</w:t>
      </w:r>
      <w:r w:rsidR="00E67D44" w:rsidRPr="0006336F">
        <w:t xml:space="preserve"> </w:t>
      </w:r>
      <w:r w:rsidR="00A956D6" w:rsidRPr="0006336F">
        <w:t>(</w:t>
      </w:r>
      <w:r w:rsidR="00E67D44" w:rsidRPr="0006336F">
        <w:t>CDP</w:t>
      </w:r>
      <w:r w:rsidR="00A956D6" w:rsidRPr="0006336F">
        <w:t>)</w:t>
      </w:r>
      <w:r w:rsidR="00E67D44" w:rsidRPr="0006336F">
        <w:t xml:space="preserve"> with a new program with real jobs, proper wages and decent conditions</w:t>
      </w:r>
      <w:r>
        <w:t xml:space="preserve"> – </w:t>
      </w:r>
      <w:r w:rsidR="00E67D44" w:rsidRPr="0006336F">
        <w:t xml:space="preserve">developed in partnership with </w:t>
      </w:r>
      <w:r>
        <w:t>First Nation</w:t>
      </w:r>
      <w:r w:rsidR="00E67D44" w:rsidRPr="0006336F">
        <w:t>s people</w:t>
      </w:r>
      <w:r w:rsidR="00213A42" w:rsidRPr="0006336F">
        <w:t xml:space="preserve"> and remote communities</w:t>
      </w:r>
      <w:r w:rsidR="00E67D44" w:rsidRPr="0006336F">
        <w:t xml:space="preserve">. </w:t>
      </w:r>
      <w:r w:rsidR="00C96C04" w:rsidRPr="0006336F">
        <w:t>The current program</w:t>
      </w:r>
      <w:r w:rsidR="00B16861">
        <w:t>’</w:t>
      </w:r>
      <w:r w:rsidR="00C96C04" w:rsidRPr="0006336F">
        <w:t>s one size fits all approach does not work across the diversity of over 1</w:t>
      </w:r>
      <w:r w:rsidR="00C038DC" w:rsidRPr="0006336F">
        <w:t>,</w:t>
      </w:r>
      <w:r w:rsidR="00C96C04" w:rsidRPr="0006336F">
        <w:t xml:space="preserve">000 remote communities. </w:t>
      </w:r>
    </w:p>
    <w:p w14:paraId="5F43DAAB" w14:textId="7C104276" w:rsidR="00F77954" w:rsidRPr="0006336F" w:rsidRDefault="00C96C04" w:rsidP="00C7066D">
      <w:r w:rsidRPr="0006336F">
        <w:t xml:space="preserve">As a first step towards a new program, </w:t>
      </w:r>
      <w:r w:rsidR="004052B7" w:rsidRPr="0006336F">
        <w:t>in</w:t>
      </w:r>
      <w:r w:rsidR="00D826ED" w:rsidRPr="0006336F">
        <w:t> </w:t>
      </w:r>
      <w:r w:rsidRPr="0006336F">
        <w:t>August</w:t>
      </w:r>
      <w:r w:rsidR="00D826ED" w:rsidRPr="0006336F">
        <w:t> </w:t>
      </w:r>
      <w:r w:rsidRPr="0006336F">
        <w:t>2022, the Minister for Indigenous Australians hosted the Remote Employment Roundtable, leading into the Jobs and Skills Summit. At the Roundtable, the Minister announced that CDP providers can re</w:t>
      </w:r>
      <w:r w:rsidR="00B16861">
        <w:noBreakHyphen/>
      </w:r>
      <w:r w:rsidRPr="0006336F">
        <w:t>direct around 25</w:t>
      </w:r>
      <w:r w:rsidR="00B16861">
        <w:t> per c</w:t>
      </w:r>
      <w:r w:rsidRPr="0006336F">
        <w:t xml:space="preserve">ent of their funding to work with remote communities to trial new approaches to securing real jobs for participants. </w:t>
      </w:r>
      <w:r w:rsidR="00FD3514">
        <w:t>The Government</w:t>
      </w:r>
      <w:r w:rsidR="00B16861">
        <w:t>’</w:t>
      </w:r>
      <w:r w:rsidRPr="0006336F">
        <w:t>s trials to help inform the design of the program are underway and will continue until October 2024. The trials involve local people being paid proper wages to deliver services to their communities</w:t>
      </w:r>
      <w:r w:rsidR="00B83DB4" w:rsidRPr="0006336F">
        <w:t>,</w:t>
      </w:r>
      <w:r w:rsidRPr="0006336F">
        <w:t xml:space="preserve"> such as care, hospitality, small manufacturing and retail, art and culture, municipal services, gardening</w:t>
      </w:r>
      <w:r w:rsidR="00EB0D87" w:rsidRPr="0006336F">
        <w:t>,</w:t>
      </w:r>
      <w:r w:rsidRPr="0006336F">
        <w:t xml:space="preserve"> and cleaning. In addition, consultations </w:t>
      </w:r>
      <w:r w:rsidR="00FC5AD0" w:rsidRPr="0006336F">
        <w:t>on the new program</w:t>
      </w:r>
      <w:r w:rsidRPr="0006336F">
        <w:t xml:space="preserve"> were held in over 100 remote communities in the first half of 2023. Remote communities have been clear that they want skills to help them take</w:t>
      </w:r>
      <w:r w:rsidR="000F0ED2">
        <w:t> </w:t>
      </w:r>
      <w:r w:rsidRPr="0006336F">
        <w:t>up</w:t>
      </w:r>
      <w:r w:rsidR="000F0ED2">
        <w:t> </w:t>
      </w:r>
      <w:r w:rsidRPr="0006336F">
        <w:t xml:space="preserve">work. </w:t>
      </w:r>
    </w:p>
    <w:p w14:paraId="670CFF5F" w14:textId="5F293985" w:rsidR="00F77954" w:rsidRPr="0006336F" w:rsidRDefault="00460B6C" w:rsidP="006A5328">
      <w:pPr>
        <w:pStyle w:val="Heading2"/>
      </w:pPr>
      <w:bookmarkStart w:id="13" w:name="_Toc146292922"/>
      <w:r w:rsidRPr="0006336F">
        <w:lastRenderedPageBreak/>
        <w:t xml:space="preserve">8 </w:t>
      </w:r>
      <w:r w:rsidR="000F68A4">
        <w:tab/>
      </w:r>
      <w:r w:rsidR="002913CD" w:rsidRPr="0006336F">
        <w:t>Reducing barriers to work</w:t>
      </w:r>
      <w:bookmarkEnd w:id="13"/>
    </w:p>
    <w:p w14:paraId="4DDA260C" w14:textId="21C98A13" w:rsidR="000C6CB1" w:rsidRPr="0006336F" w:rsidRDefault="00C86E2A" w:rsidP="0009570E">
      <w:pPr>
        <w:pStyle w:val="TableMainHeadingRoadmap"/>
      </w:pPr>
      <w:r w:rsidRPr="0006336F">
        <w:t>Actions</w:t>
      </w:r>
      <w:r w:rsidR="00B8081C" w:rsidRPr="0006336F">
        <w:t xml:space="preserve"> to reduce barriers to work </w:t>
      </w:r>
    </w:p>
    <w:tbl>
      <w:tblPr>
        <w:tblStyle w:val="TableGrid"/>
        <w:tblW w:w="5000" w:type="pct"/>
        <w:tblLook w:val="01E0" w:firstRow="1" w:lastRow="1" w:firstColumn="1" w:lastColumn="1" w:noHBand="0" w:noVBand="0"/>
      </w:tblPr>
      <w:tblGrid>
        <w:gridCol w:w="3023"/>
        <w:gridCol w:w="3023"/>
        <w:gridCol w:w="3024"/>
      </w:tblGrid>
      <w:tr w:rsidR="00A33239" w:rsidRPr="0006336F" w14:paraId="4C34F473" w14:textId="77777777" w:rsidTr="00A715AC">
        <w:trPr>
          <w:cnfStyle w:val="100000000000" w:firstRow="1" w:lastRow="0" w:firstColumn="0" w:lastColumn="0" w:oddVBand="0" w:evenVBand="0" w:oddHBand="0" w:evenHBand="0" w:firstRowFirstColumn="0" w:firstRowLastColumn="0" w:lastRowFirstColumn="0" w:lastRowLastColumn="0"/>
          <w:tblHeader/>
        </w:trPr>
        <w:tc>
          <w:tcPr>
            <w:tcW w:w="1666" w:type="pct"/>
          </w:tcPr>
          <w:p w14:paraId="41CF326F" w14:textId="23E6B905" w:rsidR="00A33239" w:rsidRPr="0006336F" w:rsidRDefault="00A33239" w:rsidP="00EE19B9">
            <w:pPr>
              <w:pStyle w:val="TableColumnHeadingLeft"/>
            </w:pPr>
            <w:r w:rsidRPr="0006336F">
              <w:t xml:space="preserve">Implemented </w:t>
            </w:r>
          </w:p>
        </w:tc>
        <w:tc>
          <w:tcPr>
            <w:tcW w:w="1666" w:type="pct"/>
          </w:tcPr>
          <w:p w14:paraId="44CE954E" w14:textId="6685E18B" w:rsidR="00A33239" w:rsidRPr="0006336F" w:rsidRDefault="00A33239" w:rsidP="00EE19B9">
            <w:pPr>
              <w:pStyle w:val="TableColumnHeadingLeft"/>
            </w:pPr>
            <w:r w:rsidRPr="0006336F">
              <w:t>Underway</w:t>
            </w:r>
          </w:p>
        </w:tc>
        <w:tc>
          <w:tcPr>
            <w:tcW w:w="1667" w:type="pct"/>
          </w:tcPr>
          <w:p w14:paraId="4442A807" w14:textId="7A96129D" w:rsidR="00A33239" w:rsidRPr="0006336F" w:rsidRDefault="00A33239" w:rsidP="00EE19B9">
            <w:pPr>
              <w:pStyle w:val="TableColumnHeadingLeft"/>
            </w:pPr>
            <w:r w:rsidRPr="0006336F">
              <w:t>Future reform directions</w:t>
            </w:r>
          </w:p>
        </w:tc>
      </w:tr>
      <w:tr w:rsidR="00A33239" w:rsidRPr="0006336F" w14:paraId="69987F98" w14:textId="77777777" w:rsidTr="00A715AC">
        <w:tc>
          <w:tcPr>
            <w:tcW w:w="1666" w:type="pct"/>
          </w:tcPr>
          <w:p w14:paraId="184902CE" w14:textId="77777777" w:rsidR="00A00B74" w:rsidRPr="0006336F" w:rsidRDefault="00A00B74" w:rsidP="00A00B74">
            <w:pPr>
              <w:pStyle w:val="TableTextLeft"/>
            </w:pPr>
            <w:r w:rsidRPr="0006336F">
              <w:rPr>
                <w:b/>
              </w:rPr>
              <w:t xml:space="preserve">Implemented measures to end violence against women </w:t>
            </w:r>
          </w:p>
          <w:p w14:paraId="66FDEF63" w14:textId="08B31089" w:rsidR="00A00B74" w:rsidRPr="0006336F" w:rsidRDefault="00A00B74" w:rsidP="00A00B74">
            <w:pPr>
              <w:pStyle w:val="TableTextBullet"/>
            </w:pPr>
            <w:r w:rsidRPr="0006336F">
              <w:t>Committed to implementing all Respect@Work recommendations</w:t>
            </w:r>
            <w:r w:rsidR="00DC37D1" w:rsidRPr="0006336F">
              <w:t>, including</w:t>
            </w:r>
            <w:r w:rsidR="00CB34A8" w:rsidRPr="0006336F">
              <w:t xml:space="preserve"> having</w:t>
            </w:r>
            <w:r w:rsidRPr="0006336F">
              <w:t xml:space="preserve"> </w:t>
            </w:r>
            <w:r w:rsidR="00496E4B" w:rsidRPr="0006336F">
              <w:t>l</w:t>
            </w:r>
            <w:r w:rsidRPr="0006336F">
              <w:t>egislated a positive duty for employers to prevent sexual harassment</w:t>
            </w:r>
          </w:p>
          <w:p w14:paraId="0773D861" w14:textId="0F153544" w:rsidR="002958D0" w:rsidRPr="0006336F" w:rsidRDefault="002958D0" w:rsidP="00A00B74">
            <w:pPr>
              <w:pStyle w:val="TableTextBullet"/>
            </w:pPr>
            <w:r w:rsidRPr="0006336F">
              <w:t>Invested $2.3</w:t>
            </w:r>
            <w:r w:rsidR="000F0ED2">
              <w:t> billion</w:t>
            </w:r>
            <w:r w:rsidRPr="0006336F">
              <w:t xml:space="preserve"> in measures to end violence against </w:t>
            </w:r>
            <w:r w:rsidR="00AA6FB5" w:rsidRPr="0006336F">
              <w:t>women in the October and May Budgets</w:t>
            </w:r>
          </w:p>
          <w:p w14:paraId="2276EA94" w14:textId="1BE11D9D" w:rsidR="00496136" w:rsidRPr="0006336F" w:rsidRDefault="00537993" w:rsidP="00CB01C3">
            <w:pPr>
              <w:pStyle w:val="TableTextLeft"/>
              <w:rPr>
                <w:b/>
                <w:bCs/>
              </w:rPr>
            </w:pPr>
            <w:r w:rsidRPr="0006336F">
              <w:rPr>
                <w:b/>
                <w:bCs/>
              </w:rPr>
              <w:t>P</w:t>
            </w:r>
            <w:r w:rsidR="006F4B97" w:rsidRPr="0006336F">
              <w:rPr>
                <w:b/>
                <w:bCs/>
              </w:rPr>
              <w:t>romot</w:t>
            </w:r>
            <w:r w:rsidR="00945C39" w:rsidRPr="0006336F">
              <w:rPr>
                <w:b/>
                <w:bCs/>
              </w:rPr>
              <w:t>ed</w:t>
            </w:r>
            <w:r w:rsidR="006F4B97" w:rsidRPr="0006336F">
              <w:rPr>
                <w:b/>
                <w:bCs/>
              </w:rPr>
              <w:t xml:space="preserve"> </w:t>
            </w:r>
            <w:r w:rsidR="005B1FC1">
              <w:rPr>
                <w:b/>
                <w:bCs/>
              </w:rPr>
              <w:t>flexible and inclusive workplaces</w:t>
            </w:r>
          </w:p>
          <w:p w14:paraId="0166A84A" w14:textId="77777777" w:rsidR="0005083C" w:rsidRPr="0006336F" w:rsidRDefault="0005083C" w:rsidP="0005083C">
            <w:pPr>
              <w:pStyle w:val="TableTextBullet"/>
            </w:pPr>
            <w:r w:rsidRPr="0006336F">
              <w:t>Legislated 10 days of paid family and domestic violence leave</w:t>
            </w:r>
          </w:p>
          <w:p w14:paraId="0687B730" w14:textId="3E624DDB" w:rsidR="002441AF" w:rsidRPr="0006336F" w:rsidRDefault="00496136" w:rsidP="0009570E">
            <w:pPr>
              <w:pStyle w:val="TableTextBullet"/>
            </w:pPr>
            <w:r w:rsidRPr="0006336F">
              <w:t xml:space="preserve">Improved access to flexible work </w:t>
            </w:r>
            <w:r w:rsidR="0069294A" w:rsidRPr="0006336F">
              <w:t>and unpaid parental leave</w:t>
            </w:r>
            <w:r w:rsidRPr="0006336F">
              <w:t xml:space="preserve"> through changes to the Fair Work Act</w:t>
            </w:r>
          </w:p>
          <w:p w14:paraId="3866D104" w14:textId="7C0BB84E" w:rsidR="00330465" w:rsidRPr="0006336F" w:rsidRDefault="00330465" w:rsidP="00F13A8E">
            <w:pPr>
              <w:pStyle w:val="TableTextLeft"/>
              <w:rPr>
                <w:b/>
              </w:rPr>
            </w:pPr>
            <w:r w:rsidRPr="0006336F">
              <w:rPr>
                <w:b/>
              </w:rPr>
              <w:t>Strengthened working age payments</w:t>
            </w:r>
          </w:p>
          <w:p w14:paraId="5B6D4AB6" w14:textId="77777777" w:rsidR="00330465" w:rsidRPr="0006336F" w:rsidRDefault="00330465" w:rsidP="00330465">
            <w:pPr>
              <w:pStyle w:val="TableTextBullet"/>
            </w:pPr>
            <w:r w:rsidRPr="0006336F">
              <w:t>Increased the rate of working age and student payments by $40 per fortnight</w:t>
            </w:r>
          </w:p>
          <w:p w14:paraId="0AD81FA2" w14:textId="454CD1A9" w:rsidR="00330465" w:rsidRPr="0006336F" w:rsidRDefault="00330465" w:rsidP="00330465">
            <w:pPr>
              <w:pStyle w:val="TableTextBullet"/>
            </w:pPr>
            <w:r w:rsidRPr="0006336F">
              <w:t xml:space="preserve">Expanded eligibility for higher rate of JobSeeker </w:t>
            </w:r>
            <w:r w:rsidR="00732B09" w:rsidRPr="0006336F">
              <w:t>Payment</w:t>
            </w:r>
            <w:r w:rsidRPr="0006336F">
              <w:t xml:space="preserve"> for recipients aged 55 and over</w:t>
            </w:r>
          </w:p>
          <w:p w14:paraId="05EBA2B1" w14:textId="3F6BA824" w:rsidR="00BE38DA" w:rsidRPr="0006336F" w:rsidRDefault="00BE38DA" w:rsidP="00330465">
            <w:pPr>
              <w:pStyle w:val="TableTextBullet"/>
            </w:pPr>
            <w:r w:rsidRPr="0006336F">
              <w:t xml:space="preserve">Expanded eligibility for Parenting Payment </w:t>
            </w:r>
            <w:r w:rsidR="00A43999" w:rsidRPr="0006336F">
              <w:t>(</w:t>
            </w:r>
            <w:r w:rsidRPr="0006336F">
              <w:t>Single</w:t>
            </w:r>
            <w:r w:rsidR="00A43999" w:rsidRPr="0006336F">
              <w:t>)</w:t>
            </w:r>
            <w:r w:rsidRPr="0006336F">
              <w:t xml:space="preserve"> </w:t>
            </w:r>
          </w:p>
          <w:p w14:paraId="2422F199" w14:textId="4FA6BA90" w:rsidR="00B26B03" w:rsidRPr="0006336F" w:rsidRDefault="00B26B03" w:rsidP="00330465">
            <w:pPr>
              <w:pStyle w:val="TableTextBullet"/>
            </w:pPr>
            <w:r w:rsidRPr="0006336F">
              <w:t>Increased maximum rate of Commonwealth Rent Assistance</w:t>
            </w:r>
          </w:p>
          <w:p w14:paraId="20423277" w14:textId="448AA9B2" w:rsidR="00330465" w:rsidRPr="0006336F" w:rsidRDefault="00330465" w:rsidP="00F13A8E">
            <w:pPr>
              <w:pStyle w:val="TableTextLeft"/>
              <w:rPr>
                <w:b/>
                <w:bCs/>
              </w:rPr>
            </w:pPr>
            <w:r w:rsidRPr="0006336F">
              <w:rPr>
                <w:b/>
              </w:rPr>
              <w:t>A</w:t>
            </w:r>
            <w:r w:rsidR="00B26B03" w:rsidRPr="0006336F">
              <w:rPr>
                <w:b/>
                <w:bCs/>
              </w:rPr>
              <w:t>cted on</w:t>
            </w:r>
            <w:r w:rsidRPr="0006336F">
              <w:rPr>
                <w:b/>
                <w:bCs/>
              </w:rPr>
              <w:t xml:space="preserve"> disincentives to work </w:t>
            </w:r>
          </w:p>
          <w:p w14:paraId="2696C3F1" w14:textId="77777777" w:rsidR="00330465" w:rsidRPr="0006336F" w:rsidRDefault="00330465" w:rsidP="00330465">
            <w:pPr>
              <w:pStyle w:val="TableTextBullet"/>
            </w:pPr>
            <w:r w:rsidRPr="0006336F">
              <w:t>Implemented a temporary $4,000 work bonus upfront credit for pension recipients</w:t>
            </w:r>
          </w:p>
          <w:p w14:paraId="2692CCCD" w14:textId="10842F2D" w:rsidR="00A33239" w:rsidRPr="0006336F" w:rsidRDefault="00330465" w:rsidP="00EE19B9">
            <w:pPr>
              <w:pStyle w:val="TableTextBullet"/>
            </w:pPr>
            <w:r w:rsidRPr="0006336F">
              <w:t xml:space="preserve">Improved affordability of early childhood education and care </w:t>
            </w:r>
          </w:p>
        </w:tc>
        <w:tc>
          <w:tcPr>
            <w:tcW w:w="1666" w:type="pct"/>
          </w:tcPr>
          <w:p w14:paraId="2DB18D46" w14:textId="5D4979F0" w:rsidR="006918E0" w:rsidRPr="0006336F" w:rsidRDefault="0021721D" w:rsidP="006918E0">
            <w:pPr>
              <w:pStyle w:val="TableTextLeft"/>
              <w:rPr>
                <w:b/>
                <w:bCs/>
              </w:rPr>
            </w:pPr>
            <w:r w:rsidRPr="0006336F">
              <w:rPr>
                <w:b/>
                <w:bCs/>
              </w:rPr>
              <w:t xml:space="preserve">Addressing </w:t>
            </w:r>
            <w:r w:rsidR="00727F6E" w:rsidRPr="0006336F">
              <w:rPr>
                <w:b/>
                <w:bCs/>
              </w:rPr>
              <w:t>workplace</w:t>
            </w:r>
            <w:r w:rsidRPr="0006336F">
              <w:rPr>
                <w:b/>
                <w:bCs/>
              </w:rPr>
              <w:t xml:space="preserve"> gender segregation </w:t>
            </w:r>
          </w:p>
          <w:p w14:paraId="0E730D90" w14:textId="4F1036C6" w:rsidR="006918E0" w:rsidRPr="0006336F" w:rsidRDefault="006918E0" w:rsidP="00F579BC">
            <w:pPr>
              <w:pStyle w:val="TableTextBullet"/>
            </w:pPr>
            <w:r w:rsidRPr="0006336F">
              <w:t>Encouraging shared care by increasing the Government</w:t>
            </w:r>
            <w:r w:rsidR="00B16861">
              <w:t>’</w:t>
            </w:r>
            <w:r w:rsidRPr="0006336F">
              <w:t>s Paid Parental Leave, and improving flexibility in how parents share it</w:t>
            </w:r>
          </w:p>
          <w:p w14:paraId="2B3E82BE" w14:textId="7D6F106E" w:rsidR="008E3B03" w:rsidRPr="0006336F" w:rsidRDefault="00664786" w:rsidP="00F579BC">
            <w:pPr>
              <w:pStyle w:val="TableTextBullet"/>
            </w:pPr>
            <w:r w:rsidRPr="0006336F">
              <w:t xml:space="preserve">Establishing </w:t>
            </w:r>
            <w:r w:rsidR="00DB3BBE" w:rsidRPr="0006336F">
              <w:t>the</w:t>
            </w:r>
            <w:r w:rsidRPr="0006336F">
              <w:t xml:space="preserve"> </w:t>
            </w:r>
            <w:r w:rsidR="008E3B03" w:rsidRPr="0006336F">
              <w:t>National Construction Industry Forum</w:t>
            </w:r>
          </w:p>
          <w:p w14:paraId="61581B49" w14:textId="77777777" w:rsidR="007D377E" w:rsidRPr="0006336F" w:rsidRDefault="007D377E" w:rsidP="007D377E">
            <w:pPr>
              <w:pStyle w:val="TableTextBullet"/>
            </w:pPr>
            <w:r w:rsidRPr="0006336F">
              <w:t>Undertaking a Pathway to Diversity in STEM Review</w:t>
            </w:r>
          </w:p>
          <w:p w14:paraId="4B64149B" w14:textId="06AA5045" w:rsidR="003407F4" w:rsidRPr="0006336F" w:rsidRDefault="003D65AB" w:rsidP="00EF5066">
            <w:pPr>
              <w:pStyle w:val="TableTextLeft"/>
              <w:rPr>
                <w:b/>
              </w:rPr>
            </w:pPr>
            <w:r w:rsidRPr="0006336F">
              <w:rPr>
                <w:b/>
              </w:rPr>
              <w:t>Acting on disincentives to work</w:t>
            </w:r>
          </w:p>
          <w:p w14:paraId="652B5B6B" w14:textId="77777777" w:rsidR="003D65AB" w:rsidRPr="0006336F" w:rsidRDefault="003D65AB" w:rsidP="003D65AB">
            <w:pPr>
              <w:pStyle w:val="TableTextBullet"/>
            </w:pPr>
            <w:r w:rsidRPr="0006336F">
              <w:t xml:space="preserve">Smoothing the transition between income support and work by extending the nil rate period </w:t>
            </w:r>
          </w:p>
          <w:p w14:paraId="741D9BAD" w14:textId="1075F11F" w:rsidR="003D65AB" w:rsidRPr="0006336F" w:rsidRDefault="00107931" w:rsidP="00C7066D">
            <w:pPr>
              <w:pStyle w:val="TableTextBullet"/>
            </w:pPr>
            <w:r>
              <w:t>Supporting</w:t>
            </w:r>
            <w:r w:rsidRPr="0006336F">
              <w:t xml:space="preserve"> </w:t>
            </w:r>
            <w:r w:rsidR="003D65AB" w:rsidRPr="0006336F">
              <w:t xml:space="preserve">pensioners who are working by permanently enhancing the Work Bonus for </w:t>
            </w:r>
            <w:r w:rsidR="00C133A4">
              <w:t>a</w:t>
            </w:r>
            <w:r w:rsidR="003D65AB" w:rsidRPr="0006336F">
              <w:t xml:space="preserve">ge pensioners </w:t>
            </w:r>
          </w:p>
          <w:p w14:paraId="02BE0E94" w14:textId="77777777" w:rsidR="00EF5066" w:rsidRPr="0006336F" w:rsidRDefault="00EF5066" w:rsidP="00EF5066">
            <w:pPr>
              <w:pStyle w:val="TableTextLeft"/>
              <w:rPr>
                <w:b/>
              </w:rPr>
            </w:pPr>
            <w:r w:rsidRPr="0006336F">
              <w:rPr>
                <w:b/>
              </w:rPr>
              <w:t>Broadening employment opportunities for people with high support needs</w:t>
            </w:r>
          </w:p>
          <w:p w14:paraId="0112A7C9" w14:textId="2DBA0B17" w:rsidR="00EF5066" w:rsidRPr="0006336F" w:rsidRDefault="00782612" w:rsidP="00EF5066">
            <w:pPr>
              <w:pStyle w:val="TableTextBullet"/>
            </w:pPr>
            <w:r>
              <w:t>L</w:t>
            </w:r>
            <w:r w:rsidR="00C93134" w:rsidRPr="0006336F">
              <w:t xml:space="preserve">everaging </w:t>
            </w:r>
            <w:r>
              <w:t xml:space="preserve">the </w:t>
            </w:r>
            <w:r w:rsidR="00C93134" w:rsidRPr="0006336F">
              <w:t>new</w:t>
            </w:r>
            <w:r w:rsidR="009D0332" w:rsidRPr="0006336F">
              <w:t xml:space="preserve"> </w:t>
            </w:r>
            <w:r w:rsidR="00C93134" w:rsidRPr="0006336F">
              <w:t>National Disability Data Asset</w:t>
            </w:r>
          </w:p>
          <w:p w14:paraId="7982C0BE" w14:textId="5AAC7DF9" w:rsidR="007D377E" w:rsidRDefault="00EF5066" w:rsidP="00EF5066">
            <w:pPr>
              <w:pStyle w:val="TableTextBullet"/>
            </w:pPr>
            <w:r w:rsidRPr="0006336F">
              <w:t xml:space="preserve">Implementing </w:t>
            </w:r>
            <w:r w:rsidR="001C010B" w:rsidRPr="0006336F">
              <w:t>a n</w:t>
            </w:r>
            <w:r w:rsidRPr="0006336F">
              <w:t>ew Disability Employment Services Quality Framework</w:t>
            </w:r>
          </w:p>
          <w:p w14:paraId="1B2E1E8F" w14:textId="4A833DFF" w:rsidR="00DC0AB1" w:rsidRPr="0006336F" w:rsidRDefault="00DC0AB1" w:rsidP="00EF5066">
            <w:pPr>
              <w:pStyle w:val="TableTextBullet"/>
            </w:pPr>
            <w:r w:rsidRPr="0006336F">
              <w:t>Establish</w:t>
            </w:r>
            <w:r w:rsidR="00C52503">
              <w:t>ing</w:t>
            </w:r>
            <w:r w:rsidRPr="0006336F">
              <w:t xml:space="preserve"> a Disability Employment Centre of Excellence</w:t>
            </w:r>
          </w:p>
          <w:p w14:paraId="41098C15" w14:textId="41E48B14" w:rsidR="005A27E5" w:rsidRPr="0006336F" w:rsidRDefault="005A27E5" w:rsidP="005A27E5">
            <w:pPr>
              <w:pStyle w:val="TableTextLeft"/>
            </w:pPr>
            <w:r w:rsidRPr="0006336F">
              <w:rPr>
                <w:b/>
              </w:rPr>
              <w:t xml:space="preserve">Boosting supply of secure, affordable housing </w:t>
            </w:r>
          </w:p>
          <w:p w14:paraId="68DDBD4E" w14:textId="6BDB9931" w:rsidR="003D65AB" w:rsidRPr="0006336F" w:rsidRDefault="001F7A93" w:rsidP="005A27E5">
            <w:pPr>
              <w:pStyle w:val="TableTextBullet"/>
            </w:pPr>
            <w:r w:rsidRPr="0006336F">
              <w:t>Increas</w:t>
            </w:r>
            <w:r w:rsidR="00DD1F10" w:rsidRPr="0006336F">
              <w:t>ing</w:t>
            </w:r>
            <w:r w:rsidRPr="0006336F">
              <w:t xml:space="preserve"> investment in social and affordable housing through the Housing Australia Future Fund, Social Housing Accelerator and National Housing Infrastructure Facility</w:t>
            </w:r>
            <w:r w:rsidR="00082B87" w:rsidRPr="0006336F">
              <w:t>, building housing where job opportunities are</w:t>
            </w:r>
            <w:r w:rsidRPr="0006336F">
              <w:t xml:space="preserve"> </w:t>
            </w:r>
          </w:p>
          <w:p w14:paraId="68C792F6" w14:textId="0E3063F6" w:rsidR="00A33239" w:rsidRPr="0006336F" w:rsidRDefault="00A03C4D" w:rsidP="00C7066D">
            <w:pPr>
              <w:pStyle w:val="TableTextBullet"/>
            </w:pPr>
            <w:r w:rsidRPr="0006336F">
              <w:t>Work</w:t>
            </w:r>
            <w:r w:rsidR="00375489" w:rsidRPr="0006336F">
              <w:t>ing</w:t>
            </w:r>
            <w:r w:rsidRPr="0006336F">
              <w:t xml:space="preserve"> with states and territories to deliver 1.2</w:t>
            </w:r>
            <w:r w:rsidR="000F0ED2">
              <w:t> million</w:t>
            </w:r>
            <w:r w:rsidRPr="0006336F">
              <w:t xml:space="preserve"> new homes over five</w:t>
            </w:r>
            <w:r w:rsidR="000F0ED2">
              <w:t> year</w:t>
            </w:r>
            <w:r w:rsidRPr="0006336F">
              <w:t>s from 1 July 2024, and to harmonise and strengthen renters</w:t>
            </w:r>
            <w:r w:rsidR="00B16861">
              <w:t>’</w:t>
            </w:r>
            <w:r w:rsidRPr="0006336F">
              <w:t xml:space="preserve"> rights </w:t>
            </w:r>
          </w:p>
        </w:tc>
        <w:tc>
          <w:tcPr>
            <w:tcW w:w="1667" w:type="pct"/>
          </w:tcPr>
          <w:p w14:paraId="2558921D" w14:textId="3BA274CA" w:rsidR="002D3A2D" w:rsidRPr="0006336F" w:rsidRDefault="002D3A2D" w:rsidP="002D3A2D">
            <w:pPr>
              <w:pStyle w:val="TableTextLeft"/>
              <w:rPr>
                <w:b/>
              </w:rPr>
            </w:pPr>
            <w:r w:rsidRPr="0006336F">
              <w:rPr>
                <w:b/>
              </w:rPr>
              <w:t>Promot</w:t>
            </w:r>
            <w:r w:rsidR="00945C39" w:rsidRPr="0006336F">
              <w:rPr>
                <w:b/>
              </w:rPr>
              <w:t>e</w:t>
            </w:r>
            <w:r w:rsidRPr="0006336F">
              <w:rPr>
                <w:b/>
              </w:rPr>
              <w:t xml:space="preserve"> gender equality </w:t>
            </w:r>
          </w:p>
          <w:p w14:paraId="06774CFA" w14:textId="2E92F393" w:rsidR="002D3A2D" w:rsidRPr="0006336F" w:rsidRDefault="00F85B82" w:rsidP="0009570E">
            <w:pPr>
              <w:pStyle w:val="TableTextBullet"/>
              <w:rPr>
                <w:b/>
              </w:rPr>
            </w:pPr>
            <w:r w:rsidRPr="0006336F">
              <w:t xml:space="preserve">Release a </w:t>
            </w:r>
            <w:r w:rsidR="002D3A2D" w:rsidRPr="0006336F">
              <w:t>National Strategy to Achieve Gender Equality</w:t>
            </w:r>
            <w:r w:rsidR="00912B8F" w:rsidRPr="0006336F">
              <w:t>, which will include a foc</w:t>
            </w:r>
            <w:r w:rsidR="009B08B2" w:rsidRPr="0006336F">
              <w:t>us on women</w:t>
            </w:r>
            <w:r w:rsidR="00B16861">
              <w:t>’</w:t>
            </w:r>
            <w:r w:rsidR="009B08B2" w:rsidRPr="0006336F">
              <w:t>s economic equality</w:t>
            </w:r>
            <w:r w:rsidR="002D3A2D" w:rsidRPr="0006336F">
              <w:t xml:space="preserve"> </w:t>
            </w:r>
          </w:p>
          <w:p w14:paraId="50846C3F" w14:textId="78535244" w:rsidR="00C87647" w:rsidRPr="0006336F" w:rsidRDefault="00A51DB8" w:rsidP="00C87647">
            <w:pPr>
              <w:pStyle w:val="TableTextLeft"/>
              <w:rPr>
                <w:b/>
              </w:rPr>
            </w:pPr>
            <w:r w:rsidRPr="0006336F">
              <w:rPr>
                <w:b/>
              </w:rPr>
              <w:t>Further address</w:t>
            </w:r>
            <w:r w:rsidR="00E917E5" w:rsidRPr="0006336F">
              <w:rPr>
                <w:b/>
              </w:rPr>
              <w:t xml:space="preserve"> </w:t>
            </w:r>
            <w:r w:rsidRPr="0006336F">
              <w:rPr>
                <w:b/>
              </w:rPr>
              <w:t>dis</w:t>
            </w:r>
            <w:r w:rsidR="00E917E5" w:rsidRPr="0006336F">
              <w:rPr>
                <w:b/>
              </w:rPr>
              <w:t xml:space="preserve">incentives to work </w:t>
            </w:r>
          </w:p>
          <w:p w14:paraId="31DFDDCF" w14:textId="2C8444D7" w:rsidR="00143BF4" w:rsidRPr="0006336F" w:rsidRDefault="00143BF4" w:rsidP="0009570E">
            <w:pPr>
              <w:pStyle w:val="TableTextBullet"/>
            </w:pPr>
            <w:r w:rsidRPr="0006336F">
              <w:t>Better support parents with caring responsibilities through improved access to early childhood education and care</w:t>
            </w:r>
          </w:p>
          <w:p w14:paraId="3DA067C3" w14:textId="717B1898" w:rsidR="000D2C77" w:rsidRPr="0006336F" w:rsidRDefault="00F04AA8" w:rsidP="000D7AA2">
            <w:pPr>
              <w:pStyle w:val="TableTextBullet"/>
            </w:pPr>
            <w:r w:rsidRPr="0006336F">
              <w:t>C</w:t>
            </w:r>
            <w:r w:rsidR="000D2C77" w:rsidRPr="0006336F">
              <w:t>onsider</w:t>
            </w:r>
            <w:r w:rsidRPr="0006336F">
              <w:t xml:space="preserve"> further</w:t>
            </w:r>
            <w:r w:rsidR="000D2C77" w:rsidRPr="0006336F">
              <w:t xml:space="preserve"> </w:t>
            </w:r>
            <w:r w:rsidR="00A13A09" w:rsidRPr="0006336F">
              <w:t xml:space="preserve">ways to </w:t>
            </w:r>
            <w:r w:rsidR="003407F4" w:rsidRPr="0006336F">
              <w:t>support participation</w:t>
            </w:r>
            <w:r w:rsidR="00171366" w:rsidRPr="0006336F">
              <w:t>, including</w:t>
            </w:r>
            <w:r w:rsidR="00A13A09" w:rsidRPr="0006336F">
              <w:t xml:space="preserve"> for work</w:t>
            </w:r>
            <w:r w:rsidR="000D7AA2" w:rsidRPr="0006336F">
              <w:t>ing</w:t>
            </w:r>
            <w:r w:rsidR="00B16861">
              <w:noBreakHyphen/>
            </w:r>
            <w:r w:rsidR="00A13A09" w:rsidRPr="0006336F">
              <w:t>age</w:t>
            </w:r>
            <w:r w:rsidR="000D2C77" w:rsidRPr="0006336F">
              <w:t xml:space="preserve"> payment recipients</w:t>
            </w:r>
          </w:p>
          <w:p w14:paraId="52C6EA29" w14:textId="55484F3D" w:rsidR="00C87647" w:rsidRPr="0006336F" w:rsidRDefault="00C87647" w:rsidP="00C87647">
            <w:pPr>
              <w:pStyle w:val="TableTextLeft"/>
              <w:rPr>
                <w:b/>
              </w:rPr>
            </w:pPr>
            <w:r w:rsidRPr="0006336F">
              <w:rPr>
                <w:b/>
              </w:rPr>
              <w:t>Provid</w:t>
            </w:r>
            <w:r w:rsidR="00945C39" w:rsidRPr="0006336F">
              <w:rPr>
                <w:b/>
              </w:rPr>
              <w:t>e</w:t>
            </w:r>
            <w:r w:rsidRPr="0006336F">
              <w:rPr>
                <w:b/>
              </w:rPr>
              <w:t xml:space="preserve"> high</w:t>
            </w:r>
            <w:r w:rsidR="00F82063">
              <w:rPr>
                <w:b/>
              </w:rPr>
              <w:t>-</w:t>
            </w:r>
            <w:r w:rsidRPr="0006336F">
              <w:rPr>
                <w:b/>
              </w:rPr>
              <w:t xml:space="preserve">quality supports for people with disability </w:t>
            </w:r>
          </w:p>
          <w:p w14:paraId="4B5DD3F0" w14:textId="4053C2F1" w:rsidR="00A33239" w:rsidRPr="0006336F" w:rsidRDefault="00C87647" w:rsidP="00174BF8">
            <w:pPr>
              <w:pStyle w:val="TableTextBullet"/>
            </w:pPr>
            <w:r w:rsidRPr="0006336F">
              <w:t xml:space="preserve">Reform Disability Employment Services </w:t>
            </w:r>
          </w:p>
        </w:tc>
      </w:tr>
    </w:tbl>
    <w:p w14:paraId="3525C924" w14:textId="77777777" w:rsidR="000F68A4" w:rsidRDefault="000F68A4" w:rsidP="000F68A4">
      <w:pPr>
        <w:pStyle w:val="ChartTableFiguresectionline"/>
      </w:pPr>
    </w:p>
    <w:p w14:paraId="08A180F7" w14:textId="7C9AA895" w:rsidR="00DB5BE9" w:rsidRPr="0006336F" w:rsidRDefault="00DB5BE9" w:rsidP="00DB5BE9">
      <w:r w:rsidRPr="0006336F">
        <w:t xml:space="preserve">Opportunities in Australia are not always shared equally. </w:t>
      </w:r>
      <w:r w:rsidR="00FD3514">
        <w:t>The Government</w:t>
      </w:r>
      <w:r w:rsidRPr="0006336F">
        <w:t xml:space="preserve"> will support more people to work to their capacity and share in opportunities, </w:t>
      </w:r>
      <w:r w:rsidR="00EA2CA4" w:rsidRPr="0006336F">
        <w:t>as part of pursuing</w:t>
      </w:r>
      <w:r w:rsidRPr="0006336F">
        <w:t xml:space="preserve"> sustained and inclusive full employment. Achieving this will help address skills shortages and boost economic potential. </w:t>
      </w:r>
      <w:r w:rsidR="00FD3514">
        <w:t>The Government</w:t>
      </w:r>
      <w:r w:rsidR="00953CC9" w:rsidRPr="0006336F">
        <w:t xml:space="preserve"> </w:t>
      </w:r>
      <w:r w:rsidRPr="0006336F">
        <w:t>need</w:t>
      </w:r>
      <w:r w:rsidR="00953CC9" w:rsidRPr="0006336F">
        <w:t>s</w:t>
      </w:r>
      <w:r w:rsidRPr="0006336F">
        <w:t xml:space="preserve"> to get policy settings right to remove disincentives to work and provide </w:t>
      </w:r>
      <w:r w:rsidRPr="0006336F">
        <w:lastRenderedPageBreak/>
        <w:t xml:space="preserve">targeted support to those who </w:t>
      </w:r>
      <w:r w:rsidR="00D12E15" w:rsidRPr="0006336F">
        <w:t>face barriers</w:t>
      </w:r>
      <w:r w:rsidRPr="0006336F">
        <w:t xml:space="preserve"> in the labour market, including women, Aboriginal and </w:t>
      </w:r>
      <w:r w:rsidR="00FD3514">
        <w:t>Torres Strait</w:t>
      </w:r>
      <w:r w:rsidRPr="0006336F">
        <w:t xml:space="preserve"> Islander people and people with disability.</w:t>
      </w:r>
    </w:p>
    <w:p w14:paraId="36DD3748" w14:textId="14F26CF5" w:rsidR="00DB5BE9" w:rsidRPr="0006336F" w:rsidRDefault="00DB5BE9" w:rsidP="00DB5BE9">
      <w:r w:rsidRPr="0006336F">
        <w:t xml:space="preserve">Existing policy settings have not done enough to reduce intergenerational disadvantage </w:t>
      </w:r>
      <w:r w:rsidR="00A65601" w:rsidRPr="0006336F">
        <w:t xml:space="preserve">and </w:t>
      </w:r>
      <w:r w:rsidR="001F5E7E" w:rsidRPr="0006336F">
        <w:t xml:space="preserve">break down </w:t>
      </w:r>
      <w:r w:rsidRPr="0006336F">
        <w:t xml:space="preserve">barriers to employment. The proportion of </w:t>
      </w:r>
      <w:r w:rsidR="001E20A6" w:rsidRPr="0006336F">
        <w:t>people</w:t>
      </w:r>
      <w:r w:rsidRPr="0006336F">
        <w:t xml:space="preserve"> on income support who have been on payment long term has continued to grow. </w:t>
      </w:r>
      <w:r w:rsidR="00C64038" w:rsidRPr="0006336F">
        <w:t>The employment rate for people with disability has been stagnant for 20</w:t>
      </w:r>
      <w:r w:rsidR="000F0ED2">
        <w:t> year</w:t>
      </w:r>
      <w:r w:rsidR="00C64038" w:rsidRPr="0006336F">
        <w:t xml:space="preserve">s. </w:t>
      </w:r>
      <w:r w:rsidRPr="0006336F">
        <w:t xml:space="preserve">In addition, Australia has further to go to achieve gender equality. </w:t>
      </w:r>
      <w:r w:rsidR="00C64038" w:rsidRPr="0006336F">
        <w:t xml:space="preserve">Women continue to experience a significant gender pay gap, and </w:t>
      </w:r>
      <w:r w:rsidR="004873C4" w:rsidRPr="0006336F">
        <w:t>car</w:t>
      </w:r>
      <w:r w:rsidR="004C0A84" w:rsidRPr="0006336F">
        <w:t>e</w:t>
      </w:r>
      <w:r w:rsidR="004873C4" w:rsidRPr="0006336F">
        <w:t xml:space="preserve"> responsibilities </w:t>
      </w:r>
      <w:r w:rsidR="004C0A84" w:rsidRPr="0006336F">
        <w:t xml:space="preserve">are </w:t>
      </w:r>
      <w:r w:rsidR="004873C4" w:rsidRPr="0006336F">
        <w:t>overwhelmingly borne by women</w:t>
      </w:r>
      <w:r w:rsidR="009B2CB7" w:rsidRPr="0006336F">
        <w:t>. In combination</w:t>
      </w:r>
      <w:r w:rsidR="001777F1" w:rsidRPr="0006336F">
        <w:t xml:space="preserve">, this </w:t>
      </w:r>
      <w:r w:rsidR="00C64038" w:rsidRPr="0006336F">
        <w:t>contributes to</w:t>
      </w:r>
      <w:r w:rsidR="00844817" w:rsidRPr="0006336F">
        <w:t xml:space="preserve"> women</w:t>
      </w:r>
      <w:r w:rsidR="00B16861">
        <w:t>’</w:t>
      </w:r>
      <w:r w:rsidR="00844817" w:rsidRPr="0006336F">
        <w:t>s lower workforce participation, and lower lifetime earnings</w:t>
      </w:r>
      <w:r w:rsidRPr="0006336F">
        <w:t>.</w:t>
      </w:r>
    </w:p>
    <w:p w14:paraId="41D5EA8B" w14:textId="5A5EB33A" w:rsidR="001C5193" w:rsidRPr="0006336F" w:rsidRDefault="00FD3514" w:rsidP="00DB5BE9">
      <w:r>
        <w:t>The Government</w:t>
      </w:r>
      <w:r w:rsidR="00E05D83" w:rsidRPr="0006336F">
        <w:t xml:space="preserve"> </w:t>
      </w:r>
      <w:r w:rsidR="00191CA3" w:rsidRPr="0006336F">
        <w:t xml:space="preserve">has already </w:t>
      </w:r>
      <w:r w:rsidR="00430696" w:rsidRPr="0006336F">
        <w:t xml:space="preserve">introduced substantial measures that </w:t>
      </w:r>
      <w:r w:rsidR="00045803" w:rsidRPr="0006336F">
        <w:t xml:space="preserve">reduce barriers to work, including </w:t>
      </w:r>
      <w:r w:rsidR="00880FF5" w:rsidRPr="0006336F">
        <w:t>mak</w:t>
      </w:r>
      <w:r w:rsidR="00045803" w:rsidRPr="0006336F">
        <w:t>ing</w:t>
      </w:r>
      <w:r w:rsidR="00880FF5" w:rsidRPr="0006336F">
        <w:t xml:space="preserve"> it easier for parents and </w:t>
      </w:r>
      <w:r w:rsidR="009D2998" w:rsidRPr="0006336F">
        <w:t xml:space="preserve">unpaid </w:t>
      </w:r>
      <w:r w:rsidR="00880FF5" w:rsidRPr="0006336F">
        <w:t xml:space="preserve">carers, particularly women, to participate in the workforce. From July 2023, </w:t>
      </w:r>
      <w:r w:rsidR="00F46FCC" w:rsidRPr="0006336F">
        <w:t>the Government introduced</w:t>
      </w:r>
      <w:r w:rsidR="00043EA5" w:rsidRPr="0006336F">
        <w:t xml:space="preserve"> Cheaper Child Care </w:t>
      </w:r>
      <w:r w:rsidR="00F46FCC" w:rsidRPr="0006336F">
        <w:t>for around 1.2</w:t>
      </w:r>
      <w:r w:rsidR="000F0ED2">
        <w:t> million</w:t>
      </w:r>
      <w:r w:rsidR="00F46FCC" w:rsidRPr="0006336F">
        <w:t xml:space="preserve"> families. </w:t>
      </w:r>
      <w:r w:rsidR="000F5DF0" w:rsidRPr="0006336F">
        <w:t>Changes to the Government</w:t>
      </w:r>
      <w:r w:rsidR="00B16861">
        <w:t>’</w:t>
      </w:r>
      <w:r w:rsidR="000F5DF0" w:rsidRPr="0006336F">
        <w:t xml:space="preserve">s Paid Parental Leave Scheme have </w:t>
      </w:r>
      <w:r w:rsidR="00F46FCC" w:rsidRPr="0006336F">
        <w:t xml:space="preserve">also </w:t>
      </w:r>
      <w:r w:rsidR="000F5DF0" w:rsidRPr="0006336F">
        <w:t xml:space="preserve">improved flexibility </w:t>
      </w:r>
      <w:r w:rsidR="00AE22FE" w:rsidRPr="0006336F">
        <w:t>and</w:t>
      </w:r>
      <w:r w:rsidR="000F5DF0" w:rsidRPr="0006336F">
        <w:t xml:space="preserve"> accessibility, making it easier for both parents to take time off </w:t>
      </w:r>
      <w:r w:rsidR="004616B2" w:rsidRPr="0006336F">
        <w:t xml:space="preserve">work </w:t>
      </w:r>
      <w:r w:rsidR="000F5DF0" w:rsidRPr="0006336F">
        <w:t>to be with their children</w:t>
      </w:r>
      <w:r w:rsidR="009435E9" w:rsidRPr="0006336F">
        <w:t xml:space="preserve"> </w:t>
      </w:r>
      <w:r w:rsidR="000A0CC4" w:rsidRPr="0006336F">
        <w:t>while remaining</w:t>
      </w:r>
      <w:r w:rsidR="009435E9" w:rsidRPr="0006336F">
        <w:t xml:space="preserve"> connected to their employer</w:t>
      </w:r>
      <w:r w:rsidR="000F5DF0" w:rsidRPr="0006336F">
        <w:t>.</w:t>
      </w:r>
      <w:r w:rsidR="00821EA3" w:rsidRPr="0006336F">
        <w:t xml:space="preserve"> </w:t>
      </w:r>
      <w:r>
        <w:t>The Government</w:t>
      </w:r>
      <w:r w:rsidR="000667B2" w:rsidRPr="0006336F">
        <w:t xml:space="preserve"> has also </w:t>
      </w:r>
      <w:r w:rsidR="00E33D4E" w:rsidRPr="0006336F">
        <w:t xml:space="preserve">increased </w:t>
      </w:r>
      <w:r w:rsidR="00153946" w:rsidRPr="0006336F">
        <w:t>eligible working age</w:t>
      </w:r>
      <w:r w:rsidR="00737059" w:rsidRPr="0006336F">
        <w:t xml:space="preserve"> and student income support payments, </w:t>
      </w:r>
      <w:r w:rsidR="0030318D" w:rsidRPr="0006336F">
        <w:t>including</w:t>
      </w:r>
      <w:r w:rsidR="005865DC" w:rsidRPr="0006336F">
        <w:t xml:space="preserve"> JobSeeker </w:t>
      </w:r>
      <w:r w:rsidR="006F5F65" w:rsidRPr="0006336F">
        <w:t xml:space="preserve">Payment </w:t>
      </w:r>
      <w:r w:rsidR="005865DC" w:rsidRPr="0006336F">
        <w:t>and Youth Allowance</w:t>
      </w:r>
      <w:r w:rsidR="0030318D" w:rsidRPr="0006336F">
        <w:t>, by $40</w:t>
      </w:r>
      <w:r w:rsidR="000B2BCE" w:rsidRPr="0006336F">
        <w:t> </w:t>
      </w:r>
      <w:r w:rsidR="0030318D" w:rsidRPr="0006336F">
        <w:t>per</w:t>
      </w:r>
      <w:r w:rsidR="000B2BCE" w:rsidRPr="0006336F">
        <w:t> </w:t>
      </w:r>
      <w:r w:rsidR="0030318D" w:rsidRPr="0006336F">
        <w:t>fortnight</w:t>
      </w:r>
      <w:r w:rsidR="00033E86" w:rsidRPr="0006336F">
        <w:t xml:space="preserve">. </w:t>
      </w:r>
      <w:r w:rsidR="007C581B" w:rsidRPr="0006336F">
        <w:t xml:space="preserve">In addition, </w:t>
      </w:r>
      <w:r w:rsidR="009347B0" w:rsidRPr="0006336F">
        <w:t>we</w:t>
      </w:r>
      <w:r w:rsidR="00DD4CE5" w:rsidRPr="0006336F">
        <w:t xml:space="preserve"> </w:t>
      </w:r>
      <w:r w:rsidR="007C581B" w:rsidRPr="0006336F">
        <w:t xml:space="preserve">provided more support </w:t>
      </w:r>
      <w:r w:rsidR="00AB0052" w:rsidRPr="0006336F">
        <w:t xml:space="preserve">for single parents, by expanding eligibility for Parenting Payment (Single) to single parents with </w:t>
      </w:r>
      <w:r w:rsidR="00DD4CE5" w:rsidRPr="0006336F">
        <w:t>dependent</w:t>
      </w:r>
      <w:r w:rsidR="00AB0052" w:rsidRPr="0006336F">
        <w:t xml:space="preserve"> children aged under 14</w:t>
      </w:r>
      <w:r w:rsidR="00DD4CE5" w:rsidRPr="0006336F">
        <w:t xml:space="preserve">, </w:t>
      </w:r>
      <w:r w:rsidR="00F00010" w:rsidRPr="0006336F">
        <w:t xml:space="preserve">of whom </w:t>
      </w:r>
      <w:r w:rsidR="00DD4CE5" w:rsidRPr="0006336F">
        <w:t>91.1</w:t>
      </w:r>
      <w:r w:rsidR="00B16861">
        <w:t> per c</w:t>
      </w:r>
      <w:r w:rsidR="00DD4CE5" w:rsidRPr="0006336F">
        <w:t xml:space="preserve">ent are women. </w:t>
      </w:r>
    </w:p>
    <w:p w14:paraId="492247BD" w14:textId="6BC83E72" w:rsidR="00AB2980" w:rsidRPr="0006336F" w:rsidRDefault="00FD3514" w:rsidP="00DB5BE9">
      <w:pPr>
        <w:rPr>
          <w:rStyle w:val="BulletChar"/>
        </w:rPr>
      </w:pPr>
      <w:r>
        <w:t>The Government</w:t>
      </w:r>
      <w:r w:rsidR="00736B4D" w:rsidRPr="0006336F">
        <w:rPr>
          <w:rStyle w:val="BulletChar"/>
        </w:rPr>
        <w:t xml:space="preserve"> </w:t>
      </w:r>
      <w:r w:rsidR="006E793A" w:rsidRPr="0006336F">
        <w:rPr>
          <w:rStyle w:val="BulletChar"/>
        </w:rPr>
        <w:t>has measures underway to remove</w:t>
      </w:r>
      <w:r w:rsidR="001C5193" w:rsidRPr="0006336F">
        <w:rPr>
          <w:rStyle w:val="BulletChar"/>
        </w:rPr>
        <w:t xml:space="preserve"> barriers to </w:t>
      </w:r>
      <w:r w:rsidR="00045803" w:rsidRPr="0006336F">
        <w:rPr>
          <w:rStyle w:val="BulletChar"/>
        </w:rPr>
        <w:t>promote</w:t>
      </w:r>
      <w:r w:rsidR="001C5193" w:rsidRPr="0006336F" w:rsidDel="00045803">
        <w:rPr>
          <w:rStyle w:val="BulletChar"/>
        </w:rPr>
        <w:t xml:space="preserve"> </w:t>
      </w:r>
      <w:r w:rsidR="001C5193" w:rsidRPr="0006336F">
        <w:rPr>
          <w:rStyle w:val="BulletChar"/>
        </w:rPr>
        <w:t>participation and retention of people from under</w:t>
      </w:r>
      <w:r w:rsidR="00B16861">
        <w:rPr>
          <w:rStyle w:val="BulletChar"/>
        </w:rPr>
        <w:noBreakHyphen/>
      </w:r>
      <w:r w:rsidR="001C5193" w:rsidRPr="0006336F">
        <w:rPr>
          <w:rStyle w:val="BulletChar"/>
        </w:rPr>
        <w:t xml:space="preserve">represented backgrounds in the workforce, through actions such as </w:t>
      </w:r>
      <w:r w:rsidR="009B41C8" w:rsidRPr="0006336F">
        <w:rPr>
          <w:rStyle w:val="BulletChar"/>
        </w:rPr>
        <w:t xml:space="preserve">the </w:t>
      </w:r>
      <w:r w:rsidR="001C5193" w:rsidRPr="0006336F">
        <w:rPr>
          <w:rStyle w:val="BulletChar"/>
        </w:rPr>
        <w:t>Australian Skills Guarantee and the Pathway to Diversity in STEM review.</w:t>
      </w:r>
      <w:r w:rsidR="002C1969" w:rsidRPr="0006336F">
        <w:rPr>
          <w:rStyle w:val="BulletChar"/>
        </w:rPr>
        <w:t xml:space="preserve"> </w:t>
      </w:r>
      <w:r w:rsidR="0018602B" w:rsidRPr="0006336F">
        <w:rPr>
          <w:rStyle w:val="BulletChar"/>
        </w:rPr>
        <w:t xml:space="preserve">This is critical </w:t>
      </w:r>
      <w:r w:rsidR="00E614E7" w:rsidRPr="0006336F">
        <w:rPr>
          <w:rStyle w:val="BulletChar"/>
        </w:rPr>
        <w:t>to</w:t>
      </w:r>
      <w:r w:rsidR="006E793A" w:rsidRPr="0006336F">
        <w:rPr>
          <w:rStyle w:val="BulletChar"/>
        </w:rPr>
        <w:t xml:space="preserve"> addressing </w:t>
      </w:r>
      <w:r w:rsidR="00451D2F" w:rsidRPr="0006336F">
        <w:rPr>
          <w:rStyle w:val="BulletChar"/>
        </w:rPr>
        <w:t>gender segregation by occupation and industr</w:t>
      </w:r>
      <w:r w:rsidR="00F54FBF" w:rsidRPr="0006336F">
        <w:rPr>
          <w:rStyle w:val="BulletChar"/>
        </w:rPr>
        <w:t>y</w:t>
      </w:r>
      <w:r w:rsidR="006E793A" w:rsidRPr="0006336F">
        <w:rPr>
          <w:rStyle w:val="BulletChar"/>
        </w:rPr>
        <w:t xml:space="preserve"> which</w:t>
      </w:r>
      <w:r w:rsidR="009879ED" w:rsidRPr="0006336F">
        <w:rPr>
          <w:rStyle w:val="BulletChar"/>
        </w:rPr>
        <w:t xml:space="preserve"> can exacerbate skills shortages and hold our economy back</w:t>
      </w:r>
      <w:r w:rsidR="00F54FBF" w:rsidRPr="0006336F">
        <w:rPr>
          <w:rStyle w:val="BulletChar"/>
        </w:rPr>
        <w:t xml:space="preserve">. </w:t>
      </w:r>
      <w:r w:rsidR="002F28FF" w:rsidRPr="0006336F">
        <w:rPr>
          <w:rStyle w:val="BulletChar"/>
        </w:rPr>
        <w:t>The framework</w:t>
      </w:r>
      <w:r w:rsidR="00796046" w:rsidRPr="0006336F">
        <w:rPr>
          <w:rStyle w:val="BulletChar"/>
        </w:rPr>
        <w:t xml:space="preserve"> will</w:t>
      </w:r>
      <w:r w:rsidR="00365977" w:rsidRPr="0006336F">
        <w:rPr>
          <w:rStyle w:val="BulletChar"/>
        </w:rPr>
        <w:t xml:space="preserve"> </w:t>
      </w:r>
      <w:r w:rsidR="00223C03" w:rsidRPr="0006336F">
        <w:rPr>
          <w:rStyle w:val="BulletChar"/>
        </w:rPr>
        <w:t>put the views and experiences of people with disability at</w:t>
      </w:r>
      <w:r w:rsidR="00365977" w:rsidRPr="0006336F">
        <w:rPr>
          <w:rStyle w:val="BulletChar"/>
        </w:rPr>
        <w:t xml:space="preserve"> the </w:t>
      </w:r>
      <w:r w:rsidR="00223C03" w:rsidRPr="0006336F">
        <w:rPr>
          <w:rStyle w:val="BulletChar"/>
        </w:rPr>
        <w:t>forefront of how Disability Employment Services provider performance is measured.</w:t>
      </w:r>
      <w:r w:rsidR="00421A9F" w:rsidRPr="0006336F">
        <w:rPr>
          <w:rStyle w:val="BulletChar"/>
        </w:rPr>
        <w:t xml:space="preserve"> </w:t>
      </w:r>
      <w:r w:rsidR="00137190" w:rsidRPr="0006336F">
        <w:rPr>
          <w:rStyle w:val="BulletChar"/>
        </w:rPr>
        <w:t>In addition, t</w:t>
      </w:r>
      <w:r w:rsidR="00D03ABA" w:rsidRPr="0006336F">
        <w:rPr>
          <w:rStyle w:val="BulletChar"/>
        </w:rPr>
        <w:t>he Government has committed to an ambitious housing reform agenda which will boost the supply of secure, affordable housing</w:t>
      </w:r>
      <w:r w:rsidR="0008688B" w:rsidRPr="0006336F">
        <w:rPr>
          <w:rStyle w:val="BulletChar"/>
        </w:rPr>
        <w:t>.</w:t>
      </w:r>
      <w:r w:rsidR="009C3AD5" w:rsidRPr="0006336F">
        <w:rPr>
          <w:rStyle w:val="BulletChar"/>
        </w:rPr>
        <w:t xml:space="preserve"> </w:t>
      </w:r>
      <w:r w:rsidR="0008688B" w:rsidRPr="0006336F">
        <w:rPr>
          <w:rStyle w:val="BulletChar"/>
        </w:rPr>
        <w:t xml:space="preserve">This will </w:t>
      </w:r>
      <w:r w:rsidR="00987BA1" w:rsidRPr="0006336F">
        <w:rPr>
          <w:rStyle w:val="BulletChar"/>
        </w:rPr>
        <w:t>re</w:t>
      </w:r>
      <w:r w:rsidR="00987BA1">
        <w:rPr>
          <w:rStyle w:val="BulletChar"/>
        </w:rPr>
        <w:t>duce</w:t>
      </w:r>
      <w:r w:rsidR="009C3AD5" w:rsidRPr="0006336F">
        <w:rPr>
          <w:rStyle w:val="BulletChar"/>
        </w:rPr>
        <w:t xml:space="preserve"> barriers to labour mobility</w:t>
      </w:r>
      <w:r w:rsidR="00662C98" w:rsidRPr="0006336F">
        <w:rPr>
          <w:rStyle w:val="BulletChar"/>
        </w:rPr>
        <w:t xml:space="preserve"> and improv</w:t>
      </w:r>
      <w:r w:rsidR="0008688B" w:rsidRPr="0006336F">
        <w:rPr>
          <w:rStyle w:val="BulletChar"/>
        </w:rPr>
        <w:t>e</w:t>
      </w:r>
      <w:r w:rsidR="00662C98" w:rsidRPr="0006336F">
        <w:rPr>
          <w:rStyle w:val="BulletChar"/>
        </w:rPr>
        <w:t xml:space="preserve"> the ability for people to live c</w:t>
      </w:r>
      <w:r w:rsidR="002D0E9D" w:rsidRPr="0006336F">
        <w:rPr>
          <w:rStyle w:val="BulletChar"/>
        </w:rPr>
        <w:t xml:space="preserve">lose to </w:t>
      </w:r>
      <w:r w:rsidR="00301DD3" w:rsidRPr="0006336F">
        <w:rPr>
          <w:rStyle w:val="BulletChar"/>
        </w:rPr>
        <w:t>job opportunities</w:t>
      </w:r>
      <w:r w:rsidR="009C3AD5" w:rsidRPr="0006336F">
        <w:rPr>
          <w:rStyle w:val="BulletChar"/>
        </w:rPr>
        <w:t>.</w:t>
      </w:r>
    </w:p>
    <w:p w14:paraId="3B9C07D7" w14:textId="7C107E3E" w:rsidR="00DB5BE9" w:rsidRPr="0006336F" w:rsidRDefault="00EC4A64" w:rsidP="00DB5BE9">
      <w:r w:rsidRPr="0006336F">
        <w:t xml:space="preserve">Going forward, </w:t>
      </w:r>
      <w:r w:rsidR="001B1EA6" w:rsidRPr="0006336F">
        <w:t xml:space="preserve">the Government will continue to focus </w:t>
      </w:r>
      <w:r w:rsidR="00CF6553" w:rsidRPr="0006336F">
        <w:t>on implementing policies that go to improving equality</w:t>
      </w:r>
      <w:r w:rsidR="00DD5147" w:rsidRPr="0006336F">
        <w:t xml:space="preserve"> and supporting participation </w:t>
      </w:r>
      <w:r w:rsidR="00F66C8A" w:rsidRPr="0006336F">
        <w:t xml:space="preserve">for </w:t>
      </w:r>
      <w:r w:rsidR="00171309" w:rsidRPr="0006336F">
        <w:t>all</w:t>
      </w:r>
      <w:r w:rsidR="00F66C8A" w:rsidRPr="0006336F">
        <w:t xml:space="preserve"> </w:t>
      </w:r>
      <w:r w:rsidR="00785DE9" w:rsidRPr="0006336F">
        <w:t>Australians</w:t>
      </w:r>
      <w:r w:rsidR="00171309" w:rsidRPr="0006336F">
        <w:t>, including those</w:t>
      </w:r>
      <w:r w:rsidR="00785DE9" w:rsidRPr="0006336F">
        <w:t xml:space="preserve"> </w:t>
      </w:r>
      <w:r w:rsidR="009879ED" w:rsidRPr="0006336F">
        <w:t xml:space="preserve">who face </w:t>
      </w:r>
      <w:r w:rsidR="004A0154" w:rsidRPr="0006336F">
        <w:t xml:space="preserve">challenges </w:t>
      </w:r>
      <w:r w:rsidR="00806781" w:rsidRPr="0006336F">
        <w:t>to</w:t>
      </w:r>
      <w:r w:rsidR="004A0154" w:rsidRPr="0006336F">
        <w:t xml:space="preserve"> fully participating in the labour market</w:t>
      </w:r>
      <w:r w:rsidR="00F66C8A" w:rsidRPr="0006336F">
        <w:t xml:space="preserve">. </w:t>
      </w:r>
      <w:r w:rsidR="001A11D4" w:rsidRPr="0006336F">
        <w:t xml:space="preserve">The National </w:t>
      </w:r>
      <w:r w:rsidR="00332ABF" w:rsidRPr="0006336F">
        <w:t>Strategy to Achieve</w:t>
      </w:r>
      <w:r w:rsidR="001A11D4" w:rsidRPr="0006336F">
        <w:t xml:space="preserve"> Gender Equality will build on the White Paper </w:t>
      </w:r>
      <w:r w:rsidR="00DF2BB0" w:rsidRPr="0006336F">
        <w:t xml:space="preserve">by outlining </w:t>
      </w:r>
      <w:r w:rsidR="001A11D4" w:rsidRPr="0006336F">
        <w:t>ways to enhance women</w:t>
      </w:r>
      <w:r w:rsidR="00B16861">
        <w:t>’</w:t>
      </w:r>
      <w:r w:rsidR="001A11D4" w:rsidRPr="0006336F">
        <w:t xml:space="preserve">s economic equality. </w:t>
      </w:r>
      <w:r w:rsidR="00FD3514">
        <w:t>The Government</w:t>
      </w:r>
      <w:r w:rsidR="004A0154" w:rsidRPr="0006336F">
        <w:t xml:space="preserve"> is </w:t>
      </w:r>
      <w:r w:rsidR="001A11D4" w:rsidRPr="0006336F">
        <w:t xml:space="preserve">addressing </w:t>
      </w:r>
      <w:r w:rsidR="0062231A" w:rsidRPr="0006336F">
        <w:t>dis</w:t>
      </w:r>
      <w:r w:rsidR="004A0154" w:rsidRPr="0006336F">
        <w:t xml:space="preserve">incentives within the income support system to support </w:t>
      </w:r>
      <w:r w:rsidR="0062231A" w:rsidRPr="0006336F">
        <w:t xml:space="preserve">people </w:t>
      </w:r>
      <w:r w:rsidR="004A0154" w:rsidRPr="0006336F">
        <w:t xml:space="preserve">into work. </w:t>
      </w:r>
      <w:r w:rsidR="00423807" w:rsidRPr="0006336F">
        <w:t>We will also provide high</w:t>
      </w:r>
      <w:r w:rsidR="00453F2F">
        <w:noBreakHyphen/>
      </w:r>
      <w:r w:rsidR="00423807" w:rsidRPr="0006336F">
        <w:t xml:space="preserve">quality supports for people with disability, including establishing </w:t>
      </w:r>
      <w:r w:rsidR="000667B2" w:rsidRPr="0006336F">
        <w:t>a Disability Employment Centre of Excellence</w:t>
      </w:r>
      <w:r w:rsidR="009A597D" w:rsidRPr="0006336F">
        <w:t xml:space="preserve"> and reforming Disability Employment Services by July 2025</w:t>
      </w:r>
      <w:r w:rsidR="000667B2" w:rsidRPr="0006336F">
        <w:t>.</w:t>
      </w:r>
    </w:p>
    <w:p w14:paraId="68766FA7" w14:textId="4DCB313A" w:rsidR="00990CFB" w:rsidRPr="0006336F" w:rsidRDefault="00990CFB" w:rsidP="00990CFB">
      <w:pPr>
        <w:pStyle w:val="Heading3"/>
      </w:pPr>
      <w:r w:rsidRPr="0006336F">
        <w:t>Promot</w:t>
      </w:r>
      <w:r w:rsidR="00581896" w:rsidRPr="0006336F">
        <w:t>ing</w:t>
      </w:r>
      <w:r w:rsidRPr="0006336F">
        <w:t xml:space="preserve"> gender equality </w:t>
      </w:r>
    </w:p>
    <w:p w14:paraId="22A654ED" w14:textId="6345627E" w:rsidR="00990CFB" w:rsidRPr="0006336F" w:rsidRDefault="00990CFB" w:rsidP="00990CFB">
      <w:r w:rsidRPr="0006336F">
        <w:t>A persistent gender pay gap, lack of workplace flexibility, gender segregation by occupation and industry, high financial disincentives for some secondary earners and an unequal distribution of care responsibilities mean women do not have the same opportunities to participate in</w:t>
      </w:r>
      <w:r w:rsidR="00A41210" w:rsidRPr="0006336F">
        <w:t>,</w:t>
      </w:r>
      <w:r w:rsidRPr="0006336F">
        <w:t xml:space="preserve"> and benefit from</w:t>
      </w:r>
      <w:r w:rsidR="00A41210" w:rsidRPr="0006336F">
        <w:t>,</w:t>
      </w:r>
      <w:r w:rsidRPr="0006336F">
        <w:t xml:space="preserve"> paid work as men. To improve women</w:t>
      </w:r>
      <w:r w:rsidR="00B16861">
        <w:t>’</w:t>
      </w:r>
      <w:r w:rsidRPr="0006336F">
        <w:t>s economic equality further, Government, employers, and communities need to work together to address the intersecting barriers women face.</w:t>
      </w:r>
    </w:p>
    <w:p w14:paraId="4323FB91" w14:textId="43E40DA2" w:rsidR="00E23D52" w:rsidRPr="0006336F" w:rsidRDefault="00FD3514" w:rsidP="00990CFB">
      <w:r>
        <w:t>The Government</w:t>
      </w:r>
      <w:r w:rsidR="00990CFB" w:rsidRPr="0006336F">
        <w:t xml:space="preserve"> recognises that workplaces must be safe so that all employees can thrive. To address sexual harassment in the workplace, the Government is implementing all recommendations of the Respect@Work report. This includes having legislated a positive duty</w:t>
      </w:r>
      <w:r w:rsidR="00D56712" w:rsidRPr="0006336F">
        <w:t xml:space="preserve"> for employers</w:t>
      </w:r>
      <w:r w:rsidR="00990CFB" w:rsidRPr="0006336F">
        <w:t xml:space="preserve"> to prevent sexual </w:t>
      </w:r>
      <w:r w:rsidR="00990CFB" w:rsidRPr="0006336F">
        <w:lastRenderedPageBreak/>
        <w:t xml:space="preserve">harassment, amendments to the </w:t>
      </w:r>
      <w:r w:rsidR="00990CFB" w:rsidRPr="0006336F">
        <w:rPr>
          <w:i/>
        </w:rPr>
        <w:t>Fair Work Act 2009</w:t>
      </w:r>
      <w:r w:rsidR="00990CFB" w:rsidRPr="0006336F">
        <w:t xml:space="preserve"> </w:t>
      </w:r>
      <w:r w:rsidR="0061422D" w:rsidRPr="0006336F">
        <w:rPr>
          <w:iCs/>
        </w:rPr>
        <w:t>(Fair Work Act)</w:t>
      </w:r>
      <w:r w:rsidR="00990CFB" w:rsidRPr="0006336F">
        <w:rPr>
          <w:i/>
        </w:rPr>
        <w:t xml:space="preserve"> </w:t>
      </w:r>
      <w:r w:rsidR="00990CFB" w:rsidRPr="0006336F">
        <w:t>to expressly prohibit sexual harassment in the workplace and empowering the Fair Work Commission to deal with workplace sexual harassment disputes.</w:t>
      </w:r>
    </w:p>
    <w:p w14:paraId="26C38793" w14:textId="5A4D1E7D" w:rsidR="00990CFB" w:rsidRPr="0006336F" w:rsidRDefault="00990CFB" w:rsidP="00990CFB">
      <w:r w:rsidRPr="0006336F">
        <w:t xml:space="preserve">Recognising the impact of family and domestic violence on economic participation, the Government has also legislated 10 days of paid family and domestic violence leave and supported small businesses on the introduction of this reform. </w:t>
      </w:r>
      <w:r w:rsidR="00FD3514">
        <w:t>The Government</w:t>
      </w:r>
      <w:r w:rsidR="00B16861">
        <w:t>’</w:t>
      </w:r>
      <w:r w:rsidRPr="0006336F">
        <w:t>s significant investments to prevent, respond to</w:t>
      </w:r>
      <w:r w:rsidR="00557DE7" w:rsidRPr="0006336F">
        <w:t>,</w:t>
      </w:r>
      <w:r w:rsidRPr="0006336F">
        <w:t xml:space="preserve"> and ultimately end family</w:t>
      </w:r>
      <w:r w:rsidR="00557DE7" w:rsidRPr="0006336F">
        <w:t xml:space="preserve">, </w:t>
      </w:r>
      <w:r w:rsidRPr="0006336F">
        <w:t xml:space="preserve">domestic and sexual violence will </w:t>
      </w:r>
      <w:r w:rsidR="00557DE7" w:rsidRPr="0006336F">
        <w:t>work to</w:t>
      </w:r>
      <w:r w:rsidRPr="0006336F">
        <w:t xml:space="preserve"> tackle this significant barrier to workforce participation, which is overwhelmingly experienced by women.</w:t>
      </w:r>
    </w:p>
    <w:p w14:paraId="110E5D82" w14:textId="5D20DAC4" w:rsidR="00E03063" w:rsidRPr="0006336F" w:rsidRDefault="00FD3514" w:rsidP="00E03063">
      <w:r>
        <w:t>The Government</w:t>
      </w:r>
      <w:r w:rsidR="00E03063" w:rsidRPr="0006336F">
        <w:t xml:space="preserve"> has taken steps to encourage sharing of care responsibilities between parents with significant changes to the Paid Parental Leave Scheme. From July 2023, instead of differentiating between primary and secondary carers, there is a single payment that both parents can claim, with two weeks of the scheme reserved for each parent to support them both to take time off work. Fathers and partners can be eligible regardless of the mother</w:t>
      </w:r>
      <w:r w:rsidR="00B16861">
        <w:t>’</w:t>
      </w:r>
      <w:r w:rsidR="00E03063" w:rsidRPr="0006336F">
        <w:t>s residency status, are able to take government</w:t>
      </w:r>
      <w:r w:rsidR="00B16861">
        <w:noBreakHyphen/>
      </w:r>
      <w:r w:rsidR="007B210B" w:rsidRPr="0006336F">
        <w:t>funded</w:t>
      </w:r>
      <w:r w:rsidR="00E03063" w:rsidRPr="0006336F">
        <w:t xml:space="preserve"> leave at the same time as any employer</w:t>
      </w:r>
      <w:r w:rsidR="00B16861">
        <w:noBreakHyphen/>
      </w:r>
      <w:r w:rsidR="00E03063" w:rsidRPr="0006336F">
        <w:t xml:space="preserve">paid leave and have increased flexibility in choosing how they take paid parental leave days. As the scheme expands to 26 weeks, the Government will </w:t>
      </w:r>
      <w:r w:rsidR="00F9235C" w:rsidRPr="0006336F">
        <w:t>consider</w:t>
      </w:r>
      <w:r w:rsidR="00E03063" w:rsidRPr="0006336F">
        <w:t xml:space="preserve"> advice from the Women</w:t>
      </w:r>
      <w:r w:rsidR="00B16861">
        <w:t>’</w:t>
      </w:r>
      <w:r w:rsidR="00E03063" w:rsidRPr="0006336F">
        <w:t xml:space="preserve">s Economic Equality Taskforce in finalising what component of leave will be reserved for fathers and partners. </w:t>
      </w:r>
    </w:p>
    <w:p w14:paraId="182750F2" w14:textId="1FC800D8" w:rsidR="00E03063" w:rsidRPr="0006336F" w:rsidRDefault="00E03063" w:rsidP="00E03063">
      <w:r w:rsidRPr="0006336F">
        <w:t>These changes complement amendments to the Fair Work Act</w:t>
      </w:r>
      <w:r w:rsidRPr="0006336F">
        <w:rPr>
          <w:i/>
        </w:rPr>
        <w:t xml:space="preserve"> </w:t>
      </w:r>
      <w:r w:rsidRPr="0006336F">
        <w:t>t</w:t>
      </w:r>
      <w:r w:rsidR="003A0F5C" w:rsidRPr="0006336F">
        <w:t>hat have</w:t>
      </w:r>
      <w:r w:rsidRPr="0006336F">
        <w:t xml:space="preserve"> improve</w:t>
      </w:r>
      <w:r w:rsidR="003A0F5C" w:rsidRPr="0006336F">
        <w:t>d</w:t>
      </w:r>
      <w:r w:rsidRPr="0006336F">
        <w:t xml:space="preserve"> access to flexible work arrangements and strengthen</w:t>
      </w:r>
      <w:r w:rsidR="002314A3" w:rsidRPr="0006336F">
        <w:t>ed</w:t>
      </w:r>
      <w:r w:rsidRPr="0006336F">
        <w:t xml:space="preserve"> the right to request an extension of unpaid parental leave. As</w:t>
      </w:r>
      <w:r w:rsidR="000F0ED2">
        <w:t> </w:t>
      </w:r>
      <w:r w:rsidRPr="0006336F">
        <w:t xml:space="preserve">set out in the Broadening access to foundation skills section, the Government has also made child care more affordable, helping to lower a barrier many women face to working, or working more hours. </w:t>
      </w:r>
      <w:r w:rsidR="007F1105" w:rsidRPr="0006336F">
        <w:t>To</w:t>
      </w:r>
      <w:r w:rsidR="000F0ED2">
        <w:t> </w:t>
      </w:r>
      <w:r w:rsidR="007F1105" w:rsidRPr="0006336F">
        <w:t>further address disincentives to work</w:t>
      </w:r>
      <w:r w:rsidR="00541B4C" w:rsidRPr="0006336F">
        <w:t>, we</w:t>
      </w:r>
      <w:r w:rsidR="00BC4716" w:rsidRPr="0006336F">
        <w:t xml:space="preserve"> will consider how to better support parents with caring responsibilities</w:t>
      </w:r>
      <w:r w:rsidR="00682FAA" w:rsidRPr="0006336F">
        <w:t xml:space="preserve">. This will include identifying opportunities to improve the early childhood education and care sector through </w:t>
      </w:r>
      <w:r w:rsidR="005C772A" w:rsidRPr="0006336F">
        <w:t xml:space="preserve">a </w:t>
      </w:r>
      <w:r w:rsidR="00682FAA" w:rsidRPr="0006336F">
        <w:t xml:space="preserve">Productivity Commission inquiry, and </w:t>
      </w:r>
      <w:r w:rsidR="00BC4716" w:rsidRPr="0006336F">
        <w:t>improv</w:t>
      </w:r>
      <w:r w:rsidR="00315B07" w:rsidRPr="0006336F">
        <w:t>ing</w:t>
      </w:r>
      <w:r w:rsidR="00BC4716" w:rsidRPr="0006336F">
        <w:t xml:space="preserve"> access to care</w:t>
      </w:r>
      <w:r w:rsidR="00315B07" w:rsidRPr="0006336F">
        <w:t xml:space="preserve"> so parents are </w:t>
      </w:r>
      <w:r w:rsidR="00787D42" w:rsidRPr="0006336F">
        <w:t xml:space="preserve">able to increase their participation if they </w:t>
      </w:r>
      <w:r w:rsidR="00072B93" w:rsidRPr="0006336F">
        <w:t>want to</w:t>
      </w:r>
      <w:r w:rsidR="00D25885" w:rsidRPr="0006336F">
        <w:t xml:space="preserve">. </w:t>
      </w:r>
    </w:p>
    <w:p w14:paraId="3634E067" w14:textId="33A62EF2" w:rsidR="00990CFB" w:rsidRPr="0006336F" w:rsidRDefault="00990CFB" w:rsidP="00990CFB">
      <w:r w:rsidRPr="0006336F">
        <w:t>Tackling gender segregation in education and industries has also been a focus for the Government. Targets have been set to increase women</w:t>
      </w:r>
      <w:r w:rsidR="00B16861">
        <w:t>’</w:t>
      </w:r>
      <w:r w:rsidRPr="0006336F">
        <w:t>s participation in the tech sector through the Digital and Tech Skills compact with business and unions. The Australian Skills Guarantee includes targets for the proportion of apprentice/trainee hours to be undertaken by women on major Commonwealth construction and ICT projects. The National Construction Industry Forum has been established to consider the challenges facing the industry, including how to improve safety, culture, diversity, and gender equality.</w:t>
      </w:r>
      <w:r w:rsidR="00D737EB" w:rsidRPr="0006336F">
        <w:t xml:space="preserve"> </w:t>
      </w:r>
      <w:r w:rsidR="002515ED" w:rsidRPr="0006336F">
        <w:t>And to increase diversity and inclusion across the STEM sector</w:t>
      </w:r>
      <w:r w:rsidR="00B907D8" w:rsidRPr="0006336F">
        <w:t>, t</w:t>
      </w:r>
      <w:r w:rsidR="00D737EB" w:rsidRPr="0006336F">
        <w:t xml:space="preserve">he Government is undertaking a Pathway to Diversity in STEM </w:t>
      </w:r>
      <w:r w:rsidR="00D8088D" w:rsidRPr="0006336F">
        <w:t>Review</w:t>
      </w:r>
      <w:r w:rsidR="00D737EB" w:rsidRPr="0006336F">
        <w:t>.</w:t>
      </w:r>
    </w:p>
    <w:p w14:paraId="2591ACA1" w14:textId="459DBF64" w:rsidR="00990CFB" w:rsidRPr="0006336F" w:rsidRDefault="00990CFB" w:rsidP="00990CFB">
      <w:r w:rsidRPr="0006336F">
        <w:t xml:space="preserve">Much more needs to be done to improve gender equality. </w:t>
      </w:r>
      <w:r w:rsidR="00FD3514">
        <w:t>The Government</w:t>
      </w:r>
      <w:r w:rsidRPr="0006336F">
        <w:t xml:space="preserve"> is developing a National Strategy to Achieve Gender Equality. The Strategy will build on the White Paper </w:t>
      </w:r>
      <w:r w:rsidR="00A42EC3" w:rsidRPr="0006336F">
        <w:t>by outlining</w:t>
      </w:r>
      <w:r w:rsidRPr="0006336F">
        <w:t xml:space="preserve"> ways to enhance women</w:t>
      </w:r>
      <w:r w:rsidR="00B16861">
        <w:t>’</w:t>
      </w:r>
      <w:r w:rsidRPr="0006336F">
        <w:t xml:space="preserve">s economic equality. The Strategy will be informed by </w:t>
      </w:r>
      <w:r w:rsidR="00F50234" w:rsidRPr="0006336F">
        <w:t xml:space="preserve">consultation with people around Australia to ensure diverse voices are heard, as well as </w:t>
      </w:r>
      <w:r w:rsidRPr="0006336F">
        <w:t xml:space="preserve">the </w:t>
      </w:r>
      <w:r w:rsidR="00F50234" w:rsidRPr="0006336F">
        <w:t xml:space="preserve">existing evidence base and </w:t>
      </w:r>
      <w:r w:rsidRPr="0006336F">
        <w:t xml:space="preserve">advice </w:t>
      </w:r>
      <w:r w:rsidR="00F50234" w:rsidRPr="0006336F">
        <w:t>from</w:t>
      </w:r>
      <w:r w:rsidRPr="0006336F">
        <w:t xml:space="preserve"> the Women</w:t>
      </w:r>
      <w:r w:rsidR="00B16861">
        <w:t>’</w:t>
      </w:r>
      <w:r w:rsidRPr="0006336F">
        <w:t>s Economic Equality Taskforce</w:t>
      </w:r>
      <w:r w:rsidR="00F50234" w:rsidRPr="0006336F">
        <w:t xml:space="preserve">. The Strategy will </w:t>
      </w:r>
      <w:r w:rsidRPr="0006336F">
        <w:t xml:space="preserve">consider the </w:t>
      </w:r>
      <w:r w:rsidR="00F50234" w:rsidRPr="0006336F">
        <w:t xml:space="preserve">broad range of factors that constrain or enhance gender equality, including </w:t>
      </w:r>
      <w:r w:rsidRPr="0006336F">
        <w:t xml:space="preserve">the intersecting issues that can </w:t>
      </w:r>
      <w:r w:rsidR="007C2EEE" w:rsidRPr="0006336F">
        <w:t>influence</w:t>
      </w:r>
      <w:r w:rsidRPr="0006336F">
        <w:t xml:space="preserve"> women</w:t>
      </w:r>
      <w:r w:rsidR="00B16861">
        <w:t>’</w:t>
      </w:r>
      <w:r w:rsidRPr="0006336F">
        <w:t>s economic equality</w:t>
      </w:r>
      <w:r w:rsidR="007C2EEE" w:rsidRPr="0006336F">
        <w:t>. This will include a focus on</w:t>
      </w:r>
      <w:r w:rsidRPr="0006336F">
        <w:t xml:space="preserve"> women who face complex and intersecting forms of disadvantage, </w:t>
      </w:r>
      <w:r w:rsidR="00B945F1" w:rsidRPr="0006336F">
        <w:t xml:space="preserve">as well as looking at ways we can better </w:t>
      </w:r>
      <w:r w:rsidRPr="0006336F">
        <w:t>valu</w:t>
      </w:r>
      <w:r w:rsidR="00B945F1" w:rsidRPr="0006336F">
        <w:t>e</w:t>
      </w:r>
      <w:r w:rsidRPr="0006336F">
        <w:t xml:space="preserve"> and shar</w:t>
      </w:r>
      <w:r w:rsidR="00B945F1" w:rsidRPr="0006336F">
        <w:t>e</w:t>
      </w:r>
      <w:r w:rsidRPr="0006336F">
        <w:t xml:space="preserve"> care work, ensur</w:t>
      </w:r>
      <w:r w:rsidR="00C52C6B" w:rsidRPr="0006336F">
        <w:t>e</w:t>
      </w:r>
      <w:r w:rsidRPr="0006336F">
        <w:t xml:space="preserve"> safe and respectful workplaces, redu</w:t>
      </w:r>
      <w:r w:rsidR="00C52C6B" w:rsidRPr="0006336F">
        <w:t>ce</w:t>
      </w:r>
      <w:r w:rsidRPr="0006336F">
        <w:t xml:space="preserve"> industrial and occupational segregation, and remov</w:t>
      </w:r>
      <w:r w:rsidR="00C52C6B" w:rsidRPr="0006336F">
        <w:t>e</w:t>
      </w:r>
      <w:r w:rsidRPr="0006336F">
        <w:t xml:space="preserve"> barriers to leadership, positions of influence, and career progression.</w:t>
      </w:r>
    </w:p>
    <w:p w14:paraId="609874D4" w14:textId="0A2742E1" w:rsidR="00990CFB" w:rsidRPr="0006336F" w:rsidRDefault="00990CFB" w:rsidP="00990CFB">
      <w:r w:rsidRPr="0006336F">
        <w:t xml:space="preserve">Release of the Strategy will be an opportunity to bring together Government policy action </w:t>
      </w:r>
      <w:r w:rsidR="00C52C6B" w:rsidRPr="0006336F">
        <w:t xml:space="preserve">to drive gender equality in </w:t>
      </w:r>
      <w:r w:rsidRPr="0006336F">
        <w:t xml:space="preserve">the </w:t>
      </w:r>
      <w:r w:rsidR="00C52C6B" w:rsidRPr="0006336F">
        <w:t>long term.</w:t>
      </w:r>
    </w:p>
    <w:p w14:paraId="53C6C8C6" w14:textId="33D24F50" w:rsidR="00990CFB" w:rsidRPr="0006336F" w:rsidRDefault="00990CFB" w:rsidP="00990CFB">
      <w:r w:rsidRPr="0006336F">
        <w:lastRenderedPageBreak/>
        <w:t xml:space="preserve">In addition, the Government will use the opportunities of the net zero transformation and the growing care and support economy to reduce industrial and occupational segregation. </w:t>
      </w:r>
      <w:r w:rsidR="00FD3514">
        <w:t>The Government</w:t>
      </w:r>
      <w:r w:rsidRPr="0006336F">
        <w:t xml:space="preserve"> has joined the international Equal by 30 campaign, which aims to achieve gender equality in the energy sector through committing to equal pay, equal leadership and equal opportunities for women by 2030. As outlined in </w:t>
      </w:r>
      <w:r w:rsidR="00740011" w:rsidRPr="0006336F">
        <w:t>the Planning for our future workforce section</w:t>
      </w:r>
      <w:r w:rsidRPr="0006336F">
        <w:t xml:space="preserve">, implementation of the National Strategy for the Care and Support Economy will work to realise the goal of quality jobs for workers. This will have a disproportionate impact on women as they make up the majority of workers in the care and support economy. </w:t>
      </w:r>
    </w:p>
    <w:p w14:paraId="0F168BFD" w14:textId="48BC2FF6" w:rsidR="00990CFB" w:rsidRPr="0006336F" w:rsidRDefault="007C6850" w:rsidP="00990CFB">
      <w:r>
        <w:t>The Government</w:t>
      </w:r>
      <w:r w:rsidR="00990CFB" w:rsidRPr="0006336F">
        <w:t xml:space="preserve"> will focus on narrowing the gap in superannuation balances between women and men. The main driver of the gender gap in superannuation balances is the difference in lifetime earnings between women and men. Policies that target increasing women</w:t>
      </w:r>
      <w:r w:rsidR="00B16861">
        <w:t>’</w:t>
      </w:r>
      <w:r w:rsidR="00990CFB" w:rsidRPr="0006336F">
        <w:t>s participation in paid work and encouraging a</w:t>
      </w:r>
      <w:r w:rsidR="000F0ED2">
        <w:t> </w:t>
      </w:r>
      <w:r w:rsidR="00990CFB" w:rsidRPr="0006336F">
        <w:t xml:space="preserve">more gender equal sharing of caring responsibilities will flow through to higher superannuation balances in future generations. </w:t>
      </w:r>
      <w:r>
        <w:t>We</w:t>
      </w:r>
      <w:r w:rsidR="00990CFB" w:rsidRPr="0006336F">
        <w:t xml:space="preserve"> </w:t>
      </w:r>
      <w:r w:rsidR="008F22CB" w:rsidRPr="0006336F">
        <w:t>will look</w:t>
      </w:r>
      <w:r w:rsidR="00990CFB" w:rsidRPr="0006336F">
        <w:t xml:space="preserve"> to </w:t>
      </w:r>
      <w:r w:rsidR="008F22CB" w:rsidRPr="0006336F">
        <w:t>pay</w:t>
      </w:r>
      <w:r w:rsidR="00990CFB" w:rsidRPr="0006336F">
        <w:t xml:space="preserve"> the superannuation guarantee on Government</w:t>
      </w:r>
      <w:r w:rsidR="00B16861">
        <w:noBreakHyphen/>
      </w:r>
      <w:r w:rsidR="00990CFB" w:rsidRPr="0006336F">
        <w:t xml:space="preserve">funded </w:t>
      </w:r>
      <w:r w:rsidR="00FF1E77" w:rsidRPr="0006336F">
        <w:t xml:space="preserve">Paid </w:t>
      </w:r>
      <w:r w:rsidR="00990CFB" w:rsidRPr="0006336F">
        <w:t>Parental Leave when fiscal circumstances permit, boosting the superannuation balances of those taking paid parental leave. Additionally, we will consult on the retirement phase of superannuation with an aim to improve the outcomes all Australians get from their superannuation savings.</w:t>
      </w:r>
    </w:p>
    <w:p w14:paraId="6BE58B56" w14:textId="36953349" w:rsidR="00DB5BE9" w:rsidRPr="0006336F" w:rsidRDefault="00190235" w:rsidP="00F4496B">
      <w:pPr>
        <w:pStyle w:val="Heading3"/>
      </w:pPr>
      <w:r w:rsidRPr="0006336F">
        <w:t>Address</w:t>
      </w:r>
      <w:r w:rsidR="00466442" w:rsidRPr="0006336F">
        <w:t>ing</w:t>
      </w:r>
      <w:r w:rsidR="00453009" w:rsidRPr="0006336F">
        <w:t xml:space="preserve"> </w:t>
      </w:r>
      <w:r w:rsidR="00723A6F" w:rsidRPr="0006336F">
        <w:t>dis</w:t>
      </w:r>
      <w:r w:rsidR="00DB5BE9" w:rsidRPr="0006336F">
        <w:t>incentives to work</w:t>
      </w:r>
    </w:p>
    <w:p w14:paraId="601F3FFA" w14:textId="0A36E311" w:rsidR="00DB5BE9" w:rsidRPr="0006336F" w:rsidRDefault="00DB5BE9" w:rsidP="00DB5BE9">
      <w:r w:rsidRPr="0006336F">
        <w:t>Australia</w:t>
      </w:r>
      <w:r w:rsidR="00B16861">
        <w:t>’</w:t>
      </w:r>
      <w:r w:rsidRPr="0006336F">
        <w:t xml:space="preserve">s income support system is designed to balance </w:t>
      </w:r>
      <w:r w:rsidR="00F573F4" w:rsidRPr="0006336F">
        <w:t xml:space="preserve">adequacy </w:t>
      </w:r>
      <w:r w:rsidRPr="0006336F">
        <w:t>of payment</w:t>
      </w:r>
      <w:r w:rsidR="00D33932" w:rsidRPr="0006336F">
        <w:t>s</w:t>
      </w:r>
      <w:r w:rsidRPr="0006336F">
        <w:t xml:space="preserve"> </w:t>
      </w:r>
      <w:r w:rsidR="00F573F4" w:rsidRPr="0006336F">
        <w:t xml:space="preserve">with incentivising </w:t>
      </w:r>
      <w:r w:rsidR="007453C6" w:rsidRPr="0006336F">
        <w:t xml:space="preserve">more </w:t>
      </w:r>
      <w:r w:rsidR="00F573F4" w:rsidRPr="0006336F">
        <w:t>participation in the workforce where possible.</w:t>
      </w:r>
      <w:r w:rsidRPr="0006336F">
        <w:t xml:space="preserve"> Many people who receive income support combine their payment with work or move on and off payment as their situation changes. </w:t>
      </w:r>
      <w:r w:rsidR="004A4F77" w:rsidRPr="0006336F">
        <w:t>A</w:t>
      </w:r>
      <w:r w:rsidRPr="0006336F">
        <w:t xml:space="preserve">n increasing proportion </w:t>
      </w:r>
      <w:r w:rsidR="004A4F77" w:rsidRPr="0006336F">
        <w:t xml:space="preserve">of income support recipients </w:t>
      </w:r>
      <w:r w:rsidR="006337E1" w:rsidRPr="0006336F">
        <w:t xml:space="preserve">has </w:t>
      </w:r>
      <w:r w:rsidRPr="0006336F">
        <w:t xml:space="preserve">been </w:t>
      </w:r>
      <w:r w:rsidR="004A4F77" w:rsidRPr="0006336F">
        <w:t xml:space="preserve">receiving </w:t>
      </w:r>
      <w:r w:rsidRPr="0006336F">
        <w:t xml:space="preserve">payment for longer than a year, </w:t>
      </w:r>
      <w:r w:rsidR="006F0CC3" w:rsidRPr="0006336F">
        <w:t>and there are real and perceived barriers preventing people from working more</w:t>
      </w:r>
      <w:r w:rsidRPr="0006336F">
        <w:t>.</w:t>
      </w:r>
      <w:r w:rsidR="006F0CC3" w:rsidRPr="0006336F">
        <w:t xml:space="preserve"> The transition from income support to employment should be as smooth as possible</w:t>
      </w:r>
      <w:r w:rsidR="00FD3514">
        <w:t xml:space="preserve"> – </w:t>
      </w:r>
      <w:r w:rsidR="006F0CC3" w:rsidRPr="0006336F">
        <w:t>with people supported to get back into work without fear that the safety net will no</w:t>
      </w:r>
      <w:r w:rsidR="006840E0" w:rsidRPr="0006336F">
        <w:t>t</w:t>
      </w:r>
      <w:r w:rsidR="006F0CC3" w:rsidRPr="0006336F">
        <w:t xml:space="preserve"> be there if they need it again. </w:t>
      </w:r>
    </w:p>
    <w:p w14:paraId="24E58265" w14:textId="3F1FF078" w:rsidR="00CD5D2D" w:rsidRPr="0006336F" w:rsidRDefault="006F0CC3" w:rsidP="00DB5BE9">
      <w:r w:rsidRPr="0006336F">
        <w:t xml:space="preserve">There are levers built into the income support system that facilitate workforce participation, but there is an opportunity to </w:t>
      </w:r>
      <w:r w:rsidR="00733022" w:rsidRPr="0006336F">
        <w:t xml:space="preserve">improve </w:t>
      </w:r>
      <w:r w:rsidRPr="0006336F">
        <w:t>these to better support people to re</w:t>
      </w:r>
      <w:r w:rsidR="00B16861">
        <w:noBreakHyphen/>
      </w:r>
      <w:r w:rsidRPr="0006336F">
        <w:t>engage with work.</w:t>
      </w:r>
      <w:r w:rsidR="008A280F" w:rsidRPr="0006336F">
        <w:t xml:space="preserve"> </w:t>
      </w:r>
      <w:r w:rsidR="00FD3514">
        <w:t>The Government</w:t>
      </w:r>
      <w:r w:rsidR="008A280F" w:rsidRPr="0006336F">
        <w:t xml:space="preserve"> </w:t>
      </w:r>
      <w:r w:rsidR="00D258A6" w:rsidRPr="0006336F">
        <w:t>has</w:t>
      </w:r>
      <w:r w:rsidR="008A280F" w:rsidRPr="0006336F">
        <w:t xml:space="preserve"> already </w:t>
      </w:r>
      <w:r w:rsidR="00956C2B" w:rsidRPr="0006336F">
        <w:t>committed to a number of actions and will continue to explore</w:t>
      </w:r>
      <w:r w:rsidR="008A280F" w:rsidRPr="0006336F">
        <w:t xml:space="preserve"> further ways to </w:t>
      </w:r>
      <w:r w:rsidR="00517110" w:rsidRPr="0006336F">
        <w:t>reduce disincentives to participation, including</w:t>
      </w:r>
      <w:r w:rsidR="008A280F" w:rsidRPr="0006336F">
        <w:t xml:space="preserve"> for working</w:t>
      </w:r>
      <w:r w:rsidR="00B16861">
        <w:noBreakHyphen/>
      </w:r>
      <w:r w:rsidR="008A280F" w:rsidRPr="0006336F">
        <w:t>age payment recipients</w:t>
      </w:r>
      <w:r w:rsidR="00956C2B" w:rsidRPr="0006336F">
        <w:t>.</w:t>
      </w:r>
    </w:p>
    <w:p w14:paraId="7867C2EC" w14:textId="0C34549A" w:rsidR="00CD5D2D" w:rsidRPr="0006336F" w:rsidRDefault="00CD5D2D" w:rsidP="00CD5D2D">
      <w:r w:rsidRPr="0006336F">
        <w:t>It is often reported that the risk of losing access to concession cards and child</w:t>
      </w:r>
      <w:r w:rsidR="00C15EE4" w:rsidRPr="0006336F">
        <w:t xml:space="preserve"> </w:t>
      </w:r>
      <w:r w:rsidRPr="0006336F">
        <w:t>care subsidies, or needing to reapply for payment if a job doesn</w:t>
      </w:r>
      <w:r w:rsidR="00B16861">
        <w:t>’</w:t>
      </w:r>
      <w:r w:rsidRPr="0006336F">
        <w:t>t work out</w:t>
      </w:r>
      <w:r w:rsidR="0014187B" w:rsidRPr="0006336F">
        <w:t xml:space="preserve">, </w:t>
      </w:r>
      <w:r w:rsidRPr="0006336F">
        <w:t>can discourage job seekers from taking on work</w:t>
      </w:r>
      <w:r w:rsidR="0014187B" w:rsidRPr="0006336F">
        <w:t xml:space="preserve">. This is </w:t>
      </w:r>
      <w:r w:rsidRPr="0006336F">
        <w:t xml:space="preserve">particularly </w:t>
      </w:r>
      <w:r w:rsidR="005027C8" w:rsidRPr="0006336F">
        <w:t xml:space="preserve">true in circumstances where available roles are </w:t>
      </w:r>
      <w:r w:rsidRPr="0006336F">
        <w:t>short term. Evidence indicates that people who have some work are twice as likely to ultimately exit income support than those who don</w:t>
      </w:r>
      <w:r w:rsidR="00B16861">
        <w:t>’</w:t>
      </w:r>
      <w:r w:rsidRPr="0006336F">
        <w:t>t</w:t>
      </w:r>
      <w:r w:rsidR="005027C8" w:rsidRPr="0006336F">
        <w:t xml:space="preserve">. It </w:t>
      </w:r>
      <w:r w:rsidRPr="0006336F">
        <w:t xml:space="preserve">is critical that people are not deterred from taking on </w:t>
      </w:r>
      <w:r w:rsidR="00CA7F6E" w:rsidRPr="0006336F">
        <w:t xml:space="preserve">job </w:t>
      </w:r>
      <w:r w:rsidRPr="0006336F">
        <w:t xml:space="preserve">opportunities. </w:t>
      </w:r>
    </w:p>
    <w:p w14:paraId="3FADD64A" w14:textId="4EBA3D3A" w:rsidR="00CD5D2D" w:rsidRPr="0006336F" w:rsidRDefault="00CD5D2D" w:rsidP="00CD5D2D">
      <w:r w:rsidRPr="0006336F">
        <w:t>To help smooth the transition between income support and work, and encourage more people to take up work, the Government will extend the nil rate period from 6 to 12 fortnights</w:t>
      </w:r>
      <w:r w:rsidR="00C61A84" w:rsidRPr="0006336F">
        <w:t xml:space="preserve"> (subject to the passage of legislation)</w:t>
      </w:r>
      <w:r w:rsidRPr="0006336F">
        <w:t xml:space="preserve">. The </w:t>
      </w:r>
      <w:r w:rsidR="00B16861">
        <w:t>‘</w:t>
      </w:r>
      <w:r w:rsidRPr="0006336F">
        <w:t>nil rate period</w:t>
      </w:r>
      <w:r w:rsidR="00B16861">
        <w:t>’</w:t>
      </w:r>
      <w:r w:rsidRPr="0006336F">
        <w:t xml:space="preserve"> enables job seekers who enter employment to remain connected to the social security system for a period, in case their job does not work out, and </w:t>
      </w:r>
      <w:r w:rsidR="00302C0B" w:rsidRPr="0006336F">
        <w:t xml:space="preserve">to </w:t>
      </w:r>
      <w:r w:rsidRPr="0006336F">
        <w:t>continue accessing concession</w:t>
      </w:r>
      <w:r w:rsidR="00353531" w:rsidRPr="0006336F">
        <w:t xml:space="preserve"> card</w:t>
      </w:r>
      <w:r w:rsidRPr="0006336F">
        <w:t xml:space="preserve">s associated with receiving social security. This extension will give income support recipients more confidence </w:t>
      </w:r>
      <w:r w:rsidR="00353531" w:rsidRPr="0006336F">
        <w:t>to</w:t>
      </w:r>
      <w:r w:rsidRPr="0006336F">
        <w:t xml:space="preserve"> take up work opportunities, with less need to worry about reapplying for payment and</w:t>
      </w:r>
      <w:r w:rsidR="00B405CA" w:rsidRPr="0006336F">
        <w:t xml:space="preserve"> associated benefits</w:t>
      </w:r>
      <w:r w:rsidRPr="0006336F">
        <w:t>.</w:t>
      </w:r>
    </w:p>
    <w:p w14:paraId="79BD3C99" w14:textId="4C2AE623" w:rsidR="00FD16A8" w:rsidRPr="0006336F" w:rsidRDefault="00CD5D2D" w:rsidP="00FD16A8">
      <w:r w:rsidRPr="0006336F">
        <w:t>Access to the nil rate period is also being expanded to recipients who take up full</w:t>
      </w:r>
      <w:r w:rsidR="00B16861">
        <w:noBreakHyphen/>
      </w:r>
      <w:r w:rsidRPr="0006336F">
        <w:t xml:space="preserve">time work and therefore no longer meet the definition of being </w:t>
      </w:r>
      <w:r w:rsidR="00C64BC2" w:rsidRPr="0006336F">
        <w:t>un</w:t>
      </w:r>
      <w:r w:rsidR="0026088A" w:rsidRPr="0006336F">
        <w:t xml:space="preserve">employed </w:t>
      </w:r>
      <w:r w:rsidRPr="0006336F">
        <w:t xml:space="preserve">under the </w:t>
      </w:r>
      <w:r w:rsidRPr="0006336F">
        <w:rPr>
          <w:i/>
        </w:rPr>
        <w:t>Social Security Act 1991</w:t>
      </w:r>
      <w:r w:rsidR="00276B88" w:rsidRPr="0006336F">
        <w:t xml:space="preserve">. </w:t>
      </w:r>
      <w:r w:rsidRPr="0006336F">
        <w:t>This</w:t>
      </w:r>
      <w:r w:rsidR="000F0ED2">
        <w:t> </w:t>
      </w:r>
      <w:r w:rsidRPr="0006336F">
        <w:t>will encourage people to take up full</w:t>
      </w:r>
      <w:r w:rsidR="00B16861">
        <w:noBreakHyphen/>
      </w:r>
      <w:r w:rsidRPr="0006336F">
        <w:t xml:space="preserve">time opportunities where they may previously have been </w:t>
      </w:r>
      <w:r w:rsidRPr="0006336F">
        <w:lastRenderedPageBreak/>
        <w:t>concerned that</w:t>
      </w:r>
      <w:r w:rsidR="00B43999" w:rsidRPr="0006336F">
        <w:t>,</w:t>
      </w:r>
      <w:r w:rsidRPr="0006336F">
        <w:t xml:space="preserve"> if the job didn</w:t>
      </w:r>
      <w:r w:rsidR="00B16861">
        <w:t>’</w:t>
      </w:r>
      <w:r w:rsidRPr="0006336F">
        <w:t>t work out</w:t>
      </w:r>
      <w:r w:rsidR="00B43999" w:rsidRPr="0006336F">
        <w:t>,</w:t>
      </w:r>
      <w:r w:rsidRPr="0006336F">
        <w:t xml:space="preserve"> they would need to reapply for payment. As a result of these changes, people will be better supported to get back into work and have greater certainty they can access income support should they need it again. </w:t>
      </w:r>
    </w:p>
    <w:p w14:paraId="28CE2635" w14:textId="17CCECA6" w:rsidR="00F307EB" w:rsidRPr="0006336F" w:rsidRDefault="00F307EB" w:rsidP="00F307EB">
      <w:r w:rsidRPr="0006336F">
        <w:t xml:space="preserve">As an outcome of the 2022 Jobs and Skills Summit, the Government increased the availability of work credits to </w:t>
      </w:r>
      <w:r w:rsidR="00C133A4">
        <w:t>a</w:t>
      </w:r>
      <w:r w:rsidRPr="0006336F">
        <w:t xml:space="preserve">ge </w:t>
      </w:r>
      <w:r w:rsidR="00C133A4">
        <w:t>p</w:t>
      </w:r>
      <w:r w:rsidRPr="0006336F">
        <w:t xml:space="preserve">ensioners and </w:t>
      </w:r>
      <w:r w:rsidR="00C133A4">
        <w:t>v</w:t>
      </w:r>
      <w:r w:rsidRPr="0006336F">
        <w:t xml:space="preserve">eteran </w:t>
      </w:r>
      <w:r w:rsidR="00C133A4">
        <w:t>p</w:t>
      </w:r>
      <w:r w:rsidRPr="0006336F">
        <w:t xml:space="preserve">ensioners until 31 December 2023. Rather than needing to first accumulate credits, age pensioners received a temporary upfront credit of $4,000 to their Work Bonus that could immediately be drawn upon, with the maximum limit in their Work Bonus Income Bank increased to $11,800. </w:t>
      </w:r>
      <w:r w:rsidR="00C216B9" w:rsidRPr="0006336F">
        <w:t xml:space="preserve">The pension Work Bonus is designed to specifically reward pensioners who are working. It provides incentives that mean pensioners with employment income can earn more before their pension is affected. </w:t>
      </w:r>
    </w:p>
    <w:p w14:paraId="0FD56D21" w14:textId="577C0C24" w:rsidR="00CB3B92" w:rsidRPr="0006336F" w:rsidRDefault="004640CF" w:rsidP="00613340">
      <w:r w:rsidRPr="0006336F">
        <w:t>To support the participation of pensioners on an ongoing basis, the Government will permanently provide a $4,000 upfront Work Bonus to all new pension entrants over Age Pension age and retain the elevated maximum Work Bonus balance limit of $11,800. This will mean pensioners are able to earn an additional $4,000 before their pension is affected.</w:t>
      </w:r>
    </w:p>
    <w:p w14:paraId="15FCCB5C" w14:textId="2B9F5EFE" w:rsidR="00F307EB" w:rsidRPr="0006336F" w:rsidRDefault="00F307EB" w:rsidP="00C7066D">
      <w:pPr>
        <w:pStyle w:val="Heading3"/>
      </w:pPr>
      <w:r w:rsidRPr="0006336F">
        <w:t>Provid</w:t>
      </w:r>
      <w:r w:rsidR="00466442" w:rsidRPr="0006336F">
        <w:t>ing</w:t>
      </w:r>
      <w:r w:rsidRPr="0006336F">
        <w:t xml:space="preserve"> high</w:t>
      </w:r>
      <w:r w:rsidR="00453F2F">
        <w:t>-</w:t>
      </w:r>
      <w:r w:rsidRPr="0006336F">
        <w:t>quality support</w:t>
      </w:r>
      <w:r w:rsidR="00BC30B4" w:rsidRPr="0006336F">
        <w:t>s</w:t>
      </w:r>
      <w:r w:rsidRPr="0006336F">
        <w:t xml:space="preserve"> for people with disability</w:t>
      </w:r>
    </w:p>
    <w:p w14:paraId="3C237D24" w14:textId="4F22F55B" w:rsidR="00F307EB" w:rsidRPr="0006336F" w:rsidRDefault="00F307EB" w:rsidP="00F307EB">
      <w:r w:rsidRPr="0006336F">
        <w:t xml:space="preserve">The employment rate of people with disability has not shifted significantly in two decades. People with disability can face several unique and compounding barriers to workforce participation. These include discrimination, and the lack of understanding of </w:t>
      </w:r>
      <w:r w:rsidR="00335995" w:rsidRPr="0006336F">
        <w:t>reasonable</w:t>
      </w:r>
      <w:r w:rsidRPr="0006336F">
        <w:t xml:space="preserve"> adjustments that may need to be made in their workplaces. </w:t>
      </w:r>
    </w:p>
    <w:p w14:paraId="3884AA9E" w14:textId="1A3D5BE7" w:rsidR="00F307EB" w:rsidRPr="0006336F" w:rsidRDefault="00F307EB" w:rsidP="00F307EB">
      <w:r w:rsidRPr="0006336F">
        <w:t xml:space="preserve">Change is needed to improve the quality of support provided by </w:t>
      </w:r>
      <w:r w:rsidR="005F64D7" w:rsidRPr="0006336F">
        <w:t>g</w:t>
      </w:r>
      <w:r w:rsidRPr="0006336F">
        <w:t>overnment, service providers and employers. As set out in Australia</w:t>
      </w:r>
      <w:r w:rsidR="00B16861">
        <w:t>’</w:t>
      </w:r>
      <w:r w:rsidRPr="0006336F">
        <w:t>s Disability Strategy 2021</w:t>
      </w:r>
      <w:r w:rsidR="00FD3514">
        <w:t>–</w:t>
      </w:r>
      <w:r w:rsidRPr="0006336F">
        <w:t xml:space="preserve">2031, our goal is for a more inclusive and accessible society where all people with disability can fulfil their potential as equal members of the community. This is underpinned by </w:t>
      </w:r>
      <w:r w:rsidRPr="0006336F">
        <w:rPr>
          <w:i/>
        </w:rPr>
        <w:t>Employ My Ability</w:t>
      </w:r>
      <w:r w:rsidR="00FD3514">
        <w:rPr>
          <w:i/>
        </w:rPr>
        <w:t xml:space="preserve"> – </w:t>
      </w:r>
      <w:r w:rsidRPr="0006336F">
        <w:rPr>
          <w:i/>
        </w:rPr>
        <w:t xml:space="preserve">the </w:t>
      </w:r>
      <w:r w:rsidR="00EE3485" w:rsidRPr="0006336F">
        <w:rPr>
          <w:i/>
        </w:rPr>
        <w:t>Disability</w:t>
      </w:r>
      <w:r w:rsidRPr="0006336F">
        <w:rPr>
          <w:i/>
        </w:rPr>
        <w:t xml:space="preserve"> Employment Strategy</w:t>
      </w:r>
      <w:r w:rsidRPr="0006336F">
        <w:t xml:space="preserve"> </w:t>
      </w:r>
      <w:r w:rsidR="00163202" w:rsidRPr="0006336F">
        <w:t>which</w:t>
      </w:r>
      <w:r w:rsidRPr="0006336F">
        <w:t xml:space="preserve"> strives to create inclusive workplace cultures where people with disability thrive in their careers. Employers need to create inclusive workplace culture</w:t>
      </w:r>
      <w:r w:rsidR="00EE3A03" w:rsidRPr="0006336F">
        <w:t>s</w:t>
      </w:r>
      <w:r w:rsidRPr="0006336F">
        <w:t xml:space="preserve"> and support must be evidence</w:t>
      </w:r>
      <w:r w:rsidR="00B16861">
        <w:noBreakHyphen/>
      </w:r>
      <w:r w:rsidRPr="0006336F">
        <w:t>based</w:t>
      </w:r>
      <w:r w:rsidR="001407FB" w:rsidRPr="0006336F">
        <w:t>,</w:t>
      </w:r>
      <w:r w:rsidRPr="0006336F">
        <w:t xml:space="preserve"> targeted and acknowledge that people with disability are not a homogenous group. </w:t>
      </w:r>
    </w:p>
    <w:p w14:paraId="0730C774" w14:textId="1C0C0314" w:rsidR="00F307EB" w:rsidRPr="0006336F" w:rsidRDefault="00FD3514" w:rsidP="00F307EB">
      <w:r>
        <w:t>The Government</w:t>
      </w:r>
      <w:r w:rsidR="00F307EB" w:rsidRPr="0006336F">
        <w:t xml:space="preserve"> has already introduced changes to improve the quality of support available to people with disability who are looking for work. Since July 2023, a new Disability Employment Services Quality Framework has been in place. The new Framework is designed to </w:t>
      </w:r>
      <w:r w:rsidR="006F4C53" w:rsidRPr="0006336F">
        <w:t xml:space="preserve">achieve </w:t>
      </w:r>
      <w:r w:rsidR="00F307EB" w:rsidRPr="0006336F">
        <w:t>the delivery of high</w:t>
      </w:r>
      <w:r w:rsidR="00F50E0B">
        <w:t>-</w:t>
      </w:r>
      <w:r w:rsidR="00F307EB" w:rsidRPr="0006336F">
        <w:t xml:space="preserve">quality, tailored services for people with disability. It will ensure providers are listening and responding to the needs of individuals and employers to drive meaningful and sustained quality improvement. This is part of the ongoing reform of Disability Employment Services. </w:t>
      </w:r>
    </w:p>
    <w:p w14:paraId="7560627D" w14:textId="23598D18" w:rsidR="00F307EB" w:rsidRPr="0006336F" w:rsidRDefault="00FD3514" w:rsidP="00F307EB">
      <w:r>
        <w:t>The Government</w:t>
      </w:r>
      <w:r w:rsidR="00F307EB" w:rsidRPr="0006336F">
        <w:t xml:space="preserve"> is also investing in creating ongoing employment opportunities for people with disability with high support needs, while helping the supported employment sector to evolve to better meet community expectations. This includes enabling the supported employment sector to evolve their business models through the Structural Adjustment Fund and supporting organisations, including Australian Disability Enterprises, to transition to the revised Supported Employment Services Award by providing training and information. </w:t>
      </w:r>
      <w:r>
        <w:t>The Government</w:t>
      </w:r>
      <w:r w:rsidR="00F307EB" w:rsidRPr="0006336F">
        <w:t xml:space="preserve"> is also consulting on a disability business procurement initiative and looking at how procurement can be leveraged to create sustainable jobs for people with disability. </w:t>
      </w:r>
    </w:p>
    <w:p w14:paraId="0DAF3BD7" w14:textId="52091A8C" w:rsidR="00F307EB" w:rsidRPr="0006336F" w:rsidRDefault="00F307EB" w:rsidP="00F307EB">
      <w:r w:rsidRPr="0006336F">
        <w:t>The National Disability Data Asset will give a more complete picture of the life experiences of people with disability, including their employment outcomes, and ultimately improve the way services are targeted and how people with disability interact with governments and service providers. The</w:t>
      </w:r>
      <w:r w:rsidR="000F0ED2">
        <w:t> </w:t>
      </w:r>
      <w:r w:rsidRPr="0006336F">
        <w:t xml:space="preserve">disability </w:t>
      </w:r>
      <w:r w:rsidRPr="0006336F">
        <w:lastRenderedPageBreak/>
        <w:t xml:space="preserve">community is involved in designing and creating the asset, which is essential for its success. All states and territories have agreed to deliver the Asset with formal agreements to be signed later this year. </w:t>
      </w:r>
    </w:p>
    <w:p w14:paraId="16976646" w14:textId="090E9035" w:rsidR="00F307EB" w:rsidRPr="0006336F" w:rsidRDefault="00F307EB" w:rsidP="00F307EB">
      <w:r w:rsidRPr="0006336F">
        <w:t xml:space="preserve">More needs to be done to ensure disability employment services are better linked with other programs and services, such as the NDIS and Workforce Australia, as well as understanding the </w:t>
      </w:r>
      <w:r w:rsidR="001A1DB0">
        <w:t xml:space="preserve">requirements </w:t>
      </w:r>
      <w:r w:rsidRPr="0006336F">
        <w:t xml:space="preserve">of employers and helping them to be part of the </w:t>
      </w:r>
      <w:r w:rsidR="001D3918">
        <w:t xml:space="preserve">necessary </w:t>
      </w:r>
      <w:r w:rsidRPr="0006336F">
        <w:t>shift to improve outcomes for people with disability</w:t>
      </w:r>
      <w:r w:rsidR="00F70F59">
        <w:t>,</w:t>
      </w:r>
      <w:r w:rsidRPr="0006336F">
        <w:t xml:space="preserve"> their families and unpaid carers. Better linkages between programs </w:t>
      </w:r>
      <w:r w:rsidR="002172F6">
        <w:t>would</w:t>
      </w:r>
      <w:r w:rsidRPr="0006336F">
        <w:t xml:space="preserve"> ensure holistic, joined up support </w:t>
      </w:r>
      <w:r w:rsidR="00D52A6B">
        <w:t>for</w:t>
      </w:r>
      <w:r w:rsidRPr="0006336F">
        <w:t xml:space="preserve"> people with disability. </w:t>
      </w:r>
    </w:p>
    <w:p w14:paraId="493B43A0" w14:textId="0EBEEA2B" w:rsidR="00F307EB" w:rsidRPr="0006336F" w:rsidRDefault="00F307EB" w:rsidP="00F307EB">
      <w:r w:rsidRPr="0006336F">
        <w:t xml:space="preserve">Drawing on the employment services principles in Box </w:t>
      </w:r>
      <w:r w:rsidR="00114DBD" w:rsidRPr="0006336F">
        <w:t>R</w:t>
      </w:r>
      <w:r w:rsidRPr="0006336F">
        <w:t>.</w:t>
      </w:r>
      <w:r w:rsidR="006B1607" w:rsidRPr="0006336F">
        <w:t>4</w:t>
      </w:r>
      <w:r w:rsidRPr="0006336F">
        <w:t>, the Government is working with people with disability, employers and providers on the design and implementation of a new specialist disability employment services model to ensure it supports both people with disability to find and maintain employment, and businesses who employ people with disability to ensure their employment is successful. The new service will be introduced in 2025. Consultation and design of the Disability Employment Centre of Excellence is ongoing</w:t>
      </w:r>
      <w:r w:rsidR="005A08FE" w:rsidRPr="0006336F">
        <w:t>.</w:t>
      </w:r>
      <w:r w:rsidRPr="0006336F">
        <w:t xml:space="preserve"> </w:t>
      </w:r>
      <w:r w:rsidR="005A08FE" w:rsidRPr="0006336F">
        <w:t>It</w:t>
      </w:r>
      <w:r w:rsidRPr="0006336F">
        <w:t xml:space="preserve"> will provide examples of best</w:t>
      </w:r>
      <w:r w:rsidR="00B2317D">
        <w:t xml:space="preserve"> </w:t>
      </w:r>
      <w:r w:rsidRPr="0006336F">
        <w:t xml:space="preserve">practice and support not only for job seekers but also employers and employment service providers. </w:t>
      </w:r>
    </w:p>
    <w:p w14:paraId="019E33CF" w14:textId="4B05C98A" w:rsidR="00F307EB" w:rsidRPr="0006336F" w:rsidRDefault="00F307EB" w:rsidP="00F307EB">
      <w:r w:rsidRPr="0006336F">
        <w:t>Alongside these reforms</w:t>
      </w:r>
      <w:r w:rsidR="005E6D51" w:rsidRPr="0006336F">
        <w:t>,</w:t>
      </w:r>
      <w:r w:rsidRPr="0006336F">
        <w:t xml:space="preserve"> an Independent Review Panel will complete a review into the operation of the NDIS by October 2023. The NDIS review is examining the design, operations and sustainability of the NDIS and ways to build a more responsive, supportive, and sustainable market and workforce. The</w:t>
      </w:r>
      <w:r w:rsidR="000F0ED2">
        <w:t> </w:t>
      </w:r>
      <w:r w:rsidRPr="0006336F">
        <w:t>overarching objective of the review is to put people with disability back at the centre of the NDIS while ensuring the sustainability of the scheme into the future. An effective NDIS will improve outcomes for people with disability and their unpaid carers</w:t>
      </w:r>
      <w:r w:rsidR="005C65A2" w:rsidRPr="0006336F">
        <w:t>,</w:t>
      </w:r>
      <w:r w:rsidRPr="0006336F">
        <w:t xml:space="preserve"> including meaningful employment opportunities and broader social and economic benefits. </w:t>
      </w:r>
    </w:p>
    <w:p w14:paraId="2D364825" w14:textId="77777777" w:rsidR="00F307EB" w:rsidRPr="000F68A4" w:rsidRDefault="00F307EB" w:rsidP="000F68A4">
      <w:r w:rsidRPr="0006336F">
        <w:br w:type="page"/>
      </w:r>
    </w:p>
    <w:p w14:paraId="167A72E9" w14:textId="4AFDDDA3" w:rsidR="00F307EB" w:rsidRPr="0006336F" w:rsidRDefault="00F307EB" w:rsidP="00F307EB">
      <w:pPr>
        <w:pStyle w:val="Heading2"/>
      </w:pPr>
      <w:bookmarkStart w:id="14" w:name="_Toc146292923"/>
      <w:r w:rsidRPr="0006336F">
        <w:lastRenderedPageBreak/>
        <w:t xml:space="preserve">9 </w:t>
      </w:r>
      <w:r w:rsidR="000F68A4">
        <w:tab/>
      </w:r>
      <w:r w:rsidRPr="0006336F">
        <w:t>Partnering with communities</w:t>
      </w:r>
      <w:bookmarkEnd w:id="14"/>
    </w:p>
    <w:p w14:paraId="72970DD9" w14:textId="77777777" w:rsidR="00F307EB" w:rsidRPr="0006336F" w:rsidRDefault="00F307EB" w:rsidP="00F307EB">
      <w:pPr>
        <w:pStyle w:val="TableMainHeadingRoadmap"/>
      </w:pPr>
      <w:r w:rsidRPr="0006336F">
        <w:t xml:space="preserve">Actions to partner with communities </w:t>
      </w:r>
    </w:p>
    <w:tbl>
      <w:tblPr>
        <w:tblStyle w:val="TableGrid"/>
        <w:tblW w:w="5000" w:type="pct"/>
        <w:tblLook w:val="01E0" w:firstRow="1" w:lastRow="1" w:firstColumn="1" w:lastColumn="1" w:noHBand="0" w:noVBand="0"/>
      </w:tblPr>
      <w:tblGrid>
        <w:gridCol w:w="3023"/>
        <w:gridCol w:w="3023"/>
        <w:gridCol w:w="3024"/>
      </w:tblGrid>
      <w:tr w:rsidR="00F307EB" w:rsidRPr="0006336F" w14:paraId="0DC063B9" w14:textId="77777777" w:rsidTr="00A05428">
        <w:trPr>
          <w:cnfStyle w:val="100000000000" w:firstRow="1" w:lastRow="0" w:firstColumn="0" w:lastColumn="0" w:oddVBand="0" w:evenVBand="0" w:oddHBand="0" w:evenHBand="0" w:firstRowFirstColumn="0" w:firstRowLastColumn="0" w:lastRowFirstColumn="0" w:lastRowLastColumn="0"/>
          <w:tblHeader/>
        </w:trPr>
        <w:tc>
          <w:tcPr>
            <w:tcW w:w="1666" w:type="pct"/>
          </w:tcPr>
          <w:p w14:paraId="27FB450B" w14:textId="77777777" w:rsidR="00F307EB" w:rsidRPr="0006336F" w:rsidRDefault="00F307EB">
            <w:pPr>
              <w:pStyle w:val="TableColumnHeadingLeft"/>
            </w:pPr>
            <w:r w:rsidRPr="0006336F">
              <w:t xml:space="preserve">Implemented </w:t>
            </w:r>
          </w:p>
        </w:tc>
        <w:tc>
          <w:tcPr>
            <w:tcW w:w="1666" w:type="pct"/>
          </w:tcPr>
          <w:p w14:paraId="6D9474F6" w14:textId="77777777" w:rsidR="00F307EB" w:rsidRPr="0006336F" w:rsidRDefault="00F307EB">
            <w:pPr>
              <w:pStyle w:val="TableColumnHeadingLeft"/>
            </w:pPr>
            <w:r w:rsidRPr="0006336F">
              <w:t>Underway</w:t>
            </w:r>
          </w:p>
        </w:tc>
        <w:tc>
          <w:tcPr>
            <w:tcW w:w="1667" w:type="pct"/>
          </w:tcPr>
          <w:p w14:paraId="7357E385" w14:textId="77777777" w:rsidR="00F307EB" w:rsidRPr="0006336F" w:rsidRDefault="00F307EB">
            <w:pPr>
              <w:pStyle w:val="TableColumnHeadingLeft"/>
            </w:pPr>
            <w:r w:rsidRPr="0006336F">
              <w:t>Future reform directions</w:t>
            </w:r>
          </w:p>
        </w:tc>
      </w:tr>
      <w:tr w:rsidR="00F307EB" w:rsidRPr="0006336F" w14:paraId="2DC8687B" w14:textId="77777777" w:rsidTr="00A05428">
        <w:trPr>
          <w:trHeight w:val="2486"/>
        </w:trPr>
        <w:tc>
          <w:tcPr>
            <w:tcW w:w="1666" w:type="pct"/>
          </w:tcPr>
          <w:p w14:paraId="2D7B65CC" w14:textId="77777777" w:rsidR="00F307EB" w:rsidRPr="0006336F" w:rsidRDefault="00F307EB">
            <w:pPr>
              <w:pStyle w:val="TableTextLeft"/>
              <w:rPr>
                <w:b/>
              </w:rPr>
            </w:pPr>
            <w:r w:rsidRPr="0006336F">
              <w:rPr>
                <w:b/>
              </w:rPr>
              <w:t xml:space="preserve">Funded a Targeting Entrenched Disadvantage package </w:t>
            </w:r>
          </w:p>
          <w:p w14:paraId="71FD0438" w14:textId="5902978E" w:rsidR="00F307EB" w:rsidRPr="000F68A4" w:rsidRDefault="008E41FD">
            <w:pPr>
              <w:pStyle w:val="TableTextBullet"/>
              <w:rPr>
                <w:bCs/>
              </w:rPr>
            </w:pPr>
            <w:r w:rsidRPr="0006336F">
              <w:t>Extended</w:t>
            </w:r>
            <w:r w:rsidR="00F307EB" w:rsidRPr="0006336F">
              <w:t xml:space="preserve"> Stronger Places, Stronger People, a community</w:t>
            </w:r>
            <w:r w:rsidR="00B16861">
              <w:noBreakHyphen/>
            </w:r>
            <w:r w:rsidR="00F307EB" w:rsidRPr="0006336F">
              <w:t>led initiative to address disadvantage through local, evidence</w:t>
            </w:r>
            <w:r w:rsidR="00B16861">
              <w:noBreakHyphen/>
            </w:r>
            <w:r w:rsidR="00F307EB" w:rsidRPr="0006336F">
              <w:t>based solutions</w:t>
            </w:r>
          </w:p>
          <w:p w14:paraId="1297D2A1" w14:textId="50EB95F9" w:rsidR="00F307EB" w:rsidRPr="0006336F" w:rsidRDefault="00F307EB">
            <w:pPr>
              <w:pStyle w:val="TableTextLeft"/>
              <w:rPr>
                <w:b/>
              </w:rPr>
            </w:pPr>
            <w:r w:rsidRPr="0006336F">
              <w:rPr>
                <w:b/>
              </w:rPr>
              <w:t xml:space="preserve">Strengthened local </w:t>
            </w:r>
            <w:r w:rsidR="00FD3514">
              <w:rPr>
                <w:b/>
              </w:rPr>
              <w:t>First Nation</w:t>
            </w:r>
            <w:r w:rsidR="003C23B6" w:rsidRPr="0006336F">
              <w:rPr>
                <w:b/>
              </w:rPr>
              <w:t xml:space="preserve">s </w:t>
            </w:r>
            <w:r w:rsidRPr="0006336F">
              <w:rPr>
                <w:b/>
              </w:rPr>
              <w:t>community initiatives</w:t>
            </w:r>
          </w:p>
          <w:p w14:paraId="65782EBF" w14:textId="66F88F4B" w:rsidR="00F307EB" w:rsidRPr="0006336F" w:rsidRDefault="00F307EB">
            <w:pPr>
              <w:pStyle w:val="TableTextBullet"/>
            </w:pPr>
            <w:r w:rsidRPr="0006336F">
              <w:t xml:space="preserve">Funded foundation skills training for </w:t>
            </w:r>
            <w:r w:rsidR="00FD3514">
              <w:t>First Nation</w:t>
            </w:r>
            <w:r w:rsidRPr="0006336F">
              <w:t xml:space="preserve">s people through Aboriginal </w:t>
            </w:r>
            <w:r w:rsidR="007D735A" w:rsidRPr="0006336F">
              <w:t xml:space="preserve">and </w:t>
            </w:r>
            <w:r w:rsidR="00FD3514">
              <w:t>Torres Strait</w:t>
            </w:r>
            <w:r w:rsidR="007D735A" w:rsidRPr="0006336F">
              <w:t xml:space="preserve"> Islander c</w:t>
            </w:r>
            <w:r w:rsidRPr="0006336F">
              <w:t>ommunity</w:t>
            </w:r>
            <w:r w:rsidR="00B16861">
              <w:noBreakHyphen/>
            </w:r>
            <w:r w:rsidR="007D735A" w:rsidRPr="0006336F">
              <w:t>c</w:t>
            </w:r>
            <w:r w:rsidRPr="0006336F">
              <w:t xml:space="preserve">ontrolled </w:t>
            </w:r>
            <w:r w:rsidR="004040BB" w:rsidRPr="0006336F">
              <w:t>o</w:t>
            </w:r>
            <w:r w:rsidRPr="0006336F">
              <w:t>rganisations</w:t>
            </w:r>
          </w:p>
          <w:p w14:paraId="4EA6416F" w14:textId="77777777" w:rsidR="00F307EB" w:rsidRPr="0006336F" w:rsidRDefault="00F307EB" w:rsidP="00910B38">
            <w:pPr>
              <w:pStyle w:val="TableTextLeft"/>
              <w:rPr>
                <w:b/>
                <w:bCs/>
              </w:rPr>
            </w:pPr>
            <w:r w:rsidRPr="0006336F">
              <w:rPr>
                <w:b/>
                <w:bCs/>
              </w:rPr>
              <w:t>Invested in broader social policy initiatives</w:t>
            </w:r>
          </w:p>
          <w:p w14:paraId="5249F6D8" w14:textId="7832EEA9" w:rsidR="00F307EB" w:rsidRPr="0006336F" w:rsidRDefault="00F307EB" w:rsidP="005333EF">
            <w:pPr>
              <w:pStyle w:val="TableTextBullet"/>
            </w:pPr>
            <w:r w:rsidRPr="0006336F">
              <w:t>Support</w:t>
            </w:r>
            <w:r w:rsidR="00962AE3">
              <w:t>ed</w:t>
            </w:r>
            <w:r w:rsidRPr="0006336F">
              <w:t xml:space="preserve"> victim</w:t>
            </w:r>
            <w:r w:rsidR="00B16861">
              <w:noBreakHyphen/>
            </w:r>
            <w:r w:rsidRPr="0006336F">
              <w:t>survivors of family, domestic and sexual violence</w:t>
            </w:r>
            <w:r w:rsidR="0087306E" w:rsidRPr="0006336F">
              <w:t>;</w:t>
            </w:r>
            <w:r w:rsidRPr="0006336F">
              <w:t xml:space="preserve"> support</w:t>
            </w:r>
            <w:r w:rsidR="00A01C2D">
              <w:t>ed</w:t>
            </w:r>
            <w:r w:rsidRPr="0006336F">
              <w:t xml:space="preserve"> community sector</w:t>
            </w:r>
            <w:r w:rsidR="0087306E" w:rsidRPr="0006336F">
              <w:t>;</w:t>
            </w:r>
            <w:r w:rsidRPr="0006336F">
              <w:t xml:space="preserve"> and </w:t>
            </w:r>
            <w:r w:rsidR="0087306E" w:rsidRPr="0006336F">
              <w:t>support</w:t>
            </w:r>
            <w:r w:rsidR="009E27B2">
              <w:t>ed</w:t>
            </w:r>
            <w:r w:rsidR="0087306E" w:rsidRPr="0006336F">
              <w:t xml:space="preserve"> </w:t>
            </w:r>
            <w:r w:rsidRPr="0006336F">
              <w:t>mental health and suicide prevention research</w:t>
            </w:r>
          </w:p>
        </w:tc>
        <w:tc>
          <w:tcPr>
            <w:tcW w:w="1666" w:type="pct"/>
          </w:tcPr>
          <w:p w14:paraId="71EDA1B6" w14:textId="011FE8DE" w:rsidR="00F307EB" w:rsidRPr="0006336F" w:rsidRDefault="00A761D9">
            <w:pPr>
              <w:pStyle w:val="TableTextLeft"/>
              <w:rPr>
                <w:b/>
              </w:rPr>
            </w:pPr>
            <w:r w:rsidRPr="0006336F">
              <w:rPr>
                <w:b/>
              </w:rPr>
              <w:t xml:space="preserve">Working </w:t>
            </w:r>
            <w:r w:rsidR="0000220B" w:rsidRPr="0006336F">
              <w:rPr>
                <w:b/>
              </w:rPr>
              <w:t xml:space="preserve">towards </w:t>
            </w:r>
            <w:r w:rsidR="00486BC2" w:rsidRPr="0006336F">
              <w:rPr>
                <w:b/>
              </w:rPr>
              <w:t>improving outcomes</w:t>
            </w:r>
          </w:p>
          <w:p w14:paraId="4461C81D" w14:textId="09418A9B" w:rsidR="00F307EB" w:rsidRPr="0006336F" w:rsidRDefault="00F307EB">
            <w:pPr>
              <w:pStyle w:val="TableTextBullet"/>
            </w:pPr>
            <w:r w:rsidRPr="0006336F">
              <w:t>Co</w:t>
            </w:r>
            <w:r w:rsidR="00B16861">
              <w:noBreakHyphen/>
            </w:r>
            <w:r w:rsidRPr="0006336F">
              <w:t>designing the Outcomes Fund and delivering the Social Enterprise Development Initiative</w:t>
            </w:r>
          </w:p>
          <w:p w14:paraId="7646EA42" w14:textId="392B3E6B" w:rsidR="00F307EB" w:rsidRPr="0006336F" w:rsidRDefault="00F307EB">
            <w:pPr>
              <w:pStyle w:val="TableTextBullet"/>
            </w:pPr>
            <w:r w:rsidRPr="0006336F">
              <w:t>Developing a partnership with philanthrop</w:t>
            </w:r>
            <w:r w:rsidR="00984982" w:rsidRPr="0006336F">
              <w:t>y</w:t>
            </w:r>
            <w:r w:rsidRPr="0006336F">
              <w:t xml:space="preserve"> through the Investment Dialogue for Australia</w:t>
            </w:r>
            <w:r w:rsidR="00B16861">
              <w:t>’</w:t>
            </w:r>
            <w:r w:rsidRPr="0006336F">
              <w:t xml:space="preserve">s Children </w:t>
            </w:r>
          </w:p>
          <w:p w14:paraId="1995CB22" w14:textId="77777777" w:rsidR="00F307EB" w:rsidRPr="0006336F" w:rsidRDefault="00F307EB">
            <w:pPr>
              <w:pStyle w:val="TableTextBullet"/>
            </w:pPr>
            <w:r w:rsidRPr="0006336F">
              <w:t>Developing the Life Course Data Asset to improve our understanding of how communities experience disadvantage</w:t>
            </w:r>
          </w:p>
          <w:p w14:paraId="5FA07FD0" w14:textId="77777777" w:rsidR="00F307EB" w:rsidRPr="0006336F" w:rsidRDefault="00F307EB">
            <w:pPr>
              <w:pStyle w:val="TableTextBullet"/>
            </w:pPr>
            <w:r w:rsidRPr="0006336F">
              <w:t>Doubling the number of Indigenous rangers and expanding the Indigenous Protected Areas Programs by 2030</w:t>
            </w:r>
          </w:p>
          <w:p w14:paraId="7EB9D789" w14:textId="15FBEA22" w:rsidR="00E843F4" w:rsidRPr="0006336F" w:rsidRDefault="009925CB" w:rsidP="00C7066D">
            <w:pPr>
              <w:pStyle w:val="TableTextLeft"/>
            </w:pPr>
            <w:r w:rsidRPr="0006336F">
              <w:rPr>
                <w:b/>
              </w:rPr>
              <w:t xml:space="preserve">Working together through </w:t>
            </w:r>
            <w:r w:rsidRPr="0006336F">
              <w:rPr>
                <w:b/>
                <w:bCs/>
              </w:rPr>
              <w:t>p</w:t>
            </w:r>
            <w:r w:rsidR="00111D9A" w:rsidRPr="0006336F">
              <w:rPr>
                <w:b/>
                <w:bCs/>
              </w:rPr>
              <w:t>olicy partnersh</w:t>
            </w:r>
            <w:r w:rsidR="00B65E69" w:rsidRPr="0006336F">
              <w:rPr>
                <w:b/>
                <w:bCs/>
              </w:rPr>
              <w:t>ips</w:t>
            </w:r>
          </w:p>
          <w:p w14:paraId="4EF37CB3" w14:textId="54249274" w:rsidR="003D6EA9" w:rsidRPr="0006336F" w:rsidRDefault="003D6EA9" w:rsidP="003D6EA9">
            <w:pPr>
              <w:pStyle w:val="TableTextBullet"/>
            </w:pPr>
            <w:r w:rsidRPr="0006336F">
              <w:t xml:space="preserve">Scoping </w:t>
            </w:r>
            <w:r w:rsidR="00B65E69" w:rsidRPr="0006336F">
              <w:t>a</w:t>
            </w:r>
            <w:r w:rsidRPr="0006336F">
              <w:t xml:space="preserve"> </w:t>
            </w:r>
            <w:r w:rsidR="00FD3514">
              <w:t>First Nation</w:t>
            </w:r>
            <w:r w:rsidRPr="0006336F">
              <w:t xml:space="preserve">s </w:t>
            </w:r>
            <w:r w:rsidR="008E0D9B" w:rsidRPr="0006336F">
              <w:t>Economic Partnership</w:t>
            </w:r>
          </w:p>
          <w:p w14:paraId="229E9339" w14:textId="5B059338" w:rsidR="00F307EB" w:rsidRPr="0006336F" w:rsidRDefault="003D6EA9">
            <w:pPr>
              <w:pStyle w:val="TableTextBullet"/>
            </w:pPr>
            <w:r w:rsidRPr="0006336F">
              <w:t xml:space="preserve">Identifying ways to </w:t>
            </w:r>
            <w:r w:rsidR="003C44FD" w:rsidRPr="0006336F" w:rsidDel="003C44FD">
              <w:t>back</w:t>
            </w:r>
            <w:r w:rsidRPr="0006336F">
              <w:t xml:space="preserve"> the social enterprise sector, and </w:t>
            </w:r>
            <w:r w:rsidR="00335FAC" w:rsidRPr="0006336F">
              <w:t>provide more</w:t>
            </w:r>
            <w:r w:rsidRPr="0006336F">
              <w:t xml:space="preserve"> employment </w:t>
            </w:r>
            <w:r w:rsidR="00335FAC" w:rsidRPr="0006336F">
              <w:t>and training opportunities</w:t>
            </w:r>
            <w:r w:rsidRPr="0006336F">
              <w:t xml:space="preserve"> for Australians facing disadvantage</w:t>
            </w:r>
          </w:p>
        </w:tc>
        <w:tc>
          <w:tcPr>
            <w:tcW w:w="1667" w:type="pct"/>
          </w:tcPr>
          <w:p w14:paraId="07C86516" w14:textId="6775DDF1" w:rsidR="00F307EB" w:rsidRPr="0006336F" w:rsidRDefault="00E843F4">
            <w:pPr>
              <w:pStyle w:val="TableTextLeft"/>
            </w:pPr>
            <w:r w:rsidRPr="0006336F">
              <w:rPr>
                <w:b/>
                <w:bCs/>
              </w:rPr>
              <w:t>Boost place</w:t>
            </w:r>
            <w:r w:rsidR="00B16861">
              <w:rPr>
                <w:b/>
                <w:bCs/>
              </w:rPr>
              <w:noBreakHyphen/>
            </w:r>
            <w:r w:rsidRPr="0006336F">
              <w:rPr>
                <w:b/>
                <w:bCs/>
              </w:rPr>
              <w:t xml:space="preserve">based </w:t>
            </w:r>
            <w:r w:rsidR="0091577F" w:rsidRPr="0006336F">
              <w:rPr>
                <w:b/>
                <w:bCs/>
              </w:rPr>
              <w:t>approaches</w:t>
            </w:r>
          </w:p>
          <w:p w14:paraId="390EF7E2" w14:textId="77777777" w:rsidR="003172A4" w:rsidRPr="0006336F" w:rsidRDefault="003172A4" w:rsidP="003172A4">
            <w:pPr>
              <w:pStyle w:val="TableTextBullet"/>
            </w:pPr>
            <w:r w:rsidRPr="0006336F">
              <w:t xml:space="preserve">Better align programs and delivery across governments </w:t>
            </w:r>
          </w:p>
          <w:p w14:paraId="0E487B09" w14:textId="77777777" w:rsidR="003172A4" w:rsidRPr="0006336F" w:rsidRDefault="003172A4" w:rsidP="003172A4">
            <w:pPr>
              <w:pStyle w:val="TableTextBullet"/>
            </w:pPr>
            <w:r w:rsidRPr="0006336F">
              <w:t>Put data in the hands of communities and give them a say in how funding is directed, with appropriate government controls</w:t>
            </w:r>
          </w:p>
          <w:p w14:paraId="0DA4CB42" w14:textId="54FAB956" w:rsidR="003172A4" w:rsidRPr="0006336F" w:rsidRDefault="003172A4" w:rsidP="003172A4">
            <w:pPr>
              <w:pStyle w:val="TableTextBullet"/>
            </w:pPr>
            <w:r w:rsidRPr="0006336F">
              <w:t>Expand the role of communities in decision</w:t>
            </w:r>
            <w:r w:rsidR="00D72A26">
              <w:t>-</w:t>
            </w:r>
            <w:r w:rsidRPr="0006336F">
              <w:t>making over time</w:t>
            </w:r>
          </w:p>
          <w:p w14:paraId="387D2B1B" w14:textId="730B61D9" w:rsidR="00F307EB" w:rsidRPr="0006336F" w:rsidRDefault="00F307EB">
            <w:pPr>
              <w:pStyle w:val="TableTextLeft"/>
              <w:rPr>
                <w:b/>
                <w:bCs/>
              </w:rPr>
            </w:pPr>
            <w:r w:rsidRPr="0006336F">
              <w:rPr>
                <w:b/>
                <w:bCs/>
              </w:rPr>
              <w:t xml:space="preserve">Partner with </w:t>
            </w:r>
            <w:r w:rsidR="00FD3514">
              <w:rPr>
                <w:b/>
                <w:bCs/>
              </w:rPr>
              <w:t>First Nation</w:t>
            </w:r>
            <w:r w:rsidRPr="0006336F">
              <w:rPr>
                <w:b/>
                <w:bCs/>
              </w:rPr>
              <w:t xml:space="preserve">s </w:t>
            </w:r>
            <w:r w:rsidR="00116093" w:rsidRPr="0006336F">
              <w:rPr>
                <w:b/>
                <w:bCs/>
              </w:rPr>
              <w:t>people</w:t>
            </w:r>
          </w:p>
          <w:p w14:paraId="519B6C49" w14:textId="220FC879" w:rsidR="00345A6E" w:rsidRPr="0006336F" w:rsidRDefault="000A330C" w:rsidP="00345A6E">
            <w:pPr>
              <w:pStyle w:val="TableTextBullet"/>
              <w:rPr>
                <w:b/>
              </w:rPr>
            </w:pPr>
            <w:r w:rsidRPr="0006336F">
              <w:t xml:space="preserve">Improve progress on </w:t>
            </w:r>
            <w:r w:rsidR="000521BB">
              <w:t>C</w:t>
            </w:r>
            <w:r w:rsidRPr="0006336F">
              <w:t xml:space="preserve">losing the </w:t>
            </w:r>
            <w:r w:rsidR="000521BB">
              <w:t>G</w:t>
            </w:r>
            <w:r w:rsidRPr="0006336F">
              <w:t xml:space="preserve">ap in economic participation and </w:t>
            </w:r>
            <w:r w:rsidR="00654A69" w:rsidRPr="0006336F">
              <w:t>development</w:t>
            </w:r>
            <w:r w:rsidR="00C76DE5" w:rsidRPr="0006336F">
              <w:t xml:space="preserve"> outcomes</w:t>
            </w:r>
            <w:r w:rsidRPr="0006336F">
              <w:t xml:space="preserve">, by working in partnership with </w:t>
            </w:r>
            <w:r w:rsidR="00FD3514">
              <w:t>First Nation</w:t>
            </w:r>
            <w:r w:rsidRPr="0006336F">
              <w:t>s people</w:t>
            </w:r>
            <w:r w:rsidRPr="0006336F" w:rsidDel="000A330C">
              <w:t xml:space="preserve"> </w:t>
            </w:r>
          </w:p>
          <w:p w14:paraId="4752E83F" w14:textId="6E627124" w:rsidR="00F307EB" w:rsidRPr="0006336F" w:rsidRDefault="00D93F88">
            <w:pPr>
              <w:pStyle w:val="TableTextLeft"/>
              <w:rPr>
                <w:b/>
              </w:rPr>
            </w:pPr>
            <w:r w:rsidRPr="0006336F">
              <w:rPr>
                <w:b/>
              </w:rPr>
              <w:t>Back</w:t>
            </w:r>
            <w:r w:rsidR="00F307EB" w:rsidRPr="0006336F">
              <w:rPr>
                <w:b/>
              </w:rPr>
              <w:t xml:space="preserve"> social enterprise</w:t>
            </w:r>
          </w:p>
          <w:p w14:paraId="323B7370" w14:textId="0CB74CD2" w:rsidR="00F307EB" w:rsidRPr="000F68A4" w:rsidRDefault="00F307EB" w:rsidP="000F68A4">
            <w:pPr>
              <w:pStyle w:val="TableTextBullet"/>
              <w:rPr>
                <w:b/>
              </w:rPr>
            </w:pPr>
            <w:r w:rsidRPr="0006336F">
              <w:t>Build capacity to get people into jobs and creat</w:t>
            </w:r>
            <w:r w:rsidR="00FC63D6" w:rsidRPr="0006336F">
              <w:t>e</w:t>
            </w:r>
            <w:r w:rsidRPr="0006336F">
              <w:t xml:space="preserve"> job pathways </w:t>
            </w:r>
            <w:r w:rsidR="003549B9" w:rsidRPr="0006336F">
              <w:t>by supporting the growth of the social enterprise sector</w:t>
            </w:r>
          </w:p>
        </w:tc>
      </w:tr>
    </w:tbl>
    <w:p w14:paraId="27543CAC" w14:textId="77777777" w:rsidR="000F68A4" w:rsidRDefault="000F68A4" w:rsidP="000F68A4">
      <w:pPr>
        <w:pStyle w:val="ChartTableFiguresectionline"/>
      </w:pPr>
    </w:p>
    <w:p w14:paraId="56254035" w14:textId="75CBD26B" w:rsidR="007A433F" w:rsidRPr="0006336F" w:rsidRDefault="007A433F" w:rsidP="007A433F">
      <w:r w:rsidRPr="0006336F">
        <w:t>Even in a strong labour market, a</w:t>
      </w:r>
      <w:r w:rsidR="00436347" w:rsidRPr="0006336F">
        <w:t xml:space="preserve"> growing proportion of job seekers face multiple significant barriers to employment</w:t>
      </w:r>
      <w:r w:rsidR="00724314" w:rsidRPr="0006336F">
        <w:t>,</w:t>
      </w:r>
      <w:r w:rsidR="00436347" w:rsidRPr="0006336F">
        <w:t xml:space="preserve"> and existing services are often siloed and fragmented. </w:t>
      </w:r>
      <w:r w:rsidRPr="0006336F">
        <w:t>While mainstream approaches work for many, a tailored and integrated set of services is needed to help some people facing complex barriers or experiencing entrenched disadvantage to fulfil their potential. Partnerships with communities, service providers and others offer the opportunity to genuinely respond to local needs and improve outcomes over the long term.</w:t>
      </w:r>
    </w:p>
    <w:p w14:paraId="29759436" w14:textId="4118EFDA" w:rsidR="00F307EB" w:rsidRPr="0006336F" w:rsidRDefault="00FD3514" w:rsidP="00F307EB">
      <w:r>
        <w:t>The Government</w:t>
      </w:r>
      <w:r w:rsidR="00F307EB" w:rsidRPr="0006336F">
        <w:t xml:space="preserve"> has committed </w:t>
      </w:r>
      <w:r w:rsidR="003C4E3C" w:rsidRPr="0006336F">
        <w:t>funding</w:t>
      </w:r>
      <w:r w:rsidR="00F307EB" w:rsidRPr="0006336F">
        <w:t xml:space="preserve"> through the Targeting Entrenched Disadvantage package to improve the coordination and quality of investments made by governments, philanthropy, and the private sector. This includes extending the existing Stronger Places</w:t>
      </w:r>
      <w:r w:rsidR="00723765" w:rsidRPr="0006336F">
        <w:t>,</w:t>
      </w:r>
      <w:r w:rsidR="00F307EB" w:rsidRPr="0006336F">
        <w:t xml:space="preserve"> Stronger People initiative and backing social enterprises with a Social Enterprise Development Initiative. </w:t>
      </w:r>
      <w:r w:rsidR="006A7195" w:rsidRPr="0006336F">
        <w:t>We have</w:t>
      </w:r>
      <w:r w:rsidR="005B3EB0" w:rsidRPr="0006336F" w:rsidDel="005B3EB0">
        <w:t xml:space="preserve"> </w:t>
      </w:r>
      <w:r w:rsidR="00A8581A" w:rsidRPr="0006336F">
        <w:t>funded</w:t>
      </w:r>
      <w:r w:rsidR="00F307EB" w:rsidRPr="0006336F">
        <w:t xml:space="preserve"> a new Outcomes Fund that is being co</w:t>
      </w:r>
      <w:r w:rsidR="00B16861">
        <w:noBreakHyphen/>
      </w:r>
      <w:r w:rsidR="00F307EB" w:rsidRPr="0006336F">
        <w:t>designed in partnership with key stakeholders</w:t>
      </w:r>
      <w:r w:rsidR="00D46E08" w:rsidRPr="0006336F">
        <w:t>,</w:t>
      </w:r>
      <w:r w:rsidR="00F307EB" w:rsidRPr="0006336F">
        <w:t xml:space="preserve"> including with states and territories </w:t>
      </w:r>
      <w:r w:rsidR="00DE5687" w:rsidRPr="0006336F">
        <w:t>and</w:t>
      </w:r>
      <w:r w:rsidR="00F307EB" w:rsidRPr="0006336F">
        <w:t xml:space="preserve"> service providers</w:t>
      </w:r>
      <w:r w:rsidR="009C3AFD" w:rsidRPr="0006336F">
        <w:t>,</w:t>
      </w:r>
      <w:r w:rsidR="009269ED" w:rsidRPr="0006336F">
        <w:t xml:space="preserve"> </w:t>
      </w:r>
      <w:r w:rsidR="009635BA" w:rsidRPr="0006336F">
        <w:t xml:space="preserve">to fund </w:t>
      </w:r>
      <w:r w:rsidR="000B3C5D" w:rsidRPr="0006336F">
        <w:t>projects that deliver outcomes in communities.</w:t>
      </w:r>
      <w:r w:rsidR="00A30E0F" w:rsidRPr="0006336F">
        <w:t xml:space="preserve"> </w:t>
      </w:r>
      <w:r>
        <w:t>The </w:t>
      </w:r>
      <w:r w:rsidR="005C702B">
        <w:t>g</w:t>
      </w:r>
      <w:r>
        <w:t>overnment</w:t>
      </w:r>
      <w:r w:rsidR="008B0ACA" w:rsidRPr="0006336F">
        <w:t xml:space="preserve"> is also </w:t>
      </w:r>
      <w:r w:rsidR="00825BF3" w:rsidRPr="0006336F">
        <w:t>developing a partnership</w:t>
      </w:r>
      <w:r w:rsidR="00F307EB" w:rsidRPr="0006336F">
        <w:t xml:space="preserve"> with leading philanthropists through an Investment Dialogue for Australia</w:t>
      </w:r>
      <w:r w:rsidR="00B16861">
        <w:t>’</w:t>
      </w:r>
      <w:r w:rsidR="00F307EB" w:rsidRPr="0006336F">
        <w:t>s Children.</w:t>
      </w:r>
    </w:p>
    <w:p w14:paraId="1EC3B4B6" w14:textId="78D89CBD" w:rsidR="00F307EB" w:rsidRPr="0006336F" w:rsidRDefault="00FD3514" w:rsidP="00F307EB">
      <w:r>
        <w:t>The Government</w:t>
      </w:r>
      <w:r w:rsidR="00B16861">
        <w:t>’</w:t>
      </w:r>
      <w:r w:rsidR="00F307EB" w:rsidRPr="0006336F">
        <w:t>s broader social policy agenda helps put people in a better position to take up work. Significant new support for family, domestic and sexual violence survivors includes investment in pilot programs to support victim</w:t>
      </w:r>
      <w:r w:rsidR="00B16861">
        <w:noBreakHyphen/>
      </w:r>
      <w:r w:rsidR="00F307EB" w:rsidRPr="0006336F">
        <w:t xml:space="preserve">survivors through Primary Health Networks across Australia. Other </w:t>
      </w:r>
      <w:r w:rsidR="00F307EB" w:rsidRPr="0006336F">
        <w:lastRenderedPageBreak/>
        <w:t xml:space="preserve">initiatives include grant funding support for community sector </w:t>
      </w:r>
      <w:r w:rsidR="00B97569" w:rsidRPr="0006336F">
        <w:t>o</w:t>
      </w:r>
      <w:r w:rsidR="000E4C72" w:rsidRPr="0006336F">
        <w:t>rganisations and working closely with stakeholders on options</w:t>
      </w:r>
      <w:r w:rsidR="00F307EB" w:rsidRPr="0006336F">
        <w:t xml:space="preserve"> to create a stronger, more diverse and independent community sector. There is also funding for mental health and suicide prevention, including mental health research to broaden </w:t>
      </w:r>
      <w:r w:rsidR="00B839F2" w:rsidRPr="0006336F">
        <w:t xml:space="preserve">the focus of </w:t>
      </w:r>
      <w:r w:rsidR="00F307EB" w:rsidRPr="0006336F">
        <w:t>suicide prevention to include employment factors such as unemployment, underemployment, precarious employment, work</w:t>
      </w:r>
      <w:r w:rsidR="00B16861">
        <w:noBreakHyphen/>
      </w:r>
      <w:r w:rsidR="00F307EB" w:rsidRPr="0006336F">
        <w:t>related stress</w:t>
      </w:r>
      <w:r w:rsidR="00C57978" w:rsidRPr="0006336F">
        <w:t>,</w:t>
      </w:r>
      <w:r w:rsidR="00F307EB" w:rsidRPr="0006336F">
        <w:t xml:space="preserve"> and financial distress. </w:t>
      </w:r>
    </w:p>
    <w:p w14:paraId="54F85C78" w14:textId="26A065D7" w:rsidR="00F307EB" w:rsidRPr="0006336F" w:rsidRDefault="00F307EB" w:rsidP="00F307EB">
      <w:r w:rsidRPr="0006336F">
        <w:t xml:space="preserve">Tackling entrenched disadvantage concentrated in communities requires collaboration, commitment, and a </w:t>
      </w:r>
      <w:r w:rsidR="001E4077" w:rsidRPr="0006336F">
        <w:t>mix</w:t>
      </w:r>
      <w:r w:rsidRPr="0006336F">
        <w:t xml:space="preserve"> of strategies. Universal social services play a significant role in providing Australians with the support they need, however, there is an opportunity to take a new approach and integrate services to address the complex barriers some Australian communities face through </w:t>
      </w:r>
      <w:r w:rsidR="00C45E41" w:rsidRPr="0006336F">
        <w:t xml:space="preserve">support for </w:t>
      </w:r>
      <w:r w:rsidRPr="0006336F">
        <w:t>place</w:t>
      </w:r>
      <w:r w:rsidR="00B16861">
        <w:noBreakHyphen/>
      </w:r>
      <w:r w:rsidRPr="0006336F">
        <w:t xml:space="preserve">based </w:t>
      </w:r>
      <w:r w:rsidR="00C45E41" w:rsidRPr="0006336F">
        <w:t>ways of working</w:t>
      </w:r>
      <w:r w:rsidRPr="0006336F">
        <w:t xml:space="preserve">. This will require working with </w:t>
      </w:r>
      <w:r w:rsidR="00FD3514">
        <w:t>First Nation</w:t>
      </w:r>
      <w:r w:rsidRPr="0006336F">
        <w:t>s communities</w:t>
      </w:r>
      <w:r w:rsidRPr="0006336F" w:rsidDel="0036647C">
        <w:t xml:space="preserve"> and</w:t>
      </w:r>
      <w:r w:rsidRPr="0006336F">
        <w:t xml:space="preserve"> building community capacity</w:t>
      </w:r>
      <w:r w:rsidR="00557EF2">
        <w:t>,</w:t>
      </w:r>
      <w:r w:rsidRPr="0006336F">
        <w:t xml:space="preserve"> including through social enterprises.</w:t>
      </w:r>
    </w:p>
    <w:p w14:paraId="40370CDC" w14:textId="51CE5545" w:rsidR="00F307EB" w:rsidRPr="0006336F" w:rsidRDefault="007A2C0D" w:rsidP="00F307EB">
      <w:pPr>
        <w:pStyle w:val="Heading3"/>
      </w:pPr>
      <w:r w:rsidRPr="0006336F">
        <w:t>Boost</w:t>
      </w:r>
      <w:r w:rsidR="00EB2BD6" w:rsidRPr="0006336F">
        <w:t>ing</w:t>
      </w:r>
      <w:r w:rsidRPr="0006336F">
        <w:t xml:space="preserve"> place</w:t>
      </w:r>
      <w:r w:rsidR="00B16861">
        <w:noBreakHyphen/>
      </w:r>
      <w:r w:rsidRPr="0006336F">
        <w:t xml:space="preserve">based </w:t>
      </w:r>
      <w:r w:rsidR="00D82013" w:rsidRPr="0006336F">
        <w:t>approaches</w:t>
      </w:r>
    </w:p>
    <w:p w14:paraId="1AF51C88" w14:textId="74B651E3" w:rsidR="00F307EB" w:rsidRPr="0006336F" w:rsidRDefault="00F307EB" w:rsidP="00F307EB">
      <w:r w:rsidRPr="0006336F" w:rsidDel="00825BF3">
        <w:t>Place</w:t>
      </w:r>
      <w:r w:rsidR="00B16861">
        <w:noBreakHyphen/>
      </w:r>
      <w:r w:rsidRPr="0006336F" w:rsidDel="00825BF3">
        <w:t xml:space="preserve">based approaches can assist with developing targeted strategies that are right for local communities. Strong local leadership and coordination of resources can address the local drivers of disadvantage that help achieve inclusive full employment. </w:t>
      </w:r>
      <w:r w:rsidRPr="0006336F">
        <w:t>Place</w:t>
      </w:r>
      <w:r w:rsidR="00B16861">
        <w:noBreakHyphen/>
      </w:r>
      <w:r w:rsidRPr="0006336F">
        <w:t>based approaches can support better investments in communities experiencing concentrated intergenerational disadvantage and improve the wellbeing outcomes for individuals, families</w:t>
      </w:r>
      <w:r w:rsidR="00A21DD0" w:rsidRPr="0006336F">
        <w:t xml:space="preserve"> and</w:t>
      </w:r>
      <w:r w:rsidRPr="0006336F">
        <w:t xml:space="preserve"> communities. Central to this is directing funding to communities in ways that help them address local issues, ensuring communities have access to data to guide local decision</w:t>
      </w:r>
      <w:r w:rsidR="00D72A26">
        <w:t>-</w:t>
      </w:r>
      <w:r w:rsidRPr="0006336F">
        <w:t xml:space="preserve">making, and setting up appropriate systems and processes to achieve this. </w:t>
      </w:r>
    </w:p>
    <w:p w14:paraId="48544142" w14:textId="4995F8E5" w:rsidR="00F307EB" w:rsidRPr="0006336F" w:rsidRDefault="00FD3514" w:rsidP="00F307EB">
      <w:r>
        <w:t>The Government</w:t>
      </w:r>
      <w:r w:rsidR="00F307EB" w:rsidRPr="0006336F">
        <w:t xml:space="preserve"> is moving to tackle entrenched disadvantage by extending what works and building upon it in an integrated way</w:t>
      </w:r>
      <w:r>
        <w:t xml:space="preserve"> – </w:t>
      </w:r>
      <w:r w:rsidR="00F307EB" w:rsidRPr="0006336F">
        <w:t>partnering with philanthropists, empowering communities, and enhancing place</w:t>
      </w:r>
      <w:r w:rsidR="00F307EB" w:rsidRPr="0006336F">
        <w:rPr>
          <w:rFonts w:ascii="Cambria Math" w:hAnsi="Cambria Math" w:cs="Cambria Math"/>
        </w:rPr>
        <w:t>‑</w:t>
      </w:r>
      <w:r w:rsidR="00F307EB" w:rsidRPr="0006336F">
        <w:t xml:space="preserve">based approaches. </w:t>
      </w:r>
    </w:p>
    <w:p w14:paraId="63584F20" w14:textId="212765E8" w:rsidR="00F307EB" w:rsidRPr="0006336F" w:rsidRDefault="007761A4" w:rsidP="00F307EB">
      <w:r w:rsidRPr="0006336F">
        <w:t>We have</w:t>
      </w:r>
      <w:r w:rsidR="00F307EB" w:rsidRPr="0006336F">
        <w:t xml:space="preserve"> </w:t>
      </w:r>
      <w:r w:rsidR="00306E00" w:rsidRPr="0006336F">
        <w:t>extended the</w:t>
      </w:r>
      <w:r w:rsidR="00F307EB" w:rsidRPr="0006336F">
        <w:t xml:space="preserve"> Stronger Places, Stronger People </w:t>
      </w:r>
      <w:r w:rsidR="00306E00" w:rsidRPr="0006336F">
        <w:t>program</w:t>
      </w:r>
      <w:r w:rsidR="00F307EB" w:rsidRPr="0006336F">
        <w:t>, a community</w:t>
      </w:r>
      <w:r w:rsidR="00B16861">
        <w:noBreakHyphen/>
      </w:r>
      <w:r w:rsidR="00F307EB" w:rsidRPr="0006336F">
        <w:t>led, collective impact initiative, stewarded by the Australian Government in partnership with state and territory governments and 10 communities across Australia. It seeks to disrupt disadvantage and create better futures for children and their families through locally tailored and evidence</w:t>
      </w:r>
      <w:r w:rsidR="00B16861">
        <w:noBreakHyphen/>
      </w:r>
      <w:r w:rsidR="00F307EB" w:rsidRPr="0006336F">
        <w:t>driven solutions to local problems, in partnership with local people.</w:t>
      </w:r>
    </w:p>
    <w:p w14:paraId="4DE069C6" w14:textId="03D76B28" w:rsidR="00F307EB" w:rsidRPr="0006336F" w:rsidRDefault="00FD3514" w:rsidP="00F307EB">
      <w:r>
        <w:t>The Government</w:t>
      </w:r>
      <w:r w:rsidR="00F307EB" w:rsidRPr="0006336F">
        <w:t xml:space="preserve"> is developing a whole</w:t>
      </w:r>
      <w:r w:rsidR="00B16861">
        <w:noBreakHyphen/>
      </w:r>
      <w:r w:rsidR="00F307EB" w:rsidRPr="0006336F">
        <w:t>of</w:t>
      </w:r>
      <w:r w:rsidR="00B16861">
        <w:noBreakHyphen/>
      </w:r>
      <w:r w:rsidR="00F307EB" w:rsidRPr="0006336F">
        <w:t>government framework to address community disadvantage, which will underpin the changes needed to deliver on our future direction</w:t>
      </w:r>
      <w:r w:rsidR="008F6555" w:rsidRPr="0006336F">
        <w:t xml:space="preserve"> </w:t>
      </w:r>
      <w:r w:rsidR="009635BC" w:rsidRPr="0006336F">
        <w:t>working in partnership with communities to</w:t>
      </w:r>
      <w:r w:rsidR="008D6BDE" w:rsidRPr="0006336F">
        <w:t xml:space="preserve"> </w:t>
      </w:r>
      <w:r w:rsidR="009635BC" w:rsidRPr="0006336F">
        <w:t>address</w:t>
      </w:r>
      <w:r w:rsidR="00EB34AD" w:rsidRPr="0006336F">
        <w:t xml:space="preserve"> local </w:t>
      </w:r>
      <w:r w:rsidR="009635BC" w:rsidRPr="0006336F">
        <w:t>challenges</w:t>
      </w:r>
      <w:r w:rsidR="00F307EB" w:rsidRPr="0006336F">
        <w:t>. The framework will design the practical ways in which government can work with communities to:</w:t>
      </w:r>
    </w:p>
    <w:p w14:paraId="3546A107" w14:textId="2C264A05" w:rsidR="00F307EB" w:rsidRPr="0006336F" w:rsidRDefault="00E13BC9" w:rsidP="00F307EB">
      <w:pPr>
        <w:pStyle w:val="Bullet"/>
      </w:pPr>
      <w:r w:rsidRPr="0006336F">
        <w:t>better align</w:t>
      </w:r>
      <w:r w:rsidR="00F307EB" w:rsidRPr="0006336F">
        <w:t xml:space="preserve"> programs and delivery across </w:t>
      </w:r>
      <w:r w:rsidRPr="0006336F">
        <w:t>governments</w:t>
      </w:r>
      <w:r w:rsidR="00BF48DF" w:rsidRPr="0006336F">
        <w:t xml:space="preserve"> and </w:t>
      </w:r>
      <w:r w:rsidR="00F307EB" w:rsidRPr="0006336F">
        <w:t>portfolios</w:t>
      </w:r>
    </w:p>
    <w:p w14:paraId="719C6A0C" w14:textId="03FF285F" w:rsidR="00F307EB" w:rsidRPr="0006336F" w:rsidRDefault="00AF1243" w:rsidP="00F307EB">
      <w:pPr>
        <w:pStyle w:val="Bullet"/>
      </w:pPr>
      <w:r w:rsidRPr="0006336F">
        <w:t>p</w:t>
      </w:r>
      <w:r w:rsidR="00F307EB" w:rsidRPr="0006336F">
        <w:t>ut data in the hands of communities and give them a say in how funding is directed, with appropriate government controls</w:t>
      </w:r>
    </w:p>
    <w:p w14:paraId="189D4CC4" w14:textId="7F7D4B25" w:rsidR="00F307EB" w:rsidRPr="0006336F" w:rsidRDefault="00AF1243" w:rsidP="00F307EB">
      <w:pPr>
        <w:pStyle w:val="Bullet"/>
      </w:pPr>
      <w:r w:rsidRPr="0006336F">
        <w:t>e</w:t>
      </w:r>
      <w:r w:rsidR="00F307EB" w:rsidRPr="0006336F">
        <w:t>xpand the role of communities in decisio</w:t>
      </w:r>
      <w:r w:rsidR="00D72A26">
        <w:t>n-</w:t>
      </w:r>
      <w:r w:rsidR="00F307EB" w:rsidRPr="0006336F">
        <w:t>making over time.</w:t>
      </w:r>
    </w:p>
    <w:p w14:paraId="6596BF29" w14:textId="2D25E952" w:rsidR="00F307EB" w:rsidRPr="0006336F" w:rsidRDefault="00F307EB" w:rsidP="00F307EB">
      <w:r w:rsidRPr="0006336F">
        <w:t xml:space="preserve">Developing new data sets, such as the National Disability Data Asset and Life </w:t>
      </w:r>
      <w:r w:rsidR="007D58F0" w:rsidRPr="0006336F">
        <w:t>Course</w:t>
      </w:r>
      <w:r w:rsidRPr="0006336F">
        <w:t xml:space="preserve"> Data Asset</w:t>
      </w:r>
      <w:r w:rsidR="00FD3514">
        <w:t xml:space="preserve"> – </w:t>
      </w:r>
      <w:r w:rsidRPr="0006336F">
        <w:t>and making better use of data in partnership with communities</w:t>
      </w:r>
      <w:r w:rsidR="00FD3514">
        <w:t xml:space="preserve"> – </w:t>
      </w:r>
      <w:r w:rsidRPr="0006336F">
        <w:t xml:space="preserve">will be critical </w:t>
      </w:r>
      <w:r w:rsidR="00203531" w:rsidRPr="0006336F">
        <w:t>to further embed</w:t>
      </w:r>
      <w:r w:rsidRPr="0006336F">
        <w:t xml:space="preserve"> the </w:t>
      </w:r>
      <w:r w:rsidR="00203531" w:rsidRPr="0006336F">
        <w:t>use</w:t>
      </w:r>
      <w:r w:rsidRPr="0006336F">
        <w:t xml:space="preserve"> of place</w:t>
      </w:r>
      <w:r w:rsidR="00B16861">
        <w:noBreakHyphen/>
      </w:r>
      <w:r w:rsidRPr="0006336F">
        <w:t xml:space="preserve">based </w:t>
      </w:r>
      <w:r w:rsidR="00203531" w:rsidRPr="0006336F">
        <w:t>approaches</w:t>
      </w:r>
      <w:r w:rsidRPr="0006336F">
        <w:t>.</w:t>
      </w:r>
    </w:p>
    <w:p w14:paraId="66251FB7" w14:textId="77777777" w:rsidR="00722C03" w:rsidRPr="00722C03" w:rsidRDefault="00722C03" w:rsidP="00722C03">
      <w:r w:rsidRPr="00722C03">
        <w:br w:type="page"/>
      </w:r>
    </w:p>
    <w:p w14:paraId="63307E6E" w14:textId="1E0CA510" w:rsidR="00F307EB" w:rsidRPr="0006336F" w:rsidRDefault="00F307EB" w:rsidP="00F307EB">
      <w:pPr>
        <w:pStyle w:val="Heading3"/>
      </w:pPr>
      <w:r w:rsidRPr="0006336F">
        <w:lastRenderedPageBreak/>
        <w:t xml:space="preserve">Partnering with </w:t>
      </w:r>
      <w:r w:rsidR="00FD3514">
        <w:t>First Nation</w:t>
      </w:r>
      <w:r w:rsidRPr="0006336F">
        <w:t xml:space="preserve">s people </w:t>
      </w:r>
    </w:p>
    <w:p w14:paraId="3514DFDB" w14:textId="1C629483" w:rsidR="00E27BF4" w:rsidRPr="00722C03" w:rsidRDefault="00FD3514" w:rsidP="00C7066D">
      <w:pPr>
        <w:rPr>
          <w:spacing w:val="-2"/>
        </w:rPr>
      </w:pPr>
      <w:r w:rsidRPr="00722C03">
        <w:rPr>
          <w:spacing w:val="-2"/>
        </w:rPr>
        <w:t>The Government</w:t>
      </w:r>
      <w:r w:rsidR="00E27BF4" w:rsidRPr="00722C03">
        <w:rPr>
          <w:spacing w:val="-2"/>
        </w:rPr>
        <w:t xml:space="preserve"> is partnering with the Coalition of Peaks to scope a </w:t>
      </w:r>
      <w:r w:rsidRPr="00722C03">
        <w:rPr>
          <w:spacing w:val="-2"/>
        </w:rPr>
        <w:t>First Nation</w:t>
      </w:r>
      <w:r w:rsidR="00E27BF4" w:rsidRPr="00722C03">
        <w:rPr>
          <w:spacing w:val="-2"/>
        </w:rPr>
        <w:t xml:space="preserve">s Economic </w:t>
      </w:r>
      <w:r w:rsidR="00533504" w:rsidRPr="00722C03">
        <w:rPr>
          <w:spacing w:val="-2"/>
        </w:rPr>
        <w:t>Partnership</w:t>
      </w:r>
      <w:r w:rsidR="00E27BF4" w:rsidRPr="00722C03">
        <w:rPr>
          <w:spacing w:val="-2"/>
        </w:rPr>
        <w:t>.</w:t>
      </w:r>
    </w:p>
    <w:p w14:paraId="7CDC98BD" w14:textId="71EEC070" w:rsidR="00E27BF4" w:rsidRPr="0006336F" w:rsidRDefault="00E27BF4" w:rsidP="00C7066D">
      <w:r w:rsidRPr="0006336F">
        <w:t>The Partnership will improve progress against Closing the Gap Outcome Eight (economic participation and development) and Priority Reform One (formal partnerships) and be an important mechanism for shared decision</w:t>
      </w:r>
      <w:r w:rsidR="00B16861">
        <w:noBreakHyphen/>
      </w:r>
      <w:r w:rsidRPr="0006336F">
        <w:t>making</w:t>
      </w:r>
      <w:r w:rsidR="00FD3514">
        <w:t xml:space="preserve"> – </w:t>
      </w:r>
      <w:r w:rsidRPr="0006336F">
        <w:t>giving effect to the Government</w:t>
      </w:r>
      <w:r w:rsidR="00B16861">
        <w:t>’</w:t>
      </w:r>
      <w:r w:rsidRPr="0006336F">
        <w:t>s commitments under the Closing the Gap agreement.</w:t>
      </w:r>
    </w:p>
    <w:p w14:paraId="35DC961A" w14:textId="35334455" w:rsidR="00E27BF4" w:rsidRPr="0006336F" w:rsidRDefault="00FD3514" w:rsidP="00C7066D">
      <w:r>
        <w:t>The Government</w:t>
      </w:r>
      <w:r w:rsidR="00E27BF4" w:rsidRPr="0006336F">
        <w:t xml:space="preserve"> and the Peaks want the partnership to be centred on the strengths of Aboriginal and </w:t>
      </w:r>
      <w:r>
        <w:t>Torres Strait</w:t>
      </w:r>
      <w:r w:rsidR="00E27BF4" w:rsidRPr="0006336F">
        <w:t xml:space="preserve"> Islander people</w:t>
      </w:r>
      <w:r w:rsidR="00DC10D8" w:rsidRPr="0006336F">
        <w:t>,</w:t>
      </w:r>
      <w:r w:rsidR="00E27BF4" w:rsidRPr="0006336F">
        <w:t xml:space="preserve"> communities and community</w:t>
      </w:r>
      <w:r w:rsidR="00B16861">
        <w:noBreakHyphen/>
      </w:r>
      <w:r w:rsidR="00E27BF4" w:rsidRPr="0006336F">
        <w:t xml:space="preserve">controlled organisations, supporting job creation, and translating </w:t>
      </w:r>
      <w:r w:rsidR="00D95233">
        <w:t>First Nations</w:t>
      </w:r>
      <w:r w:rsidR="00E27BF4" w:rsidRPr="0006336F">
        <w:t xml:space="preserve"> people</w:t>
      </w:r>
      <w:r w:rsidR="00B16861">
        <w:t>’</w:t>
      </w:r>
      <w:r w:rsidR="00E27BF4" w:rsidRPr="0006336F">
        <w:t>s knowledges, assets, interests and rights into tangible, sustainable social and economic benefits for their communities.</w:t>
      </w:r>
    </w:p>
    <w:p w14:paraId="6A773EA1" w14:textId="3F49B1EE" w:rsidR="00E27BF4" w:rsidRPr="0006336F" w:rsidRDefault="00F307EB" w:rsidP="00C7066D">
      <w:r w:rsidRPr="0006336F">
        <w:t xml:space="preserve">In line with Priority Reform One of Closing the Gap, the Government is committed to a future where policymaking that impacts the lives of </w:t>
      </w:r>
      <w:r w:rsidR="00D95233">
        <w:t>First Nations</w:t>
      </w:r>
      <w:r w:rsidRPr="0006336F">
        <w:t xml:space="preserve"> people is done in full and genuine partnership based on the principles of shared decision</w:t>
      </w:r>
      <w:r w:rsidR="00B16861">
        <w:noBreakHyphen/>
      </w:r>
      <w:r w:rsidRPr="0006336F">
        <w:t>making and self</w:t>
      </w:r>
      <w:r w:rsidR="00B16861">
        <w:noBreakHyphen/>
      </w:r>
      <w:r w:rsidRPr="0006336F">
        <w:t xml:space="preserve">determination. </w:t>
      </w:r>
      <w:r w:rsidR="00E27BF4" w:rsidRPr="0006336F">
        <w:t xml:space="preserve">Giving </w:t>
      </w:r>
      <w:r w:rsidR="00FD3514">
        <w:t>First Nation</w:t>
      </w:r>
      <w:r w:rsidR="00E27BF4" w:rsidRPr="0006336F">
        <w:t>s people a say in the policies affecting their lives delivers better policies and outcomes. </w:t>
      </w:r>
    </w:p>
    <w:p w14:paraId="566F2970" w14:textId="7F23E8DA" w:rsidR="00F307EB" w:rsidRPr="0006336F" w:rsidRDefault="00F307EB" w:rsidP="00C7066D">
      <w:pPr>
        <w:pStyle w:val="Heading4"/>
      </w:pPr>
      <w:r w:rsidRPr="0006336F" w:rsidDel="00607DDE">
        <w:t xml:space="preserve">Doubling the number of Indigenous rangers </w:t>
      </w:r>
    </w:p>
    <w:p w14:paraId="0195819C" w14:textId="71695254" w:rsidR="00F307EB" w:rsidRPr="0006336F" w:rsidRDefault="00FD3514" w:rsidP="00F307EB">
      <w:r>
        <w:t>The Government</w:t>
      </w:r>
      <w:r w:rsidR="00F307EB" w:rsidRPr="0006336F">
        <w:t xml:space="preserve"> is committed to working with </w:t>
      </w:r>
      <w:r>
        <w:t>First Nation</w:t>
      </w:r>
      <w:r w:rsidR="00F307EB" w:rsidRPr="0006336F">
        <w:t>s communities. For 65,000</w:t>
      </w:r>
      <w:r w:rsidR="000F0ED2">
        <w:t> year</w:t>
      </w:r>
      <w:r w:rsidR="00F307EB" w:rsidRPr="0006336F">
        <w:t xml:space="preserve">s, </w:t>
      </w:r>
      <w:r>
        <w:t>First Nation</w:t>
      </w:r>
      <w:r w:rsidR="00F307EB" w:rsidRPr="0006336F">
        <w:t>s people have been custodians and caretakers of Australia</w:t>
      </w:r>
      <w:r w:rsidR="00B16861">
        <w:t>’</w:t>
      </w:r>
      <w:r w:rsidR="00F307EB" w:rsidRPr="0006336F">
        <w:t>s flora and fauna, land, rivers and sea. Today, Indigenous rangers protect nature and maintain connection to Country and culture, while delivering environmental, cultural, social, and economic development outcomes.</w:t>
      </w:r>
    </w:p>
    <w:p w14:paraId="5F9A01EE" w14:textId="386682DE" w:rsidR="00F307EB" w:rsidRPr="0006336F" w:rsidRDefault="00F307EB" w:rsidP="00F307EB">
      <w:r w:rsidRPr="0006336F">
        <w:t xml:space="preserve">Around Australia, 128 Indigenous Rangers Programs work with </w:t>
      </w:r>
      <w:r w:rsidR="00FD3514">
        <w:t>First Nation</w:t>
      </w:r>
      <w:r w:rsidRPr="0006336F">
        <w:t>s people to manage Country in line with Traditional Owners</w:t>
      </w:r>
      <w:r w:rsidR="00B16861">
        <w:t>’</w:t>
      </w:r>
      <w:r w:rsidRPr="0006336F">
        <w:t xml:space="preserve"> aspirations. </w:t>
      </w:r>
      <w:r w:rsidR="00FD3514">
        <w:t>The Government</w:t>
      </w:r>
      <w:r w:rsidRPr="0006336F">
        <w:t xml:space="preserve"> is on track to deliver its commitment to double the number of Indigenous rangers to 3,800 by 2030. </w:t>
      </w:r>
    </w:p>
    <w:p w14:paraId="3248F383" w14:textId="2663668E" w:rsidR="00F307EB" w:rsidRPr="0006336F" w:rsidRDefault="009560CB" w:rsidP="00F307EB">
      <w:pPr>
        <w:pStyle w:val="Heading3"/>
      </w:pPr>
      <w:r w:rsidRPr="0006336F">
        <w:t>Backing</w:t>
      </w:r>
      <w:r w:rsidR="00F307EB" w:rsidRPr="0006336F">
        <w:t xml:space="preserve"> social enterprise</w:t>
      </w:r>
    </w:p>
    <w:p w14:paraId="33B2A4AF" w14:textId="093BDBCB" w:rsidR="00F307EB" w:rsidRPr="0006336F" w:rsidRDefault="00FD3514" w:rsidP="00F307EB">
      <w:r>
        <w:t>The Government</w:t>
      </w:r>
      <w:r w:rsidR="00F307EB" w:rsidRPr="0006336F">
        <w:t xml:space="preserve"> is backing social enterprises to further help people facing labour market disadvantage. Social enterprises are critical to improving employment outcomes for marginalised cohorts in local communities across Australia. There are over 12,000 social enterprises with a workforce of over 206,000 people in Australia. Approximately 58</w:t>
      </w:r>
      <w:r w:rsidR="00B16861">
        <w:t> per c</w:t>
      </w:r>
      <w:r w:rsidR="00F307EB" w:rsidRPr="0006336F">
        <w:t>ent of certified social enterprises are employment</w:t>
      </w:r>
      <w:r w:rsidR="006755A7">
        <w:t>-</w:t>
      </w:r>
      <w:r w:rsidR="00612A9E" w:rsidRPr="0006336F">
        <w:t>focused</w:t>
      </w:r>
      <w:r w:rsidR="00F307EB" w:rsidRPr="0006336F">
        <w:t>. This growing sector offers employment opportunities to people experiencing disadvantage through inclusive employment opportunities, job training and on</w:t>
      </w:r>
      <w:r w:rsidR="00B16861">
        <w:noBreakHyphen/>
      </w:r>
      <w:r w:rsidR="00F307EB" w:rsidRPr="0006336F">
        <w:t>the</w:t>
      </w:r>
      <w:r w:rsidR="00B16861">
        <w:noBreakHyphen/>
      </w:r>
      <w:r w:rsidR="00F307EB" w:rsidRPr="0006336F">
        <w:t xml:space="preserve">job support to people facing complex barriers to work. </w:t>
      </w:r>
      <w:r>
        <w:t>The Government</w:t>
      </w:r>
      <w:r w:rsidR="00B16861">
        <w:t>’</w:t>
      </w:r>
      <w:r w:rsidR="00F307EB" w:rsidRPr="0006336F">
        <w:t>s reform direction is to draw on the expertise of the social enterprise sector and build capacity to improve the labour market outcomes of people who experience entrenched disadvantage.</w:t>
      </w:r>
    </w:p>
    <w:p w14:paraId="67649AF9" w14:textId="4283AD90" w:rsidR="00F307EB" w:rsidRPr="0006336F" w:rsidRDefault="00FD3514" w:rsidP="00F307EB">
      <w:r>
        <w:t>The </w:t>
      </w:r>
      <w:r w:rsidR="005C702B">
        <w:t>g</w:t>
      </w:r>
      <w:r>
        <w:t>overnment</w:t>
      </w:r>
      <w:r w:rsidR="00F307EB" w:rsidRPr="0006336F">
        <w:t xml:space="preserve"> is already partnering with the social enterprise sector to advance common objectives. </w:t>
      </w:r>
      <w:r w:rsidR="00FF5A1C" w:rsidRPr="0006336F">
        <w:t>A</w:t>
      </w:r>
      <w:r w:rsidR="00F307EB" w:rsidRPr="0006336F">
        <w:t xml:space="preserve"> Social Enterprise Development Initiative </w:t>
      </w:r>
      <w:r w:rsidR="00FF5A1C" w:rsidRPr="0006336F">
        <w:t xml:space="preserve">will </w:t>
      </w:r>
      <w:r w:rsidR="00F307EB" w:rsidRPr="0006336F">
        <w:t xml:space="preserve">support organisations such as social enterprises and charities to build their capability and support improved social outcomes. Additionally, under the Outcomes Fund, the Commonwealth will explore partnerships with states, territories and service providers to tackle disadvantage by funding projects that deliver outcomes in communities. </w:t>
      </w:r>
    </w:p>
    <w:p w14:paraId="4BE29740" w14:textId="391DE07B" w:rsidR="00F307EB" w:rsidRPr="0006336F" w:rsidRDefault="00765E54" w:rsidP="00722C03">
      <w:r w:rsidRPr="0006336F">
        <w:t>As a next step, the Government will investigate opportunities to work with social enterprises to address persistent labour market disadvantage</w:t>
      </w:r>
      <w:r w:rsidR="009271F8" w:rsidRPr="0006336F">
        <w:t xml:space="preserve">, </w:t>
      </w:r>
      <w:r w:rsidR="00C10361" w:rsidRPr="0006336F">
        <w:t>with a focus on the role</w:t>
      </w:r>
      <w:r w:rsidR="00497939" w:rsidRPr="0006336F">
        <w:t xml:space="preserve"> </w:t>
      </w:r>
      <w:r w:rsidR="009271F8" w:rsidRPr="0006336F">
        <w:t xml:space="preserve">social enterprises could play </w:t>
      </w:r>
      <w:r w:rsidR="007A6A7F" w:rsidRPr="0006336F">
        <w:t xml:space="preserve">in </w:t>
      </w:r>
      <w:r w:rsidR="009271F8" w:rsidRPr="0006336F">
        <w:t>creating jobs and career pathways.</w:t>
      </w:r>
      <w:r w:rsidR="0072122B" w:rsidRPr="0006336F">
        <w:t xml:space="preserve"> </w:t>
      </w:r>
    </w:p>
    <w:p w14:paraId="4ED14F03" w14:textId="0F501990" w:rsidR="00F307EB" w:rsidRPr="0006336F" w:rsidRDefault="00F307EB" w:rsidP="00F307EB">
      <w:pPr>
        <w:pStyle w:val="Heading2"/>
      </w:pPr>
      <w:bookmarkStart w:id="15" w:name="_Toc146292924"/>
      <w:r w:rsidRPr="0006336F">
        <w:lastRenderedPageBreak/>
        <w:t xml:space="preserve">10 </w:t>
      </w:r>
      <w:r w:rsidR="000F68A4">
        <w:tab/>
      </w:r>
      <w:r w:rsidRPr="0006336F">
        <w:t>Promoting inclusive, dynamic workplaces</w:t>
      </w:r>
      <w:bookmarkEnd w:id="15"/>
      <w:r w:rsidRPr="0006336F">
        <w:t xml:space="preserve"> </w:t>
      </w:r>
    </w:p>
    <w:p w14:paraId="4ED0FAFC" w14:textId="65082181" w:rsidR="00F307EB" w:rsidRPr="0006336F" w:rsidRDefault="00F307EB" w:rsidP="00F307EB">
      <w:pPr>
        <w:pStyle w:val="TableMainHeadingRoadmap"/>
      </w:pPr>
      <w:r w:rsidRPr="0006336F">
        <w:t xml:space="preserve">Actions to promote inclusive, dynamic workplaces </w:t>
      </w:r>
    </w:p>
    <w:tbl>
      <w:tblPr>
        <w:tblStyle w:val="TableGrid"/>
        <w:tblW w:w="5000" w:type="pct"/>
        <w:tblLook w:val="01E0" w:firstRow="1" w:lastRow="1" w:firstColumn="1" w:lastColumn="1" w:noHBand="0" w:noVBand="0"/>
      </w:tblPr>
      <w:tblGrid>
        <w:gridCol w:w="3023"/>
        <w:gridCol w:w="3023"/>
        <w:gridCol w:w="3024"/>
      </w:tblGrid>
      <w:tr w:rsidR="00F307EB" w:rsidRPr="0006336F" w14:paraId="1F367BA7" w14:textId="77777777" w:rsidTr="00A05428">
        <w:trPr>
          <w:cnfStyle w:val="100000000000" w:firstRow="1" w:lastRow="0" w:firstColumn="0" w:lastColumn="0" w:oddVBand="0" w:evenVBand="0" w:oddHBand="0" w:evenHBand="0" w:firstRowFirstColumn="0" w:firstRowLastColumn="0" w:lastRowFirstColumn="0" w:lastRowLastColumn="0"/>
          <w:tblHeader/>
        </w:trPr>
        <w:tc>
          <w:tcPr>
            <w:tcW w:w="1666" w:type="pct"/>
          </w:tcPr>
          <w:p w14:paraId="423967AB" w14:textId="77777777" w:rsidR="00F307EB" w:rsidRPr="0006336F" w:rsidRDefault="00F307EB">
            <w:pPr>
              <w:pStyle w:val="TableColumnHeadingLeft"/>
            </w:pPr>
            <w:r w:rsidRPr="0006336F">
              <w:t xml:space="preserve">Implemented </w:t>
            </w:r>
          </w:p>
        </w:tc>
        <w:tc>
          <w:tcPr>
            <w:tcW w:w="1666" w:type="pct"/>
          </w:tcPr>
          <w:p w14:paraId="2F4AE7F5" w14:textId="77777777" w:rsidR="00F307EB" w:rsidRPr="0006336F" w:rsidRDefault="00F307EB">
            <w:pPr>
              <w:pStyle w:val="TableColumnHeadingLeft"/>
            </w:pPr>
            <w:r w:rsidRPr="0006336F">
              <w:t xml:space="preserve">Underway </w:t>
            </w:r>
          </w:p>
        </w:tc>
        <w:tc>
          <w:tcPr>
            <w:tcW w:w="1667" w:type="pct"/>
          </w:tcPr>
          <w:p w14:paraId="67B17DDD" w14:textId="77777777" w:rsidR="00F307EB" w:rsidRPr="0006336F" w:rsidRDefault="00F307EB">
            <w:pPr>
              <w:pStyle w:val="TableColumnHeadingLeft"/>
            </w:pPr>
            <w:r w:rsidRPr="0006336F">
              <w:t>Future reform directions</w:t>
            </w:r>
          </w:p>
        </w:tc>
      </w:tr>
      <w:tr w:rsidR="00F307EB" w:rsidRPr="0006336F" w14:paraId="5CD1EBD2" w14:textId="77777777" w:rsidTr="00A05428">
        <w:tc>
          <w:tcPr>
            <w:tcW w:w="1666" w:type="pct"/>
          </w:tcPr>
          <w:p w14:paraId="1179DC4C" w14:textId="03FA4422" w:rsidR="00F307EB" w:rsidRPr="0006336F" w:rsidRDefault="00F307EB" w:rsidP="00C7066D">
            <w:pPr>
              <w:pStyle w:val="TableTextLeft"/>
              <w:rPr>
                <w:b/>
              </w:rPr>
            </w:pPr>
            <w:r w:rsidRPr="0006336F">
              <w:rPr>
                <w:b/>
              </w:rPr>
              <w:t xml:space="preserve">Strengthened protections in the Fair Work framework </w:t>
            </w:r>
          </w:p>
          <w:p w14:paraId="30729620" w14:textId="77777777" w:rsidR="00646C8A" w:rsidRPr="0006336F" w:rsidRDefault="00646C8A" w:rsidP="00646C8A">
            <w:pPr>
              <w:pStyle w:val="TableTextBullet"/>
            </w:pPr>
            <w:r w:rsidRPr="0006336F">
              <w:rPr>
                <w:bCs/>
              </w:rPr>
              <w:t>Committed to amend the Fair Work Act to include subjection to family and domestic violence in the list of protected attributes</w:t>
            </w:r>
          </w:p>
          <w:p w14:paraId="0B050902" w14:textId="33147FE7" w:rsidR="00F307EB" w:rsidRPr="0006336F" w:rsidRDefault="00F307EB" w:rsidP="00C7066D">
            <w:pPr>
              <w:pStyle w:val="TableTextBullet"/>
              <w:rPr>
                <w:szCs w:val="16"/>
              </w:rPr>
            </w:pPr>
            <w:r w:rsidRPr="0006336F">
              <w:t>M</w:t>
            </w:r>
            <w:r w:rsidRPr="0006336F">
              <w:rPr>
                <w:szCs w:val="16"/>
              </w:rPr>
              <w:t>ade breastfeeding, gender identity and intersex status protected attributes in the Fair Work Act</w:t>
            </w:r>
          </w:p>
          <w:p w14:paraId="1ED88F64" w14:textId="41674787" w:rsidR="005A004A" w:rsidRPr="0006336F" w:rsidRDefault="00466C4F" w:rsidP="00C7066D">
            <w:pPr>
              <w:pStyle w:val="TableTextLeft"/>
              <w:rPr>
                <w:b/>
                <w:sz w:val="14"/>
                <w:szCs w:val="16"/>
              </w:rPr>
            </w:pPr>
            <w:r w:rsidRPr="0006336F">
              <w:rPr>
                <w:b/>
                <w:szCs w:val="16"/>
              </w:rPr>
              <w:t>Made</w:t>
            </w:r>
            <w:r w:rsidR="00766496" w:rsidRPr="0006336F">
              <w:rPr>
                <w:b/>
                <w:szCs w:val="16"/>
              </w:rPr>
              <w:t xml:space="preserve"> gender pay gaps</w:t>
            </w:r>
            <w:r w:rsidR="00A9042F" w:rsidRPr="0006336F">
              <w:rPr>
                <w:b/>
                <w:szCs w:val="16"/>
              </w:rPr>
              <w:t xml:space="preserve"> visible</w:t>
            </w:r>
          </w:p>
          <w:p w14:paraId="6A3A68DB" w14:textId="231FCFF2" w:rsidR="005B3B9E" w:rsidRPr="0006336F" w:rsidRDefault="004B7441">
            <w:pPr>
              <w:pStyle w:val="TableTextBullet"/>
            </w:pPr>
            <w:r w:rsidRPr="0006336F">
              <w:t xml:space="preserve">Legislated </w:t>
            </w:r>
            <w:r w:rsidR="003A0506" w:rsidRPr="0006336F">
              <w:t>for the Workplace Gender Equality Agency</w:t>
            </w:r>
            <w:r w:rsidRPr="0006336F">
              <w:t xml:space="preserve"> to publish </w:t>
            </w:r>
            <w:r w:rsidR="00F307EB" w:rsidRPr="0006336F">
              <w:t xml:space="preserve">gender pay gaps </w:t>
            </w:r>
            <w:r w:rsidR="003A0506" w:rsidRPr="0006336F">
              <w:t xml:space="preserve">of </w:t>
            </w:r>
            <w:r w:rsidR="00F307EB" w:rsidRPr="0006336F">
              <w:t>employers with 100 or more employees</w:t>
            </w:r>
          </w:p>
          <w:p w14:paraId="19019F64" w14:textId="0B9B2F04" w:rsidR="005A004A" w:rsidRPr="0006336F" w:rsidRDefault="005B3B9E" w:rsidP="00C7066D">
            <w:pPr>
              <w:pStyle w:val="TableTextBullet"/>
              <w:rPr>
                <w:b/>
              </w:rPr>
            </w:pPr>
            <w:r w:rsidRPr="0006336F">
              <w:t>Bann</w:t>
            </w:r>
            <w:r w:rsidR="00C82F2A" w:rsidRPr="0006336F">
              <w:t>ed</w:t>
            </w:r>
            <w:r w:rsidRPr="0006336F">
              <w:t xml:space="preserve"> pay secrecy</w:t>
            </w:r>
          </w:p>
          <w:p w14:paraId="66119435" w14:textId="50C93B87" w:rsidR="005B3B9E" w:rsidRPr="0006336F" w:rsidRDefault="005B3B9E" w:rsidP="00C7066D">
            <w:pPr>
              <w:pStyle w:val="TableTextLeft"/>
              <w:rPr>
                <w:b/>
              </w:rPr>
            </w:pPr>
            <w:r w:rsidRPr="0006336F">
              <w:rPr>
                <w:b/>
              </w:rPr>
              <w:t>Support</w:t>
            </w:r>
            <w:r w:rsidR="00B41520" w:rsidRPr="0006336F">
              <w:rPr>
                <w:b/>
              </w:rPr>
              <w:t>ed</w:t>
            </w:r>
            <w:r w:rsidRPr="0006336F">
              <w:rPr>
                <w:b/>
              </w:rPr>
              <w:t xml:space="preserve"> employers to adopt new hiring practices</w:t>
            </w:r>
          </w:p>
          <w:p w14:paraId="4D3A46B2" w14:textId="0406EA2E" w:rsidR="008E73F2" w:rsidRPr="0006336F" w:rsidRDefault="005B3B9E" w:rsidP="00536295">
            <w:pPr>
              <w:pStyle w:val="TableTextBullet"/>
            </w:pPr>
            <w:r w:rsidRPr="0006336F">
              <w:t>Co</w:t>
            </w:r>
            <w:r w:rsidR="00B16861">
              <w:noBreakHyphen/>
            </w:r>
            <w:r w:rsidRPr="0006336F">
              <w:t>design</w:t>
            </w:r>
            <w:r w:rsidR="00B41520" w:rsidRPr="0006336F">
              <w:t>ed</w:t>
            </w:r>
            <w:r w:rsidRPr="0006336F">
              <w:t xml:space="preserve"> entry</w:t>
            </w:r>
            <w:r w:rsidR="00B16861">
              <w:noBreakHyphen/>
            </w:r>
            <w:r w:rsidRPr="0006336F">
              <w:t xml:space="preserve">level work programs with employers through the Launch into </w:t>
            </w:r>
            <w:r w:rsidR="00A926E9" w:rsidRPr="0006336F">
              <w:t>W</w:t>
            </w:r>
            <w:r w:rsidRPr="0006336F">
              <w:t>ork program</w:t>
            </w:r>
            <w:r w:rsidR="00F307EB" w:rsidRPr="0006336F">
              <w:t xml:space="preserve"> </w:t>
            </w:r>
          </w:p>
          <w:p w14:paraId="0F5E3B0D" w14:textId="703DB3FB" w:rsidR="00F307EB" w:rsidRPr="0006336F" w:rsidRDefault="008E73F2" w:rsidP="00C7066D">
            <w:pPr>
              <w:pStyle w:val="TableTextBullet"/>
            </w:pPr>
            <w:r w:rsidRPr="0006336F">
              <w:t>Launched the Carer Inclusive Workplace Initiative</w:t>
            </w:r>
          </w:p>
        </w:tc>
        <w:tc>
          <w:tcPr>
            <w:tcW w:w="1666" w:type="pct"/>
          </w:tcPr>
          <w:p w14:paraId="5DEDEB7C" w14:textId="069AAEA6" w:rsidR="00F307EB" w:rsidRPr="0006336F" w:rsidRDefault="00F307EB" w:rsidP="00C7066D">
            <w:pPr>
              <w:pStyle w:val="TableTextLeft"/>
            </w:pPr>
            <w:r w:rsidRPr="0006336F">
              <w:rPr>
                <w:b/>
              </w:rPr>
              <w:t>Shaping outcomes through Government</w:t>
            </w:r>
            <w:r w:rsidR="00B16861">
              <w:rPr>
                <w:b/>
              </w:rPr>
              <w:t>’</w:t>
            </w:r>
            <w:r w:rsidRPr="0006336F">
              <w:rPr>
                <w:b/>
              </w:rPr>
              <w:t>s purchasing power</w:t>
            </w:r>
          </w:p>
          <w:p w14:paraId="4410ADB0" w14:textId="0AEDA287" w:rsidR="00A91C3A" w:rsidRPr="0006336F" w:rsidRDefault="008E73F2">
            <w:pPr>
              <w:pStyle w:val="TableTextBullet"/>
            </w:pPr>
            <w:r w:rsidRPr="0006336F">
              <w:t>Establishing</w:t>
            </w:r>
            <w:r w:rsidR="00F307EB" w:rsidRPr="0006336F">
              <w:t xml:space="preserve"> the Secure Australian Jobs Code</w:t>
            </w:r>
            <w:r w:rsidR="00A91C3A" w:rsidRPr="0006336F">
              <w:t xml:space="preserve"> to ensure government procurement supports secure jobs</w:t>
            </w:r>
          </w:p>
          <w:p w14:paraId="0B6FE558" w14:textId="2B0C9A56" w:rsidR="00F307EB" w:rsidRPr="0006336F" w:rsidRDefault="00A91C3A">
            <w:pPr>
              <w:pStyle w:val="TableTextBullet"/>
            </w:pPr>
            <w:r w:rsidRPr="0006336F">
              <w:t>Introducing the Australian Skills Guarantee, with targets for women on major Government projects</w:t>
            </w:r>
          </w:p>
          <w:p w14:paraId="5EBE06A8" w14:textId="3FE0C23A" w:rsidR="00F307EB" w:rsidRPr="0006336F" w:rsidRDefault="00F307EB" w:rsidP="00C7066D">
            <w:pPr>
              <w:pStyle w:val="TableTextLeft"/>
              <w:rPr>
                <w:b/>
              </w:rPr>
            </w:pPr>
            <w:r w:rsidRPr="0006336F">
              <w:rPr>
                <w:b/>
              </w:rPr>
              <w:t xml:space="preserve">Partnering with </w:t>
            </w:r>
            <w:r w:rsidR="00A91C3A" w:rsidRPr="0006336F">
              <w:rPr>
                <w:b/>
              </w:rPr>
              <w:t>employers</w:t>
            </w:r>
          </w:p>
          <w:p w14:paraId="3B1242E2" w14:textId="3270C671" w:rsidR="00F307EB" w:rsidRPr="0006336F" w:rsidRDefault="00F307EB">
            <w:pPr>
              <w:pStyle w:val="TableTextBullet"/>
            </w:pPr>
            <w:r w:rsidRPr="0006336F">
              <w:t>Co</w:t>
            </w:r>
            <w:r w:rsidR="00B16861">
              <w:noBreakHyphen/>
            </w:r>
            <w:r w:rsidRPr="0006336F">
              <w:t>developing a disability employment pilot with the Business Council of Australia</w:t>
            </w:r>
          </w:p>
          <w:p w14:paraId="125A9031" w14:textId="73DDC35D" w:rsidR="00334B68" w:rsidRPr="0006336F" w:rsidRDefault="00A91C3A" w:rsidP="00334B68">
            <w:pPr>
              <w:pStyle w:val="TableTextBullet"/>
            </w:pPr>
            <w:r w:rsidRPr="0006336F">
              <w:t>Deliver</w:t>
            </w:r>
            <w:r w:rsidR="00F6476A" w:rsidRPr="0006336F">
              <w:t xml:space="preserve">ing a Visitor Economy </w:t>
            </w:r>
            <w:r w:rsidR="00334B68" w:rsidRPr="0006336F">
              <w:t xml:space="preserve">Disability Employment </w:t>
            </w:r>
            <w:r w:rsidR="001B75B7" w:rsidRPr="0006336F">
              <w:t>pilot to deliver place</w:t>
            </w:r>
            <w:r w:rsidR="00B16861">
              <w:noBreakHyphen/>
            </w:r>
            <w:r w:rsidR="001B75B7" w:rsidRPr="0006336F">
              <w:t>based employment outcomes by connecting small businesses, employment service providers and job seekers with disability</w:t>
            </w:r>
            <w:r w:rsidR="00334B68" w:rsidRPr="0006336F">
              <w:t xml:space="preserve"> </w:t>
            </w:r>
          </w:p>
          <w:p w14:paraId="469CA880" w14:textId="395208C4" w:rsidR="00F307EB" w:rsidRPr="0006336F" w:rsidRDefault="001B75B7" w:rsidP="00C7066D">
            <w:pPr>
              <w:pStyle w:val="TableTextLeft"/>
              <w:rPr>
                <w:b/>
              </w:rPr>
            </w:pPr>
            <w:r w:rsidRPr="0006336F">
              <w:rPr>
                <w:b/>
              </w:rPr>
              <w:t>Improving information about experiences in work</w:t>
            </w:r>
            <w:r w:rsidR="00F307EB" w:rsidRPr="0006336F">
              <w:rPr>
                <w:b/>
              </w:rPr>
              <w:t xml:space="preserve"> </w:t>
            </w:r>
          </w:p>
          <w:p w14:paraId="5D4FA1F6" w14:textId="55722365" w:rsidR="001430D8" w:rsidRPr="0006336F" w:rsidRDefault="00F45C19" w:rsidP="005A004A">
            <w:pPr>
              <w:pStyle w:val="TableTextBullet"/>
            </w:pPr>
            <w:r w:rsidRPr="0006336F">
              <w:t>Funding the ABS to improve data on unpaid care, job security and outcomes of</w:t>
            </w:r>
            <w:r w:rsidR="00F307EB" w:rsidRPr="0006336F">
              <w:t xml:space="preserve"> employment services and income support </w:t>
            </w:r>
            <w:r w:rsidRPr="0006336F">
              <w:t>programs</w:t>
            </w:r>
            <w:r w:rsidR="00640B7D" w:rsidRPr="0006336F">
              <w:t xml:space="preserve"> </w:t>
            </w:r>
          </w:p>
        </w:tc>
        <w:tc>
          <w:tcPr>
            <w:tcW w:w="1667" w:type="pct"/>
          </w:tcPr>
          <w:p w14:paraId="772305A6" w14:textId="6F7C19CA" w:rsidR="000F26EE" w:rsidRPr="0006336F" w:rsidRDefault="004D3A75">
            <w:pPr>
              <w:pStyle w:val="TableTextLeft"/>
              <w:rPr>
                <w:b/>
              </w:rPr>
            </w:pPr>
            <w:r w:rsidRPr="0006336F">
              <w:rPr>
                <w:b/>
              </w:rPr>
              <w:t>Promote innovative</w:t>
            </w:r>
            <w:r w:rsidR="00F307EB" w:rsidRPr="0006336F">
              <w:rPr>
                <w:b/>
              </w:rPr>
              <w:t xml:space="preserve"> recruitment and job design</w:t>
            </w:r>
          </w:p>
          <w:p w14:paraId="1401371E" w14:textId="2228EE0E" w:rsidR="00F307EB" w:rsidRPr="0006336F" w:rsidDel="00B4151C" w:rsidRDefault="00F307EB">
            <w:pPr>
              <w:pStyle w:val="TableTextBullet"/>
            </w:pPr>
            <w:r w:rsidRPr="0006336F" w:rsidDel="00B4151C">
              <w:t xml:space="preserve">Encourage </w:t>
            </w:r>
            <w:r w:rsidR="004D3A75" w:rsidRPr="0006336F">
              <w:t>workplace</w:t>
            </w:r>
            <w:r w:rsidRPr="0006336F">
              <w:t xml:space="preserve"> </w:t>
            </w:r>
            <w:r w:rsidRPr="0006336F" w:rsidDel="00B4151C">
              <w:t xml:space="preserve">cultural change and </w:t>
            </w:r>
            <w:r w:rsidR="00051034" w:rsidRPr="0006336F">
              <w:t>job</w:t>
            </w:r>
            <w:r w:rsidRPr="0006336F">
              <w:t xml:space="preserve"> co</w:t>
            </w:r>
            <w:r w:rsidR="00B16861">
              <w:noBreakHyphen/>
            </w:r>
            <w:r w:rsidRPr="0006336F">
              <w:t>design</w:t>
            </w:r>
          </w:p>
          <w:p w14:paraId="3DBBEE3E" w14:textId="44836A2B" w:rsidR="000F26EE" w:rsidRPr="0006336F" w:rsidRDefault="00051034">
            <w:pPr>
              <w:pStyle w:val="TableTextBullet"/>
            </w:pPr>
            <w:r w:rsidRPr="0006336F">
              <w:t xml:space="preserve">Expand </w:t>
            </w:r>
            <w:r w:rsidR="00FD3514">
              <w:t>First Nation</w:t>
            </w:r>
            <w:r w:rsidRPr="0006336F">
              <w:t>s employment opportunities in the APS</w:t>
            </w:r>
          </w:p>
          <w:p w14:paraId="32851CF5" w14:textId="78E4AE53" w:rsidR="00A35239" w:rsidRPr="0006336F" w:rsidRDefault="00A35239">
            <w:pPr>
              <w:pStyle w:val="TableTextLeft"/>
              <w:rPr>
                <w:b/>
              </w:rPr>
            </w:pPr>
            <w:r w:rsidRPr="0006336F">
              <w:rPr>
                <w:b/>
              </w:rPr>
              <w:t>Improve policy evaluation and partnerships</w:t>
            </w:r>
          </w:p>
          <w:p w14:paraId="31D87E9D" w14:textId="77777777" w:rsidR="00A35239" w:rsidRPr="0006336F" w:rsidRDefault="00A35239" w:rsidP="00A35239">
            <w:pPr>
              <w:pStyle w:val="TableTextBullet"/>
            </w:pPr>
            <w:r w:rsidRPr="0006336F">
              <w:t>Embed robust evaluation into policy design, especially for employment services</w:t>
            </w:r>
          </w:p>
          <w:p w14:paraId="6499FE56" w14:textId="417FF8D3" w:rsidR="00A35239" w:rsidRPr="0006336F" w:rsidRDefault="00A35239" w:rsidP="00A35239">
            <w:pPr>
              <w:pStyle w:val="TableTextBullet"/>
            </w:pPr>
            <w:r w:rsidRPr="0006336F">
              <w:t>Reform employment services to better support employers</w:t>
            </w:r>
            <w:r w:rsidR="00B16861">
              <w:t>’</w:t>
            </w:r>
            <w:r w:rsidRPr="0006336F">
              <w:t xml:space="preserve"> recruitment needs</w:t>
            </w:r>
          </w:p>
          <w:p w14:paraId="5DF5489A" w14:textId="425D898A" w:rsidR="00C91DF2" w:rsidRPr="0006336F" w:rsidRDefault="00C91DF2" w:rsidP="00A35239">
            <w:pPr>
              <w:pStyle w:val="TableTextBullet"/>
            </w:pPr>
            <w:r w:rsidRPr="0006336F">
              <w:t>Co</w:t>
            </w:r>
            <w:r w:rsidR="00B16861">
              <w:noBreakHyphen/>
            </w:r>
            <w:r w:rsidRPr="0006336F">
              <w:t>develop work experience principles for job seekers who are disadvantaged</w:t>
            </w:r>
          </w:p>
          <w:p w14:paraId="166CD5AE" w14:textId="6706D5FC" w:rsidR="00F307EB" w:rsidRPr="0006336F" w:rsidRDefault="00F307EB" w:rsidP="00E27019">
            <w:pPr>
              <w:pStyle w:val="TableTextLeft"/>
              <w:rPr>
                <w:b/>
              </w:rPr>
            </w:pPr>
            <w:r w:rsidRPr="0006336F">
              <w:rPr>
                <w:b/>
              </w:rPr>
              <w:t xml:space="preserve">Improve transparency </w:t>
            </w:r>
            <w:r w:rsidR="008D03CB" w:rsidRPr="0006336F">
              <w:rPr>
                <w:b/>
              </w:rPr>
              <w:t>on workforce</w:t>
            </w:r>
            <w:r w:rsidRPr="0006336F">
              <w:rPr>
                <w:b/>
              </w:rPr>
              <w:t xml:space="preserve"> diversity</w:t>
            </w:r>
          </w:p>
          <w:p w14:paraId="1C073D93" w14:textId="784735AC" w:rsidR="00F307EB" w:rsidRPr="0006336F" w:rsidRDefault="00F307EB" w:rsidP="00C7066D">
            <w:pPr>
              <w:pStyle w:val="TableTextBullet"/>
            </w:pPr>
            <w:r w:rsidRPr="0006336F">
              <w:t>Ensure data leads to change including through setting measurable targets</w:t>
            </w:r>
          </w:p>
        </w:tc>
      </w:tr>
    </w:tbl>
    <w:p w14:paraId="028B7736" w14:textId="77777777" w:rsidR="000F68A4" w:rsidRDefault="000F68A4" w:rsidP="000F68A4">
      <w:pPr>
        <w:pStyle w:val="ChartTableFiguresectionline"/>
      </w:pPr>
    </w:p>
    <w:p w14:paraId="5C5AAC90" w14:textId="27E475E4" w:rsidR="00F307EB" w:rsidRPr="0006336F" w:rsidRDefault="00F307EB" w:rsidP="00F307EB">
      <w:r w:rsidRPr="0006336F">
        <w:t>Workplaces around the country will ultimately be the engine room for achieving full employment, productivity growth, and secure, fairly paid jobs. They are critical to facilitat</w:t>
      </w:r>
      <w:r w:rsidR="00620FF4" w:rsidRPr="0006336F">
        <w:t>ing</w:t>
      </w:r>
      <w:r w:rsidRPr="0006336F">
        <w:t xml:space="preserve"> the lifelong learning needed to help build our skilled and adaptable workforce.</w:t>
      </w:r>
    </w:p>
    <w:p w14:paraId="7AB31E76" w14:textId="6B4B366B" w:rsidR="00AD599B" w:rsidRPr="0006336F" w:rsidRDefault="00F307EB" w:rsidP="00AD599B">
      <w:r w:rsidRPr="0006336F">
        <w:t xml:space="preserve">Despite labour market tightness, </w:t>
      </w:r>
      <w:r w:rsidR="00626AB8" w:rsidRPr="0006336F">
        <w:t>consultation for</w:t>
      </w:r>
      <w:r w:rsidRPr="0006336F">
        <w:t xml:space="preserve"> </w:t>
      </w:r>
      <w:r w:rsidR="001C52CD" w:rsidRPr="0006336F">
        <w:t>this</w:t>
      </w:r>
      <w:r w:rsidRPr="0006336F">
        <w:t xml:space="preserve"> White Paper reported there have been limited changes to hiring practices and workplace flexibility to manage skills shortages. While there are some practical barriers businesses face when hiring people with specific </w:t>
      </w:r>
      <w:r w:rsidR="00D6192B" w:rsidRPr="0006336F">
        <w:t>needs</w:t>
      </w:r>
      <w:r w:rsidRPr="0006336F">
        <w:t xml:space="preserve">, more needs to be done to promote inclusion and diversity in the workplace. Respectful and inclusive workplaces will help share the benefits of work </w:t>
      </w:r>
      <w:r w:rsidR="00AD599B" w:rsidRPr="0006336F">
        <w:t>with more people</w:t>
      </w:r>
      <w:r w:rsidRPr="0006336F">
        <w:t xml:space="preserve">. </w:t>
      </w:r>
      <w:r w:rsidR="00FD3514">
        <w:t>The Government</w:t>
      </w:r>
      <w:r w:rsidR="00AD599B" w:rsidRPr="0006336F">
        <w:t xml:space="preserve"> is setting targets for its own</w:t>
      </w:r>
      <w:r w:rsidR="00F75FC7" w:rsidRPr="0006336F">
        <w:t xml:space="preserve"> recruitment, including a</w:t>
      </w:r>
      <w:r w:rsidR="00AD599B" w:rsidRPr="0006336F" w:rsidDel="00F75FC7">
        <w:t xml:space="preserve"> </w:t>
      </w:r>
      <w:r w:rsidR="00AD599B" w:rsidRPr="0006336F">
        <w:t xml:space="preserve">target for </w:t>
      </w:r>
      <w:r w:rsidR="00E1057F" w:rsidRPr="0006336F">
        <w:t>5</w:t>
      </w:r>
      <w:r w:rsidR="00B16861">
        <w:t> per c</w:t>
      </w:r>
      <w:r w:rsidR="00AD599B" w:rsidRPr="0006336F">
        <w:t xml:space="preserve">ent </w:t>
      </w:r>
      <w:r w:rsidR="00FD3514">
        <w:t>First Nation</w:t>
      </w:r>
      <w:r w:rsidR="00AD599B" w:rsidRPr="0006336F">
        <w:t>s employment in the Australian Public Service by 2030.</w:t>
      </w:r>
    </w:p>
    <w:p w14:paraId="6F41F9CA" w14:textId="003B200B" w:rsidR="00F307EB" w:rsidRPr="0006336F" w:rsidRDefault="00F307EB" w:rsidP="00F307EB">
      <w:r w:rsidRPr="0006336F">
        <w:t xml:space="preserve">Employers can improve the diversity and inclusivity of their workforce with considered hiring practices, and by implementing strategies that create more open and inclusive workplaces. Employers can also consider how better job design can support a wider range of people to participate and fulfil their potential. The barriers, real and perceived, that stop employers from hiring diversely need to be understood and overcome. </w:t>
      </w:r>
    </w:p>
    <w:p w14:paraId="5118BF15" w14:textId="586BB68A" w:rsidR="00F307EB" w:rsidRPr="0006336F" w:rsidRDefault="00F307EB" w:rsidP="00F307EB">
      <w:r w:rsidRPr="0006336F">
        <w:t xml:space="preserve">For workplaces to be inclusive they need to be free from discrimination. Through our strengthened Fair Work framework, the Government has made breastfeeding, gender identity, and intersex status protected attributes under the </w:t>
      </w:r>
      <w:r w:rsidRPr="001965A3">
        <w:t>Fair Work Act</w:t>
      </w:r>
      <w:r w:rsidRPr="0006336F">
        <w:t xml:space="preserve"> to prohibit discrimination against employees on this basis </w:t>
      </w:r>
      <w:r w:rsidRPr="0006336F">
        <w:lastRenderedPageBreak/>
        <w:t>in the workplace. Strengthening protections against discrimination in the workplace remains a priority for the Government with a proposal currently before Parliament</w:t>
      </w:r>
      <w:r w:rsidR="00587902" w:rsidRPr="0006336F">
        <w:t xml:space="preserve"> </w:t>
      </w:r>
      <w:r w:rsidRPr="0006336F">
        <w:t xml:space="preserve">to </w:t>
      </w:r>
      <w:r w:rsidR="004D6F8B" w:rsidRPr="0006336F">
        <w:t>include</w:t>
      </w:r>
      <w:r w:rsidR="002B41EA" w:rsidRPr="0006336F">
        <w:t xml:space="preserve"> </w:t>
      </w:r>
      <w:r w:rsidR="00B16861">
        <w:t>‘</w:t>
      </w:r>
      <w:r w:rsidRPr="0006336F">
        <w:t>subject</w:t>
      </w:r>
      <w:r w:rsidR="002B41EA" w:rsidRPr="0006336F">
        <w:t>ion</w:t>
      </w:r>
      <w:r w:rsidRPr="0006336F">
        <w:t xml:space="preserve"> to family and domestic violence</w:t>
      </w:r>
      <w:r w:rsidR="00B16861">
        <w:t>’</w:t>
      </w:r>
      <w:r w:rsidR="002B41EA" w:rsidRPr="0006336F">
        <w:t xml:space="preserve"> in the list of protected attributes</w:t>
      </w:r>
      <w:r w:rsidRPr="0006336F">
        <w:t>.</w:t>
      </w:r>
    </w:p>
    <w:p w14:paraId="406D7BF5" w14:textId="52701A90" w:rsidR="00F307EB" w:rsidRPr="0006336F" w:rsidRDefault="00FD3514" w:rsidP="00F307EB">
      <w:r>
        <w:t>The Government</w:t>
      </w:r>
      <w:r w:rsidR="00F307EB" w:rsidRPr="0006336F">
        <w:t xml:space="preserve"> is improving transparency and encouraging employers to identify and eliminate sources of bias and discrimination in their organisation. To do this, the Government has strengthened requirements for employers to report their gender pay gap</w:t>
      </w:r>
      <w:r w:rsidR="007E0107" w:rsidRPr="0006336F">
        <w:t>s</w:t>
      </w:r>
      <w:r w:rsidR="00C6218A" w:rsidRPr="0006336F">
        <w:t xml:space="preserve"> and to develop strategies to improve gender </w:t>
      </w:r>
      <w:r w:rsidR="00E63ED3" w:rsidRPr="0006336F">
        <w:t>equality</w:t>
      </w:r>
      <w:r w:rsidR="00F307EB" w:rsidRPr="0006336F">
        <w:t xml:space="preserve"> in the </w:t>
      </w:r>
      <w:r w:rsidR="00E63ED3" w:rsidRPr="0006336F">
        <w:t>workplace</w:t>
      </w:r>
      <w:r w:rsidR="00F307EB" w:rsidRPr="0006336F">
        <w:t xml:space="preserve">. </w:t>
      </w:r>
    </w:p>
    <w:p w14:paraId="43394696" w14:textId="2FB45BEE" w:rsidR="00F307EB" w:rsidRPr="0006336F" w:rsidRDefault="00F307EB" w:rsidP="00F307EB">
      <w:r w:rsidRPr="0006336F">
        <w:t>We are working in partnership with employers to find new ways to help people into work. This includes develop</w:t>
      </w:r>
      <w:r w:rsidR="0095086B" w:rsidRPr="0006336F">
        <w:t>ing</w:t>
      </w:r>
      <w:r w:rsidRPr="0006336F">
        <w:t xml:space="preserve"> a disability employment pilot with the Business Council of Australia and its members, and a Disability Employment Tourism Local Navigators pilot. Going forward employers, unions, communities and governments will need to work in </w:t>
      </w:r>
      <w:r w:rsidR="0095086B" w:rsidRPr="0006336F">
        <w:t>closer</w:t>
      </w:r>
      <w:r w:rsidRPr="0006336F">
        <w:t xml:space="preserve"> partnership to make workplaces more diverse, inclusive and dynamic. More </w:t>
      </w:r>
      <w:r w:rsidR="0095086B" w:rsidRPr="0006336F">
        <w:t>can</w:t>
      </w:r>
      <w:r w:rsidRPr="0006336F">
        <w:t xml:space="preserve"> be done to embed partnerships with employers in some of </w:t>
      </w:r>
      <w:r w:rsidR="0095086B" w:rsidRPr="0006336F">
        <w:t xml:space="preserve">the </w:t>
      </w:r>
      <w:r w:rsidR="00E5499D" w:rsidRPr="0006336F">
        <w:t xml:space="preserve">largest </w:t>
      </w:r>
      <w:r w:rsidR="0095086B" w:rsidRPr="0006336F">
        <w:t>government</w:t>
      </w:r>
      <w:r w:rsidRPr="0006336F">
        <w:t xml:space="preserve"> programs, particularly employment services. </w:t>
      </w:r>
      <w:r w:rsidR="00FC0AE8" w:rsidRPr="0006336F">
        <w:t>We are also p</w:t>
      </w:r>
      <w:r w:rsidRPr="0006336F">
        <w:t>artner</w:t>
      </w:r>
      <w:r w:rsidR="00FC0AE8" w:rsidRPr="0006336F">
        <w:t>ing</w:t>
      </w:r>
      <w:r w:rsidRPr="0006336F">
        <w:t xml:space="preserve"> with social enterprises and the not</w:t>
      </w:r>
      <w:r w:rsidR="00B16861">
        <w:noBreakHyphen/>
      </w:r>
      <w:r w:rsidRPr="0006336F">
        <w:t>for</w:t>
      </w:r>
      <w:r w:rsidR="00B16861">
        <w:noBreakHyphen/>
      </w:r>
      <w:r w:rsidRPr="0006336F">
        <w:t>profit sector to target entrenched disadvantage</w:t>
      </w:r>
      <w:r w:rsidR="006A335E" w:rsidRPr="0006336F">
        <w:t>,</w:t>
      </w:r>
      <w:r w:rsidRPr="0006336F">
        <w:t xml:space="preserve"> </w:t>
      </w:r>
      <w:r w:rsidR="00FC0AE8" w:rsidRPr="0006336F">
        <w:t xml:space="preserve">as discussed in </w:t>
      </w:r>
      <w:r w:rsidR="00A50970" w:rsidRPr="0006336F">
        <w:t xml:space="preserve">the </w:t>
      </w:r>
      <w:r w:rsidRPr="0006336F">
        <w:t>Partnering with communities</w:t>
      </w:r>
      <w:r w:rsidR="00A50970" w:rsidRPr="0006336F">
        <w:t xml:space="preserve"> section</w:t>
      </w:r>
      <w:r w:rsidRPr="0006336F">
        <w:t>.</w:t>
      </w:r>
    </w:p>
    <w:p w14:paraId="0755C781" w14:textId="3DC0EACC" w:rsidR="00F307EB" w:rsidRPr="0006336F" w:rsidRDefault="00E970C5" w:rsidP="00F307EB">
      <w:pPr>
        <w:pStyle w:val="Heading3"/>
      </w:pPr>
      <w:r w:rsidRPr="0006336F">
        <w:t>Promot</w:t>
      </w:r>
      <w:r w:rsidR="00717F11" w:rsidRPr="0006336F">
        <w:t>ing</w:t>
      </w:r>
      <w:r w:rsidRPr="0006336F">
        <w:t xml:space="preserve"> innovative r</w:t>
      </w:r>
      <w:r w:rsidR="00F307EB" w:rsidRPr="0006336F">
        <w:t>ecruitment and job design</w:t>
      </w:r>
    </w:p>
    <w:p w14:paraId="00D35FA2" w14:textId="7791D927" w:rsidR="00F307EB" w:rsidRPr="0006336F" w:rsidRDefault="00F307EB" w:rsidP="00F307EB">
      <w:r w:rsidRPr="0006336F">
        <w:t xml:space="preserve">Australians deserve a chance to work in a job that matches their skills. Enabling this for more people will help broaden opportunities and support productivity improvements. </w:t>
      </w:r>
      <w:r w:rsidR="00FD3514">
        <w:t>The Government</w:t>
      </w:r>
      <w:r w:rsidRPr="0006336F">
        <w:t xml:space="preserve"> will continue to drive cultural change by providing support to businesses to embrace diverse hiring and innovative job design, as well as through using its purchasing power.</w:t>
      </w:r>
    </w:p>
    <w:p w14:paraId="48086D11" w14:textId="337C7EAB" w:rsidR="00F307EB" w:rsidRPr="0006336F" w:rsidRDefault="00F307EB" w:rsidP="00F307EB">
      <w:r w:rsidRPr="0006336F">
        <w:t>The Workforce Australia Employer Liaison Officer program helps large businesses find the staff they need by exploring alternative hiring practices and sharing insights from industry experts. The Carer Inclusive Workplace Initiative will enable businesses, in particular small businesses, to self</w:t>
      </w:r>
      <w:r w:rsidR="00B16861">
        <w:noBreakHyphen/>
      </w:r>
      <w:r w:rsidRPr="0006336F">
        <w:t xml:space="preserve">identify as a carer inclusive organisation. </w:t>
      </w:r>
      <w:r w:rsidR="00FD3514">
        <w:t>The Government</w:t>
      </w:r>
      <w:r w:rsidRPr="0006336F">
        <w:t xml:space="preserve"> </w:t>
      </w:r>
      <w:r w:rsidR="005E2AB4" w:rsidRPr="0006336F">
        <w:t>is</w:t>
      </w:r>
      <w:r w:rsidRPr="0006336F">
        <w:t xml:space="preserve"> develop</w:t>
      </w:r>
      <w:r w:rsidR="00EF65C8" w:rsidRPr="0006336F">
        <w:t>ing a set of</w:t>
      </w:r>
      <w:r w:rsidRPr="0006336F">
        <w:t xml:space="preserve"> best practice principles </w:t>
      </w:r>
      <w:r w:rsidR="008E2D9D" w:rsidRPr="0006336F">
        <w:t>alongside unions and employers</w:t>
      </w:r>
      <w:r w:rsidRPr="0006336F">
        <w:t xml:space="preserve"> to guide meaningful work experience opportunities and </w:t>
      </w:r>
      <w:r w:rsidR="00C44A47" w:rsidRPr="0006336F">
        <w:t>workplace</w:t>
      </w:r>
      <w:r w:rsidR="00B16861">
        <w:noBreakHyphen/>
      </w:r>
      <w:r w:rsidRPr="0006336F">
        <w:t xml:space="preserve">based mentoring programs for people experiencing disadvantage. </w:t>
      </w:r>
      <w:r w:rsidR="00E04291" w:rsidRPr="0006336F">
        <w:t>We are also working with the Australia</w:t>
      </w:r>
      <w:r w:rsidR="00B16861">
        <w:t>’</w:t>
      </w:r>
      <w:r w:rsidR="00E04291" w:rsidRPr="0006336F">
        <w:t xml:space="preserve">s </w:t>
      </w:r>
      <w:r w:rsidR="00CF7650" w:rsidRPr="0006336F">
        <w:t>t</w:t>
      </w:r>
      <w:r w:rsidR="00E04291" w:rsidRPr="0006336F">
        <w:t xml:space="preserve">op 200 businesses to strengthen </w:t>
      </w:r>
      <w:r w:rsidR="00FD3514">
        <w:t>First Nation</w:t>
      </w:r>
      <w:r w:rsidR="00E04291" w:rsidRPr="0006336F">
        <w:t>s employment and economic opportunities.</w:t>
      </w:r>
    </w:p>
    <w:p w14:paraId="064D0D42" w14:textId="3746A406" w:rsidR="00F307EB" w:rsidRPr="0006336F" w:rsidRDefault="00F307EB" w:rsidP="00F307EB">
      <w:r w:rsidRPr="0006336F">
        <w:t xml:space="preserve">The </w:t>
      </w:r>
      <w:r w:rsidR="005C702B">
        <w:t>I</w:t>
      </w:r>
      <w:r w:rsidRPr="0006336F">
        <w:t xml:space="preserve">ndigenous Procurement Policy has demonstrated the potential of procurement policies to achieve social outcomes by stimulating Indigenous entrepreneurship and supporting </w:t>
      </w:r>
      <w:r w:rsidR="00FD3514">
        <w:t>First Nation</w:t>
      </w:r>
      <w:r w:rsidRPr="0006336F">
        <w:t xml:space="preserve">s employment outcomes. Building on its success, we will introduce the Secure Australian Jobs Code as part of our Buy Australian Plan to prioritise secure work in government contracts. </w:t>
      </w:r>
      <w:r w:rsidR="00FD3514">
        <w:t>The Government</w:t>
      </w:r>
      <w:r w:rsidRPr="0006336F">
        <w:t xml:space="preserve"> is also exploring opportunities for a disability business procurement initiative</w:t>
      </w:r>
      <w:r w:rsidR="00AA19A2" w:rsidRPr="0006336F">
        <w:t>,</w:t>
      </w:r>
      <w:r w:rsidRPr="0006336F">
        <w:t xml:space="preserve"> </w:t>
      </w:r>
      <w:r w:rsidR="00AA19A2" w:rsidRPr="0006336F">
        <w:t xml:space="preserve">as </w:t>
      </w:r>
      <w:r w:rsidR="00A076AB" w:rsidRPr="0006336F">
        <w:t xml:space="preserve">discussed in the </w:t>
      </w:r>
      <w:r w:rsidRPr="0006336F">
        <w:t>Reducing barriers to work</w:t>
      </w:r>
      <w:r w:rsidR="00DC579C" w:rsidRPr="0006336F">
        <w:t xml:space="preserve"> section</w:t>
      </w:r>
      <w:r w:rsidRPr="0006336F">
        <w:t xml:space="preserve">. We are supporting employers, particularly small businesses, to overcome the practical challenges of hiring by providing a </w:t>
      </w:r>
      <w:r w:rsidR="00B16861">
        <w:t>‘</w:t>
      </w:r>
      <w:r w:rsidRPr="0006336F">
        <w:t>hiring employees</w:t>
      </w:r>
      <w:r w:rsidR="00B16861">
        <w:t>’</w:t>
      </w:r>
      <w:r w:rsidRPr="0006336F">
        <w:t xml:space="preserve"> checklist and an </w:t>
      </w:r>
      <w:r w:rsidR="00D571D9" w:rsidRPr="0006336F">
        <w:t>e</w:t>
      </w:r>
      <w:r w:rsidRPr="0006336F">
        <w:t>mployment contract builder on business.gov.au.</w:t>
      </w:r>
    </w:p>
    <w:p w14:paraId="55024104" w14:textId="470F5560" w:rsidR="00F307EB" w:rsidRPr="0006336F" w:rsidRDefault="00F60B1A" w:rsidP="00F307EB">
      <w:pPr>
        <w:pStyle w:val="Heading3"/>
      </w:pPr>
      <w:r w:rsidRPr="0006336F">
        <w:t>Improv</w:t>
      </w:r>
      <w:r w:rsidR="00717F11" w:rsidRPr="0006336F">
        <w:t>ing</w:t>
      </w:r>
      <w:r w:rsidRPr="0006336F">
        <w:t xml:space="preserve"> </w:t>
      </w:r>
      <w:r w:rsidR="00F307EB" w:rsidRPr="0006336F">
        <w:t>partnership</w:t>
      </w:r>
      <w:r w:rsidRPr="0006336F">
        <w:t>s</w:t>
      </w:r>
    </w:p>
    <w:p w14:paraId="57EE2679" w14:textId="5ED96B6C" w:rsidR="00F307EB" w:rsidRPr="0006336F" w:rsidRDefault="00F307EB" w:rsidP="00F307EB">
      <w:r w:rsidRPr="0006336F">
        <w:t xml:space="preserve">Partnering with employers, unions and the community will </w:t>
      </w:r>
      <w:r w:rsidR="005B3ED9" w:rsidRPr="0006336F">
        <w:t xml:space="preserve">help </w:t>
      </w:r>
      <w:r w:rsidRPr="0006336F">
        <w:t xml:space="preserve">ensure approaches to broaden opportunity and improve workplaces are pragmatic and effective. </w:t>
      </w:r>
      <w:r w:rsidR="00FD3514">
        <w:t>The Government</w:t>
      </w:r>
      <w:r w:rsidRPr="0006336F">
        <w:t xml:space="preserve"> is partnering with employers to improve employment outcomes for job</w:t>
      </w:r>
      <w:r w:rsidR="00D25727" w:rsidRPr="0006336F">
        <w:t xml:space="preserve"> </w:t>
      </w:r>
      <w:r w:rsidRPr="0006336F">
        <w:t xml:space="preserve">seekers, </w:t>
      </w:r>
      <w:r w:rsidR="00F515B8" w:rsidRPr="0006336F">
        <w:t>including</w:t>
      </w:r>
      <w:r w:rsidRPr="0006336F">
        <w:t xml:space="preserve"> people with disability and </w:t>
      </w:r>
      <w:r w:rsidR="00FD3514">
        <w:t>First Nation</w:t>
      </w:r>
      <w:r w:rsidRPr="0006336F">
        <w:t xml:space="preserve">s people. </w:t>
      </w:r>
    </w:p>
    <w:p w14:paraId="6646E418" w14:textId="76B4FD99" w:rsidR="00F307EB" w:rsidRPr="0006336F" w:rsidRDefault="00F307EB" w:rsidP="00F307EB">
      <w:r w:rsidRPr="0006336F">
        <w:lastRenderedPageBreak/>
        <w:t xml:space="preserve">The next stage of reform is to support employers to hire people who </w:t>
      </w:r>
      <w:r w:rsidR="004C225A" w:rsidRPr="0006336F">
        <w:t>may require additional</w:t>
      </w:r>
      <w:r w:rsidRPr="0006336F">
        <w:t xml:space="preserve"> </w:t>
      </w:r>
      <w:r w:rsidR="00E75609" w:rsidRPr="0006336F">
        <w:t>support</w:t>
      </w:r>
      <w:r w:rsidR="00783EF8" w:rsidRPr="0006336F">
        <w:t>,</w:t>
      </w:r>
      <w:r w:rsidRPr="0006336F">
        <w:t xml:space="preserve"> through training and capacity building, to be productive employees. More needs to be done to embed partnership with employers in our biggest programs, particularly employment services. As set out in </w:t>
      </w:r>
      <w:r w:rsidR="00D834CA" w:rsidRPr="0006336F">
        <w:t>the</w:t>
      </w:r>
      <w:r w:rsidRPr="0006336F">
        <w:t xml:space="preserve"> Building capabilities through employment services</w:t>
      </w:r>
      <w:r w:rsidR="007E77C6" w:rsidRPr="0006336F">
        <w:t xml:space="preserve"> section</w:t>
      </w:r>
      <w:r w:rsidRPr="0006336F">
        <w:t xml:space="preserve">, the Government wants employment services to help meet </w:t>
      </w:r>
      <w:r w:rsidR="00620D05" w:rsidRPr="0006336F">
        <w:t>employer</w:t>
      </w:r>
      <w:r w:rsidR="00B16861">
        <w:t>’</w:t>
      </w:r>
      <w:r w:rsidR="00620D05" w:rsidRPr="0006336F">
        <w:t>s</w:t>
      </w:r>
      <w:r w:rsidRPr="0006336F">
        <w:t xml:space="preserve"> workforce needs, and access guidance on innovative job design, recruitment practices and inclusive approaches to workforce development. </w:t>
      </w:r>
    </w:p>
    <w:p w14:paraId="48A95B63" w14:textId="5A4F2EF3" w:rsidR="00F307EB" w:rsidRPr="0006336F" w:rsidRDefault="00620D05" w:rsidP="00F307EB">
      <w:r w:rsidRPr="0006336F">
        <w:t>Engaging e</w:t>
      </w:r>
      <w:r w:rsidR="00F307EB" w:rsidRPr="0006336F">
        <w:t xml:space="preserve">mployers, unions and the community in the design of guidance </w:t>
      </w:r>
      <w:r w:rsidR="009372A9" w:rsidRPr="0006336F">
        <w:t>materials</w:t>
      </w:r>
      <w:r w:rsidR="00F307EB" w:rsidRPr="0006336F">
        <w:t xml:space="preserve"> for workplaces</w:t>
      </w:r>
      <w:r w:rsidR="009372A9" w:rsidRPr="0006336F">
        <w:t xml:space="preserve"> can help ensure materials are relevant and effective</w:t>
      </w:r>
      <w:r w:rsidR="00F307EB" w:rsidRPr="0006336F">
        <w:t xml:space="preserve">. </w:t>
      </w:r>
      <w:r w:rsidR="005B3ED9" w:rsidRPr="0006336F">
        <w:t>The Launch into Work program provides opportunities for job seekers to build their skills and work readiness and for employers to fill entry</w:t>
      </w:r>
      <w:r w:rsidR="00B16861">
        <w:noBreakHyphen/>
      </w:r>
      <w:r w:rsidR="005B3ED9" w:rsidRPr="0006336F">
        <w:t>level roles.</w:t>
      </w:r>
      <w:r w:rsidR="00F307EB" w:rsidRPr="0006336F">
        <w:t xml:space="preserve"> </w:t>
      </w:r>
      <w:r w:rsidR="0010339F" w:rsidRPr="0006336F">
        <w:t>W</w:t>
      </w:r>
      <w:r w:rsidR="00F307EB" w:rsidRPr="0006336F">
        <w:t>e are</w:t>
      </w:r>
      <w:r w:rsidR="0010339F" w:rsidRPr="0006336F">
        <w:t xml:space="preserve"> work</w:t>
      </w:r>
      <w:r w:rsidR="00FA7222" w:rsidRPr="0006336F">
        <w:t>ing with unions and employers</w:t>
      </w:r>
      <w:r w:rsidR="00F307EB" w:rsidRPr="0006336F">
        <w:t xml:space="preserve"> to develop a set of best practice principles to guide meaningful work experience opportunities and </w:t>
      </w:r>
      <w:r w:rsidR="009234BD" w:rsidRPr="0006336F">
        <w:t>workplace</w:t>
      </w:r>
      <w:r w:rsidR="00B16861">
        <w:noBreakHyphen/>
      </w:r>
      <w:r w:rsidR="00F307EB" w:rsidRPr="0006336F">
        <w:t xml:space="preserve">based mentoring programs for people experiencing disadvantage. </w:t>
      </w:r>
    </w:p>
    <w:p w14:paraId="7375EEFD" w14:textId="18C301A5" w:rsidR="00090198" w:rsidRPr="0006336F" w:rsidRDefault="00FD3514" w:rsidP="00F307EB">
      <w:r>
        <w:t>The Government</w:t>
      </w:r>
      <w:r w:rsidR="00F307EB" w:rsidRPr="0006336F">
        <w:t xml:space="preserve"> is also exploring new partnership opportunities to leverage existing expertise and understanding of </w:t>
      </w:r>
      <w:r w:rsidR="00287E3E" w:rsidRPr="0006336F">
        <w:t xml:space="preserve">the </w:t>
      </w:r>
      <w:r w:rsidR="00F307EB" w:rsidRPr="0006336F">
        <w:t>barriers to employment</w:t>
      </w:r>
      <w:r w:rsidR="00287E3E" w:rsidRPr="0006336F">
        <w:t xml:space="preserve"> that </w:t>
      </w:r>
      <w:r w:rsidR="00F307EB" w:rsidRPr="0006336F">
        <w:t>people face, for example with social enterprises. To</w:t>
      </w:r>
      <w:r w:rsidR="000F0ED2">
        <w:t> </w:t>
      </w:r>
      <w:r w:rsidR="00F307EB" w:rsidRPr="0006336F">
        <w:t>do this we are working to develop their capacity through programs like the Social Enterprise Development Initiative</w:t>
      </w:r>
      <w:r w:rsidR="008F5133" w:rsidRPr="0006336F">
        <w:t>,</w:t>
      </w:r>
      <w:r w:rsidR="00F307EB" w:rsidRPr="0006336F">
        <w:t xml:space="preserve"> discussed in </w:t>
      </w:r>
      <w:r w:rsidR="00267BEA" w:rsidRPr="0006336F">
        <w:t xml:space="preserve">the </w:t>
      </w:r>
      <w:r w:rsidR="00F307EB" w:rsidRPr="0006336F">
        <w:t>Partnering with communities</w:t>
      </w:r>
      <w:r w:rsidR="00267BEA" w:rsidRPr="0006336F">
        <w:t xml:space="preserve"> section</w:t>
      </w:r>
      <w:r w:rsidR="00F307EB" w:rsidRPr="0006336F">
        <w:t xml:space="preserve">. </w:t>
      </w:r>
    </w:p>
    <w:p w14:paraId="0BFC83C2" w14:textId="29876956" w:rsidR="00F307EB" w:rsidRPr="0006336F" w:rsidRDefault="003233EC" w:rsidP="00C7066D">
      <w:pPr>
        <w:pStyle w:val="Heading3"/>
      </w:pPr>
      <w:r w:rsidRPr="0006336F">
        <w:t>Improv</w:t>
      </w:r>
      <w:r w:rsidR="00717F11" w:rsidRPr="0006336F">
        <w:t>ing</w:t>
      </w:r>
      <w:r w:rsidR="00F307EB" w:rsidRPr="0006336F">
        <w:t xml:space="preserve"> transparency </w:t>
      </w:r>
      <w:r w:rsidR="00594321" w:rsidRPr="0006336F">
        <w:t xml:space="preserve">on </w:t>
      </w:r>
      <w:r w:rsidR="00E01645" w:rsidRPr="0006336F">
        <w:t xml:space="preserve">workforce </w:t>
      </w:r>
      <w:r w:rsidR="00594321" w:rsidRPr="0006336F">
        <w:t>diversity</w:t>
      </w:r>
      <w:r w:rsidR="00F307EB" w:rsidRPr="0006336F">
        <w:t xml:space="preserve"> </w:t>
      </w:r>
    </w:p>
    <w:p w14:paraId="71576CC2" w14:textId="2041FCC9" w:rsidR="00F307EB" w:rsidRPr="0006336F" w:rsidRDefault="00F307EB" w:rsidP="00F307EB">
      <w:r w:rsidRPr="0006336F">
        <w:t>Improvements in employment outcomes for under</w:t>
      </w:r>
      <w:r w:rsidR="00B16861">
        <w:noBreakHyphen/>
      </w:r>
      <w:r w:rsidRPr="0006336F">
        <w:t xml:space="preserve">represented groups </w:t>
      </w:r>
      <w:r w:rsidR="0047039E" w:rsidRPr="0006336F">
        <w:t>and narrowing the gender pay gap</w:t>
      </w:r>
      <w:r w:rsidRPr="0006336F">
        <w:t xml:space="preserve"> will only be </w:t>
      </w:r>
      <w:r w:rsidR="00071C2F" w:rsidRPr="0006336F">
        <w:t>possible</w:t>
      </w:r>
      <w:r w:rsidRPr="0006336F">
        <w:t xml:space="preserve"> if we can track them. </w:t>
      </w:r>
      <w:r w:rsidR="00071C2F" w:rsidRPr="0006336F">
        <w:t>Transparent r</w:t>
      </w:r>
      <w:r w:rsidRPr="0006336F">
        <w:t xml:space="preserve">eporting on workplace diversity and the gender pay gap reflects the standards the community expects workplaces to meet. </w:t>
      </w:r>
      <w:r w:rsidR="00FD3514">
        <w:t>The Government</w:t>
      </w:r>
      <w:r w:rsidRPr="0006336F">
        <w:t xml:space="preserve"> will continue to strengthen reporting and transparency, as well as making sure the collection of data is used to implement </w:t>
      </w:r>
      <w:r w:rsidR="00071C2F" w:rsidRPr="0006336F">
        <w:t xml:space="preserve">positive </w:t>
      </w:r>
      <w:r w:rsidRPr="0006336F">
        <w:t xml:space="preserve">change. </w:t>
      </w:r>
    </w:p>
    <w:p w14:paraId="41F45306" w14:textId="650270CE" w:rsidR="00F307EB" w:rsidRPr="0006336F" w:rsidRDefault="00F307EB" w:rsidP="00F307EB">
      <w:r w:rsidRPr="0006336F">
        <w:t xml:space="preserve">Transparency is a key tool to help reduce the gender pay gap. </w:t>
      </w:r>
      <w:r w:rsidR="00FD3514">
        <w:t>The Government</w:t>
      </w:r>
      <w:r w:rsidRPr="0006336F">
        <w:t xml:space="preserve"> has passed reforms to the </w:t>
      </w:r>
      <w:r w:rsidRPr="0006336F">
        <w:rPr>
          <w:i/>
        </w:rPr>
        <w:t>Workplace Gender Equality Act 2012</w:t>
      </w:r>
      <w:r w:rsidRPr="0006336F">
        <w:t xml:space="preserve"> to improve the transparency of gender pay gaps. From early 2024, the Workplace Gender Equality Agency (WGEA) will publish the gender pay gaps of eligible employers with 100 or more employees. </w:t>
      </w:r>
      <w:r w:rsidR="00A7253F" w:rsidRPr="0006336F">
        <w:t xml:space="preserve">In addition, we have strengthened existing reporting standards to require employers with 500 or more employees to develop policies or strategies against indicators to improve gender equality in their workplaces. </w:t>
      </w:r>
      <w:r w:rsidRPr="0006336F">
        <w:t xml:space="preserve">Allowing public access to gender pay gap data promotes accountability, empowers workers to make informed career choices and advocate for better conditions for themselves, and encourages businesses to be transparent and fair from the outset. It also contributes to important public discussions about the state of gender equality across sectors and individual organisations, and what progress needs to be made. </w:t>
      </w:r>
    </w:p>
    <w:p w14:paraId="5521F375" w14:textId="2C0F567E" w:rsidR="00F307EB" w:rsidRPr="0006336F" w:rsidRDefault="00FD3514" w:rsidP="00F307EB">
      <w:r>
        <w:t>The Government</w:t>
      </w:r>
      <w:r w:rsidR="00F307EB" w:rsidRPr="0006336F">
        <w:t xml:space="preserve"> is leading by example, with all Commonwealth public sector employers with 100 or more employees now required to report to WGEA as part of the response to the Respect@Work report. </w:t>
      </w:r>
      <w:r w:rsidR="00AE0B7E" w:rsidRPr="0006336F">
        <w:t xml:space="preserve">The </w:t>
      </w:r>
      <w:r w:rsidR="00AE0B7E" w:rsidRPr="001965A3">
        <w:t>Secure Jobs, Better Pay Act</w:t>
      </w:r>
      <w:r w:rsidR="00AE0B7E" w:rsidRPr="0006336F">
        <w:rPr>
          <w:i/>
        </w:rPr>
        <w:t xml:space="preserve"> </w:t>
      </w:r>
      <w:r w:rsidR="00AE0B7E" w:rsidRPr="0006336F">
        <w:t xml:space="preserve"> has also increased transparency by prohibiting pay secrecy </w:t>
      </w:r>
      <w:r w:rsidR="00E50276" w:rsidRPr="0006336F">
        <w:t>clauses</w:t>
      </w:r>
      <w:r w:rsidR="00AE0B7E" w:rsidRPr="0006336F">
        <w:t xml:space="preserve"> in employment contracts and </w:t>
      </w:r>
      <w:r w:rsidR="00E50276" w:rsidRPr="0006336F">
        <w:t>given employees a right to disclose or not disclose their remuneration.</w:t>
      </w:r>
    </w:p>
    <w:p w14:paraId="1285A706" w14:textId="6375F138" w:rsidR="00F307EB" w:rsidRPr="0006336F" w:rsidRDefault="00F307EB" w:rsidP="00F307EB">
      <w:r w:rsidRPr="0006336F">
        <w:t xml:space="preserve">As outlined in Chapter </w:t>
      </w:r>
      <w:r w:rsidR="003156AA">
        <w:t>2</w:t>
      </w:r>
      <w:r w:rsidRPr="0006336F">
        <w:t xml:space="preserve">, quality data is not available for many cohorts who face entrenched disadvantage and poor labour market outcomes. Going forward, the Government will work to ensure quality data is available for more cohorts. </w:t>
      </w:r>
    </w:p>
    <w:p w14:paraId="2C654AA7" w14:textId="390D7C67" w:rsidR="00F307EB" w:rsidRPr="0006336F" w:rsidRDefault="00FD3514" w:rsidP="00F307EB">
      <w:r>
        <w:t>The Government</w:t>
      </w:r>
      <w:r w:rsidR="00AE11EE" w:rsidRPr="0006336F">
        <w:t xml:space="preserve"> will</w:t>
      </w:r>
      <w:r w:rsidR="00F307EB" w:rsidRPr="0006336F">
        <w:t xml:space="preserve"> fund the ABS to work with </w:t>
      </w:r>
      <w:r>
        <w:t>First Nation</w:t>
      </w:r>
      <w:r w:rsidR="00F307EB" w:rsidRPr="0006336F">
        <w:t>s people on methods to produce more frequent employment data and enable more effective monitoring of labour market outcomes. The</w:t>
      </w:r>
      <w:r w:rsidR="000F0ED2">
        <w:t> </w:t>
      </w:r>
      <w:r w:rsidR="00F307EB" w:rsidRPr="0006336F">
        <w:t xml:space="preserve">ABS is also being funded to integrate Labour Force Survey, income support and employment services data </w:t>
      </w:r>
      <w:r w:rsidR="001D651A" w:rsidRPr="0006336F">
        <w:lastRenderedPageBreak/>
        <w:t xml:space="preserve">to </w:t>
      </w:r>
      <w:r w:rsidR="00F307EB" w:rsidRPr="0006336F">
        <w:t>provide a more holistic picture of labour market activity and an improved capability to understand successful transitions and outcomes. Alongside the National Disability Data Asset and the Life Course Data Initiative</w:t>
      </w:r>
      <w:r w:rsidR="00224CF3" w:rsidRPr="0006336F">
        <w:t>, this data will provide</w:t>
      </w:r>
      <w:r w:rsidR="00F307EB" w:rsidRPr="0006336F">
        <w:t xml:space="preserve"> Australia </w:t>
      </w:r>
      <w:r w:rsidR="00224CF3" w:rsidRPr="0006336F">
        <w:t>with</w:t>
      </w:r>
      <w:r w:rsidR="00F307EB" w:rsidRPr="0006336F">
        <w:t xml:space="preserve"> a much clearer picture of labour market</w:t>
      </w:r>
      <w:r w:rsidR="00224CF3" w:rsidRPr="0006336F">
        <w:t xml:space="preserve"> outcomes and interactions with income support and employment services programs</w:t>
      </w:r>
      <w:r w:rsidR="00F307EB" w:rsidRPr="0006336F">
        <w:t xml:space="preserve">. </w:t>
      </w:r>
    </w:p>
    <w:p w14:paraId="58642201" w14:textId="28E6262A" w:rsidR="006C7550" w:rsidRPr="0006336F" w:rsidRDefault="004E35C7" w:rsidP="00F307EB">
      <w:r w:rsidRPr="0006336F">
        <w:t xml:space="preserve">To help increase the visibility of the social and economic value of unpaid care, the ABS has been funded to </w:t>
      </w:r>
      <w:r w:rsidR="003403E9" w:rsidRPr="0006336F">
        <w:t>collect</w:t>
      </w:r>
      <w:r w:rsidRPr="0006336F">
        <w:t xml:space="preserve"> data that will support more accurate estimates of the amount and value of unpaid care. This will be an annual release as part of the Labour Account, using a combination of the Time Use Survey and Labour Force Survey data. This was recommended by the Senate Select Committee into Work and Care and will better inform policy development around the availability and affordability of care services, and support for unpaid carers. </w:t>
      </w:r>
    </w:p>
    <w:p w14:paraId="6C609408" w14:textId="55BBF4E4" w:rsidR="00F307EB" w:rsidRPr="0006336F" w:rsidRDefault="00C55EA8" w:rsidP="00F307EB">
      <w:r w:rsidRPr="0006336F">
        <w:t>E</w:t>
      </w:r>
      <w:r w:rsidR="00F307EB" w:rsidRPr="0006336F">
        <w:t>nsuring there is quality data available to inform change is not only up to the Government. Collecting diversity data of current staff is another important way the private sector can support an inclusive workplace. However, the collection of diversity data must be done in a culturally safe way, and part of a</w:t>
      </w:r>
      <w:r w:rsidR="00FB6672">
        <w:t> </w:t>
      </w:r>
      <w:r w:rsidR="00F307EB" w:rsidRPr="0006336F">
        <w:t>broader commitment to inclusion and diversity.</w:t>
      </w:r>
      <w:r w:rsidR="00E47C99" w:rsidRPr="0006336F">
        <w:t xml:space="preserve"> </w:t>
      </w:r>
      <w:r w:rsidR="00F307EB" w:rsidRPr="0006336F">
        <w:t xml:space="preserve">While reporting and data are essential to understanding the labour market, collecting this data must lead to </w:t>
      </w:r>
      <w:r w:rsidR="00F13D47" w:rsidRPr="0006336F">
        <w:t xml:space="preserve">positive </w:t>
      </w:r>
      <w:r w:rsidR="00F307EB" w:rsidRPr="0006336F">
        <w:t xml:space="preserve">change. The </w:t>
      </w:r>
      <w:r w:rsidR="00194F95" w:rsidRPr="0006336F">
        <w:t>WGEA</w:t>
      </w:r>
      <w:r w:rsidR="00F307EB" w:rsidRPr="0006336F">
        <w:t xml:space="preserve"> is consulting on how employers could safely collect and report more detailed diversity data</w:t>
      </w:r>
      <w:r w:rsidR="009A6766" w:rsidRPr="0006336F">
        <w:t xml:space="preserve">, and </w:t>
      </w:r>
      <w:r w:rsidR="00C72FF0" w:rsidRPr="0006336F">
        <w:t>how</w:t>
      </w:r>
      <w:r w:rsidR="009A6766" w:rsidRPr="0006336F">
        <w:t xml:space="preserve"> employers could set and achieve gender equality</w:t>
      </w:r>
      <w:r w:rsidR="00F307EB" w:rsidRPr="0006336F">
        <w:t xml:space="preserve"> targets. </w:t>
      </w:r>
    </w:p>
    <w:p w14:paraId="69BD63BA" w14:textId="51DD7513" w:rsidR="00F307EB" w:rsidRPr="0006336F" w:rsidRDefault="00F307EB" w:rsidP="00D67A79">
      <w:pPr>
        <w:pStyle w:val="Heading3"/>
      </w:pPr>
      <w:r w:rsidRPr="0006336F">
        <w:t xml:space="preserve">Improving the quality of evaluation across </w:t>
      </w:r>
      <w:r w:rsidR="00674745">
        <w:t>g</w:t>
      </w:r>
      <w:r w:rsidRPr="0006336F">
        <w:t xml:space="preserve">overnment </w:t>
      </w:r>
    </w:p>
    <w:p w14:paraId="21A7B402" w14:textId="0A2C89E7" w:rsidR="00F307EB" w:rsidRPr="0006336F" w:rsidRDefault="00F307EB" w:rsidP="00F307EB">
      <w:r w:rsidRPr="0006336F">
        <w:t>The best possible evidence should inform decision</w:t>
      </w:r>
      <w:r w:rsidR="00B16861">
        <w:noBreakHyphen/>
      </w:r>
      <w:r w:rsidRPr="0006336F">
        <w:t xml:space="preserve">making and there is room to improve evaluation of programs and policies across government, including of policies related to the labour market. Work done for the </w:t>
      </w:r>
      <w:r w:rsidR="00956C00" w:rsidRPr="0006336F">
        <w:rPr>
          <w:i/>
        </w:rPr>
        <w:t>Our Public Service, Our Future</w:t>
      </w:r>
      <w:r w:rsidRPr="0006336F">
        <w:t xml:space="preserve"> </w:t>
      </w:r>
      <w:r w:rsidR="003B6CC2" w:rsidRPr="0006336F">
        <w:t xml:space="preserve">Independent Review of the Australian Public </w:t>
      </w:r>
      <w:r w:rsidR="00D67A79" w:rsidRPr="0006336F">
        <w:t xml:space="preserve">Service </w:t>
      </w:r>
      <w:r w:rsidRPr="0006336F">
        <w:t xml:space="preserve">found that the quality of evaluation was </w:t>
      </w:r>
      <w:r w:rsidR="00B16861">
        <w:t>‘</w:t>
      </w:r>
      <w:r w:rsidRPr="0006336F">
        <w:t>piecemeal</w:t>
      </w:r>
      <w:r w:rsidR="00B16861">
        <w:t>’</w:t>
      </w:r>
      <w:r w:rsidRPr="0006336F">
        <w:t xml:space="preserve">. </w:t>
      </w:r>
      <w:r w:rsidR="00FD3514">
        <w:t>The Government</w:t>
      </w:r>
      <w:r w:rsidRPr="0006336F">
        <w:t xml:space="preserve"> spends a considerable amount of money on evaluation. A report from the Australian Evaluation Society estimated that in 2021</w:t>
      </w:r>
      <w:r w:rsidR="00FD3514">
        <w:t>–</w:t>
      </w:r>
      <w:r w:rsidRPr="0006336F">
        <w:t>22, the Commonwealth procured 224 evaluations from external consultants, at a total cost of $52</w:t>
      </w:r>
      <w:r w:rsidR="000F0ED2">
        <w:t> million</w:t>
      </w:r>
      <w:r w:rsidRPr="0006336F">
        <w:t>. Yet</w:t>
      </w:r>
      <w:r w:rsidR="000F0ED2">
        <w:t> </w:t>
      </w:r>
      <w:r w:rsidRPr="0006336F">
        <w:t xml:space="preserve">many evaluations have been insufficiently rigorous. </w:t>
      </w:r>
    </w:p>
    <w:p w14:paraId="39B1779C" w14:textId="641EDBBD" w:rsidR="00F307EB" w:rsidRPr="0006336F" w:rsidRDefault="00FD3514" w:rsidP="00F307EB">
      <w:r>
        <w:t>The Government</w:t>
      </w:r>
      <w:r w:rsidR="00F307EB" w:rsidRPr="0006336F">
        <w:t xml:space="preserve"> is determined to build up its evidence base, and to make decisions based on the highest quality evidence. We have already established the Australian Centre for Evaluation within the Australian Treasury. </w:t>
      </w:r>
      <w:r w:rsidR="00D67A79" w:rsidRPr="0006336F">
        <w:t>The Centre will collaborate with federal agencies to conduct high</w:t>
      </w:r>
      <w:r w:rsidR="00B16861">
        <w:noBreakHyphen/>
      </w:r>
      <w:r w:rsidR="00D67A79" w:rsidRPr="0006336F">
        <w:t>quality evaluations, carried out within a robust ethical framework, including in employment services. The</w:t>
      </w:r>
      <w:r w:rsidR="000F0ED2">
        <w:t> </w:t>
      </w:r>
      <w:r w:rsidR="00D67A79" w:rsidRPr="0006336F">
        <w:t>Centre</w:t>
      </w:r>
      <w:r w:rsidR="00F307EB" w:rsidRPr="0006336F">
        <w:t xml:space="preserve"> will also look for opportunities to share learning with states, territories, philanthropic foundations and academic experts. </w:t>
      </w:r>
    </w:p>
    <w:p w14:paraId="7C30B28A" w14:textId="3EB3DC31" w:rsidR="000F68A4" w:rsidRDefault="00FD3514" w:rsidP="00711D11">
      <w:r>
        <w:t>The Government</w:t>
      </w:r>
      <w:r w:rsidR="00B16861">
        <w:t>’</w:t>
      </w:r>
      <w:r w:rsidR="00D67A79" w:rsidRPr="0006336F">
        <w:t>s commitment to evidence</w:t>
      </w:r>
      <w:r w:rsidR="00B16861">
        <w:noBreakHyphen/>
      </w:r>
      <w:r w:rsidR="00D67A79" w:rsidRPr="0006336F">
        <w:t>based policy underpins the findings in this White Paper and our future approach. Where high</w:t>
      </w:r>
      <w:r w:rsidR="00453F2F">
        <w:t>-</w:t>
      </w:r>
      <w:r w:rsidR="00D67A79" w:rsidRPr="0006336F">
        <w:t>quality evidence exists, we have drawn on it to produce the key analysis. Going forward</w:t>
      </w:r>
      <w:r w:rsidR="00D633A9" w:rsidRPr="0006336F">
        <w:t>,</w:t>
      </w:r>
      <w:r w:rsidR="00D67A79" w:rsidRPr="0006336F">
        <w:t xml:space="preserve"> where the evidence is limited, we will consider options and mechanisms to build the evidence base, in order to shape better policies.</w:t>
      </w:r>
    </w:p>
    <w:p w14:paraId="66E47650" w14:textId="3FBE2225" w:rsidR="000120B5" w:rsidRPr="000F68A4" w:rsidRDefault="000120B5" w:rsidP="000F68A4">
      <w:r w:rsidRPr="000F68A4">
        <w:br w:type="page"/>
      </w:r>
    </w:p>
    <w:p w14:paraId="6F54B108" w14:textId="79D6A545" w:rsidR="00F307EB" w:rsidRPr="0006336F" w:rsidRDefault="00F307EB" w:rsidP="00F307EB">
      <w:pPr>
        <w:pStyle w:val="Heading2"/>
      </w:pPr>
      <w:bookmarkStart w:id="16" w:name="_Toc146292925"/>
      <w:r w:rsidRPr="0006336F">
        <w:lastRenderedPageBreak/>
        <w:t>Ongoing collaboration</w:t>
      </w:r>
      <w:bookmarkEnd w:id="16"/>
    </w:p>
    <w:p w14:paraId="1F1881E9" w14:textId="2CE447F7" w:rsidR="00F307EB" w:rsidRPr="0006336F" w:rsidRDefault="00271640" w:rsidP="00F307EB">
      <w:pPr>
        <w:keepNext/>
      </w:pPr>
      <w:r w:rsidRPr="0006336F">
        <w:t>A</w:t>
      </w:r>
      <w:r w:rsidR="00F307EB" w:rsidRPr="0006336F">
        <w:t>s well as resulting in a program of immediate actions to address Australia</w:t>
      </w:r>
      <w:r w:rsidR="00B16861">
        <w:t>’</w:t>
      </w:r>
      <w:r w:rsidR="00F307EB" w:rsidRPr="0006336F">
        <w:t xml:space="preserve">s economic challenges, </w:t>
      </w:r>
      <w:r w:rsidRPr="0006336F">
        <w:t xml:space="preserve">the Jobs and Skills Summit </w:t>
      </w:r>
      <w:r w:rsidR="00F307EB" w:rsidRPr="0006336F">
        <w:t>started nation</w:t>
      </w:r>
      <w:r w:rsidR="00B16861">
        <w:noBreakHyphen/>
      </w:r>
      <w:r w:rsidR="00F307EB" w:rsidRPr="0006336F">
        <w:t>wide consultations underpinning the development of th</w:t>
      </w:r>
      <w:r w:rsidRPr="0006336F">
        <w:t>is</w:t>
      </w:r>
      <w:r w:rsidR="00F307EB" w:rsidRPr="0006336F">
        <w:t xml:space="preserve"> White </w:t>
      </w:r>
      <w:r w:rsidR="009567C4" w:rsidRPr="0006336F">
        <w:t>P</w:t>
      </w:r>
      <w:r w:rsidR="00F307EB" w:rsidRPr="0006336F">
        <w:t xml:space="preserve">aper. Over 400 </w:t>
      </w:r>
      <w:r w:rsidR="00D3611E" w:rsidRPr="0006336F">
        <w:t>public</w:t>
      </w:r>
      <w:r w:rsidR="00F307EB" w:rsidRPr="0006336F">
        <w:t xml:space="preserve"> submissions were received by Treasury, from community groups, peak bodies, businesses, individuals, think tanks, unions and governments across every state and territory. </w:t>
      </w:r>
    </w:p>
    <w:p w14:paraId="0A3C80D2" w14:textId="221F6CF3" w:rsidR="00F307EB" w:rsidRPr="0006336F" w:rsidRDefault="00F307EB" w:rsidP="00F307EB">
      <w:r w:rsidRPr="0006336F">
        <w:t>Over 2022 and 2023, delegations from Treasury</w:t>
      </w:r>
      <w:r w:rsidR="00B16861">
        <w:t>’</w:t>
      </w:r>
      <w:r w:rsidRPr="0006336F">
        <w:t xml:space="preserve">s Employment Taskforce visited every state and territory and met with employers, industry representatives, state and local governments, community groups, </w:t>
      </w:r>
      <w:r w:rsidR="00CF6D7B" w:rsidRPr="0006336F">
        <w:t xml:space="preserve">education providers, </w:t>
      </w:r>
      <w:r w:rsidRPr="0006336F">
        <w:t>employment service providers and individuals. In total, the Taskforce met with over 250</w:t>
      </w:r>
      <w:r w:rsidR="002D659F" w:rsidRPr="0006336F">
        <w:t> </w:t>
      </w:r>
      <w:r w:rsidRPr="0006336F">
        <w:t>stakeholders, including people with lived experience of unemployment or underemployment through a series of focused roundtables.</w:t>
      </w:r>
    </w:p>
    <w:p w14:paraId="4E269C1B" w14:textId="24D39830" w:rsidR="00F307EB" w:rsidRPr="0006336F" w:rsidRDefault="00F307EB" w:rsidP="00F307EB">
      <w:r w:rsidRPr="0006336F">
        <w:t xml:space="preserve">This spirit of collaboration is what the Government intends to bring to </w:t>
      </w:r>
      <w:r w:rsidR="00271640" w:rsidRPr="0006336F">
        <w:t xml:space="preserve">implementing </w:t>
      </w:r>
      <w:r w:rsidRPr="0006336F">
        <w:t>our Roadmap. We</w:t>
      </w:r>
      <w:r w:rsidR="00FB6672">
        <w:t> </w:t>
      </w:r>
      <w:r w:rsidRPr="0006336F">
        <w:t>cannot do it alone. Strong partnerships with governments, employers</w:t>
      </w:r>
      <w:r w:rsidR="006A2C5B" w:rsidRPr="0006336F">
        <w:t xml:space="preserve"> including </w:t>
      </w:r>
      <w:r w:rsidR="004E219A" w:rsidRPr="0006336F">
        <w:t xml:space="preserve">large, medium and small </w:t>
      </w:r>
      <w:r w:rsidR="00D8375A" w:rsidRPr="0006336F">
        <w:t>businesses</w:t>
      </w:r>
      <w:r w:rsidRPr="0006336F">
        <w:t xml:space="preserve">, unions, civil society and the broader community will be essential to position our labour market for the future. We are </w:t>
      </w:r>
      <w:r w:rsidR="009003D1" w:rsidRPr="0006336F">
        <w:t>committed</w:t>
      </w:r>
      <w:r w:rsidRPr="0006336F">
        <w:t xml:space="preserve"> to </w:t>
      </w:r>
      <w:r w:rsidR="530D389D" w:rsidRPr="0006336F">
        <w:t>building a bright working future</w:t>
      </w:r>
      <w:r w:rsidRPr="0006336F">
        <w:t xml:space="preserve">. </w:t>
      </w:r>
    </w:p>
    <w:p w14:paraId="63C32B00" w14:textId="5440808D" w:rsidR="000F68A4" w:rsidRPr="000F68A4" w:rsidRDefault="000F68A4" w:rsidP="000F68A4">
      <w:r w:rsidRPr="000F68A4">
        <w:br w:type="page"/>
      </w:r>
    </w:p>
    <w:p w14:paraId="1ED31BE2" w14:textId="3322557D" w:rsidR="004F1FA7" w:rsidRPr="003E5A0C" w:rsidRDefault="004F1FA7" w:rsidP="0020654C">
      <w:pPr>
        <w:pStyle w:val="Heading2"/>
        <w:rPr>
          <w:b/>
        </w:rPr>
      </w:pPr>
      <w:r w:rsidRPr="003E5A0C">
        <w:lastRenderedPageBreak/>
        <w:t>Actions to support a dynamic and inclusive labour market</w:t>
      </w:r>
    </w:p>
    <w:tbl>
      <w:tblPr>
        <w:tblStyle w:val="TableGrid"/>
        <w:tblW w:w="5000" w:type="pct"/>
        <w:tblBorders>
          <w:top w:val="single" w:sz="12" w:space="0" w:color="2C384A" w:themeColor="accent1"/>
          <w:bottom w:val="single" w:sz="12" w:space="0" w:color="2C384A" w:themeColor="accent1"/>
        </w:tblBorders>
        <w:tblLayout w:type="fixed"/>
        <w:tblLook w:val="01E0" w:firstRow="1" w:lastRow="1" w:firstColumn="1" w:lastColumn="1" w:noHBand="0" w:noVBand="0"/>
      </w:tblPr>
      <w:tblGrid>
        <w:gridCol w:w="3024"/>
        <w:gridCol w:w="3023"/>
        <w:gridCol w:w="3023"/>
      </w:tblGrid>
      <w:tr w:rsidR="00A26DB9" w:rsidRPr="0006336F" w14:paraId="18D8389C" w14:textId="77777777" w:rsidTr="001965A3">
        <w:trPr>
          <w:cnfStyle w:val="100000000000" w:firstRow="1" w:lastRow="0" w:firstColumn="0" w:lastColumn="0" w:oddVBand="0" w:evenVBand="0" w:oddHBand="0" w:evenHBand="0" w:firstRowFirstColumn="0" w:firstRowLastColumn="0" w:lastRowFirstColumn="0" w:lastRowLastColumn="0"/>
          <w:trHeight w:val="80"/>
          <w:tblHeader/>
        </w:trPr>
        <w:tc>
          <w:tcPr>
            <w:tcW w:w="0" w:type="pct"/>
            <w:gridSpan w:val="3"/>
            <w:shd w:val="clear" w:color="auto" w:fill="D2E1F9" w:themeFill="accent5" w:themeFillTint="66"/>
          </w:tcPr>
          <w:p w14:paraId="5E3B0268" w14:textId="4C8F7995" w:rsidR="00A26DB9" w:rsidRPr="0006336F" w:rsidRDefault="00A26DB9" w:rsidP="004F1FA7">
            <w:pPr>
              <w:pStyle w:val="TableColumnHeadingLeft"/>
            </w:pPr>
            <w:r w:rsidRPr="0006336F">
              <w:rPr>
                <w:sz w:val="24"/>
                <w:szCs w:val="22"/>
              </w:rPr>
              <w:t>1 Strengthening our economic foundations</w:t>
            </w:r>
            <w:r w:rsidRPr="0006336F" w:rsidDel="00467053">
              <w:rPr>
                <w:sz w:val="24"/>
                <w:szCs w:val="22"/>
              </w:rPr>
              <w:t xml:space="preserve"> </w:t>
            </w:r>
          </w:p>
        </w:tc>
      </w:tr>
      <w:tr w:rsidR="004F1FA7" w:rsidRPr="0006336F" w14:paraId="389686A8" w14:textId="77777777" w:rsidTr="001965A3">
        <w:trPr>
          <w:cnfStyle w:val="100000000000" w:firstRow="1" w:lastRow="0" w:firstColumn="0" w:lastColumn="0" w:oddVBand="0" w:evenVBand="0" w:oddHBand="0" w:evenHBand="0" w:firstRowFirstColumn="0" w:firstRowLastColumn="0" w:lastRowFirstColumn="0" w:lastRowLastColumn="0"/>
          <w:trHeight w:val="80"/>
          <w:tblHeader/>
        </w:trPr>
        <w:tc>
          <w:tcPr>
            <w:tcW w:w="0" w:type="pct"/>
          </w:tcPr>
          <w:p w14:paraId="23E17556" w14:textId="77777777" w:rsidR="004F1FA7" w:rsidRPr="0006336F" w:rsidRDefault="004F1FA7" w:rsidP="004F1FA7">
            <w:pPr>
              <w:pStyle w:val="TableColumnHeadingLeft"/>
            </w:pPr>
            <w:r w:rsidRPr="0006336F">
              <w:t xml:space="preserve">Implemented </w:t>
            </w:r>
          </w:p>
        </w:tc>
        <w:tc>
          <w:tcPr>
            <w:tcW w:w="0" w:type="pct"/>
          </w:tcPr>
          <w:p w14:paraId="1B5F1B9E" w14:textId="77777777" w:rsidR="004F1FA7" w:rsidRPr="0006336F" w:rsidRDefault="004F1FA7" w:rsidP="004F1FA7">
            <w:pPr>
              <w:pStyle w:val="TableColumnHeadingLeft"/>
            </w:pPr>
            <w:r w:rsidRPr="0006336F">
              <w:t>Underway</w:t>
            </w:r>
          </w:p>
        </w:tc>
        <w:tc>
          <w:tcPr>
            <w:tcW w:w="0" w:type="pct"/>
          </w:tcPr>
          <w:p w14:paraId="2AB338CB" w14:textId="77777777" w:rsidR="004F1FA7" w:rsidRPr="0006336F" w:rsidRDefault="004F1FA7" w:rsidP="004F1FA7">
            <w:pPr>
              <w:pStyle w:val="TableColumnHeadingLeft"/>
            </w:pPr>
            <w:r w:rsidRPr="0006336F">
              <w:t>Future reform directions</w:t>
            </w:r>
          </w:p>
        </w:tc>
      </w:tr>
      <w:tr w:rsidR="00F604B7" w:rsidRPr="0006336F" w14:paraId="05B3E07E" w14:textId="77777777" w:rsidTr="001965A3">
        <w:tc>
          <w:tcPr>
            <w:tcW w:w="0" w:type="pct"/>
          </w:tcPr>
          <w:p w14:paraId="4EF89BD7" w14:textId="77777777" w:rsidR="00F604B7" w:rsidRPr="00B241A5" w:rsidRDefault="00F604B7" w:rsidP="00B241A5">
            <w:pPr>
              <w:pStyle w:val="TableTextLeft"/>
              <w:rPr>
                <w:rStyle w:val="Strong"/>
              </w:rPr>
            </w:pPr>
            <w:r w:rsidRPr="00B241A5">
              <w:rPr>
                <w:rStyle w:val="Strong"/>
              </w:rPr>
              <w:t xml:space="preserve">Set clear, strategic objectives </w:t>
            </w:r>
          </w:p>
          <w:p w14:paraId="327F5C9A" w14:textId="77777777" w:rsidR="00F604B7" w:rsidRPr="0006336F" w:rsidRDefault="00F604B7" w:rsidP="00F604B7">
            <w:pPr>
              <w:pStyle w:val="TableTextBullet"/>
            </w:pPr>
            <w:r w:rsidRPr="0006336F">
              <w:t>Introduced a new, bolder full employment objective</w:t>
            </w:r>
          </w:p>
          <w:p w14:paraId="5B103D16" w14:textId="587D69DC" w:rsidR="00F604B7" w:rsidRPr="0006336F" w:rsidRDefault="00F604B7" w:rsidP="00F604B7">
            <w:pPr>
              <w:pStyle w:val="TableTextBullet"/>
            </w:pPr>
            <w:r w:rsidRPr="0006336F">
              <w:t>Made full employment, real wages growth, and women</w:t>
            </w:r>
            <w:r w:rsidR="00B16861">
              <w:t>’</w:t>
            </w:r>
            <w:r w:rsidRPr="0006336F">
              <w:t>s economic equality core objectiv</w:t>
            </w:r>
            <w:r w:rsidRPr="0006336F">
              <w:rPr>
                <w:bCs/>
              </w:rPr>
              <w:t>es of our Economic and Fiscal Strategy</w:t>
            </w:r>
          </w:p>
          <w:p w14:paraId="1904573A" w14:textId="15131E64" w:rsidR="00F604B7" w:rsidRPr="0006336F" w:rsidRDefault="00F604B7" w:rsidP="00F604B7">
            <w:pPr>
              <w:pStyle w:val="TableTextBullet"/>
            </w:pPr>
            <w:r w:rsidRPr="0006336F">
              <w:t>Added job security and gender equality</w:t>
            </w:r>
            <w:r w:rsidRPr="0006336F">
              <w:rPr>
                <w:bCs/>
              </w:rPr>
              <w:t xml:space="preserve"> to the objects of the Fair Work Act</w:t>
            </w:r>
          </w:p>
          <w:p w14:paraId="56930491" w14:textId="77777777" w:rsidR="00F604B7" w:rsidRPr="00B241A5" w:rsidRDefault="00F604B7" w:rsidP="00B241A5">
            <w:pPr>
              <w:pStyle w:val="TableTextLeft"/>
              <w:rPr>
                <w:rStyle w:val="Strong"/>
              </w:rPr>
            </w:pPr>
            <w:r w:rsidRPr="00B241A5">
              <w:rPr>
                <w:rStyle w:val="Strong"/>
              </w:rPr>
              <w:t>Established a better evidence base for policy development</w:t>
            </w:r>
          </w:p>
          <w:p w14:paraId="612306DD" w14:textId="77777777" w:rsidR="00F604B7" w:rsidRPr="0006336F" w:rsidRDefault="00F604B7" w:rsidP="00F604B7">
            <w:pPr>
              <w:pStyle w:val="TableTextBullet"/>
            </w:pPr>
            <w:r w:rsidRPr="0006336F">
              <w:t>Introduced gender responsive budgeting and a national wellbeing framework: Measuring What Matters</w:t>
            </w:r>
          </w:p>
          <w:p w14:paraId="17CB4479" w14:textId="77777777" w:rsidR="00F604B7" w:rsidRPr="0006336F" w:rsidRDefault="00F604B7" w:rsidP="00F604B7">
            <w:pPr>
              <w:pStyle w:val="TableTextBullet"/>
            </w:pPr>
            <w:r w:rsidRPr="0006336F">
              <w:rPr>
                <w:bCs/>
              </w:rPr>
              <w:t>Established the Australian Centre for Evaluation</w:t>
            </w:r>
          </w:p>
          <w:p w14:paraId="6C0E96EB" w14:textId="77777777" w:rsidR="00F604B7" w:rsidRPr="0006336F" w:rsidRDefault="00F604B7" w:rsidP="00F604B7">
            <w:pPr>
              <w:pStyle w:val="TableTextBullet"/>
            </w:pPr>
            <w:r w:rsidRPr="0006336F">
              <w:t xml:space="preserve">Refreshed the </w:t>
            </w:r>
            <w:r w:rsidRPr="0006336F">
              <w:rPr>
                <w:bCs/>
              </w:rPr>
              <w:t>Tax Expenditures and Insights Statement</w:t>
            </w:r>
          </w:p>
          <w:p w14:paraId="06C0A1B9" w14:textId="77777777" w:rsidR="00F604B7" w:rsidRPr="0006336F" w:rsidRDefault="00F604B7" w:rsidP="00F604B7">
            <w:pPr>
              <w:pStyle w:val="TableTextBullet"/>
              <w:rPr>
                <w:b/>
              </w:rPr>
            </w:pPr>
            <w:r w:rsidRPr="0006336F">
              <w:t>Released a new Intergenerational Report to guide our understanding of future workforce needs and opportunities</w:t>
            </w:r>
          </w:p>
          <w:p w14:paraId="2708DC7F" w14:textId="523DD139" w:rsidR="00F604B7" w:rsidRPr="0006336F" w:rsidRDefault="00F604B7" w:rsidP="00F604B7">
            <w:pPr>
              <w:pStyle w:val="TableTextBullet"/>
              <w:rPr>
                <w:b/>
              </w:rPr>
            </w:pPr>
            <w:r w:rsidRPr="0006336F">
              <w:t>Established a Women</w:t>
            </w:r>
            <w:r w:rsidR="00B16861">
              <w:t>’</w:t>
            </w:r>
            <w:r w:rsidRPr="0006336F">
              <w:t>s Economic Equality Taskforce to provide advice on priorities for women</w:t>
            </w:r>
            <w:r w:rsidR="00B16861">
              <w:t>’</w:t>
            </w:r>
            <w:r w:rsidRPr="0006336F">
              <w:t>s economic equality</w:t>
            </w:r>
          </w:p>
          <w:p w14:paraId="19FFC703" w14:textId="77777777" w:rsidR="00F604B7" w:rsidRPr="00B241A5" w:rsidRDefault="00F604B7" w:rsidP="00B241A5">
            <w:pPr>
              <w:pStyle w:val="TableTextLeft"/>
              <w:rPr>
                <w:rStyle w:val="Strong"/>
              </w:rPr>
            </w:pPr>
            <w:r w:rsidRPr="00B241A5">
              <w:rPr>
                <w:rStyle w:val="Strong"/>
              </w:rPr>
              <w:t>Supported the lowest paid</w:t>
            </w:r>
          </w:p>
          <w:p w14:paraId="04826D86" w14:textId="1981ACF6" w:rsidR="00F604B7" w:rsidRPr="0006336F" w:rsidRDefault="00F604B7" w:rsidP="00F604B7">
            <w:pPr>
              <w:pStyle w:val="TableTextBullet"/>
            </w:pPr>
            <w:r w:rsidRPr="0006336F">
              <w:t xml:space="preserve">Advocated for </w:t>
            </w:r>
            <w:r w:rsidRPr="0006336F">
              <w:rPr>
                <w:bCs/>
              </w:rPr>
              <w:t>pay rises through submissions to Fair Work Commission Annual Wage Reviews</w:t>
            </w:r>
          </w:p>
          <w:p w14:paraId="44D4B2D2" w14:textId="1ED5098C" w:rsidR="001C0A8C" w:rsidRPr="0006336F" w:rsidRDefault="001C0A8C" w:rsidP="001C0A8C">
            <w:pPr>
              <w:pStyle w:val="TableTextBullet"/>
            </w:pPr>
            <w:r>
              <w:t xml:space="preserve">Fully funded </w:t>
            </w:r>
            <w:r w:rsidRPr="0006336F">
              <w:t xml:space="preserve">the largest ever increase to award minimum wages through aged care work value case </w:t>
            </w:r>
          </w:p>
          <w:p w14:paraId="272D731B" w14:textId="7B6C6E9F" w:rsidR="00F604B7" w:rsidRPr="0006336F" w:rsidRDefault="00F604B7" w:rsidP="00F604B7">
            <w:pPr>
              <w:pStyle w:val="TableTextBullet"/>
            </w:pPr>
            <w:r w:rsidRPr="0006336F">
              <w:t>Legislated to expand access to bargaining for small businesses and industries with low levels of bargaining</w:t>
            </w:r>
          </w:p>
        </w:tc>
        <w:tc>
          <w:tcPr>
            <w:tcW w:w="0" w:type="pct"/>
          </w:tcPr>
          <w:p w14:paraId="1187370A" w14:textId="77777777" w:rsidR="00F604B7" w:rsidRPr="00B241A5" w:rsidRDefault="00F604B7" w:rsidP="00B241A5">
            <w:pPr>
              <w:pStyle w:val="TableTextLeft"/>
              <w:rPr>
                <w:rStyle w:val="Strong"/>
              </w:rPr>
            </w:pPr>
            <w:r w:rsidRPr="00B241A5">
              <w:rPr>
                <w:rStyle w:val="Strong"/>
              </w:rPr>
              <w:t>Strengthening economic institutions</w:t>
            </w:r>
          </w:p>
          <w:p w14:paraId="0B573B00" w14:textId="77777777" w:rsidR="00F604B7" w:rsidRPr="0006336F" w:rsidRDefault="00F604B7" w:rsidP="00F604B7">
            <w:pPr>
              <w:pStyle w:val="TableTextBullet"/>
            </w:pPr>
            <w:r w:rsidRPr="0006336F">
              <w:rPr>
                <w:rStyle w:val="BulletChar"/>
              </w:rPr>
              <w:t>Implementing RBA Review recommendations</w:t>
            </w:r>
            <w:r w:rsidRPr="0006336F">
              <w:rPr>
                <w:bCs/>
              </w:rPr>
              <w:t xml:space="preserve"> </w:t>
            </w:r>
          </w:p>
          <w:p w14:paraId="2C7F239A" w14:textId="77777777" w:rsidR="00F604B7" w:rsidRPr="0006336F" w:rsidRDefault="00F604B7" w:rsidP="00F604B7">
            <w:pPr>
              <w:pStyle w:val="TableTextBullet"/>
            </w:pPr>
            <w:r w:rsidRPr="0006336F">
              <w:t xml:space="preserve">Renewing the Productivity Commission </w:t>
            </w:r>
          </w:p>
          <w:p w14:paraId="2485920E" w14:textId="6DDC11D4" w:rsidR="00F604B7" w:rsidRPr="0006336F" w:rsidRDefault="00F604B7" w:rsidP="00F604B7">
            <w:pPr>
              <w:pStyle w:val="TableTextBullet"/>
            </w:pPr>
            <w:r w:rsidRPr="0006336F">
              <w:rPr>
                <w:bCs/>
              </w:rPr>
              <w:t xml:space="preserve">Empowering the </w:t>
            </w:r>
            <w:r w:rsidR="00710955" w:rsidRPr="0006336F">
              <w:rPr>
                <w:bCs/>
              </w:rPr>
              <w:t>Fair Work Commissio</w:t>
            </w:r>
            <w:r w:rsidR="00710955">
              <w:rPr>
                <w:bCs/>
              </w:rPr>
              <w:t>n</w:t>
            </w:r>
            <w:r w:rsidRPr="0006336F">
              <w:rPr>
                <w:bCs/>
              </w:rPr>
              <w:t xml:space="preserve"> to set minimum standards for employee</w:t>
            </w:r>
            <w:r w:rsidR="00B16861">
              <w:rPr>
                <w:bCs/>
              </w:rPr>
              <w:noBreakHyphen/>
            </w:r>
            <w:r w:rsidRPr="0006336F">
              <w:rPr>
                <w:bCs/>
              </w:rPr>
              <w:t xml:space="preserve">like work </w:t>
            </w:r>
          </w:p>
          <w:p w14:paraId="3340E506" w14:textId="743904C1" w:rsidR="00F604B7" w:rsidRPr="0006336F" w:rsidRDefault="00F604B7" w:rsidP="00F604B7">
            <w:pPr>
              <w:pStyle w:val="TableTextBullet"/>
            </w:pPr>
            <w:r w:rsidRPr="0006336F">
              <w:t xml:space="preserve">Better coordinating strategic planning across economic </w:t>
            </w:r>
            <w:r w:rsidRPr="0006336F">
              <w:rPr>
                <w:bCs/>
              </w:rPr>
              <w:t xml:space="preserve">institutions, including Jobs and Skills Australia and the new </w:t>
            </w:r>
            <w:r w:rsidR="000F0ED2">
              <w:rPr>
                <w:bCs/>
              </w:rPr>
              <w:t>Net Zero</w:t>
            </w:r>
            <w:r w:rsidRPr="0006336F">
              <w:rPr>
                <w:bCs/>
              </w:rPr>
              <w:t xml:space="preserve"> Authority</w:t>
            </w:r>
          </w:p>
          <w:p w14:paraId="5B9EEB06" w14:textId="77777777" w:rsidR="00F604B7" w:rsidRPr="0006336F" w:rsidRDefault="00F604B7" w:rsidP="00F604B7">
            <w:pPr>
              <w:pStyle w:val="TableTextBullet"/>
            </w:pPr>
            <w:r w:rsidRPr="0006336F">
              <w:rPr>
                <w:bCs/>
              </w:rPr>
              <w:t xml:space="preserve">Promoting inclusion by working with new advisory forums, including the Economic Inclusion Advisory Committee </w:t>
            </w:r>
          </w:p>
          <w:p w14:paraId="7AAB28D5" w14:textId="77777777" w:rsidR="00F604B7" w:rsidRPr="0006336F" w:rsidRDefault="00F604B7" w:rsidP="00F604B7">
            <w:pPr>
              <w:pStyle w:val="TableTextBullet"/>
            </w:pPr>
            <w:r w:rsidRPr="0006336F">
              <w:rPr>
                <w:bCs/>
              </w:rPr>
              <w:t>Legislating reforms to close loopholes that undercut wages and conditions, and to criminalise intentional wage theft</w:t>
            </w:r>
          </w:p>
          <w:p w14:paraId="134A638D" w14:textId="77777777" w:rsidR="00F604B7" w:rsidRPr="0006336F" w:rsidRDefault="00F604B7" w:rsidP="00F604B7">
            <w:pPr>
              <w:pStyle w:val="TableTextBullet"/>
            </w:pPr>
            <w:r w:rsidRPr="0006336F">
              <w:t xml:space="preserve">Funding the ABS to address priority gaps in labour market data </w:t>
            </w:r>
          </w:p>
          <w:p w14:paraId="27D9C88E" w14:textId="77777777" w:rsidR="00F604B7" w:rsidRPr="00B241A5" w:rsidRDefault="00F604B7" w:rsidP="00B241A5">
            <w:pPr>
              <w:pStyle w:val="TableTextLeft"/>
              <w:rPr>
                <w:rStyle w:val="Strong"/>
              </w:rPr>
            </w:pPr>
            <w:r w:rsidRPr="00B241A5">
              <w:rPr>
                <w:rStyle w:val="Strong"/>
              </w:rPr>
              <w:t>Improving productivity</w:t>
            </w:r>
          </w:p>
          <w:p w14:paraId="625C8742" w14:textId="3278DC92" w:rsidR="00FE51E7" w:rsidRPr="0006336F" w:rsidRDefault="00FE51E7" w:rsidP="00FE51E7">
            <w:pPr>
              <w:pStyle w:val="TableTextBullet"/>
            </w:pPr>
            <w:r w:rsidRPr="0006336F">
              <w:t>Elevating productivity</w:t>
            </w:r>
            <w:r>
              <w:t xml:space="preserve"> reform on</w:t>
            </w:r>
            <w:r w:rsidRPr="0006336F">
              <w:t xml:space="preserve"> National Cabinet</w:t>
            </w:r>
            <w:r>
              <w:t>’s agenda</w:t>
            </w:r>
          </w:p>
          <w:p w14:paraId="0E30F841" w14:textId="084A4736" w:rsidR="00F604B7" w:rsidRPr="0006336F" w:rsidRDefault="00F604B7" w:rsidP="00080E00">
            <w:pPr>
              <w:pStyle w:val="TableTextBullet"/>
            </w:pPr>
            <w:r w:rsidRPr="0006336F">
              <w:t>Working across portfolios to realise productivity g</w:t>
            </w:r>
            <w:r w:rsidRPr="0006336F">
              <w:rPr>
                <w:bCs/>
              </w:rPr>
              <w:t xml:space="preserve">rowth opportunities, including through the Competition Review, Migration Strategy, National </w:t>
            </w:r>
            <w:r w:rsidRPr="0006336F">
              <w:t xml:space="preserve">Strategy for the Care and Support Economy </w:t>
            </w:r>
            <w:r w:rsidRPr="0006336F">
              <w:rPr>
                <w:bCs/>
              </w:rPr>
              <w:t xml:space="preserve">and a </w:t>
            </w:r>
            <w:r w:rsidR="000F0ED2">
              <w:rPr>
                <w:bCs/>
              </w:rPr>
              <w:t>Net Zero</w:t>
            </w:r>
            <w:r w:rsidRPr="0006336F">
              <w:rPr>
                <w:bCs/>
              </w:rPr>
              <w:t xml:space="preserve"> 2050 plan</w:t>
            </w:r>
          </w:p>
        </w:tc>
        <w:tc>
          <w:tcPr>
            <w:tcW w:w="0" w:type="pct"/>
          </w:tcPr>
          <w:p w14:paraId="0C0A399F" w14:textId="1678BCB1" w:rsidR="00F604B7" w:rsidRPr="00B241A5" w:rsidRDefault="00F604B7" w:rsidP="00B241A5">
            <w:pPr>
              <w:pStyle w:val="TableTextLeft"/>
              <w:rPr>
                <w:rStyle w:val="Strong"/>
              </w:rPr>
            </w:pPr>
            <w:r w:rsidRPr="00B241A5">
              <w:rPr>
                <w:rStyle w:val="Strong"/>
              </w:rPr>
              <w:t>Elevate full employment in decision</w:t>
            </w:r>
            <w:r w:rsidR="00B16861">
              <w:rPr>
                <w:rStyle w:val="Strong"/>
              </w:rPr>
              <w:noBreakHyphen/>
            </w:r>
            <w:r w:rsidRPr="00B241A5">
              <w:rPr>
                <w:rStyle w:val="Strong"/>
              </w:rPr>
              <w:t xml:space="preserve">making </w:t>
            </w:r>
          </w:p>
          <w:p w14:paraId="7F5130EB" w14:textId="77777777" w:rsidR="00F604B7" w:rsidRPr="0006336F" w:rsidRDefault="00F604B7" w:rsidP="00F604B7">
            <w:pPr>
              <w:pStyle w:val="TableTextBullet"/>
            </w:pPr>
            <w:r w:rsidRPr="0006336F">
              <w:t xml:space="preserve">Embed sustained and inclusive full employment as a strategic objective </w:t>
            </w:r>
          </w:p>
          <w:p w14:paraId="68CEB55C" w14:textId="77777777" w:rsidR="00F604B7" w:rsidRPr="0006336F" w:rsidRDefault="00F604B7" w:rsidP="00F604B7">
            <w:pPr>
              <w:pStyle w:val="TableTextBullet"/>
            </w:pPr>
            <w:r w:rsidRPr="0006336F">
              <w:t xml:space="preserve">Better measure and monitor progress to full employment, especially underemployment and outcomes across cohorts </w:t>
            </w:r>
          </w:p>
          <w:p w14:paraId="5D106C5A" w14:textId="77777777" w:rsidR="00F604B7" w:rsidRPr="0006336F" w:rsidRDefault="00F604B7" w:rsidP="00F604B7">
            <w:pPr>
              <w:pStyle w:val="TableTextBullet"/>
            </w:pPr>
            <w:r w:rsidRPr="0006336F">
              <w:t>Address structural sources of underutilisation</w:t>
            </w:r>
          </w:p>
          <w:p w14:paraId="5A19A20B" w14:textId="77777777" w:rsidR="00F604B7" w:rsidRPr="00B241A5" w:rsidRDefault="00F604B7" w:rsidP="00B241A5">
            <w:pPr>
              <w:pStyle w:val="TableTextLeft"/>
              <w:rPr>
                <w:rStyle w:val="Strong"/>
              </w:rPr>
            </w:pPr>
            <w:r w:rsidRPr="00B241A5">
              <w:rPr>
                <w:rStyle w:val="Strong"/>
              </w:rPr>
              <w:t>Progress a five pillar productivity agenda</w:t>
            </w:r>
          </w:p>
          <w:p w14:paraId="246A68AC" w14:textId="77777777" w:rsidR="00F604B7" w:rsidRPr="0006336F" w:rsidRDefault="00F604B7" w:rsidP="00F604B7">
            <w:pPr>
              <w:pStyle w:val="TableTextBullet"/>
            </w:pPr>
            <w:r w:rsidRPr="0006336F">
              <w:t>Create a more dynamic and resilient economy</w:t>
            </w:r>
          </w:p>
          <w:p w14:paraId="213E5ECF" w14:textId="77777777" w:rsidR="00F604B7" w:rsidRPr="0006336F" w:rsidRDefault="00F604B7" w:rsidP="00F604B7">
            <w:pPr>
              <w:pStyle w:val="TableTextBullet"/>
            </w:pPr>
            <w:r w:rsidRPr="0006336F">
              <w:t>Build a skilled and adaptable workforce</w:t>
            </w:r>
          </w:p>
          <w:p w14:paraId="70C7FA3F" w14:textId="77777777" w:rsidR="00F604B7" w:rsidRPr="0006336F" w:rsidRDefault="00F604B7" w:rsidP="00F604B7">
            <w:pPr>
              <w:pStyle w:val="TableTextBullet"/>
            </w:pPr>
            <w:r w:rsidRPr="0006336F">
              <w:t xml:space="preserve">Harness data and digital technologies </w:t>
            </w:r>
          </w:p>
          <w:p w14:paraId="42D834EE" w14:textId="77777777" w:rsidR="00F604B7" w:rsidRPr="0006336F" w:rsidRDefault="00F604B7" w:rsidP="00F604B7">
            <w:pPr>
              <w:pStyle w:val="TableTextBullet"/>
            </w:pPr>
            <w:r w:rsidRPr="0006336F">
              <w:t>Deliver quality care more efficiently</w:t>
            </w:r>
          </w:p>
          <w:p w14:paraId="7B73539E" w14:textId="77777777" w:rsidR="00F604B7" w:rsidRPr="0006336F" w:rsidRDefault="00F604B7" w:rsidP="00F604B7">
            <w:pPr>
              <w:pStyle w:val="TableTextBullet"/>
            </w:pPr>
            <w:r w:rsidRPr="0006336F">
              <w:t xml:space="preserve">Invest in cheaper, cleaner energy and the net zero transformation </w:t>
            </w:r>
          </w:p>
          <w:p w14:paraId="125BC757" w14:textId="5926F60E" w:rsidR="00F604B7" w:rsidRPr="00B241A5" w:rsidRDefault="00F604B7" w:rsidP="00B241A5">
            <w:pPr>
              <w:pStyle w:val="TableTextLeft"/>
              <w:rPr>
                <w:rStyle w:val="Strong"/>
              </w:rPr>
            </w:pPr>
            <w:r w:rsidRPr="00B241A5">
              <w:rPr>
                <w:rStyle w:val="Strong"/>
              </w:rPr>
              <w:t>Embed the fundamentals for secure, well</w:t>
            </w:r>
            <w:r w:rsidR="00B16861">
              <w:rPr>
                <w:rStyle w:val="Strong"/>
              </w:rPr>
              <w:noBreakHyphen/>
            </w:r>
            <w:r w:rsidRPr="00B241A5">
              <w:rPr>
                <w:rStyle w:val="Strong"/>
              </w:rPr>
              <w:t xml:space="preserve">paid jobs </w:t>
            </w:r>
          </w:p>
          <w:p w14:paraId="65FB20A8" w14:textId="768E30F2" w:rsidR="00F604B7" w:rsidRPr="0006336F" w:rsidRDefault="00F604B7" w:rsidP="00F604B7">
            <w:pPr>
              <w:pStyle w:val="TableTextBullet"/>
            </w:pPr>
            <w:r w:rsidRPr="0006336F">
              <w:t xml:space="preserve">Promote labour market dynamism, including </w:t>
            </w:r>
            <w:r w:rsidRPr="0006336F">
              <w:rPr>
                <w:bCs/>
              </w:rPr>
              <w:t>investigating non</w:t>
            </w:r>
            <w:r w:rsidR="00B16861">
              <w:rPr>
                <w:bCs/>
              </w:rPr>
              <w:noBreakHyphen/>
            </w:r>
            <w:r w:rsidRPr="0006336F">
              <w:rPr>
                <w:bCs/>
              </w:rPr>
              <w:t>compete agreements</w:t>
            </w:r>
          </w:p>
          <w:p w14:paraId="6E20B4E1" w14:textId="77777777" w:rsidR="00F604B7" w:rsidRPr="0006336F" w:rsidRDefault="00F604B7" w:rsidP="00F604B7">
            <w:pPr>
              <w:pStyle w:val="TableTextBullet"/>
            </w:pPr>
            <w:r w:rsidRPr="0006336F">
              <w:t>Further address</w:t>
            </w:r>
            <w:r w:rsidRPr="0006336F">
              <w:rPr>
                <w:bCs/>
              </w:rPr>
              <w:t xml:space="preserve"> migrant worker exploitation through Migration Strategy </w:t>
            </w:r>
            <w:r w:rsidRPr="0006336F">
              <w:t>initiatives</w:t>
            </w:r>
          </w:p>
          <w:p w14:paraId="19239911" w14:textId="77C8127F" w:rsidR="00F604B7" w:rsidRPr="0006336F" w:rsidRDefault="00F604B7" w:rsidP="00F604B7">
            <w:pPr>
              <w:pStyle w:val="TableTextBullet"/>
            </w:pPr>
            <w:r w:rsidRPr="0006336F">
              <w:rPr>
                <w:bCs/>
              </w:rPr>
              <w:t>Improve gender equality and safety in the workplace</w:t>
            </w:r>
          </w:p>
        </w:tc>
      </w:tr>
    </w:tbl>
    <w:p w14:paraId="60B807E8" w14:textId="7C70C58D" w:rsidR="004F1FA7" w:rsidRPr="00EA0408" w:rsidRDefault="004F1FA7" w:rsidP="00EA0408"/>
    <w:tbl>
      <w:tblPr>
        <w:tblW w:w="5000" w:type="pct"/>
        <w:tblBorders>
          <w:top w:val="single" w:sz="12" w:space="0" w:color="2C384A" w:themeColor="accent1"/>
          <w:bottom w:val="single" w:sz="12" w:space="0" w:color="2C384A" w:themeColor="accent1"/>
        </w:tblBorders>
        <w:tblLook w:val="01E0" w:firstRow="1" w:lastRow="1" w:firstColumn="1" w:lastColumn="1" w:noHBand="0" w:noVBand="0"/>
      </w:tblPr>
      <w:tblGrid>
        <w:gridCol w:w="3022"/>
        <w:gridCol w:w="3022"/>
        <w:gridCol w:w="3026"/>
      </w:tblGrid>
      <w:tr w:rsidR="0006336F" w:rsidRPr="0006336F" w14:paraId="54A1C2D4" w14:textId="77777777" w:rsidTr="00A05428">
        <w:trPr>
          <w:cantSplit/>
          <w:tblHeader/>
        </w:trPr>
        <w:tc>
          <w:tcPr>
            <w:tcW w:w="5000" w:type="pct"/>
            <w:gridSpan w:val="3"/>
            <w:shd w:val="clear" w:color="auto" w:fill="D2E1F9" w:themeFill="accent5" w:themeFillTint="66"/>
          </w:tcPr>
          <w:p w14:paraId="4A590857" w14:textId="06FA9B99" w:rsidR="0006336F" w:rsidRPr="0006336F" w:rsidRDefault="0006336F" w:rsidP="004F1FA7">
            <w:pPr>
              <w:pStyle w:val="TableColumnHeadingLeft"/>
            </w:pPr>
            <w:r w:rsidRPr="0006336F">
              <w:rPr>
                <w:sz w:val="24"/>
                <w:szCs w:val="22"/>
              </w:rPr>
              <w:lastRenderedPageBreak/>
              <w:t>2 Modernising industry and regional policy</w:t>
            </w:r>
          </w:p>
        </w:tc>
      </w:tr>
      <w:tr w:rsidR="0006336F" w:rsidRPr="0006336F" w14:paraId="5FE28E61" w14:textId="77777777" w:rsidTr="00A05428">
        <w:trPr>
          <w:cantSplit/>
          <w:tblHeader/>
        </w:trPr>
        <w:tc>
          <w:tcPr>
            <w:tcW w:w="1666" w:type="pct"/>
            <w:shd w:val="clear" w:color="auto" w:fill="EEEEEE" w:themeFill="background2"/>
          </w:tcPr>
          <w:p w14:paraId="73D9A43A" w14:textId="3BBC5989" w:rsidR="0006336F" w:rsidRPr="0006336F" w:rsidRDefault="0006336F" w:rsidP="0006336F">
            <w:pPr>
              <w:pStyle w:val="TableColumnHeadingLeft"/>
            </w:pPr>
            <w:r w:rsidRPr="0006336F">
              <w:t xml:space="preserve">Implemented </w:t>
            </w:r>
          </w:p>
        </w:tc>
        <w:tc>
          <w:tcPr>
            <w:tcW w:w="1666" w:type="pct"/>
            <w:shd w:val="clear" w:color="auto" w:fill="EEEEEE" w:themeFill="background2"/>
          </w:tcPr>
          <w:p w14:paraId="7F7E3E9A" w14:textId="43C39DF6" w:rsidR="0006336F" w:rsidRPr="0006336F" w:rsidRDefault="0006336F" w:rsidP="0006336F">
            <w:pPr>
              <w:pStyle w:val="TableColumnHeadingLeft"/>
            </w:pPr>
            <w:r w:rsidRPr="0006336F">
              <w:t>Underway</w:t>
            </w:r>
          </w:p>
        </w:tc>
        <w:tc>
          <w:tcPr>
            <w:tcW w:w="1667" w:type="pct"/>
            <w:shd w:val="clear" w:color="auto" w:fill="EEEEEE" w:themeFill="background2"/>
          </w:tcPr>
          <w:p w14:paraId="29348BC3" w14:textId="428FB1E5" w:rsidR="0006336F" w:rsidRPr="0006336F" w:rsidRDefault="0006336F" w:rsidP="0006336F">
            <w:pPr>
              <w:pStyle w:val="TableColumnHeadingLeft"/>
            </w:pPr>
            <w:r w:rsidRPr="0006336F">
              <w:t>Future reform directions</w:t>
            </w:r>
          </w:p>
        </w:tc>
      </w:tr>
      <w:tr w:rsidR="0006336F" w:rsidRPr="0006336F" w14:paraId="7BF35D99" w14:textId="77777777" w:rsidTr="00A05428">
        <w:trPr>
          <w:cantSplit/>
        </w:trPr>
        <w:tc>
          <w:tcPr>
            <w:tcW w:w="1666" w:type="pct"/>
          </w:tcPr>
          <w:p w14:paraId="32B5C91A" w14:textId="77777777" w:rsidR="0006336F" w:rsidRPr="0006336F" w:rsidRDefault="0006336F" w:rsidP="0006336F">
            <w:pPr>
              <w:pStyle w:val="TableTextLeft"/>
              <w:rPr>
                <w:b/>
                <w:bCs/>
              </w:rPr>
            </w:pPr>
            <w:r w:rsidRPr="0006336F">
              <w:rPr>
                <w:b/>
                <w:bCs/>
              </w:rPr>
              <w:t>Set national priorities</w:t>
            </w:r>
          </w:p>
          <w:p w14:paraId="02F0AF89" w14:textId="1B533ADB" w:rsidR="0006336F" w:rsidRPr="0006336F" w:rsidRDefault="0006336F" w:rsidP="0006336F">
            <w:pPr>
              <w:pStyle w:val="TableTextBullet"/>
            </w:pPr>
            <w:r w:rsidRPr="0006336F">
              <w:t>Legislated emissions reduction targets of 43</w:t>
            </w:r>
            <w:r w:rsidR="00B16861">
              <w:t> per c</w:t>
            </w:r>
            <w:r w:rsidRPr="0006336F">
              <w:t>ent by 2030 and net zero by 2050</w:t>
            </w:r>
          </w:p>
          <w:p w14:paraId="668ABA03" w14:textId="295F6907" w:rsidR="0006336F" w:rsidRPr="0006336F" w:rsidRDefault="0006336F" w:rsidP="0006336F">
            <w:pPr>
              <w:pStyle w:val="TableTextBullet"/>
            </w:pPr>
            <w:r w:rsidRPr="0006336F">
              <w:t>Defined</w:t>
            </w:r>
            <w:r w:rsidRPr="0006336F" w:rsidDel="00515E1B">
              <w:t xml:space="preserve"> </w:t>
            </w:r>
            <w:r w:rsidRPr="0006336F">
              <w:t>seven national priority areas through the National Reconstruction Fund, ranging from value</w:t>
            </w:r>
            <w:r w:rsidR="00B16861">
              <w:noBreakHyphen/>
            </w:r>
            <w:r w:rsidRPr="0006336F">
              <w:t>add in resources to medical science</w:t>
            </w:r>
          </w:p>
          <w:p w14:paraId="730EFB7A" w14:textId="77777777" w:rsidR="0006336F" w:rsidRPr="0006336F" w:rsidRDefault="0006336F" w:rsidP="0006336F">
            <w:pPr>
              <w:pStyle w:val="TableTextBullet"/>
            </w:pPr>
            <w:r w:rsidRPr="0006336F">
              <w:t>Established the Critical Technologies List, including AI, quantum, robotics, advanced manufacturing, clean energy tech and biotechnology</w:t>
            </w:r>
          </w:p>
          <w:p w14:paraId="20D267DD" w14:textId="77777777" w:rsidR="0006336F" w:rsidRPr="0006336F" w:rsidRDefault="0006336F" w:rsidP="0006336F">
            <w:pPr>
              <w:pStyle w:val="TableTextBullet"/>
            </w:pPr>
            <w:r w:rsidRPr="0006336F">
              <w:t>Introduced the Regional Investment Framework to ensure investments are delivering for regions</w:t>
            </w:r>
          </w:p>
          <w:p w14:paraId="42E75C88" w14:textId="77777777" w:rsidR="0006336F" w:rsidRPr="0006336F" w:rsidRDefault="0006336F" w:rsidP="0006336F">
            <w:pPr>
              <w:pStyle w:val="TableTextBullet"/>
            </w:pPr>
            <w:r w:rsidRPr="0006336F">
              <w:t>Established the National Energy Transformation Partnership and National Transformation Principles with states and territories to coordinate the renewable energy and broader net zero transition</w:t>
            </w:r>
          </w:p>
          <w:p w14:paraId="40D59FAE" w14:textId="3B3FB309" w:rsidR="0006336F" w:rsidRPr="0006336F" w:rsidRDefault="0006336F" w:rsidP="0006336F">
            <w:pPr>
              <w:pStyle w:val="TableTextBullet"/>
            </w:pPr>
            <w:r w:rsidRPr="0006336F">
              <w:t xml:space="preserve">Established </w:t>
            </w:r>
            <w:r w:rsidR="008C19C3">
              <w:t xml:space="preserve">the </w:t>
            </w:r>
            <w:r w:rsidRPr="0006336F">
              <w:t xml:space="preserve">National Cyber Security Coordinator </w:t>
            </w:r>
          </w:p>
          <w:p w14:paraId="5E5B9A9E" w14:textId="331EFD5C" w:rsidR="0006336F" w:rsidRPr="0006336F" w:rsidRDefault="0006336F" w:rsidP="0006336F">
            <w:pPr>
              <w:pStyle w:val="TableTextBullet"/>
            </w:pPr>
            <w:r w:rsidRPr="0006336F">
              <w:t>Made targeted investments in priority areas, including $100</w:t>
            </w:r>
            <w:r w:rsidR="000F0ED2">
              <w:t> million</w:t>
            </w:r>
            <w:r w:rsidRPr="0006336F">
              <w:t xml:space="preserve"> equity investment in the Australian Made Battery precinct</w:t>
            </w:r>
          </w:p>
          <w:p w14:paraId="367CE1F5" w14:textId="44500207" w:rsidR="0006336F" w:rsidRPr="0006336F" w:rsidRDefault="0006336F" w:rsidP="00080E00">
            <w:pPr>
              <w:pStyle w:val="TableTextBullet"/>
            </w:pPr>
            <w:r w:rsidRPr="0006336F">
              <w:t>Established Music Australia and Creative Workplaces, and delivered a National Cultur</w:t>
            </w:r>
            <w:r w:rsidR="008C19C3">
              <w:t>al</w:t>
            </w:r>
            <w:r w:rsidRPr="0006336F">
              <w:t xml:space="preserve"> Policy</w:t>
            </w:r>
          </w:p>
        </w:tc>
        <w:tc>
          <w:tcPr>
            <w:tcW w:w="1666" w:type="pct"/>
          </w:tcPr>
          <w:p w14:paraId="0F6527B1" w14:textId="77777777" w:rsidR="0006336F" w:rsidRPr="0006336F" w:rsidRDefault="0006336F" w:rsidP="0006336F">
            <w:pPr>
              <w:pStyle w:val="TableTextLeft"/>
              <w:rPr>
                <w:b/>
                <w:bCs/>
              </w:rPr>
            </w:pPr>
            <w:r w:rsidRPr="0006336F">
              <w:rPr>
                <w:b/>
                <w:bCs/>
              </w:rPr>
              <w:t>Coordinating strategic investment</w:t>
            </w:r>
          </w:p>
          <w:p w14:paraId="36B06D8B" w14:textId="77777777" w:rsidR="0006336F" w:rsidRPr="0006336F" w:rsidRDefault="0006336F" w:rsidP="0006336F">
            <w:pPr>
              <w:pStyle w:val="TableTextBullet"/>
            </w:pPr>
            <w:r w:rsidRPr="0006336F">
              <w:t>Convening investor roundtables to unlock investment in priority areas</w:t>
            </w:r>
          </w:p>
          <w:p w14:paraId="296748D6" w14:textId="4C6A9BE3" w:rsidR="0006336F" w:rsidRPr="0006336F" w:rsidRDefault="0006336F" w:rsidP="0006336F">
            <w:pPr>
              <w:pStyle w:val="TableTextBullet"/>
              <w:rPr>
                <w:rFonts w:ascii="Times New Roman" w:eastAsiaTheme="minorHAnsi" w:hAnsi="Times New Roman"/>
                <w:sz w:val="16"/>
                <w:szCs w:val="16"/>
              </w:rPr>
            </w:pPr>
            <w:r w:rsidRPr="0006336F">
              <w:t>Invest</w:t>
            </w:r>
            <w:r w:rsidR="000B7DA9">
              <w:t>ing</w:t>
            </w:r>
            <w:r w:rsidRPr="0006336F">
              <w:t xml:space="preserve"> in net zero through initiatives like the Capacity Investment Scheme</w:t>
            </w:r>
          </w:p>
          <w:p w14:paraId="7A61FD53" w14:textId="77777777" w:rsidR="0006336F" w:rsidRPr="0006336F" w:rsidRDefault="0006336F" w:rsidP="0006336F">
            <w:pPr>
              <w:pStyle w:val="TableTextBullet"/>
              <w:rPr>
                <w:rFonts w:eastAsiaTheme="minorHAnsi"/>
              </w:rPr>
            </w:pPr>
            <w:r w:rsidRPr="0006336F">
              <w:t>Establishing a Sustainable Finance Strategy to attract green finance</w:t>
            </w:r>
          </w:p>
          <w:p w14:paraId="1C405337" w14:textId="77777777" w:rsidR="0006336F" w:rsidRPr="0006336F" w:rsidRDefault="0006336F" w:rsidP="0006336F">
            <w:pPr>
              <w:pStyle w:val="TableTextBullet"/>
            </w:pPr>
            <w:r w:rsidRPr="0006336F">
              <w:t>Rebuilding capabilities through the National Reconstruction Fund and the Industry Growth Program</w:t>
            </w:r>
          </w:p>
          <w:p w14:paraId="6AC51468" w14:textId="46C2B4EF" w:rsidR="0006336F" w:rsidRPr="0006336F" w:rsidRDefault="0006336F" w:rsidP="0006336F">
            <w:pPr>
              <w:pStyle w:val="TableTextBullet"/>
            </w:pPr>
            <w:r w:rsidRPr="0006336F">
              <w:t>Refreshing Australia</w:t>
            </w:r>
            <w:r w:rsidR="00B16861">
              <w:t>’</w:t>
            </w:r>
            <w:r w:rsidRPr="0006336F">
              <w:t xml:space="preserve">s National Science and Research Priorities </w:t>
            </w:r>
          </w:p>
          <w:p w14:paraId="25ACD929" w14:textId="77777777" w:rsidR="0006336F" w:rsidRPr="0006336F" w:rsidRDefault="0006336F" w:rsidP="0006336F">
            <w:pPr>
              <w:pStyle w:val="TableTextBullet"/>
            </w:pPr>
            <w:r w:rsidRPr="0006336F">
              <w:t>Developing strategies for AI and cyber security</w:t>
            </w:r>
          </w:p>
          <w:p w14:paraId="7313CBA3" w14:textId="77777777" w:rsidR="0006336F" w:rsidRPr="0006336F" w:rsidRDefault="0006336F" w:rsidP="0006336F">
            <w:pPr>
              <w:pStyle w:val="TableTextBullet"/>
            </w:pPr>
            <w:r w:rsidRPr="0006336F">
              <w:t xml:space="preserve">Delivering the Buy Australian Plan </w:t>
            </w:r>
          </w:p>
          <w:p w14:paraId="597832EF" w14:textId="4C74DCB8" w:rsidR="0006336F" w:rsidRPr="0006336F" w:rsidRDefault="0006336F" w:rsidP="0006336F">
            <w:pPr>
              <w:pStyle w:val="TableTextBullet"/>
              <w:rPr>
                <w:rFonts w:ascii="Times New Roman" w:eastAsiaTheme="minorHAnsi" w:hAnsi="Times New Roman"/>
                <w:sz w:val="20"/>
              </w:rPr>
            </w:pPr>
            <w:r w:rsidRPr="0006336F">
              <w:rPr>
                <w:szCs w:val="16"/>
              </w:rPr>
              <w:t>Supporting Australia</w:t>
            </w:r>
            <w:r w:rsidR="00B16861">
              <w:rPr>
                <w:szCs w:val="16"/>
              </w:rPr>
              <w:t>’</w:t>
            </w:r>
            <w:r w:rsidRPr="0006336F">
              <w:rPr>
                <w:szCs w:val="16"/>
              </w:rPr>
              <w:t xml:space="preserve">s transition to a circular economy by 2030 </w:t>
            </w:r>
          </w:p>
          <w:p w14:paraId="7346EB70" w14:textId="77777777" w:rsidR="0006336F" w:rsidRPr="0006336F" w:rsidRDefault="0006336F" w:rsidP="0006336F">
            <w:pPr>
              <w:pStyle w:val="TableTextLeft"/>
              <w:rPr>
                <w:b/>
                <w:bCs/>
              </w:rPr>
            </w:pPr>
            <w:r w:rsidRPr="0006336F">
              <w:rPr>
                <w:b/>
                <w:bCs/>
              </w:rPr>
              <w:t>Investing in modern infrastructure</w:t>
            </w:r>
          </w:p>
          <w:p w14:paraId="02C3281E" w14:textId="30EB2909" w:rsidR="0006336F" w:rsidRPr="0006336F" w:rsidRDefault="0006336F" w:rsidP="0006336F">
            <w:pPr>
              <w:pStyle w:val="TableTextBullet"/>
            </w:pPr>
            <w:r w:rsidRPr="0006336F">
              <w:t>$120</w:t>
            </w:r>
            <w:r w:rsidR="000F0ED2">
              <w:t> billion</w:t>
            </w:r>
            <w:r w:rsidRPr="0006336F">
              <w:t xml:space="preserve"> infrastructure pipeline focused on improving productivity, supply chains and economic growth</w:t>
            </w:r>
          </w:p>
          <w:p w14:paraId="13E6C744" w14:textId="301C0BAB" w:rsidR="0006336F" w:rsidRPr="0006336F" w:rsidRDefault="0006336F" w:rsidP="0006336F">
            <w:pPr>
              <w:pStyle w:val="TableTextBullet"/>
            </w:pPr>
            <w:r w:rsidRPr="0006336F">
              <w:t>$20</w:t>
            </w:r>
            <w:r w:rsidR="000F0ED2">
              <w:t> billion</w:t>
            </w:r>
            <w:r w:rsidRPr="0006336F">
              <w:t xml:space="preserve"> Rewiring the Nation to modernise our electricity grid </w:t>
            </w:r>
          </w:p>
          <w:p w14:paraId="1777304F" w14:textId="6666F295" w:rsidR="0006336F" w:rsidRPr="0006336F" w:rsidRDefault="0006336F" w:rsidP="0006336F">
            <w:pPr>
              <w:pStyle w:val="TableTextBullet"/>
            </w:pPr>
            <w:r w:rsidRPr="0006336F">
              <w:t>$1.1</w:t>
            </w:r>
            <w:r w:rsidR="000F0ED2">
              <w:t> billion</w:t>
            </w:r>
            <w:r w:rsidRPr="0006336F">
              <w:t xml:space="preserve"> Better Connectivity Plan to boost digital foundations </w:t>
            </w:r>
          </w:p>
          <w:p w14:paraId="5284FE72" w14:textId="470D99B1" w:rsidR="0006336F" w:rsidRPr="0006336F" w:rsidRDefault="0006336F" w:rsidP="0006336F">
            <w:pPr>
              <w:pStyle w:val="TableTextBullet"/>
            </w:pPr>
            <w:r w:rsidRPr="0006336F">
              <w:t>$4</w:t>
            </w:r>
            <w:r w:rsidR="000F0ED2">
              <w:t> billion</w:t>
            </w:r>
            <w:r w:rsidRPr="0006336F">
              <w:t xml:space="preserve"> in Northern Australia Infrastructure Facility </w:t>
            </w:r>
          </w:p>
          <w:p w14:paraId="53223AA6" w14:textId="347EA3F2" w:rsidR="0006336F" w:rsidRPr="0006336F" w:rsidRDefault="0006336F" w:rsidP="0006336F">
            <w:pPr>
              <w:pStyle w:val="TableTextBullet"/>
            </w:pPr>
            <w:r w:rsidRPr="0006336F">
              <w:t>$1</w:t>
            </w:r>
            <w:r w:rsidR="000F0ED2">
              <w:t> billion</w:t>
            </w:r>
            <w:r w:rsidRPr="0006336F">
              <w:t xml:space="preserve"> in the Growing Regions and Regional Precincts and Partnerships Program</w:t>
            </w:r>
          </w:p>
          <w:p w14:paraId="6330C6F9" w14:textId="5B54A050" w:rsidR="0006336F" w:rsidRPr="0006336F" w:rsidRDefault="0006336F" w:rsidP="0006336F">
            <w:pPr>
              <w:pStyle w:val="TableTextBullet"/>
            </w:pPr>
            <w:r w:rsidRPr="0006336F">
              <w:t>Delivering a mission</w:t>
            </w:r>
            <w:r w:rsidR="00B16861">
              <w:noBreakHyphen/>
            </w:r>
            <w:r w:rsidRPr="0006336F">
              <w:t>based approach to innovation through $3.4</w:t>
            </w:r>
            <w:r w:rsidR="000F0ED2">
              <w:t> billion</w:t>
            </w:r>
            <w:r w:rsidRPr="0006336F">
              <w:t xml:space="preserve"> Defence Advanced Strategic Capabilities Accelerator</w:t>
            </w:r>
          </w:p>
          <w:p w14:paraId="2E458556" w14:textId="614E2209" w:rsidR="0006336F" w:rsidRPr="0006336F" w:rsidRDefault="0006336F" w:rsidP="0006336F">
            <w:pPr>
              <w:pStyle w:val="TableTextBullet"/>
            </w:pPr>
            <w:r w:rsidRPr="0006336F">
              <w:t>Strengthening biosecurity and disaster resilience systems</w:t>
            </w:r>
          </w:p>
        </w:tc>
        <w:tc>
          <w:tcPr>
            <w:tcW w:w="1667" w:type="pct"/>
          </w:tcPr>
          <w:p w14:paraId="0313CF73" w14:textId="77777777" w:rsidR="0006336F" w:rsidRPr="0006336F" w:rsidRDefault="0006336F" w:rsidP="0006336F">
            <w:pPr>
              <w:pStyle w:val="TableTextLeft"/>
              <w:rPr>
                <w:b/>
                <w:bCs/>
              </w:rPr>
            </w:pPr>
            <w:r w:rsidRPr="0006336F">
              <w:rPr>
                <w:b/>
                <w:bCs/>
              </w:rPr>
              <w:t>Back people, regions and industries</w:t>
            </w:r>
          </w:p>
          <w:p w14:paraId="2A0A16B8" w14:textId="77777777" w:rsidR="0006336F" w:rsidRPr="0006336F" w:rsidRDefault="0006336F" w:rsidP="0006336F">
            <w:pPr>
              <w:pStyle w:val="TableTextBullet"/>
            </w:pPr>
            <w:r w:rsidRPr="0006336F">
              <w:t>Invest in people, their mobility and adaptability</w:t>
            </w:r>
          </w:p>
          <w:p w14:paraId="601648B3" w14:textId="77777777" w:rsidR="0006336F" w:rsidRPr="0006336F" w:rsidRDefault="0006336F" w:rsidP="0006336F">
            <w:pPr>
              <w:pStyle w:val="TableTextBullet"/>
            </w:pPr>
            <w:r w:rsidRPr="0006336F">
              <w:t>Invest in places, especially through periods of transition</w:t>
            </w:r>
          </w:p>
          <w:p w14:paraId="51EFE0E4" w14:textId="690E3A22" w:rsidR="0006336F" w:rsidRPr="0006336F" w:rsidRDefault="0006336F" w:rsidP="0006336F">
            <w:pPr>
              <w:pStyle w:val="TableTextBullet"/>
              <w:rPr>
                <w:rFonts w:ascii="Calibri" w:hAnsi="Calibri"/>
              </w:rPr>
            </w:pPr>
            <w:r w:rsidRPr="0006336F">
              <w:t>Broaden and deepen Australia</w:t>
            </w:r>
            <w:r w:rsidR="00B16861">
              <w:t>’</w:t>
            </w:r>
            <w:r w:rsidRPr="0006336F">
              <w:t>s industrial base, including through the Critical Minerals Strategy and National Battery Strategy</w:t>
            </w:r>
          </w:p>
          <w:p w14:paraId="7A937586" w14:textId="77777777" w:rsidR="0006336F" w:rsidRPr="0006336F" w:rsidRDefault="0006336F" w:rsidP="0006336F">
            <w:pPr>
              <w:pStyle w:val="TableTextLeft"/>
              <w:rPr>
                <w:b/>
                <w:bCs/>
              </w:rPr>
            </w:pPr>
            <w:r w:rsidRPr="0006336F">
              <w:rPr>
                <w:b/>
                <w:bCs/>
              </w:rPr>
              <w:t>Become a renewable energy superpower</w:t>
            </w:r>
          </w:p>
          <w:p w14:paraId="061088B3" w14:textId="48920261" w:rsidR="0006336F" w:rsidRPr="0006336F" w:rsidRDefault="0006336F" w:rsidP="0006336F">
            <w:pPr>
              <w:pStyle w:val="TableTextBullet"/>
            </w:pPr>
            <w:r w:rsidRPr="0006336F">
              <w:t xml:space="preserve">Set strong foundations for a net zero economy, </w:t>
            </w:r>
            <w:r w:rsidR="00BE04A7">
              <w:t>including through</w:t>
            </w:r>
            <w:r w:rsidR="00BE04A7" w:rsidRPr="0006336F">
              <w:t xml:space="preserve"> </w:t>
            </w:r>
            <w:r w:rsidRPr="0006336F">
              <w:t>sectoral decarbonisation plans</w:t>
            </w:r>
          </w:p>
          <w:p w14:paraId="4358E79C" w14:textId="77777777" w:rsidR="0006336F" w:rsidRPr="0006336F" w:rsidRDefault="0006336F" w:rsidP="0006336F">
            <w:pPr>
              <w:pStyle w:val="TableTextBullet"/>
            </w:pPr>
            <w:r w:rsidRPr="0006336F">
              <w:t>Realise net zero industrial opportunities</w:t>
            </w:r>
          </w:p>
          <w:p w14:paraId="44BA286F" w14:textId="5701A4F8" w:rsidR="0006336F" w:rsidRPr="0006336F" w:rsidRDefault="0006336F" w:rsidP="0006336F">
            <w:pPr>
              <w:pStyle w:val="TableTextBullet"/>
            </w:pPr>
            <w:r w:rsidRPr="0006336F">
              <w:t xml:space="preserve">Provide strategic coordination through the </w:t>
            </w:r>
            <w:r w:rsidR="000F0ED2">
              <w:t>Net Zero</w:t>
            </w:r>
            <w:r w:rsidRPr="0006336F">
              <w:t xml:space="preserve"> Authority</w:t>
            </w:r>
          </w:p>
          <w:p w14:paraId="34ADFF38" w14:textId="77777777" w:rsidR="0006336F" w:rsidRPr="0006336F" w:rsidRDefault="0006336F" w:rsidP="0006336F">
            <w:pPr>
              <w:pStyle w:val="TableTextLeft"/>
              <w:rPr>
                <w:b/>
                <w:bCs/>
              </w:rPr>
            </w:pPr>
            <w:r w:rsidRPr="0006336F">
              <w:rPr>
                <w:b/>
                <w:bCs/>
              </w:rPr>
              <w:t>Promote tech adoption</w:t>
            </w:r>
          </w:p>
          <w:p w14:paraId="1224D978" w14:textId="77777777" w:rsidR="0006336F" w:rsidRPr="0006336F" w:rsidRDefault="0006336F" w:rsidP="0006336F">
            <w:pPr>
              <w:pStyle w:val="TableTextBullet"/>
            </w:pPr>
            <w:r w:rsidRPr="0006336F">
              <w:t>Support businesses to adopt technologies</w:t>
            </w:r>
          </w:p>
          <w:p w14:paraId="2AB78711" w14:textId="77777777" w:rsidR="0006336F" w:rsidRPr="0006336F" w:rsidRDefault="0006336F" w:rsidP="0006336F">
            <w:pPr>
              <w:pStyle w:val="TableTextBullet"/>
            </w:pPr>
            <w:r w:rsidRPr="0006336F">
              <w:t>Foster an innovative science and technology sector</w:t>
            </w:r>
          </w:p>
          <w:p w14:paraId="5DC57309" w14:textId="77777777" w:rsidR="0006336F" w:rsidRPr="0006336F" w:rsidRDefault="0006336F" w:rsidP="0006336F">
            <w:pPr>
              <w:pStyle w:val="TableTextBullet"/>
            </w:pPr>
            <w:r w:rsidRPr="0006336F">
              <w:t>Build trust and certainty in technologies, including by developing responsible AI guardrails and cyber security capabilities</w:t>
            </w:r>
          </w:p>
          <w:p w14:paraId="24D4349E" w14:textId="7A470C53" w:rsidR="0006336F" w:rsidRPr="0006336F" w:rsidRDefault="0006336F" w:rsidP="00080E00">
            <w:pPr>
              <w:pStyle w:val="TableTextBullet"/>
            </w:pPr>
            <w:r w:rsidRPr="0006336F">
              <w:t>Improve access to digital skills</w:t>
            </w:r>
          </w:p>
        </w:tc>
      </w:tr>
    </w:tbl>
    <w:p w14:paraId="425AAC5F" w14:textId="402178F8" w:rsidR="004F1FA7" w:rsidRPr="00EA0408" w:rsidRDefault="004F1FA7" w:rsidP="00EA0408"/>
    <w:tbl>
      <w:tblPr>
        <w:tblW w:w="5000" w:type="pct"/>
        <w:tblBorders>
          <w:top w:val="single" w:sz="12" w:space="0" w:color="2C384A" w:themeColor="accent1"/>
          <w:bottom w:val="single" w:sz="12" w:space="0" w:color="2C384A" w:themeColor="accent1"/>
        </w:tblBorders>
        <w:tblLook w:val="01E0" w:firstRow="1" w:lastRow="1" w:firstColumn="1" w:lastColumn="1" w:noHBand="0" w:noVBand="0"/>
      </w:tblPr>
      <w:tblGrid>
        <w:gridCol w:w="3022"/>
        <w:gridCol w:w="3022"/>
        <w:gridCol w:w="3026"/>
      </w:tblGrid>
      <w:tr w:rsidR="0006336F" w:rsidRPr="0006336F" w14:paraId="48397781" w14:textId="77777777" w:rsidTr="00A05428">
        <w:trPr>
          <w:cantSplit/>
          <w:tblHeader/>
        </w:trPr>
        <w:tc>
          <w:tcPr>
            <w:tcW w:w="5000" w:type="pct"/>
            <w:gridSpan w:val="3"/>
            <w:shd w:val="clear" w:color="auto" w:fill="D2E1F9" w:themeFill="accent5" w:themeFillTint="66"/>
          </w:tcPr>
          <w:p w14:paraId="49FB4957" w14:textId="6078560C" w:rsidR="0006336F" w:rsidRPr="0006336F" w:rsidRDefault="0006336F" w:rsidP="004F1FA7">
            <w:pPr>
              <w:pStyle w:val="TableColumnHeadingLeft"/>
            </w:pPr>
            <w:r w:rsidRPr="0006336F">
              <w:rPr>
                <w:bCs/>
                <w:sz w:val="24"/>
                <w:szCs w:val="22"/>
              </w:rPr>
              <w:lastRenderedPageBreak/>
              <w:t>3 Planning for our future workforce</w:t>
            </w:r>
          </w:p>
        </w:tc>
      </w:tr>
      <w:tr w:rsidR="0006336F" w:rsidRPr="0006336F" w14:paraId="77B10D64" w14:textId="77777777" w:rsidTr="00A05428">
        <w:trPr>
          <w:cantSplit/>
          <w:tblHeader/>
        </w:trPr>
        <w:tc>
          <w:tcPr>
            <w:tcW w:w="1666" w:type="pct"/>
            <w:shd w:val="clear" w:color="auto" w:fill="EEEEEE" w:themeFill="background2"/>
          </w:tcPr>
          <w:p w14:paraId="5103D892" w14:textId="060419B3" w:rsidR="0006336F" w:rsidRPr="0006336F" w:rsidRDefault="0006336F" w:rsidP="0006336F">
            <w:pPr>
              <w:pStyle w:val="TableColumnHeadingLeft"/>
            </w:pPr>
            <w:r w:rsidRPr="0006336F">
              <w:t xml:space="preserve">Implemented </w:t>
            </w:r>
          </w:p>
        </w:tc>
        <w:tc>
          <w:tcPr>
            <w:tcW w:w="1666" w:type="pct"/>
            <w:shd w:val="clear" w:color="auto" w:fill="EEEEEE" w:themeFill="background2"/>
          </w:tcPr>
          <w:p w14:paraId="1B983667" w14:textId="665A9A14" w:rsidR="0006336F" w:rsidRPr="0006336F" w:rsidRDefault="0006336F" w:rsidP="0006336F">
            <w:pPr>
              <w:pStyle w:val="TableColumnHeadingLeft"/>
            </w:pPr>
            <w:r w:rsidRPr="0006336F">
              <w:t>Underway</w:t>
            </w:r>
          </w:p>
        </w:tc>
        <w:tc>
          <w:tcPr>
            <w:tcW w:w="1667" w:type="pct"/>
            <w:shd w:val="clear" w:color="auto" w:fill="EEEEEE" w:themeFill="background2"/>
          </w:tcPr>
          <w:p w14:paraId="396BCD55" w14:textId="3CD5D7FE" w:rsidR="0006336F" w:rsidRPr="0006336F" w:rsidRDefault="0006336F" w:rsidP="0006336F">
            <w:pPr>
              <w:pStyle w:val="TableColumnHeadingLeft"/>
            </w:pPr>
            <w:r w:rsidRPr="0006336F">
              <w:t>Future reform directions</w:t>
            </w:r>
          </w:p>
        </w:tc>
      </w:tr>
      <w:tr w:rsidR="0006336F" w:rsidRPr="0006336F" w14:paraId="682FB24D" w14:textId="77777777" w:rsidTr="00A05428">
        <w:trPr>
          <w:cantSplit/>
        </w:trPr>
        <w:tc>
          <w:tcPr>
            <w:tcW w:w="1666" w:type="pct"/>
          </w:tcPr>
          <w:p w14:paraId="1EB700D8" w14:textId="77777777" w:rsidR="0006336F" w:rsidRPr="0006336F" w:rsidRDefault="0006336F" w:rsidP="0006336F">
            <w:pPr>
              <w:pStyle w:val="TableTextLeft"/>
              <w:rPr>
                <w:b/>
                <w:bCs/>
              </w:rPr>
            </w:pPr>
            <w:r w:rsidRPr="0006336F">
              <w:rPr>
                <w:b/>
              </w:rPr>
              <w:t>Leverag</w:t>
            </w:r>
            <w:r w:rsidRPr="0006336F">
              <w:rPr>
                <w:b/>
                <w:bCs/>
              </w:rPr>
              <w:t>ed workforce planning</w:t>
            </w:r>
          </w:p>
          <w:p w14:paraId="6DA81444" w14:textId="53CF6334" w:rsidR="0006336F" w:rsidRPr="0006336F" w:rsidRDefault="0006336F" w:rsidP="0006336F">
            <w:pPr>
              <w:pStyle w:val="TableTextBullet"/>
            </w:pPr>
            <w:r w:rsidRPr="0006336F">
              <w:t>Established Jobs and Skills Australia and 10 new, industry</w:t>
            </w:r>
            <w:r w:rsidR="00B16861">
              <w:noBreakHyphen/>
            </w:r>
            <w:r w:rsidRPr="0006336F">
              <w:t xml:space="preserve">specific tripartite Jobs and Skills Councils </w:t>
            </w:r>
          </w:p>
          <w:p w14:paraId="641E5E93" w14:textId="77777777" w:rsidR="0006336F" w:rsidRPr="0006336F" w:rsidRDefault="0006336F" w:rsidP="0006336F">
            <w:pPr>
              <w:pStyle w:val="TableTextBullet"/>
            </w:pPr>
            <w:r w:rsidRPr="0006336F">
              <w:t>Launched the National Teacher Workforce Action Plan</w:t>
            </w:r>
          </w:p>
          <w:p w14:paraId="7C1F2090" w14:textId="632D6E7B" w:rsidR="0006336F" w:rsidRPr="0006336F" w:rsidRDefault="0006336F" w:rsidP="0006336F">
            <w:pPr>
              <w:pStyle w:val="TableTextBullet"/>
            </w:pPr>
            <w:r w:rsidRPr="0006336F">
              <w:t>Established</w:t>
            </w:r>
            <w:r w:rsidR="00E02350">
              <w:t xml:space="preserve"> a</w:t>
            </w:r>
            <w:r w:rsidRPr="0006336F">
              <w:t xml:space="preserve"> tripartite Agricultural Workforce Working Group</w:t>
            </w:r>
          </w:p>
          <w:p w14:paraId="51313B7B" w14:textId="2472215A" w:rsidR="0006336F" w:rsidRPr="0006336F" w:rsidRDefault="00601643" w:rsidP="0006336F">
            <w:pPr>
              <w:pStyle w:val="TableTextBullet"/>
            </w:pPr>
            <w:r>
              <w:t>Instituted a</w:t>
            </w:r>
            <w:r w:rsidR="0006336F" w:rsidRPr="0006336F">
              <w:t xml:space="preserve"> new annual Jobs and Skills Report by Jobs and Skills Australia </w:t>
            </w:r>
          </w:p>
          <w:p w14:paraId="68C3D198" w14:textId="77777777" w:rsidR="0006336F" w:rsidRPr="0006336F" w:rsidRDefault="0006336F" w:rsidP="0006336F">
            <w:pPr>
              <w:pStyle w:val="TableTextLeft"/>
              <w:rPr>
                <w:b/>
                <w:bCs/>
              </w:rPr>
            </w:pPr>
            <w:r w:rsidRPr="0006336F">
              <w:rPr>
                <w:b/>
                <w:bCs/>
              </w:rPr>
              <w:t>Targeted workforce shortages</w:t>
            </w:r>
          </w:p>
          <w:p w14:paraId="3B4CB459" w14:textId="4B78A940" w:rsidR="0006336F" w:rsidRPr="0006336F" w:rsidRDefault="0006336F" w:rsidP="0006336F">
            <w:pPr>
              <w:pStyle w:val="TableTextBullet"/>
            </w:pPr>
            <w:r w:rsidRPr="0006336F">
              <w:t>Delivered around 215,000 Fee</w:t>
            </w:r>
            <w:r w:rsidR="00B16861">
              <w:noBreakHyphen/>
            </w:r>
            <w:r w:rsidRPr="0006336F">
              <w:t xml:space="preserve">Free TAFE enrolments with the states and territories in areas of skills shortage </w:t>
            </w:r>
          </w:p>
          <w:p w14:paraId="08AF850A" w14:textId="49763291" w:rsidR="0006336F" w:rsidRPr="0006336F" w:rsidRDefault="0006336F" w:rsidP="0006336F">
            <w:pPr>
              <w:pStyle w:val="TableTextBullet"/>
            </w:pPr>
            <w:r w:rsidRPr="0006336F">
              <w:t xml:space="preserve">Established </w:t>
            </w:r>
            <w:r w:rsidR="006102B4">
              <w:t xml:space="preserve">an </w:t>
            </w:r>
            <w:r w:rsidRPr="0006336F">
              <w:t>Industry Labour Agreement for Aged Care</w:t>
            </w:r>
          </w:p>
          <w:p w14:paraId="508F87C8" w14:textId="567EB958" w:rsidR="0006336F" w:rsidRPr="0006336F" w:rsidRDefault="0006336F" w:rsidP="0006336F">
            <w:pPr>
              <w:pStyle w:val="TableTextBullet"/>
            </w:pPr>
            <w:r w:rsidRPr="0006336F">
              <w:t>Expanded the Australian Apprentice Support Loans to non</w:t>
            </w:r>
            <w:r w:rsidR="00B16861">
              <w:noBreakHyphen/>
            </w:r>
            <w:r w:rsidRPr="0006336F">
              <w:t xml:space="preserve">trade priority occupations </w:t>
            </w:r>
          </w:p>
          <w:p w14:paraId="2D58D182" w14:textId="5699488C" w:rsidR="0006336F" w:rsidRPr="0006336F" w:rsidRDefault="0006336F" w:rsidP="0006336F">
            <w:pPr>
              <w:pStyle w:val="TableTextBullet"/>
            </w:pPr>
            <w:r w:rsidRPr="0006336F">
              <w:t>Invested in workforce skills and training measures for the early childhood education and care sector</w:t>
            </w:r>
          </w:p>
          <w:p w14:paraId="295ADC68" w14:textId="6C59F995" w:rsidR="0006336F" w:rsidRPr="0006336F" w:rsidRDefault="0006336F" w:rsidP="0006336F">
            <w:pPr>
              <w:pStyle w:val="TableTextBullet"/>
            </w:pPr>
            <w:r w:rsidRPr="0006336F">
              <w:t>Funded an interim 15</w:t>
            </w:r>
            <w:r w:rsidR="00B16861">
              <w:t> per c</w:t>
            </w:r>
            <w:r w:rsidRPr="0006336F">
              <w:t>ent pay increase for aged care workers to attract and retain staff in the sector</w:t>
            </w:r>
          </w:p>
        </w:tc>
        <w:tc>
          <w:tcPr>
            <w:tcW w:w="1666" w:type="pct"/>
          </w:tcPr>
          <w:p w14:paraId="19D8A158" w14:textId="77777777" w:rsidR="0006336F" w:rsidRPr="0006336F" w:rsidRDefault="0006336F" w:rsidP="0006336F">
            <w:pPr>
              <w:pStyle w:val="TableTextLeft"/>
              <w:rPr>
                <w:b/>
                <w:bCs/>
              </w:rPr>
            </w:pPr>
            <w:r w:rsidRPr="0006336F">
              <w:rPr>
                <w:b/>
                <w:bCs/>
              </w:rPr>
              <w:t>Tailoring industry specific solutions</w:t>
            </w:r>
          </w:p>
          <w:p w14:paraId="26B2768D" w14:textId="77777777" w:rsidR="0006336F" w:rsidRPr="0006336F" w:rsidRDefault="0006336F" w:rsidP="0006336F">
            <w:pPr>
              <w:pStyle w:val="TableTextBullet"/>
            </w:pPr>
            <w:r w:rsidRPr="0006336F">
              <w:t xml:space="preserve">Developing a National Strategy for the Care and Support Economy, with an early focus on our regulatory settings </w:t>
            </w:r>
          </w:p>
          <w:p w14:paraId="277AC0F0" w14:textId="6454FC25" w:rsidR="0006336F" w:rsidRPr="0006336F" w:rsidRDefault="0006336F" w:rsidP="0006336F">
            <w:pPr>
              <w:pStyle w:val="TableTextBullet"/>
            </w:pPr>
            <w:r w:rsidRPr="0006336F">
              <w:t>Working towards 1.2</w:t>
            </w:r>
            <w:r w:rsidR="000F0ED2">
              <w:t> million</w:t>
            </w:r>
            <w:r w:rsidRPr="0006336F">
              <w:t xml:space="preserve"> tech</w:t>
            </w:r>
            <w:r w:rsidR="00B16861">
              <w:noBreakHyphen/>
            </w:r>
            <w:r w:rsidRPr="0006336F">
              <w:t xml:space="preserve">related jobs by 2030 </w:t>
            </w:r>
          </w:p>
          <w:p w14:paraId="2B487621" w14:textId="701F4E7E" w:rsidR="0006336F" w:rsidRPr="0006336F" w:rsidRDefault="0006336F" w:rsidP="0006336F">
            <w:pPr>
              <w:pStyle w:val="TableTextBullet"/>
            </w:pPr>
            <w:r w:rsidRPr="0006336F">
              <w:t>Delivering a further 300,000 Fee</w:t>
            </w:r>
            <w:r w:rsidR="00B16861">
              <w:noBreakHyphen/>
            </w:r>
            <w:r w:rsidRPr="0006336F">
              <w:t xml:space="preserve">Free TAFE places in areas of skills shortage from 2024 </w:t>
            </w:r>
          </w:p>
          <w:p w14:paraId="15E899A5" w14:textId="77777777" w:rsidR="0006336F" w:rsidRPr="0006336F" w:rsidRDefault="0006336F" w:rsidP="0006336F">
            <w:pPr>
              <w:pStyle w:val="TableTextBullet"/>
            </w:pPr>
            <w:r w:rsidRPr="0006336F">
              <w:t xml:space="preserve">Implementing the APS Digital Traineeship Program </w:t>
            </w:r>
          </w:p>
          <w:p w14:paraId="175B17A0" w14:textId="51810C0F" w:rsidR="0006336F" w:rsidRPr="0006336F" w:rsidRDefault="0006336F" w:rsidP="0006336F">
            <w:pPr>
              <w:pStyle w:val="TableTextBullet"/>
            </w:pPr>
            <w:r w:rsidRPr="0006336F">
              <w:t>Funding up to 20 nationally competitive PhD scholarships through the Next Generation Quantum Graduates Program</w:t>
            </w:r>
          </w:p>
          <w:p w14:paraId="1CA60FF2" w14:textId="5EB87630" w:rsidR="0006336F" w:rsidRPr="0006336F" w:rsidRDefault="0006336F" w:rsidP="0006336F">
            <w:pPr>
              <w:pStyle w:val="TableTextBullet"/>
            </w:pPr>
            <w:r w:rsidRPr="0006336F">
              <w:t>Attracting and training home</w:t>
            </w:r>
            <w:r w:rsidR="00B16861">
              <w:noBreakHyphen/>
            </w:r>
            <w:r w:rsidRPr="0006336F">
              <w:t>grown, job</w:t>
            </w:r>
            <w:r w:rsidR="00B16861">
              <w:noBreakHyphen/>
            </w:r>
            <w:r w:rsidRPr="0006336F">
              <w:t>ready AI specialists through the Next Generation AI Graduates program</w:t>
            </w:r>
          </w:p>
          <w:p w14:paraId="29BE80F2" w14:textId="77777777" w:rsidR="0006336F" w:rsidRPr="0006336F" w:rsidRDefault="0006336F" w:rsidP="0006336F">
            <w:pPr>
              <w:pStyle w:val="TableTextBullet"/>
            </w:pPr>
            <w:r w:rsidRPr="0006336F">
              <w:t>Developing a South Australian Defence Industry Workforce and Skills Plan</w:t>
            </w:r>
          </w:p>
          <w:p w14:paraId="0C658914" w14:textId="659AE800" w:rsidR="0006336F" w:rsidRPr="0006336F" w:rsidRDefault="0006336F" w:rsidP="0006336F">
            <w:pPr>
              <w:pStyle w:val="TableTextBullet"/>
            </w:pPr>
            <w:r w:rsidRPr="0006336F">
              <w:t>Review</w:t>
            </w:r>
            <w:r w:rsidR="006102B4">
              <w:t>ing</w:t>
            </w:r>
            <w:r w:rsidRPr="0006336F">
              <w:t xml:space="preserve"> the National Freight and Supply Chain Strategy </w:t>
            </w:r>
          </w:p>
          <w:p w14:paraId="2E486A7B" w14:textId="77777777" w:rsidR="0006336F" w:rsidRPr="0006336F" w:rsidRDefault="0006336F" w:rsidP="0006336F">
            <w:pPr>
              <w:pStyle w:val="TableTextLeft"/>
              <w:rPr>
                <w:b/>
                <w:bCs/>
              </w:rPr>
            </w:pPr>
            <w:r w:rsidRPr="0006336F">
              <w:rPr>
                <w:b/>
                <w:bCs/>
              </w:rPr>
              <w:t>Building our labour market evidence base</w:t>
            </w:r>
          </w:p>
          <w:p w14:paraId="2B29BC96" w14:textId="77777777" w:rsidR="0006336F" w:rsidRPr="0006336F" w:rsidRDefault="0006336F" w:rsidP="0006336F">
            <w:pPr>
              <w:pStyle w:val="TableTextBullet"/>
            </w:pPr>
            <w:r w:rsidRPr="0006336F">
              <w:t xml:space="preserve">Undertaking a National Study of Adult Literacy, Numeracy and Digital Skills </w:t>
            </w:r>
          </w:p>
          <w:p w14:paraId="5BC18AEF" w14:textId="7CED5BDE" w:rsidR="0006336F" w:rsidRPr="0006336F" w:rsidRDefault="0006336F" w:rsidP="0006336F">
            <w:pPr>
              <w:pStyle w:val="TableTextBullet"/>
            </w:pPr>
            <w:r w:rsidRPr="0006336F">
              <w:t xml:space="preserve">Updating the Australian and </w:t>
            </w:r>
            <w:r w:rsidR="000F0ED2">
              <w:t>New Zealand</w:t>
            </w:r>
            <w:r w:rsidRPr="0006336F">
              <w:t xml:space="preserve"> Standard Classification of Occupations to reflect modern technologies and roles</w:t>
            </w:r>
          </w:p>
        </w:tc>
        <w:tc>
          <w:tcPr>
            <w:tcW w:w="1667" w:type="pct"/>
          </w:tcPr>
          <w:p w14:paraId="00D4F557" w14:textId="02C33CAB" w:rsidR="0006336F" w:rsidRPr="0006336F" w:rsidRDefault="0006336F" w:rsidP="0006336F">
            <w:pPr>
              <w:pStyle w:val="TableTextLeft"/>
              <w:rPr>
                <w:b/>
                <w:bCs/>
              </w:rPr>
            </w:pPr>
            <w:r w:rsidRPr="0006336F">
              <w:rPr>
                <w:b/>
                <w:bCs/>
              </w:rPr>
              <w:t xml:space="preserve">Coordinate skill priorities </w:t>
            </w:r>
            <w:r w:rsidR="00334A12">
              <w:rPr>
                <w:b/>
                <w:bCs/>
              </w:rPr>
              <w:t>and</w:t>
            </w:r>
            <w:r w:rsidRPr="0006336F">
              <w:rPr>
                <w:b/>
                <w:bCs/>
              </w:rPr>
              <w:t xml:space="preserve"> policies</w:t>
            </w:r>
          </w:p>
          <w:p w14:paraId="04D4A85B" w14:textId="77777777" w:rsidR="0006336F" w:rsidRPr="0006336F" w:rsidRDefault="0006336F" w:rsidP="0006336F">
            <w:pPr>
              <w:pStyle w:val="TableTextBullet"/>
            </w:pPr>
            <w:r w:rsidRPr="0006336F">
              <w:t>Introduce a single consolidated occupation list for temporary skilled migration</w:t>
            </w:r>
          </w:p>
          <w:p w14:paraId="6D4B62CE" w14:textId="77777777" w:rsidR="0006336F" w:rsidRPr="0006336F" w:rsidRDefault="0006336F" w:rsidP="0006336F">
            <w:pPr>
              <w:pStyle w:val="TableTextBullet"/>
            </w:pPr>
            <w:r w:rsidRPr="0006336F">
              <w:t>Embed joint stewardship of the VET sector with states and territories to better identify and train students in areas of national priorities</w:t>
            </w:r>
          </w:p>
          <w:p w14:paraId="001A6392" w14:textId="3A55B069" w:rsidR="0006336F" w:rsidRPr="0006336F" w:rsidRDefault="0006336F" w:rsidP="0006336F">
            <w:pPr>
              <w:pStyle w:val="TableTextBullet"/>
            </w:pPr>
            <w:r w:rsidRPr="0006336F">
              <w:t>Promote innovation in qualifications and lifelong learning to ensure</w:t>
            </w:r>
            <w:r w:rsidR="00E02350">
              <w:t xml:space="preserve"> our</w:t>
            </w:r>
            <w:r w:rsidRPr="0006336F">
              <w:t xml:space="preserve"> ability to meet industry needs </w:t>
            </w:r>
          </w:p>
          <w:p w14:paraId="0F6A8D77" w14:textId="77777777" w:rsidR="0006336F" w:rsidRPr="0006336F" w:rsidRDefault="0006336F" w:rsidP="0006336F">
            <w:pPr>
              <w:pStyle w:val="TableTextLeft"/>
              <w:rPr>
                <w:b/>
                <w:bCs/>
              </w:rPr>
            </w:pPr>
            <w:r w:rsidRPr="0006336F">
              <w:rPr>
                <w:b/>
                <w:bCs/>
              </w:rPr>
              <w:t>Plan for the care and support economy</w:t>
            </w:r>
          </w:p>
          <w:p w14:paraId="05C1D545" w14:textId="77777777" w:rsidR="0006336F" w:rsidRPr="0006336F" w:rsidRDefault="0006336F" w:rsidP="0006336F">
            <w:pPr>
              <w:pStyle w:val="TableTextBullet"/>
            </w:pPr>
            <w:r w:rsidRPr="0006336F">
              <w:t>Build capacity and steward the care economy market and workforce as a whole, to deliver quality care and support with quality jobs</w:t>
            </w:r>
          </w:p>
          <w:p w14:paraId="781F5B09" w14:textId="77777777" w:rsidR="0006336F" w:rsidRPr="0006336F" w:rsidRDefault="0006336F" w:rsidP="0006336F">
            <w:pPr>
              <w:pStyle w:val="TableTextLeft"/>
              <w:rPr>
                <w:b/>
                <w:bCs/>
              </w:rPr>
            </w:pPr>
            <w:r w:rsidRPr="0006336F">
              <w:rPr>
                <w:b/>
                <w:bCs/>
              </w:rPr>
              <w:t>Grow our workforce to support the net zero transformation</w:t>
            </w:r>
          </w:p>
          <w:p w14:paraId="65F469A6" w14:textId="77777777" w:rsidR="0006336F" w:rsidRPr="0006336F" w:rsidRDefault="0006336F" w:rsidP="0006336F">
            <w:pPr>
              <w:pStyle w:val="TableTextBullet"/>
            </w:pPr>
            <w:r w:rsidRPr="0006336F">
              <w:t xml:space="preserve">Identify skill needs through the Clean Energy Capacity Study </w:t>
            </w:r>
          </w:p>
          <w:p w14:paraId="6C86019C" w14:textId="16FB187B" w:rsidR="0006336F" w:rsidRPr="0006336F" w:rsidRDefault="0006336F" w:rsidP="0006336F">
            <w:pPr>
              <w:pStyle w:val="TableTextBullet"/>
            </w:pPr>
            <w:r w:rsidRPr="0006336F">
              <w:t xml:space="preserve">Plan our energy workforce through the National Energy Workforce Strategy  </w:t>
            </w:r>
          </w:p>
          <w:p w14:paraId="6BF8A49F" w14:textId="77777777" w:rsidR="0006336F" w:rsidRPr="0006336F" w:rsidRDefault="0006336F" w:rsidP="0006336F">
            <w:pPr>
              <w:pStyle w:val="TableTextLeft"/>
              <w:rPr>
                <w:b/>
                <w:bCs/>
              </w:rPr>
            </w:pPr>
            <w:r w:rsidRPr="0006336F">
              <w:rPr>
                <w:b/>
                <w:bCs/>
              </w:rPr>
              <w:t>Expand our digital skills base</w:t>
            </w:r>
          </w:p>
          <w:p w14:paraId="3CD057C8" w14:textId="77777777" w:rsidR="0006336F" w:rsidRPr="0006336F" w:rsidRDefault="0006336F" w:rsidP="0006336F">
            <w:pPr>
              <w:pStyle w:val="TableTextBullet"/>
            </w:pPr>
            <w:r w:rsidRPr="0006336F">
              <w:t>Partner with industry to improve pathways into tech careers</w:t>
            </w:r>
          </w:p>
          <w:p w14:paraId="1CCFBA6D" w14:textId="1385DA31" w:rsidR="0006336F" w:rsidRPr="0006336F" w:rsidRDefault="0006336F" w:rsidP="00080E00">
            <w:pPr>
              <w:pStyle w:val="TableTextBullet"/>
            </w:pPr>
            <w:r w:rsidRPr="0006336F">
              <w:t>Develop targeted strategies for priority areas, including AI, robotics and cyber security</w:t>
            </w:r>
          </w:p>
        </w:tc>
      </w:tr>
    </w:tbl>
    <w:p w14:paraId="3F041EA0" w14:textId="77777777" w:rsidR="00362E5E" w:rsidRPr="00EA0408" w:rsidRDefault="00362E5E" w:rsidP="00EA0408"/>
    <w:tbl>
      <w:tblPr>
        <w:tblW w:w="5000" w:type="pct"/>
        <w:tblBorders>
          <w:top w:val="single" w:sz="12" w:space="0" w:color="2C384A" w:themeColor="accent1"/>
          <w:bottom w:val="single" w:sz="12" w:space="0" w:color="2C384A" w:themeColor="accent1"/>
        </w:tblBorders>
        <w:tblLook w:val="01E0" w:firstRow="1" w:lastRow="1" w:firstColumn="1" w:lastColumn="1" w:noHBand="0" w:noVBand="0"/>
      </w:tblPr>
      <w:tblGrid>
        <w:gridCol w:w="3022"/>
        <w:gridCol w:w="3022"/>
        <w:gridCol w:w="3026"/>
      </w:tblGrid>
      <w:tr w:rsidR="00C55342" w:rsidRPr="0006336F" w14:paraId="2D0F7E98" w14:textId="77777777" w:rsidTr="00A05428">
        <w:trPr>
          <w:cantSplit/>
          <w:tblHeader/>
        </w:trPr>
        <w:tc>
          <w:tcPr>
            <w:tcW w:w="5000" w:type="pct"/>
            <w:gridSpan w:val="3"/>
            <w:shd w:val="clear" w:color="auto" w:fill="D2E1F9" w:themeFill="accent5" w:themeFillTint="66"/>
          </w:tcPr>
          <w:p w14:paraId="113B5A9A" w14:textId="3D98F5B7" w:rsidR="00C55342" w:rsidRPr="00C55342" w:rsidRDefault="00C55342" w:rsidP="004F1FA7">
            <w:pPr>
              <w:pStyle w:val="TableColumnHeadingLeft"/>
              <w:rPr>
                <w:bCs/>
              </w:rPr>
            </w:pPr>
            <w:r w:rsidRPr="00C55342">
              <w:rPr>
                <w:bCs/>
                <w:sz w:val="24"/>
                <w:szCs w:val="22"/>
              </w:rPr>
              <w:lastRenderedPageBreak/>
              <w:t>4 Broadening access to foundation skills</w:t>
            </w:r>
          </w:p>
        </w:tc>
      </w:tr>
      <w:tr w:rsidR="00C55342" w:rsidRPr="0006336F" w14:paraId="4E1CAB24" w14:textId="77777777" w:rsidTr="00A05428">
        <w:trPr>
          <w:cantSplit/>
          <w:tblHeader/>
        </w:trPr>
        <w:tc>
          <w:tcPr>
            <w:tcW w:w="1666" w:type="pct"/>
            <w:shd w:val="clear" w:color="auto" w:fill="EEEEEE" w:themeFill="background2"/>
          </w:tcPr>
          <w:p w14:paraId="4CCF4820" w14:textId="489D3670" w:rsidR="00C55342" w:rsidRPr="0006336F" w:rsidRDefault="00C55342" w:rsidP="00C55342">
            <w:pPr>
              <w:pStyle w:val="TableColumnHeadingLeft"/>
            </w:pPr>
            <w:r w:rsidRPr="0006336F">
              <w:t xml:space="preserve">Implemented </w:t>
            </w:r>
          </w:p>
        </w:tc>
        <w:tc>
          <w:tcPr>
            <w:tcW w:w="1666" w:type="pct"/>
            <w:shd w:val="clear" w:color="auto" w:fill="EEEEEE" w:themeFill="background2"/>
          </w:tcPr>
          <w:p w14:paraId="470ED93A" w14:textId="523E2FBE" w:rsidR="00C55342" w:rsidRPr="0006336F" w:rsidRDefault="00C55342" w:rsidP="00C55342">
            <w:pPr>
              <w:pStyle w:val="TableColumnHeadingLeft"/>
            </w:pPr>
            <w:r w:rsidRPr="0006336F">
              <w:t>Underway</w:t>
            </w:r>
          </w:p>
        </w:tc>
        <w:tc>
          <w:tcPr>
            <w:tcW w:w="1667" w:type="pct"/>
            <w:shd w:val="clear" w:color="auto" w:fill="EEEEEE" w:themeFill="background2"/>
          </w:tcPr>
          <w:p w14:paraId="1FB06B9A" w14:textId="36BA69AF" w:rsidR="00C55342" w:rsidRPr="0006336F" w:rsidRDefault="00C55342" w:rsidP="00C55342">
            <w:pPr>
              <w:pStyle w:val="TableColumnHeadingLeft"/>
            </w:pPr>
            <w:r w:rsidRPr="0006336F">
              <w:t>Future reform directions</w:t>
            </w:r>
          </w:p>
        </w:tc>
      </w:tr>
      <w:tr w:rsidR="00C55342" w:rsidRPr="0006336F" w14:paraId="0FE9F2D5" w14:textId="77777777" w:rsidTr="00A05428">
        <w:trPr>
          <w:cantSplit/>
        </w:trPr>
        <w:tc>
          <w:tcPr>
            <w:tcW w:w="1666" w:type="pct"/>
          </w:tcPr>
          <w:p w14:paraId="7762F493" w14:textId="77777777" w:rsidR="00C55342" w:rsidRPr="0006336F" w:rsidRDefault="00C55342" w:rsidP="00C55342">
            <w:pPr>
              <w:pStyle w:val="TableTextLeft"/>
              <w:rPr>
                <w:b/>
                <w:bCs/>
              </w:rPr>
            </w:pPr>
            <w:r w:rsidRPr="0006336F">
              <w:rPr>
                <w:b/>
              </w:rPr>
              <w:t>Ma</w:t>
            </w:r>
            <w:r w:rsidRPr="0006336F">
              <w:rPr>
                <w:b/>
                <w:bCs/>
              </w:rPr>
              <w:t>de child care cheaper and invested in better outcomes</w:t>
            </w:r>
          </w:p>
          <w:p w14:paraId="2A4D96DA" w14:textId="68E118B9" w:rsidR="00C55342" w:rsidRPr="0006336F" w:rsidRDefault="00C55342" w:rsidP="00C55342">
            <w:pPr>
              <w:pStyle w:val="TableTextBullet"/>
            </w:pPr>
            <w:r w:rsidRPr="0006336F">
              <w:t>Invested $4.6</w:t>
            </w:r>
            <w:r w:rsidR="000F0ED2">
              <w:t> billion</w:t>
            </w:r>
            <w:r w:rsidRPr="0006336F">
              <w:t xml:space="preserve"> through the Cheaper Child Care Package to increase Child Care Subsidy rates for families earning up to $530,000 per annum</w:t>
            </w:r>
          </w:p>
          <w:p w14:paraId="7DA0EEF3" w14:textId="0C9B31F0" w:rsidR="00C55342" w:rsidRPr="0006336F" w:rsidRDefault="00C55342" w:rsidP="00C55342">
            <w:pPr>
              <w:pStyle w:val="TableTextBullet"/>
            </w:pPr>
            <w:r w:rsidRPr="0006336F">
              <w:t xml:space="preserve">Introduced a base entitlement to 36 hours of Child Care Subsidy per fortnight for Aboriginal and </w:t>
            </w:r>
            <w:r w:rsidR="00FD3514">
              <w:t>Torres Strait</w:t>
            </w:r>
            <w:r w:rsidRPr="0006336F">
              <w:t xml:space="preserve"> Islander children</w:t>
            </w:r>
          </w:p>
          <w:p w14:paraId="21FBE49A" w14:textId="3223FC12" w:rsidR="00C55342" w:rsidRPr="0006336F" w:rsidRDefault="00C55342" w:rsidP="00C55342">
            <w:pPr>
              <w:pStyle w:val="TableTextBullet"/>
            </w:pPr>
            <w:r w:rsidRPr="0006336F">
              <w:t xml:space="preserve">Developed the Early Childhood Care and Development Policy Partnership to improve outcomes for </w:t>
            </w:r>
            <w:r w:rsidR="00FD3514">
              <w:t>First Nation</w:t>
            </w:r>
            <w:r w:rsidRPr="0006336F">
              <w:t>s children</w:t>
            </w:r>
          </w:p>
          <w:p w14:paraId="577DB964" w14:textId="77777777" w:rsidR="00C55342" w:rsidRPr="0006336F" w:rsidRDefault="00C55342" w:rsidP="00C55342">
            <w:pPr>
              <w:pStyle w:val="TableTextLeft"/>
              <w:rPr>
                <w:b/>
                <w:bCs/>
              </w:rPr>
            </w:pPr>
            <w:r w:rsidRPr="0006336F">
              <w:rPr>
                <w:b/>
              </w:rPr>
              <w:t>Increas</w:t>
            </w:r>
            <w:r w:rsidRPr="0006336F">
              <w:rPr>
                <w:b/>
                <w:bCs/>
              </w:rPr>
              <w:t>ed support for students and the teacher workforce</w:t>
            </w:r>
          </w:p>
          <w:p w14:paraId="0D3E1C2E" w14:textId="77777777" w:rsidR="00C55342" w:rsidRPr="0006336F" w:rsidRDefault="00C55342" w:rsidP="00C55342">
            <w:pPr>
              <w:pStyle w:val="TableTextBullet"/>
            </w:pPr>
            <w:r w:rsidRPr="0006336F">
              <w:t>Expanded the High Achieving Teachers Program</w:t>
            </w:r>
          </w:p>
          <w:p w14:paraId="22CBC4F0" w14:textId="77777777" w:rsidR="00C55342" w:rsidRPr="0006336F" w:rsidRDefault="00C55342" w:rsidP="00C55342">
            <w:pPr>
              <w:pStyle w:val="TableTextBullet"/>
            </w:pPr>
            <w:r w:rsidRPr="0006336F">
              <w:t>Reformed NAPLAN to raise the standard and better identify students who need additional support</w:t>
            </w:r>
          </w:p>
          <w:p w14:paraId="102E2921" w14:textId="7E4EF5D0" w:rsidR="00C55342" w:rsidRPr="0006336F" w:rsidRDefault="00C55342" w:rsidP="00C55342">
            <w:pPr>
              <w:pStyle w:val="TableTextBullet"/>
            </w:pPr>
            <w:r w:rsidRPr="0006336F">
              <w:t>Launched the National Teacher Workforce Action Plan</w:t>
            </w:r>
          </w:p>
        </w:tc>
        <w:tc>
          <w:tcPr>
            <w:tcW w:w="1666" w:type="pct"/>
          </w:tcPr>
          <w:p w14:paraId="64EA1372" w14:textId="77777777" w:rsidR="00C55342" w:rsidRPr="0006336F" w:rsidRDefault="00C55342" w:rsidP="00C55342">
            <w:pPr>
              <w:pStyle w:val="TableTextLeft"/>
              <w:rPr>
                <w:b/>
                <w:bCs/>
              </w:rPr>
            </w:pPr>
            <w:r w:rsidRPr="0006336F">
              <w:rPr>
                <w:b/>
                <w:bCs/>
              </w:rPr>
              <w:t>Making early childhood education and care cheaper, better and more accessible</w:t>
            </w:r>
          </w:p>
          <w:p w14:paraId="02F8DC67" w14:textId="77777777" w:rsidR="00C55342" w:rsidRPr="0006336F" w:rsidRDefault="00C55342" w:rsidP="00C55342">
            <w:pPr>
              <w:pStyle w:val="TableTextBullet"/>
            </w:pPr>
            <w:r w:rsidRPr="0006336F">
              <w:t>Examining child care costs through ACCC inquiry</w:t>
            </w:r>
          </w:p>
          <w:p w14:paraId="202C02AF" w14:textId="77777777" w:rsidR="00C55342" w:rsidRPr="0006336F" w:rsidRDefault="00C55342" w:rsidP="00C55342">
            <w:pPr>
              <w:pStyle w:val="TableTextBullet"/>
            </w:pPr>
            <w:r w:rsidRPr="0006336F">
              <w:t>Identifying opportunities to improve the early childhood education and care sector through a Productivity Commission inquiry</w:t>
            </w:r>
          </w:p>
          <w:p w14:paraId="536FADF2" w14:textId="77777777" w:rsidR="00C55342" w:rsidRPr="0006336F" w:rsidRDefault="00C55342" w:rsidP="00C55342">
            <w:pPr>
              <w:pStyle w:val="TableTextBullet"/>
            </w:pPr>
            <w:r w:rsidRPr="0006336F">
              <w:t>Developing an Early Years Strategy to support early learning, wellbeing and development</w:t>
            </w:r>
          </w:p>
          <w:p w14:paraId="7E70FA7F" w14:textId="77777777" w:rsidR="00C55342" w:rsidRPr="0006336F" w:rsidRDefault="00C55342" w:rsidP="00C55342">
            <w:pPr>
              <w:pStyle w:val="TableTextLeft"/>
              <w:rPr>
                <w:b/>
                <w:bCs/>
              </w:rPr>
            </w:pPr>
            <w:r w:rsidRPr="0006336F">
              <w:rPr>
                <w:b/>
                <w:bCs/>
              </w:rPr>
              <w:t xml:space="preserve">Building a better, fairer school system </w:t>
            </w:r>
          </w:p>
          <w:p w14:paraId="4F46D551" w14:textId="77777777" w:rsidR="00C55342" w:rsidRPr="0006336F" w:rsidRDefault="00C55342" w:rsidP="00C55342">
            <w:pPr>
              <w:pStyle w:val="TableTextBullet"/>
            </w:pPr>
            <w:r w:rsidRPr="0006336F">
              <w:t>Undertaking an Expert Panel Review to Inform a Better and Fairer Education System</w:t>
            </w:r>
          </w:p>
          <w:p w14:paraId="6B7275F1" w14:textId="39E6EE8B" w:rsidR="00C55342" w:rsidRPr="0006336F" w:rsidRDefault="00C55342" w:rsidP="00C55342">
            <w:pPr>
              <w:pStyle w:val="TableTextBullet"/>
            </w:pPr>
            <w:r w:rsidRPr="0006336F">
              <w:t>Encouraging high</w:t>
            </w:r>
            <w:r w:rsidR="00453F2F">
              <w:t>-</w:t>
            </w:r>
            <w:r w:rsidRPr="0006336F">
              <w:t>quality candidates to study teaching through scholarships of up to $40,000 each</w:t>
            </w:r>
          </w:p>
          <w:p w14:paraId="21237F83" w14:textId="77777777" w:rsidR="00C55342" w:rsidRPr="0006336F" w:rsidRDefault="00C55342" w:rsidP="00C55342">
            <w:pPr>
              <w:pStyle w:val="TableTextLeft"/>
              <w:rPr>
                <w:b/>
                <w:bCs/>
              </w:rPr>
            </w:pPr>
            <w:r w:rsidRPr="0006336F">
              <w:rPr>
                <w:b/>
                <w:bCs/>
              </w:rPr>
              <w:t xml:space="preserve">Boosting adult foundation skills </w:t>
            </w:r>
          </w:p>
          <w:p w14:paraId="69DF79DD" w14:textId="77777777" w:rsidR="00C55342" w:rsidRPr="0006336F" w:rsidRDefault="00C55342" w:rsidP="00C55342">
            <w:pPr>
              <w:pStyle w:val="TableTextBullet"/>
            </w:pPr>
            <w:r w:rsidRPr="0006336F">
              <w:t>Undertaking a National Study of Adult Literacy, Numeracy and Digital Skills</w:t>
            </w:r>
          </w:p>
          <w:p w14:paraId="3D52F2BF" w14:textId="77777777" w:rsidR="00C55342" w:rsidRPr="0006336F" w:rsidRDefault="00C55342" w:rsidP="00C55342">
            <w:pPr>
              <w:pStyle w:val="TableTextBullet"/>
            </w:pPr>
            <w:r w:rsidRPr="0006336F">
              <w:t>Redesigning and broadening eligibility for the Skills for Education and Employment program</w:t>
            </w:r>
          </w:p>
          <w:p w14:paraId="70AAF054" w14:textId="32374C99" w:rsidR="00C55342" w:rsidRPr="0006336F" w:rsidRDefault="00C55342" w:rsidP="00C55342">
            <w:pPr>
              <w:pStyle w:val="TableTextBullet"/>
            </w:pPr>
            <w:r w:rsidRPr="0006336F">
              <w:t>Including foundation skills as a focus area for National Skills Agreement negotiations</w:t>
            </w:r>
          </w:p>
        </w:tc>
        <w:tc>
          <w:tcPr>
            <w:tcW w:w="1667" w:type="pct"/>
          </w:tcPr>
          <w:p w14:paraId="338EDE80" w14:textId="77777777" w:rsidR="00C55342" w:rsidRPr="0006336F" w:rsidRDefault="00C55342" w:rsidP="00C55342">
            <w:pPr>
              <w:pStyle w:val="TableTextLeft"/>
              <w:rPr>
                <w:b/>
                <w:bCs/>
              </w:rPr>
            </w:pPr>
            <w:r w:rsidRPr="0006336F">
              <w:rPr>
                <w:b/>
              </w:rPr>
              <w:t>Chart</w:t>
            </w:r>
            <w:r w:rsidRPr="0006336F">
              <w:rPr>
                <w:b/>
                <w:bCs/>
              </w:rPr>
              <w:t xml:space="preserve"> a course to universal early childhood education and care</w:t>
            </w:r>
          </w:p>
          <w:p w14:paraId="0AFA959E" w14:textId="77777777" w:rsidR="00C55342" w:rsidRPr="0006336F" w:rsidRDefault="00C55342" w:rsidP="00C55342">
            <w:pPr>
              <w:pStyle w:val="TableTextBullet"/>
            </w:pPr>
            <w:r w:rsidRPr="0006336F">
              <w:t>New principles in this Roadmap will guide reforms for establishing universal access to early childhood education and care</w:t>
            </w:r>
          </w:p>
          <w:p w14:paraId="4A4A7BF4" w14:textId="77777777" w:rsidR="00C55342" w:rsidRPr="0006336F" w:rsidRDefault="00C55342" w:rsidP="00C55342">
            <w:pPr>
              <w:pStyle w:val="TableTextLeft"/>
              <w:rPr>
                <w:b/>
                <w:bCs/>
              </w:rPr>
            </w:pPr>
            <w:r w:rsidRPr="0006336F">
              <w:rPr>
                <w:b/>
                <w:bCs/>
              </w:rPr>
              <w:t>Improve equity of school outcomes</w:t>
            </w:r>
          </w:p>
          <w:p w14:paraId="26822A44" w14:textId="77777777" w:rsidR="00C55342" w:rsidRPr="0006336F" w:rsidRDefault="00C55342" w:rsidP="00C55342">
            <w:pPr>
              <w:pStyle w:val="TableTextBullet"/>
            </w:pPr>
            <w:r w:rsidRPr="0006336F">
              <w:t>Negotiate new National School Reform Agreement to improve equity and student outcomes</w:t>
            </w:r>
          </w:p>
          <w:p w14:paraId="6A9C3862" w14:textId="76F2AC52" w:rsidR="00C55342" w:rsidRPr="0006336F" w:rsidRDefault="00C55342" w:rsidP="00C55342">
            <w:pPr>
              <w:pStyle w:val="TableTextBullet"/>
            </w:pPr>
            <w:r w:rsidRPr="0006336F">
              <w:t>Work with states and territories to have every school on a path to 100</w:t>
            </w:r>
            <w:r w:rsidR="00B16861">
              <w:t> per c</w:t>
            </w:r>
            <w:r w:rsidRPr="0006336F">
              <w:t>ent of its fair funding level</w:t>
            </w:r>
          </w:p>
          <w:p w14:paraId="062C04F6" w14:textId="77777777" w:rsidR="00C55342" w:rsidRPr="0006336F" w:rsidRDefault="00C55342" w:rsidP="00C55342">
            <w:pPr>
              <w:pStyle w:val="TableTextLeft"/>
              <w:rPr>
                <w:b/>
                <w:bCs/>
              </w:rPr>
            </w:pPr>
            <w:r w:rsidRPr="0006336F">
              <w:rPr>
                <w:b/>
                <w:bCs/>
              </w:rPr>
              <w:t xml:space="preserve">Improve access to foundation skills training programs </w:t>
            </w:r>
          </w:p>
          <w:p w14:paraId="61C7006C" w14:textId="77777777" w:rsidR="00C55342" w:rsidRPr="0006336F" w:rsidRDefault="00C55342" w:rsidP="00C55342">
            <w:pPr>
              <w:pStyle w:val="TableTextBullet"/>
            </w:pPr>
            <w:r w:rsidRPr="0006336F">
              <w:t>Better integrate foundation skills with employment services to help job seekers get the skills they need to improve economic participation outcomes and overcome disadvantage</w:t>
            </w:r>
          </w:p>
          <w:p w14:paraId="76B16E86" w14:textId="29794F7C" w:rsidR="00C55342" w:rsidRPr="0006336F" w:rsidRDefault="00C55342" w:rsidP="00080E00">
            <w:pPr>
              <w:pStyle w:val="TableTextBullet"/>
            </w:pPr>
            <w:r w:rsidRPr="0006336F">
              <w:t>Establish new coordinated efforts to lift the foundation skills of Australian adults with states and territories</w:t>
            </w:r>
          </w:p>
        </w:tc>
      </w:tr>
    </w:tbl>
    <w:p w14:paraId="1D159B70" w14:textId="73A7B78E" w:rsidR="004F1FA7" w:rsidRPr="00EA0408" w:rsidRDefault="004F1FA7" w:rsidP="00EA0408"/>
    <w:tbl>
      <w:tblPr>
        <w:tblW w:w="5000" w:type="pct"/>
        <w:tblBorders>
          <w:top w:val="single" w:sz="12" w:space="0" w:color="2C384A" w:themeColor="accent1"/>
          <w:bottom w:val="single" w:sz="12" w:space="0" w:color="2C384A" w:themeColor="accent1"/>
        </w:tblBorders>
        <w:tblLook w:val="01E0" w:firstRow="1" w:lastRow="1" w:firstColumn="1" w:lastColumn="1" w:noHBand="0" w:noVBand="0"/>
      </w:tblPr>
      <w:tblGrid>
        <w:gridCol w:w="3022"/>
        <w:gridCol w:w="3022"/>
        <w:gridCol w:w="3026"/>
      </w:tblGrid>
      <w:tr w:rsidR="00C55342" w:rsidRPr="0006336F" w14:paraId="05A9CA01" w14:textId="77777777" w:rsidTr="00A05428">
        <w:trPr>
          <w:cantSplit/>
          <w:tblHeader/>
        </w:trPr>
        <w:tc>
          <w:tcPr>
            <w:tcW w:w="5000" w:type="pct"/>
            <w:gridSpan w:val="3"/>
            <w:shd w:val="clear" w:color="auto" w:fill="D2E1F9" w:themeFill="accent5" w:themeFillTint="66"/>
          </w:tcPr>
          <w:p w14:paraId="7CF2B229" w14:textId="7B00169F" w:rsidR="00C55342" w:rsidRPr="00C55342" w:rsidRDefault="00C55342" w:rsidP="004F1FA7">
            <w:pPr>
              <w:pStyle w:val="TableColumnHeadingLeft"/>
              <w:rPr>
                <w:bCs/>
              </w:rPr>
            </w:pPr>
            <w:r w:rsidRPr="00C55342">
              <w:rPr>
                <w:bCs/>
                <w:sz w:val="24"/>
                <w:szCs w:val="22"/>
              </w:rPr>
              <w:lastRenderedPageBreak/>
              <w:t xml:space="preserve">5 </w:t>
            </w:r>
            <w:r w:rsidR="00504639">
              <w:rPr>
                <w:bCs/>
                <w:sz w:val="24"/>
                <w:szCs w:val="22"/>
              </w:rPr>
              <w:t>I</w:t>
            </w:r>
            <w:r w:rsidRPr="00C55342">
              <w:rPr>
                <w:bCs/>
                <w:sz w:val="24"/>
                <w:szCs w:val="22"/>
              </w:rPr>
              <w:t>nvest</w:t>
            </w:r>
            <w:r w:rsidR="00504639">
              <w:rPr>
                <w:bCs/>
                <w:sz w:val="24"/>
                <w:szCs w:val="22"/>
              </w:rPr>
              <w:t>ing</w:t>
            </w:r>
            <w:r w:rsidRPr="00C55342">
              <w:rPr>
                <w:bCs/>
                <w:sz w:val="24"/>
                <w:szCs w:val="22"/>
              </w:rPr>
              <w:t xml:space="preserve"> in skills, tertiary education and lifelong learning</w:t>
            </w:r>
          </w:p>
        </w:tc>
      </w:tr>
      <w:tr w:rsidR="00C55342" w:rsidRPr="0006336F" w14:paraId="7869B2C8" w14:textId="77777777" w:rsidTr="00A05428">
        <w:trPr>
          <w:cantSplit/>
          <w:tblHeader/>
        </w:trPr>
        <w:tc>
          <w:tcPr>
            <w:tcW w:w="1666" w:type="pct"/>
            <w:shd w:val="clear" w:color="auto" w:fill="EEEEEE" w:themeFill="background2"/>
          </w:tcPr>
          <w:p w14:paraId="654F9A5E" w14:textId="1D759CD6" w:rsidR="00C55342" w:rsidRPr="0006336F" w:rsidRDefault="00C55342" w:rsidP="00C55342">
            <w:pPr>
              <w:pStyle w:val="TableColumnHeadingLeft"/>
            </w:pPr>
            <w:r w:rsidRPr="0006336F">
              <w:t xml:space="preserve">Implemented </w:t>
            </w:r>
          </w:p>
        </w:tc>
        <w:tc>
          <w:tcPr>
            <w:tcW w:w="1666" w:type="pct"/>
            <w:shd w:val="clear" w:color="auto" w:fill="EEEEEE" w:themeFill="background2"/>
          </w:tcPr>
          <w:p w14:paraId="39E204C1" w14:textId="440E7AF5" w:rsidR="00C55342" w:rsidRPr="0006336F" w:rsidRDefault="00C55342" w:rsidP="00C55342">
            <w:pPr>
              <w:pStyle w:val="TableColumnHeadingLeft"/>
            </w:pPr>
            <w:r w:rsidRPr="0006336F">
              <w:t>Underway</w:t>
            </w:r>
          </w:p>
        </w:tc>
        <w:tc>
          <w:tcPr>
            <w:tcW w:w="1667" w:type="pct"/>
            <w:shd w:val="clear" w:color="auto" w:fill="EEEEEE" w:themeFill="background2"/>
          </w:tcPr>
          <w:p w14:paraId="2EDD3C93" w14:textId="7A8FF233" w:rsidR="00C55342" w:rsidRPr="0006336F" w:rsidRDefault="00C55342" w:rsidP="00C55342">
            <w:pPr>
              <w:pStyle w:val="TableColumnHeadingLeft"/>
            </w:pPr>
            <w:r w:rsidRPr="0006336F">
              <w:t>Future reform directions</w:t>
            </w:r>
          </w:p>
        </w:tc>
      </w:tr>
      <w:tr w:rsidR="00C55342" w:rsidRPr="0006336F" w14:paraId="5031B2D7" w14:textId="77777777" w:rsidTr="00A05428">
        <w:trPr>
          <w:cantSplit/>
        </w:trPr>
        <w:tc>
          <w:tcPr>
            <w:tcW w:w="1666" w:type="pct"/>
          </w:tcPr>
          <w:p w14:paraId="675C1C05" w14:textId="77777777" w:rsidR="00C55342" w:rsidRPr="0006336F" w:rsidRDefault="00C55342" w:rsidP="00C55342">
            <w:pPr>
              <w:pStyle w:val="TableTextLeft"/>
              <w:rPr>
                <w:b/>
              </w:rPr>
            </w:pPr>
            <w:r w:rsidRPr="0006336F">
              <w:rPr>
                <w:b/>
              </w:rPr>
              <w:t xml:space="preserve">Broadened </w:t>
            </w:r>
            <w:r w:rsidRPr="0006336F">
              <w:rPr>
                <w:b/>
                <w:bCs/>
              </w:rPr>
              <w:t xml:space="preserve">opportunities for people to study in areas of skills shortage </w:t>
            </w:r>
          </w:p>
          <w:p w14:paraId="53ABCDE6" w14:textId="77777777" w:rsidR="00C55342" w:rsidRPr="0006336F" w:rsidRDefault="00C55342" w:rsidP="00C55342">
            <w:pPr>
              <w:pStyle w:val="TableTextBullet"/>
            </w:pPr>
            <w:r w:rsidRPr="0006336F">
              <w:t>Expanded the Australian Apprenticeships Priority List</w:t>
            </w:r>
          </w:p>
          <w:p w14:paraId="0106C17B" w14:textId="2055C252" w:rsidR="00C55342" w:rsidRPr="0006336F" w:rsidRDefault="00C55342" w:rsidP="00C55342">
            <w:pPr>
              <w:pStyle w:val="TableTextBullet"/>
            </w:pPr>
            <w:r w:rsidRPr="0006336F">
              <w:t>Delivered around 215,000 Fee</w:t>
            </w:r>
            <w:r w:rsidR="00B16861">
              <w:noBreakHyphen/>
            </w:r>
            <w:r w:rsidRPr="0006336F">
              <w:t>Free TAFE enrolments with the states and territories in areas of skills shortage</w:t>
            </w:r>
          </w:p>
          <w:p w14:paraId="7B3945C0" w14:textId="77777777" w:rsidR="00C55342" w:rsidRPr="0006336F" w:rsidRDefault="00C55342" w:rsidP="00C55342">
            <w:pPr>
              <w:pStyle w:val="TableTextLeft"/>
              <w:rPr>
                <w:b/>
                <w:bCs/>
              </w:rPr>
            </w:pPr>
            <w:r w:rsidRPr="0006336F">
              <w:rPr>
                <w:b/>
              </w:rPr>
              <w:t>Implemented target</w:t>
            </w:r>
            <w:r w:rsidRPr="0006336F">
              <w:rPr>
                <w:b/>
                <w:bCs/>
              </w:rPr>
              <w:t xml:space="preserve">ed action within the tertiary education sector on priority areas </w:t>
            </w:r>
          </w:p>
          <w:p w14:paraId="5F35CE2F" w14:textId="77777777" w:rsidR="00C55342" w:rsidRPr="0006336F" w:rsidRDefault="00C55342" w:rsidP="00C55342">
            <w:pPr>
              <w:pStyle w:val="TableTextBullet"/>
            </w:pPr>
            <w:r w:rsidRPr="0006336F">
              <w:t>Established the TAFE Technology Fund to help TAFEs upgrade and expand their facilities</w:t>
            </w:r>
          </w:p>
          <w:p w14:paraId="2E33DAFC" w14:textId="77777777" w:rsidR="00C55342" w:rsidRPr="0006336F" w:rsidRDefault="00C55342" w:rsidP="00C55342">
            <w:pPr>
              <w:pStyle w:val="TableTextBullet"/>
            </w:pPr>
            <w:r w:rsidRPr="0006336F">
              <w:t>Launched New Energy Apprenticeships and the New Energy Skills Program to support workers in new energy industries</w:t>
            </w:r>
          </w:p>
          <w:p w14:paraId="1664BD55" w14:textId="63453B20" w:rsidR="00C55342" w:rsidRPr="0006336F" w:rsidRDefault="00C55342" w:rsidP="00C55342">
            <w:pPr>
              <w:pStyle w:val="TableTextBullet"/>
            </w:pPr>
            <w:r w:rsidRPr="0006336F">
              <w:t>Established Startup Year to support students</w:t>
            </w:r>
            <w:r w:rsidR="00B16861">
              <w:t>’</w:t>
            </w:r>
            <w:r w:rsidRPr="0006336F">
              <w:t xml:space="preserve"> participation in startup courses</w:t>
            </w:r>
          </w:p>
          <w:p w14:paraId="31C019CE" w14:textId="77777777" w:rsidR="00C55342" w:rsidRPr="0006336F" w:rsidRDefault="00C55342" w:rsidP="00C55342">
            <w:pPr>
              <w:pStyle w:val="TableTextLeft"/>
              <w:rPr>
                <w:b/>
                <w:bCs/>
              </w:rPr>
            </w:pPr>
            <w:r w:rsidRPr="0006336F">
              <w:rPr>
                <w:b/>
              </w:rPr>
              <w:t>Developed partnerships</w:t>
            </w:r>
            <w:r w:rsidRPr="0006336F">
              <w:rPr>
                <w:b/>
                <w:bCs/>
              </w:rPr>
              <w:t xml:space="preserve"> with industry </w:t>
            </w:r>
          </w:p>
          <w:p w14:paraId="31AAC8F5" w14:textId="77777777" w:rsidR="00C55342" w:rsidRPr="0006336F" w:rsidRDefault="00C55342" w:rsidP="00C55342">
            <w:pPr>
              <w:pStyle w:val="TableTextBullet"/>
            </w:pPr>
            <w:r w:rsidRPr="0006336F">
              <w:t>Supported the new Digital and Tech Skills Compact to grow the tech sector</w:t>
            </w:r>
          </w:p>
          <w:p w14:paraId="5C035BCF" w14:textId="7FEC1FAA" w:rsidR="00C55342" w:rsidRPr="0006336F" w:rsidRDefault="00C55342" w:rsidP="00C55342">
            <w:pPr>
              <w:pStyle w:val="TableTextBullet"/>
            </w:pPr>
            <w:r w:rsidRPr="0006336F">
              <w:t xml:space="preserve">Extended the Women in STEM Cadetships and Advanced Apprenticeships program to give women more opportunities to work in STEM careers </w:t>
            </w:r>
          </w:p>
        </w:tc>
        <w:tc>
          <w:tcPr>
            <w:tcW w:w="1666" w:type="pct"/>
          </w:tcPr>
          <w:p w14:paraId="0817936F" w14:textId="27005094" w:rsidR="00C55342" w:rsidRPr="0006336F" w:rsidRDefault="00C55342" w:rsidP="00C55342">
            <w:pPr>
              <w:pStyle w:val="TableTextLeft"/>
              <w:rPr>
                <w:b/>
                <w:bCs/>
              </w:rPr>
            </w:pPr>
            <w:r w:rsidRPr="0006336F">
              <w:rPr>
                <w:b/>
                <w:bCs/>
              </w:rPr>
              <w:t>Growing and strengthening Australia</w:t>
            </w:r>
            <w:r w:rsidR="00B16861">
              <w:rPr>
                <w:b/>
                <w:bCs/>
              </w:rPr>
              <w:t>’</w:t>
            </w:r>
            <w:r w:rsidRPr="0006336F">
              <w:rPr>
                <w:b/>
                <w:bCs/>
              </w:rPr>
              <w:t xml:space="preserve">s vocational education sector </w:t>
            </w:r>
          </w:p>
          <w:p w14:paraId="0B7FC6D8" w14:textId="1068B8F8" w:rsidR="00C55342" w:rsidRPr="0006336F" w:rsidRDefault="00C55342" w:rsidP="00C55342">
            <w:pPr>
              <w:pStyle w:val="TableTextBullet"/>
            </w:pPr>
            <w:r w:rsidRPr="0006336F">
              <w:t>Investing an additional $3.7</w:t>
            </w:r>
            <w:r w:rsidR="000F0ED2">
              <w:t> billion</w:t>
            </w:r>
            <w:r w:rsidRPr="0006336F">
              <w:t xml:space="preserve"> in a new National Skills Agreement with states and territories </w:t>
            </w:r>
          </w:p>
          <w:p w14:paraId="3FFC04D1" w14:textId="1A8D3A46" w:rsidR="00C55342" w:rsidRPr="0006336F" w:rsidRDefault="00C55342" w:rsidP="00C55342">
            <w:pPr>
              <w:pStyle w:val="TableTextBullet"/>
            </w:pPr>
            <w:r w:rsidRPr="0006336F">
              <w:t>Delivering a further 300,000 Fee</w:t>
            </w:r>
            <w:r w:rsidR="00B16861">
              <w:noBreakHyphen/>
            </w:r>
            <w:r w:rsidRPr="0006336F">
              <w:t xml:space="preserve">Free TAFE places in areas of skills shortage from 2024 </w:t>
            </w:r>
          </w:p>
          <w:p w14:paraId="4251902E" w14:textId="77777777" w:rsidR="00C55342" w:rsidRPr="0006336F" w:rsidRDefault="00C55342" w:rsidP="00C55342">
            <w:pPr>
              <w:pStyle w:val="TableTextBullet"/>
            </w:pPr>
            <w:r w:rsidRPr="0006336F">
              <w:t>Building diversity in apprenticeships and driving completions, including through a new Australian Apprentices Support Services model</w:t>
            </w:r>
          </w:p>
          <w:p w14:paraId="4E150EC6" w14:textId="77777777" w:rsidR="00C55342" w:rsidRPr="0006336F" w:rsidRDefault="00C55342" w:rsidP="00C55342">
            <w:pPr>
              <w:pStyle w:val="TableTextBullet"/>
            </w:pPr>
            <w:r w:rsidRPr="0006336F">
              <w:t>Undertaking a VET Workforce Blueprint</w:t>
            </w:r>
          </w:p>
          <w:p w14:paraId="18E4A882" w14:textId="77777777" w:rsidR="00C55342" w:rsidRPr="0006336F" w:rsidRDefault="00C55342" w:rsidP="00C55342">
            <w:pPr>
              <w:pStyle w:val="TableTextBullet"/>
            </w:pPr>
            <w:r w:rsidRPr="0006336F">
              <w:t xml:space="preserve">Turbocharging TAFE Centres of Excellence to fast track their establishment </w:t>
            </w:r>
          </w:p>
          <w:p w14:paraId="17215041" w14:textId="383E7A2E" w:rsidR="00C55342" w:rsidRPr="0006336F" w:rsidRDefault="00C55342" w:rsidP="00C55342">
            <w:pPr>
              <w:pStyle w:val="TableTextBullet"/>
            </w:pPr>
            <w:r w:rsidRPr="0006336F">
              <w:t xml:space="preserve">Introducing </w:t>
            </w:r>
            <w:r w:rsidR="00B16861">
              <w:t>‘</w:t>
            </w:r>
            <w:r w:rsidRPr="0006336F">
              <w:t>higher apprenticeships</w:t>
            </w:r>
            <w:r w:rsidR="00B16861">
              <w:t>’</w:t>
            </w:r>
            <w:r w:rsidRPr="0006336F">
              <w:t xml:space="preserve"> to deliver advanced tertiary skills responsive to industry needs</w:t>
            </w:r>
          </w:p>
          <w:p w14:paraId="74109CF6" w14:textId="77777777" w:rsidR="00C55342" w:rsidRPr="0006336F" w:rsidRDefault="00C55342" w:rsidP="00C55342">
            <w:pPr>
              <w:pStyle w:val="TableTextLeft"/>
            </w:pPr>
            <w:r w:rsidRPr="0006336F">
              <w:rPr>
                <w:b/>
                <w:bCs/>
              </w:rPr>
              <w:t>Improving outcomes and broadening access to university</w:t>
            </w:r>
          </w:p>
          <w:p w14:paraId="3C6270EB" w14:textId="77777777" w:rsidR="00C55342" w:rsidRPr="0006336F" w:rsidRDefault="00C55342" w:rsidP="00C55342">
            <w:pPr>
              <w:pStyle w:val="TableTextBullet"/>
            </w:pPr>
            <w:r w:rsidRPr="0006336F">
              <w:t>Developing a Universities Accord</w:t>
            </w:r>
          </w:p>
          <w:p w14:paraId="2792C269" w14:textId="2AE1FB6A" w:rsidR="00C55342" w:rsidRPr="0006336F" w:rsidRDefault="00C55342" w:rsidP="00C55342">
            <w:pPr>
              <w:pStyle w:val="TableTextBullet"/>
            </w:pPr>
            <w:r w:rsidRPr="0006336F">
              <w:t>Delivering 20,000 additional university places for students from under</w:t>
            </w:r>
            <w:r w:rsidR="005C702B">
              <w:t>-</w:t>
            </w:r>
            <w:r w:rsidRPr="0006336F">
              <w:t xml:space="preserve">represented backgrounds </w:t>
            </w:r>
          </w:p>
          <w:p w14:paraId="44390438" w14:textId="77777777" w:rsidR="00C55342" w:rsidRPr="0006336F" w:rsidRDefault="00C55342" w:rsidP="00C55342">
            <w:pPr>
              <w:pStyle w:val="TableTextBullet"/>
            </w:pPr>
            <w:r w:rsidRPr="0006336F">
              <w:t xml:space="preserve">Delivering an additional 4,000 university places in STEM courses </w:t>
            </w:r>
          </w:p>
          <w:p w14:paraId="5A63BC86" w14:textId="77777777" w:rsidR="00C55342" w:rsidRPr="0006336F" w:rsidRDefault="00C55342" w:rsidP="00C55342">
            <w:pPr>
              <w:pStyle w:val="TableTextBullet"/>
            </w:pPr>
            <w:r w:rsidRPr="0006336F">
              <w:t>Establishing new Regional and Suburban University Study Hubs</w:t>
            </w:r>
          </w:p>
          <w:p w14:paraId="3F4434E6" w14:textId="16950966" w:rsidR="00C55342" w:rsidRPr="0006336F" w:rsidRDefault="00C55342" w:rsidP="00C55342">
            <w:pPr>
              <w:pStyle w:val="TableTextBullet"/>
            </w:pPr>
            <w:r w:rsidRPr="0006336F">
              <w:t>Ceasing the 50</w:t>
            </w:r>
            <w:r w:rsidR="00B16861">
              <w:t> per c</w:t>
            </w:r>
            <w:r w:rsidRPr="0006336F">
              <w:t>ent pass rule</w:t>
            </w:r>
          </w:p>
          <w:p w14:paraId="36AE3BB0" w14:textId="2D3E67CE" w:rsidR="00C55342" w:rsidRPr="0006336F" w:rsidRDefault="00C55342" w:rsidP="00C55342">
            <w:pPr>
              <w:pStyle w:val="TableTextBullet"/>
            </w:pPr>
            <w:r w:rsidRPr="0006336F">
              <w:t xml:space="preserve">Introducing demand driven university places for all </w:t>
            </w:r>
            <w:r w:rsidR="00FD3514">
              <w:t>First Nation</w:t>
            </w:r>
            <w:r w:rsidRPr="0006336F">
              <w:t>s students</w:t>
            </w:r>
          </w:p>
          <w:p w14:paraId="5534AA80" w14:textId="77777777" w:rsidR="00C55342" w:rsidRPr="0006336F" w:rsidRDefault="00C55342" w:rsidP="00C55342">
            <w:pPr>
              <w:pStyle w:val="TableTextLeft"/>
              <w:rPr>
                <w:b/>
                <w:bCs/>
              </w:rPr>
            </w:pPr>
            <w:r w:rsidRPr="0006336F">
              <w:rPr>
                <w:b/>
                <w:bCs/>
              </w:rPr>
              <w:t>Improving skills recognition</w:t>
            </w:r>
          </w:p>
          <w:p w14:paraId="1A7C8C39" w14:textId="65A74D64" w:rsidR="00C55342" w:rsidRPr="0006336F" w:rsidRDefault="00C55342" w:rsidP="00C55342">
            <w:pPr>
              <w:pStyle w:val="TableTextBullet"/>
            </w:pPr>
            <w:r w:rsidRPr="0006336F">
              <w:t xml:space="preserve">Defining the scope, outcomes and benefits of a National Skills Passport in consultation with industry, unions, tertiary institutions and across government to help people more easily demonstrate their skills to employers and reduce barriers to lifelong learning </w:t>
            </w:r>
          </w:p>
        </w:tc>
        <w:tc>
          <w:tcPr>
            <w:tcW w:w="1667" w:type="pct"/>
          </w:tcPr>
          <w:p w14:paraId="1D0D83A7" w14:textId="77777777" w:rsidR="00C55342" w:rsidRPr="0006336F" w:rsidRDefault="00C55342" w:rsidP="00C55342">
            <w:pPr>
              <w:pStyle w:val="TableTextLeft"/>
              <w:rPr>
                <w:b/>
                <w:bCs/>
              </w:rPr>
            </w:pPr>
            <w:r w:rsidRPr="0006336F">
              <w:rPr>
                <w:b/>
                <w:bCs/>
              </w:rPr>
              <w:t>Promote a larger share of Australians studying in areas of high skills need</w:t>
            </w:r>
          </w:p>
          <w:p w14:paraId="2A805C16" w14:textId="77777777" w:rsidR="00C55342" w:rsidRPr="0006336F" w:rsidRDefault="00C55342" w:rsidP="00C55342">
            <w:pPr>
              <w:pStyle w:val="TableTextBullet"/>
            </w:pPr>
            <w:r w:rsidRPr="0006336F">
              <w:t>Leverage Jobs and Skills Australia to forecast skills needs and guide a responsive tertiary sector to respond to changing demands</w:t>
            </w:r>
          </w:p>
          <w:p w14:paraId="1959773C" w14:textId="2A3FADD8" w:rsidR="00C55342" w:rsidRPr="0006336F" w:rsidRDefault="00C55342" w:rsidP="00C55342">
            <w:pPr>
              <w:pStyle w:val="TableTextBullet"/>
            </w:pPr>
            <w:r w:rsidRPr="0006336F">
              <w:t>Promote greater participation in tertiary education of under</w:t>
            </w:r>
            <w:r w:rsidR="005C702B">
              <w:noBreakHyphen/>
            </w:r>
            <w:r w:rsidRPr="0006336F">
              <w:t xml:space="preserve">represented groups, including regional students </w:t>
            </w:r>
          </w:p>
          <w:p w14:paraId="183FF7F7" w14:textId="77777777" w:rsidR="00C55342" w:rsidRPr="0006336F" w:rsidRDefault="00C55342" w:rsidP="00C55342">
            <w:pPr>
              <w:pStyle w:val="TableTextLeft"/>
              <w:rPr>
                <w:b/>
                <w:bCs/>
              </w:rPr>
            </w:pPr>
            <w:r w:rsidRPr="0006336F">
              <w:rPr>
                <w:b/>
                <w:bCs/>
              </w:rPr>
              <w:t>Boost collaboration in the tertiary sector</w:t>
            </w:r>
          </w:p>
          <w:p w14:paraId="691876ED" w14:textId="77777777" w:rsidR="00C55342" w:rsidRPr="0006336F" w:rsidRDefault="00C55342" w:rsidP="00C55342">
            <w:pPr>
              <w:pStyle w:val="TableTextBullet"/>
            </w:pPr>
            <w:r w:rsidRPr="0006336F">
              <w:t>Develop collaborative institutions including TAFE Centres of Excellence, with focuses on priority areas</w:t>
            </w:r>
          </w:p>
          <w:p w14:paraId="6A9744C7" w14:textId="77777777" w:rsidR="00C55342" w:rsidRPr="0006336F" w:rsidRDefault="00C55342" w:rsidP="00C55342">
            <w:pPr>
              <w:pStyle w:val="TableTextBullet"/>
            </w:pPr>
            <w:r w:rsidRPr="0006336F">
              <w:t>Develop new innovative qualifications, which combine the best of the tertiary education system, like higher apprenticeships</w:t>
            </w:r>
          </w:p>
          <w:p w14:paraId="48366899" w14:textId="77777777" w:rsidR="00C55342" w:rsidRPr="0006336F" w:rsidRDefault="00C55342" w:rsidP="00C55342">
            <w:pPr>
              <w:pStyle w:val="TableTextLeft"/>
              <w:rPr>
                <w:b/>
                <w:bCs/>
              </w:rPr>
            </w:pPr>
            <w:r w:rsidRPr="0006336F">
              <w:rPr>
                <w:b/>
                <w:bCs/>
              </w:rPr>
              <w:t>Remove barriers to lifelong learning</w:t>
            </w:r>
          </w:p>
          <w:p w14:paraId="6A579B68" w14:textId="77777777" w:rsidR="00C55342" w:rsidRPr="0006336F" w:rsidRDefault="00C55342" w:rsidP="00C55342">
            <w:pPr>
              <w:pStyle w:val="TableTextBullet"/>
            </w:pPr>
            <w:r w:rsidRPr="0006336F">
              <w:t>Encourage ongoing learning in the workplace</w:t>
            </w:r>
          </w:p>
          <w:p w14:paraId="4C8CCA17" w14:textId="3BBF22A7" w:rsidR="00C55342" w:rsidRPr="0006336F" w:rsidRDefault="00C55342" w:rsidP="00080E00">
            <w:pPr>
              <w:pStyle w:val="TableTextBullet"/>
            </w:pPr>
            <w:r w:rsidRPr="0006336F">
              <w:t>Support people to better demonstrate their skills to employers</w:t>
            </w:r>
          </w:p>
        </w:tc>
      </w:tr>
    </w:tbl>
    <w:p w14:paraId="1DA6BDD2" w14:textId="014A636C" w:rsidR="004F1FA7" w:rsidRPr="00EA0408" w:rsidRDefault="004F1FA7" w:rsidP="00EA0408"/>
    <w:tbl>
      <w:tblPr>
        <w:tblW w:w="5000" w:type="pct"/>
        <w:tblBorders>
          <w:top w:val="single" w:sz="12" w:space="0" w:color="2C384A" w:themeColor="accent1"/>
          <w:bottom w:val="single" w:sz="12" w:space="0" w:color="2C384A" w:themeColor="accent1"/>
        </w:tblBorders>
        <w:tblLook w:val="01E0" w:firstRow="1" w:lastRow="1" w:firstColumn="1" w:lastColumn="1" w:noHBand="0" w:noVBand="0"/>
      </w:tblPr>
      <w:tblGrid>
        <w:gridCol w:w="3022"/>
        <w:gridCol w:w="3022"/>
        <w:gridCol w:w="3026"/>
      </w:tblGrid>
      <w:tr w:rsidR="00C55342" w:rsidRPr="0006336F" w14:paraId="38072592" w14:textId="77777777" w:rsidTr="00A05428">
        <w:trPr>
          <w:cantSplit/>
          <w:tblHeader/>
        </w:trPr>
        <w:tc>
          <w:tcPr>
            <w:tcW w:w="5000" w:type="pct"/>
            <w:gridSpan w:val="3"/>
            <w:shd w:val="clear" w:color="auto" w:fill="D2E1F9" w:themeFill="accent5" w:themeFillTint="66"/>
          </w:tcPr>
          <w:p w14:paraId="402DCC65" w14:textId="4A1EDCFB" w:rsidR="00C55342" w:rsidRPr="00C55342" w:rsidRDefault="00C55342" w:rsidP="004F1FA7">
            <w:pPr>
              <w:pStyle w:val="TableColumnHeadingLeft"/>
              <w:rPr>
                <w:bCs/>
              </w:rPr>
            </w:pPr>
            <w:r w:rsidRPr="00C55342">
              <w:rPr>
                <w:bCs/>
                <w:sz w:val="24"/>
                <w:szCs w:val="22"/>
              </w:rPr>
              <w:lastRenderedPageBreak/>
              <w:t>6 Reforming the migration system</w:t>
            </w:r>
          </w:p>
        </w:tc>
      </w:tr>
      <w:tr w:rsidR="00C55342" w:rsidRPr="0006336F" w14:paraId="5E3D009F" w14:textId="77777777" w:rsidTr="00A05428">
        <w:trPr>
          <w:cantSplit/>
          <w:tblHeader/>
        </w:trPr>
        <w:tc>
          <w:tcPr>
            <w:tcW w:w="1666" w:type="pct"/>
            <w:shd w:val="clear" w:color="auto" w:fill="EEEEEE" w:themeFill="background2"/>
          </w:tcPr>
          <w:p w14:paraId="63AC9FC2" w14:textId="1AEDA58D" w:rsidR="00C55342" w:rsidRPr="0006336F" w:rsidRDefault="00C55342" w:rsidP="00C55342">
            <w:pPr>
              <w:pStyle w:val="TableColumnHeadingLeft"/>
            </w:pPr>
            <w:r w:rsidRPr="0006336F">
              <w:t xml:space="preserve">Implemented </w:t>
            </w:r>
          </w:p>
        </w:tc>
        <w:tc>
          <w:tcPr>
            <w:tcW w:w="1666" w:type="pct"/>
            <w:shd w:val="clear" w:color="auto" w:fill="EEEEEE" w:themeFill="background2"/>
          </w:tcPr>
          <w:p w14:paraId="7079AF50" w14:textId="29F4D583" w:rsidR="00C55342" w:rsidRPr="0006336F" w:rsidRDefault="00C55342" w:rsidP="00C55342">
            <w:pPr>
              <w:pStyle w:val="TableColumnHeadingLeft"/>
            </w:pPr>
            <w:r w:rsidRPr="0006336F">
              <w:t>Underway</w:t>
            </w:r>
          </w:p>
        </w:tc>
        <w:tc>
          <w:tcPr>
            <w:tcW w:w="1667" w:type="pct"/>
            <w:shd w:val="clear" w:color="auto" w:fill="EEEEEE" w:themeFill="background2"/>
          </w:tcPr>
          <w:p w14:paraId="0747881A" w14:textId="30AFBA6A" w:rsidR="00C55342" w:rsidRPr="0006336F" w:rsidRDefault="00C55342" w:rsidP="00C55342">
            <w:pPr>
              <w:pStyle w:val="TableColumnHeadingLeft"/>
            </w:pPr>
            <w:r w:rsidRPr="0006336F">
              <w:t>Future reform directions</w:t>
            </w:r>
          </w:p>
        </w:tc>
      </w:tr>
      <w:tr w:rsidR="00C55342" w:rsidRPr="0006336F" w14:paraId="3A575197" w14:textId="77777777" w:rsidTr="00A05428">
        <w:trPr>
          <w:cantSplit/>
        </w:trPr>
        <w:tc>
          <w:tcPr>
            <w:tcW w:w="1666" w:type="pct"/>
          </w:tcPr>
          <w:p w14:paraId="656FA770" w14:textId="77777777" w:rsidR="00C55342" w:rsidRPr="0006336F" w:rsidRDefault="00C55342" w:rsidP="00C55342">
            <w:pPr>
              <w:pStyle w:val="TableTextLeft"/>
              <w:rPr>
                <w:b/>
                <w:bCs/>
              </w:rPr>
            </w:pPr>
            <w:r w:rsidRPr="0006336F">
              <w:rPr>
                <w:b/>
              </w:rPr>
              <w:t>Taken action to address backlogs and restore integrity to the visa system</w:t>
            </w:r>
          </w:p>
          <w:p w14:paraId="077765F5" w14:textId="77777777" w:rsidR="00C55342" w:rsidRPr="0006336F" w:rsidRDefault="00C55342" w:rsidP="00C55342">
            <w:pPr>
              <w:pStyle w:val="TableTextBullet"/>
            </w:pPr>
            <w:r w:rsidRPr="0006336F">
              <w:t>Accelerated visa processing and reduced visa backlog</w:t>
            </w:r>
          </w:p>
          <w:p w14:paraId="0A8F1B8F" w14:textId="77777777" w:rsidR="00C55342" w:rsidRPr="0006336F" w:rsidRDefault="00C55342" w:rsidP="00C55342">
            <w:pPr>
              <w:pStyle w:val="TableTextBullet"/>
            </w:pPr>
            <w:r w:rsidRPr="0006336F">
              <w:t>Provided more funding to Australian Border Force to address exploitation</w:t>
            </w:r>
          </w:p>
          <w:p w14:paraId="2F20EF3A" w14:textId="77777777" w:rsidR="00C55342" w:rsidRPr="0006336F" w:rsidRDefault="00C55342" w:rsidP="00C55342">
            <w:pPr>
              <w:pStyle w:val="TableTextBullet"/>
            </w:pPr>
            <w:r w:rsidRPr="0006336F">
              <w:t>Raised the Temporary Skilled Migration Income Threshold</w:t>
            </w:r>
          </w:p>
          <w:p w14:paraId="1D865957" w14:textId="77777777" w:rsidR="00C55342" w:rsidRPr="0006336F" w:rsidRDefault="00C55342" w:rsidP="00C55342">
            <w:pPr>
              <w:pStyle w:val="TableTextBullet"/>
            </w:pPr>
            <w:r w:rsidRPr="0006336F">
              <w:t>Ended pandemic event measures</w:t>
            </w:r>
          </w:p>
          <w:p w14:paraId="461E2D35" w14:textId="2F487B65" w:rsidR="00C55342" w:rsidRPr="0006336F" w:rsidRDefault="00C55342" w:rsidP="00C55342">
            <w:pPr>
              <w:pStyle w:val="TableTextBullet"/>
            </w:pPr>
            <w:r w:rsidRPr="0006336F">
              <w:t>Completed the Rapid Review into the Exploitation of Australia</w:t>
            </w:r>
            <w:r w:rsidR="00B16861">
              <w:t>’</w:t>
            </w:r>
            <w:r w:rsidRPr="0006336F">
              <w:t>s Visa System</w:t>
            </w:r>
          </w:p>
          <w:p w14:paraId="0EB9127D" w14:textId="77777777" w:rsidR="00C55342" w:rsidRPr="0006336F" w:rsidRDefault="00C55342" w:rsidP="00C55342">
            <w:pPr>
              <w:pStyle w:val="TableTextLeft"/>
              <w:rPr>
                <w:b/>
                <w:bCs/>
              </w:rPr>
            </w:pPr>
            <w:r w:rsidRPr="0006336F">
              <w:rPr>
                <w:b/>
              </w:rPr>
              <w:t>Taken action to address</w:t>
            </w:r>
            <w:r w:rsidRPr="0006336F">
              <w:rPr>
                <w:b/>
                <w:bCs/>
              </w:rPr>
              <w:t xml:space="preserve"> skills shortages</w:t>
            </w:r>
          </w:p>
          <w:p w14:paraId="6D06FCC8" w14:textId="48CC34CB" w:rsidR="00C55342" w:rsidRPr="0006336F" w:rsidRDefault="00C55342" w:rsidP="00C55342">
            <w:pPr>
              <w:pStyle w:val="TableTextBullet"/>
              <w:rPr>
                <w:szCs w:val="16"/>
              </w:rPr>
            </w:pPr>
            <w:r w:rsidRPr="0006336F">
              <w:t>Extended post</w:t>
            </w:r>
            <w:r w:rsidR="00B16861">
              <w:noBreakHyphen/>
            </w:r>
            <w:r w:rsidRPr="0006336F">
              <w:t>study work rights for students in areas of labour sh</w:t>
            </w:r>
            <w:r w:rsidRPr="0006336F">
              <w:rPr>
                <w:szCs w:val="16"/>
              </w:rPr>
              <w:t>ortage</w:t>
            </w:r>
          </w:p>
          <w:p w14:paraId="7EF79605" w14:textId="77777777" w:rsidR="00C105F1" w:rsidRPr="0006336F" w:rsidRDefault="00C105F1" w:rsidP="00C105F1">
            <w:pPr>
              <w:pStyle w:val="TableTextBullet"/>
            </w:pPr>
            <w:r>
              <w:t xml:space="preserve">Increased the permanent migration planning level in    2022–23, including tripling the places for regional Australia </w:t>
            </w:r>
          </w:p>
          <w:p w14:paraId="1CB81092" w14:textId="77777777" w:rsidR="00C55342" w:rsidRPr="0006336F" w:rsidRDefault="00C55342" w:rsidP="00C55342">
            <w:pPr>
              <w:pStyle w:val="TableTextLeft"/>
              <w:rPr>
                <w:b/>
                <w:bCs/>
                <w:szCs w:val="16"/>
              </w:rPr>
            </w:pPr>
            <w:r w:rsidRPr="0006336F">
              <w:rPr>
                <w:b/>
              </w:rPr>
              <w:t>Put permanency back at the heart of the migration system</w:t>
            </w:r>
          </w:p>
          <w:p w14:paraId="5C607A51" w14:textId="77777777" w:rsidR="00C55342" w:rsidRPr="0006336F" w:rsidRDefault="00C55342" w:rsidP="00C55342">
            <w:pPr>
              <w:pStyle w:val="TableTextBullet"/>
              <w:rPr>
                <w:szCs w:val="16"/>
              </w:rPr>
            </w:pPr>
            <w:r w:rsidRPr="0006336F">
              <w:t>Provided</w:t>
            </w:r>
            <w:r w:rsidRPr="0006336F">
              <w:rPr>
                <w:szCs w:val="16"/>
              </w:rPr>
              <w:t xml:space="preserve"> a pathway to permanent residency for all temporary skilled visa holders</w:t>
            </w:r>
          </w:p>
          <w:p w14:paraId="79D730A1" w14:textId="2D3F37FF" w:rsidR="00C55342" w:rsidRPr="0006336F" w:rsidRDefault="00C55342" w:rsidP="00C55342">
            <w:pPr>
              <w:pStyle w:val="TableTextBullet"/>
            </w:pPr>
            <w:r w:rsidRPr="0006336F">
              <w:t>Introduced a</w:t>
            </w:r>
            <w:r w:rsidRPr="0006336F">
              <w:rPr>
                <w:szCs w:val="16"/>
              </w:rPr>
              <w:t xml:space="preserve"> direct pathway to citizenship for eligible </w:t>
            </w:r>
            <w:r w:rsidR="000F0ED2">
              <w:rPr>
                <w:szCs w:val="16"/>
              </w:rPr>
              <w:t>New Zealand</w:t>
            </w:r>
            <w:r w:rsidRPr="0006336F">
              <w:rPr>
                <w:szCs w:val="16"/>
              </w:rPr>
              <w:t xml:space="preserve">ers </w:t>
            </w:r>
          </w:p>
        </w:tc>
        <w:tc>
          <w:tcPr>
            <w:tcW w:w="1666" w:type="pct"/>
          </w:tcPr>
          <w:p w14:paraId="0ECC4AEB" w14:textId="77777777" w:rsidR="00C55342" w:rsidRPr="0006336F" w:rsidRDefault="00C55342" w:rsidP="00C55342">
            <w:pPr>
              <w:pStyle w:val="TableTextLeft"/>
              <w:rPr>
                <w:b/>
                <w:bCs/>
                <w:szCs w:val="16"/>
              </w:rPr>
            </w:pPr>
            <w:r w:rsidRPr="0006336F">
              <w:rPr>
                <w:b/>
              </w:rPr>
              <w:t>Creating a</w:t>
            </w:r>
            <w:r w:rsidRPr="0006336F">
              <w:rPr>
                <w:b/>
                <w:bCs/>
                <w:szCs w:val="16"/>
              </w:rPr>
              <w:t xml:space="preserve"> Migration Strategy for a more prosperous and secure Australia</w:t>
            </w:r>
          </w:p>
          <w:p w14:paraId="4E62E0DA" w14:textId="77777777" w:rsidR="00C55342" w:rsidRPr="0006336F" w:rsidRDefault="00C55342" w:rsidP="00C55342">
            <w:pPr>
              <w:pStyle w:val="TableTextBullet"/>
              <w:rPr>
                <w:szCs w:val="16"/>
              </w:rPr>
            </w:pPr>
            <w:r w:rsidRPr="0006336F">
              <w:t xml:space="preserve">Responding </w:t>
            </w:r>
            <w:r w:rsidRPr="0006336F">
              <w:rPr>
                <w:szCs w:val="18"/>
              </w:rPr>
              <w:t xml:space="preserve">to the 2023 </w:t>
            </w:r>
            <w:r w:rsidRPr="0006336F">
              <w:rPr>
                <w:szCs w:val="16"/>
              </w:rPr>
              <w:t>Review of the Migration System with new vision, objectives and roadmap</w:t>
            </w:r>
          </w:p>
          <w:p w14:paraId="4258EFF9" w14:textId="77777777" w:rsidR="00C55342" w:rsidRPr="0006336F" w:rsidRDefault="00C55342" w:rsidP="00C55342">
            <w:pPr>
              <w:pStyle w:val="TableTextBullet"/>
              <w:rPr>
                <w:szCs w:val="16"/>
              </w:rPr>
            </w:pPr>
            <w:r w:rsidRPr="0006336F">
              <w:t>Streng</w:t>
            </w:r>
            <w:r w:rsidRPr="0006336F">
              <w:rPr>
                <w:szCs w:val="16"/>
              </w:rPr>
              <w:t>thening integrity in international education</w:t>
            </w:r>
          </w:p>
          <w:p w14:paraId="68FB090F" w14:textId="77777777" w:rsidR="00C55342" w:rsidRPr="0006336F" w:rsidRDefault="00C55342" w:rsidP="00C55342">
            <w:pPr>
              <w:pStyle w:val="TableTextBullet"/>
              <w:rPr>
                <w:b/>
                <w:szCs w:val="16"/>
              </w:rPr>
            </w:pPr>
            <w:r w:rsidRPr="0006336F">
              <w:t xml:space="preserve">Improving </w:t>
            </w:r>
            <w:r w:rsidRPr="0006336F">
              <w:rPr>
                <w:szCs w:val="16"/>
              </w:rPr>
              <w:t xml:space="preserve">recognition of priority qualifications, including by responding to the Independent Review of Health Practitioner Regulatory Settings </w:t>
            </w:r>
          </w:p>
          <w:p w14:paraId="019769FB" w14:textId="77777777" w:rsidR="00C55342" w:rsidRPr="0006336F" w:rsidRDefault="00C55342" w:rsidP="00C55342">
            <w:pPr>
              <w:pStyle w:val="TableTextLeft"/>
              <w:rPr>
                <w:b/>
                <w:bCs/>
                <w:szCs w:val="16"/>
              </w:rPr>
            </w:pPr>
            <w:r w:rsidRPr="0006336F">
              <w:rPr>
                <w:b/>
              </w:rPr>
              <w:t>T</w:t>
            </w:r>
            <w:r w:rsidRPr="0006336F">
              <w:rPr>
                <w:b/>
                <w:bCs/>
                <w:szCs w:val="16"/>
              </w:rPr>
              <w:t>aking further measures to combat worker exploitation</w:t>
            </w:r>
          </w:p>
          <w:p w14:paraId="28C97A62" w14:textId="77777777" w:rsidR="00C55342" w:rsidRPr="0006336F" w:rsidRDefault="00C55342" w:rsidP="00C55342">
            <w:pPr>
              <w:pStyle w:val="TableTextBullet"/>
            </w:pPr>
            <w:r w:rsidRPr="0006336F">
              <w:t>Introducing criminal penalties for exploitation</w:t>
            </w:r>
          </w:p>
          <w:p w14:paraId="5468BDEB" w14:textId="77777777" w:rsidR="00C55342" w:rsidRPr="0006336F" w:rsidRDefault="00C55342" w:rsidP="00C55342">
            <w:pPr>
              <w:pStyle w:val="TableTextBullet"/>
              <w:rPr>
                <w:szCs w:val="16"/>
              </w:rPr>
            </w:pPr>
            <w:r w:rsidRPr="0006336F">
              <w:t>Consultin</w:t>
            </w:r>
            <w:r w:rsidRPr="0006336F">
              <w:rPr>
                <w:szCs w:val="16"/>
              </w:rPr>
              <w:t xml:space="preserve">g with business, unions and civil society on whistleblower protections for temporary visa holders </w:t>
            </w:r>
          </w:p>
          <w:p w14:paraId="4F507015" w14:textId="47C6A51E" w:rsidR="00C55342" w:rsidRPr="00080E00" w:rsidRDefault="00C55342" w:rsidP="00080E00">
            <w:pPr>
              <w:pStyle w:val="TableTextBullet"/>
              <w:rPr>
                <w:szCs w:val="16"/>
              </w:rPr>
            </w:pPr>
            <w:r w:rsidRPr="0006336F">
              <w:rPr>
                <w:szCs w:val="16"/>
              </w:rPr>
              <w:t>Designing the firewall between the Fair Work Ombudsman and the Department of Home Affairs</w:t>
            </w:r>
          </w:p>
        </w:tc>
        <w:tc>
          <w:tcPr>
            <w:tcW w:w="1667" w:type="pct"/>
          </w:tcPr>
          <w:p w14:paraId="25CC1A86" w14:textId="77777777" w:rsidR="00C55342" w:rsidRPr="0006336F" w:rsidRDefault="00C55342" w:rsidP="00C55342">
            <w:pPr>
              <w:pStyle w:val="TableTextLeft"/>
              <w:rPr>
                <w:b/>
                <w:bCs/>
              </w:rPr>
            </w:pPr>
            <w:r w:rsidRPr="0006336F">
              <w:rPr>
                <w:b/>
                <w:bCs/>
              </w:rPr>
              <w:t>Better target skilled migration</w:t>
            </w:r>
          </w:p>
          <w:p w14:paraId="22223BE2" w14:textId="0206E21E" w:rsidR="00C55342" w:rsidRPr="0006336F" w:rsidRDefault="00C55342" w:rsidP="00C55342">
            <w:pPr>
              <w:pStyle w:val="TableTextBullet"/>
            </w:pPr>
            <w:r w:rsidRPr="0006336F">
              <w:t>Deliver a new temporary skilled migration system that is effective at targeting Australia</w:t>
            </w:r>
            <w:r w:rsidR="00B16861">
              <w:t>’</w:t>
            </w:r>
            <w:r w:rsidRPr="0006336F">
              <w:t>s evolving skills needs</w:t>
            </w:r>
          </w:p>
          <w:p w14:paraId="165FFF3B" w14:textId="77777777" w:rsidR="00C55342" w:rsidRPr="0006336F" w:rsidRDefault="00C55342" w:rsidP="00C55342">
            <w:pPr>
              <w:pStyle w:val="TableTextBullet"/>
            </w:pPr>
            <w:r w:rsidRPr="0006336F">
              <w:t>Develop an improved occupation list in partnership with Jobs and Skills Australia</w:t>
            </w:r>
          </w:p>
          <w:p w14:paraId="7BCF41C3" w14:textId="77777777" w:rsidR="00C55342" w:rsidRPr="0006336F" w:rsidRDefault="00C55342" w:rsidP="00C55342">
            <w:pPr>
              <w:pStyle w:val="TableTextBullet"/>
            </w:pPr>
            <w:r w:rsidRPr="0006336F">
              <w:t>Introduce new permanent skilled visa settings, including exploring a revised points test</w:t>
            </w:r>
          </w:p>
          <w:p w14:paraId="591AD30B" w14:textId="49CDFC1E" w:rsidR="00C55342" w:rsidRPr="0006336F" w:rsidRDefault="00C55342" w:rsidP="00C55342">
            <w:pPr>
              <w:pStyle w:val="TableTextLeft"/>
              <w:rPr>
                <w:b/>
                <w:bCs/>
              </w:rPr>
            </w:pPr>
            <w:r w:rsidRPr="0006336F">
              <w:rPr>
                <w:b/>
                <w:bCs/>
              </w:rPr>
              <w:t>Realise migrants</w:t>
            </w:r>
            <w:r w:rsidR="00B16861">
              <w:rPr>
                <w:b/>
                <w:bCs/>
              </w:rPr>
              <w:t>’</w:t>
            </w:r>
            <w:r w:rsidRPr="0006336F">
              <w:rPr>
                <w:b/>
                <w:bCs/>
              </w:rPr>
              <w:t xml:space="preserve"> employment potential </w:t>
            </w:r>
          </w:p>
          <w:p w14:paraId="751F3AEA" w14:textId="77777777" w:rsidR="00C55342" w:rsidRPr="0006336F" w:rsidRDefault="00C55342" w:rsidP="00C55342">
            <w:pPr>
              <w:pStyle w:val="TableTextBullet"/>
            </w:pPr>
            <w:r w:rsidRPr="0006336F">
              <w:t>Take further action to combat migrant worker exploitation</w:t>
            </w:r>
          </w:p>
          <w:p w14:paraId="4A240EC1" w14:textId="77777777" w:rsidR="00C55342" w:rsidRPr="0006336F" w:rsidRDefault="00C55342" w:rsidP="00C55342">
            <w:pPr>
              <w:pStyle w:val="TableTextBullet"/>
            </w:pPr>
            <w:r w:rsidRPr="0006336F">
              <w:t>Improve skills assessments</w:t>
            </w:r>
          </w:p>
          <w:p w14:paraId="6456E3BE" w14:textId="77777777" w:rsidR="00C55342" w:rsidRPr="0006336F" w:rsidRDefault="00C55342" w:rsidP="00C55342">
            <w:pPr>
              <w:pStyle w:val="TableTextLeft"/>
              <w:rPr>
                <w:b/>
                <w:bCs/>
              </w:rPr>
            </w:pPr>
            <w:r w:rsidRPr="0006336F">
              <w:rPr>
                <w:b/>
                <w:bCs/>
              </w:rPr>
              <w:t>Improve employment outcomes for international students</w:t>
            </w:r>
          </w:p>
          <w:p w14:paraId="746BE3DC" w14:textId="77777777" w:rsidR="00C55342" w:rsidRPr="0006336F" w:rsidRDefault="00C55342" w:rsidP="00C55342">
            <w:pPr>
              <w:pStyle w:val="TableTextBullet"/>
            </w:pPr>
            <w:r w:rsidRPr="0006336F">
              <w:t>Improve pathways to work in higher skilled roles</w:t>
            </w:r>
          </w:p>
          <w:p w14:paraId="6A116814" w14:textId="77777777" w:rsidR="00C55342" w:rsidRPr="0006336F" w:rsidRDefault="00C55342" w:rsidP="00C55342">
            <w:pPr>
              <w:pStyle w:val="TableTextBullet"/>
              <w:numPr>
                <w:ilvl w:val="0"/>
                <w:numId w:val="0"/>
              </w:numPr>
              <w:rPr>
                <w:i/>
                <w:iCs/>
              </w:rPr>
            </w:pPr>
          </w:p>
          <w:p w14:paraId="0BC25C30" w14:textId="38D2BC87" w:rsidR="00C55342" w:rsidRPr="00DF091D" w:rsidRDefault="00C55342" w:rsidP="00DF091D">
            <w:pPr>
              <w:pStyle w:val="TableTextLeft"/>
              <w:rPr>
                <w:rStyle w:val="Emphasis"/>
              </w:rPr>
            </w:pPr>
            <w:r w:rsidRPr="00DF091D">
              <w:rPr>
                <w:rStyle w:val="Emphasis"/>
              </w:rPr>
              <w:t>Further reforms will be outlined in the Migration Strategy</w:t>
            </w:r>
          </w:p>
        </w:tc>
      </w:tr>
    </w:tbl>
    <w:p w14:paraId="42E1D184" w14:textId="3068D91C" w:rsidR="00A26DB9" w:rsidRPr="00EA0408" w:rsidRDefault="00A26DB9" w:rsidP="00EA0408"/>
    <w:tbl>
      <w:tblPr>
        <w:tblW w:w="5000" w:type="pct"/>
        <w:tblBorders>
          <w:top w:val="single" w:sz="12" w:space="0" w:color="2C384A" w:themeColor="accent1"/>
          <w:bottom w:val="single" w:sz="12" w:space="0" w:color="2C384A" w:themeColor="accent1"/>
        </w:tblBorders>
        <w:tblLook w:val="01E0" w:firstRow="1" w:lastRow="1" w:firstColumn="1" w:lastColumn="1" w:noHBand="0" w:noVBand="0"/>
      </w:tblPr>
      <w:tblGrid>
        <w:gridCol w:w="3022"/>
        <w:gridCol w:w="3022"/>
        <w:gridCol w:w="3026"/>
      </w:tblGrid>
      <w:tr w:rsidR="00C55342" w:rsidRPr="0006336F" w14:paraId="7444EFBD" w14:textId="77777777" w:rsidTr="00A05428">
        <w:trPr>
          <w:cantSplit/>
          <w:tblHeader/>
        </w:trPr>
        <w:tc>
          <w:tcPr>
            <w:tcW w:w="5000" w:type="pct"/>
            <w:gridSpan w:val="3"/>
            <w:shd w:val="clear" w:color="auto" w:fill="D2E1F9" w:themeFill="accent5" w:themeFillTint="66"/>
          </w:tcPr>
          <w:p w14:paraId="21131623" w14:textId="393BC3EA" w:rsidR="00C55342" w:rsidRPr="0006336F" w:rsidRDefault="00C55342" w:rsidP="00A26DB9">
            <w:pPr>
              <w:pStyle w:val="TableColumnHeadingLeft"/>
            </w:pPr>
            <w:r w:rsidRPr="00C55342">
              <w:rPr>
                <w:bCs/>
                <w:sz w:val="24"/>
                <w:szCs w:val="22"/>
              </w:rPr>
              <w:lastRenderedPageBreak/>
              <w:t xml:space="preserve">7 </w:t>
            </w:r>
            <w:r w:rsidR="00504639">
              <w:rPr>
                <w:bCs/>
                <w:sz w:val="24"/>
                <w:szCs w:val="22"/>
              </w:rPr>
              <w:t>B</w:t>
            </w:r>
            <w:r w:rsidRPr="00C55342">
              <w:rPr>
                <w:bCs/>
                <w:sz w:val="24"/>
                <w:szCs w:val="22"/>
              </w:rPr>
              <w:t>uild</w:t>
            </w:r>
            <w:r w:rsidR="00504639">
              <w:rPr>
                <w:bCs/>
                <w:sz w:val="24"/>
                <w:szCs w:val="22"/>
              </w:rPr>
              <w:t>ing</w:t>
            </w:r>
            <w:r w:rsidRPr="00C55342">
              <w:rPr>
                <w:bCs/>
                <w:sz w:val="24"/>
                <w:szCs w:val="22"/>
              </w:rPr>
              <w:t xml:space="preserve"> capabilities through employment services</w:t>
            </w:r>
          </w:p>
        </w:tc>
      </w:tr>
      <w:tr w:rsidR="00C55342" w:rsidRPr="0006336F" w14:paraId="47F43A8C" w14:textId="77777777" w:rsidTr="00A05428">
        <w:trPr>
          <w:cantSplit/>
          <w:tblHeader/>
        </w:trPr>
        <w:tc>
          <w:tcPr>
            <w:tcW w:w="1666" w:type="pct"/>
            <w:shd w:val="clear" w:color="auto" w:fill="EEEEEE" w:themeFill="background2"/>
          </w:tcPr>
          <w:p w14:paraId="4961702F" w14:textId="1A2CA68A" w:rsidR="00C55342" w:rsidRPr="0006336F" w:rsidRDefault="00C55342" w:rsidP="00C55342">
            <w:pPr>
              <w:pStyle w:val="TableColumnHeadingLeft"/>
            </w:pPr>
            <w:r w:rsidRPr="0006336F">
              <w:t xml:space="preserve">Implemented </w:t>
            </w:r>
          </w:p>
        </w:tc>
        <w:tc>
          <w:tcPr>
            <w:tcW w:w="1666" w:type="pct"/>
            <w:shd w:val="clear" w:color="auto" w:fill="EEEEEE" w:themeFill="background2"/>
          </w:tcPr>
          <w:p w14:paraId="3A19A566" w14:textId="3DFDCA95" w:rsidR="00C55342" w:rsidRPr="0006336F" w:rsidRDefault="00C55342" w:rsidP="00C55342">
            <w:pPr>
              <w:pStyle w:val="TableColumnHeadingLeft"/>
            </w:pPr>
            <w:r w:rsidRPr="0006336F">
              <w:t>Underway</w:t>
            </w:r>
          </w:p>
        </w:tc>
        <w:tc>
          <w:tcPr>
            <w:tcW w:w="1667" w:type="pct"/>
            <w:shd w:val="clear" w:color="auto" w:fill="EEEEEE" w:themeFill="background2"/>
          </w:tcPr>
          <w:p w14:paraId="04EB0A3B" w14:textId="4C5196C9" w:rsidR="00C55342" w:rsidRPr="0006336F" w:rsidRDefault="00C55342" w:rsidP="00C55342">
            <w:pPr>
              <w:pStyle w:val="TableColumnHeadingLeft"/>
            </w:pPr>
            <w:r w:rsidRPr="0006336F">
              <w:t>Future reform directions</w:t>
            </w:r>
          </w:p>
        </w:tc>
      </w:tr>
      <w:tr w:rsidR="00C55342" w:rsidRPr="0006336F" w14:paraId="58D8F2E3" w14:textId="77777777" w:rsidTr="00A05428">
        <w:trPr>
          <w:cantSplit/>
        </w:trPr>
        <w:tc>
          <w:tcPr>
            <w:tcW w:w="1666" w:type="pct"/>
          </w:tcPr>
          <w:p w14:paraId="407B55B6" w14:textId="77777777" w:rsidR="00C55342" w:rsidRPr="0006336F" w:rsidRDefault="00C55342" w:rsidP="00C55342">
            <w:pPr>
              <w:pStyle w:val="TableTextLeft"/>
              <w:rPr>
                <w:b/>
              </w:rPr>
            </w:pPr>
            <w:r w:rsidRPr="0006336F">
              <w:rPr>
                <w:b/>
              </w:rPr>
              <w:t>Immediate improvements to employment services programs</w:t>
            </w:r>
          </w:p>
          <w:p w14:paraId="5694042D" w14:textId="77777777" w:rsidR="00C55342" w:rsidRPr="0006336F" w:rsidRDefault="00C55342" w:rsidP="00C55342">
            <w:pPr>
              <w:pStyle w:val="TableTextBullet"/>
            </w:pPr>
            <w:r w:rsidRPr="0006336F">
              <w:t xml:space="preserve">Suspended compulsory participation in ParentsNext </w:t>
            </w:r>
          </w:p>
          <w:p w14:paraId="0771231E" w14:textId="77777777" w:rsidR="00C55342" w:rsidRPr="0006336F" w:rsidRDefault="00C55342" w:rsidP="00C55342">
            <w:pPr>
              <w:pStyle w:val="TableTextBullet"/>
              <w:rPr>
                <w:bCs/>
              </w:rPr>
            </w:pPr>
            <w:r w:rsidRPr="0006336F">
              <w:t>Launched Veteran Employment Program to support transitions into the civilian workforce</w:t>
            </w:r>
            <w:r w:rsidRPr="0006336F">
              <w:rPr>
                <w:bCs/>
              </w:rPr>
              <w:t xml:space="preserve"> </w:t>
            </w:r>
          </w:p>
          <w:p w14:paraId="1A5CF78A" w14:textId="44D7AAFE" w:rsidR="00C55342" w:rsidRPr="0006336F" w:rsidRDefault="00C55342" w:rsidP="00C55342">
            <w:pPr>
              <w:pStyle w:val="TableTextBullet"/>
            </w:pPr>
            <w:r w:rsidRPr="0006336F">
              <w:t>Better</w:t>
            </w:r>
            <w:r w:rsidR="00DF1D06">
              <w:t>-</w:t>
            </w:r>
            <w:r w:rsidRPr="0006336F">
              <w:t>embedded employment in National Disability Insurance Scheme plans</w:t>
            </w:r>
          </w:p>
          <w:p w14:paraId="7B91211A" w14:textId="20C7BAF3" w:rsidR="00C55342" w:rsidRPr="0006336F" w:rsidRDefault="00C55342" w:rsidP="00C55342">
            <w:pPr>
              <w:pStyle w:val="TableTextBullet"/>
            </w:pPr>
            <w:r w:rsidRPr="0006336F">
              <w:t xml:space="preserve">Extended the Time to Work Employment Service, assisting </w:t>
            </w:r>
            <w:r w:rsidR="00FD3514">
              <w:t>First Nation</w:t>
            </w:r>
            <w:r w:rsidRPr="0006336F">
              <w:t>s people in prison to access the support to find work post</w:t>
            </w:r>
            <w:r w:rsidR="00B16861">
              <w:noBreakHyphen/>
            </w:r>
            <w:r w:rsidRPr="0006336F">
              <w:t>release</w:t>
            </w:r>
          </w:p>
          <w:p w14:paraId="1931D501" w14:textId="43A8DE12" w:rsidR="00C55342" w:rsidRPr="0006336F" w:rsidRDefault="00C55342" w:rsidP="00C55342">
            <w:pPr>
              <w:pStyle w:val="TableTextBullet"/>
            </w:pPr>
            <w:r w:rsidRPr="0006336F">
              <w:t xml:space="preserve">Launched the Indigenous Skills and Employment Program, connecting </w:t>
            </w:r>
            <w:r w:rsidR="00FD3514">
              <w:t>First Nation</w:t>
            </w:r>
            <w:r w:rsidRPr="0006336F">
              <w:t>s people with jobs, training, and career advancement opportunities</w:t>
            </w:r>
          </w:p>
        </w:tc>
        <w:tc>
          <w:tcPr>
            <w:tcW w:w="1666" w:type="pct"/>
          </w:tcPr>
          <w:p w14:paraId="604E5038" w14:textId="295BCC9A" w:rsidR="00C55342" w:rsidRPr="0006336F" w:rsidRDefault="00C55342" w:rsidP="00C55342">
            <w:pPr>
              <w:pStyle w:val="TableTextLeft"/>
              <w:rPr>
                <w:b/>
                <w:bCs/>
              </w:rPr>
            </w:pPr>
            <w:r w:rsidRPr="0006336F">
              <w:rPr>
                <w:b/>
                <w:bCs/>
              </w:rPr>
              <w:t xml:space="preserve">Consulting </w:t>
            </w:r>
            <w:r w:rsidR="003E5BD4">
              <w:rPr>
                <w:b/>
                <w:bCs/>
              </w:rPr>
              <w:t xml:space="preserve">on </w:t>
            </w:r>
            <w:r w:rsidRPr="0006336F">
              <w:rPr>
                <w:b/>
                <w:bCs/>
              </w:rPr>
              <w:t>and co</w:t>
            </w:r>
            <w:r w:rsidR="00B16861">
              <w:rPr>
                <w:b/>
                <w:bCs/>
              </w:rPr>
              <w:noBreakHyphen/>
            </w:r>
            <w:r w:rsidRPr="0006336F">
              <w:rPr>
                <w:b/>
                <w:bCs/>
              </w:rPr>
              <w:t xml:space="preserve">designing reforms to employment services programs </w:t>
            </w:r>
          </w:p>
          <w:p w14:paraId="37684B7C" w14:textId="6F8C1C5C" w:rsidR="00C55342" w:rsidRPr="0006336F" w:rsidRDefault="00C55342" w:rsidP="00C55342">
            <w:pPr>
              <w:pStyle w:val="TableTextBullet"/>
            </w:pPr>
            <w:r w:rsidRPr="0006336F">
              <w:t>Conducting a first</w:t>
            </w:r>
            <w:r w:rsidR="00B16861">
              <w:noBreakHyphen/>
            </w:r>
            <w:r w:rsidRPr="0006336F">
              <w:t>principles review of Workforce Australia</w:t>
            </w:r>
          </w:p>
          <w:p w14:paraId="3724B767" w14:textId="57D9338E" w:rsidR="00C55342" w:rsidRPr="0006336F" w:rsidRDefault="00C55342" w:rsidP="00C55342">
            <w:pPr>
              <w:pStyle w:val="TableTextBullet"/>
            </w:pPr>
            <w:r w:rsidRPr="0006336F">
              <w:t xml:space="preserve">Developing a new remote jobs program in consultation with </w:t>
            </w:r>
            <w:r w:rsidR="00FD3514">
              <w:t>First Nation</w:t>
            </w:r>
            <w:r w:rsidRPr="0006336F">
              <w:t>s people and remote communities, including undertaking a trial</w:t>
            </w:r>
            <w:r w:rsidR="007C3EBE">
              <w:t xml:space="preserve"> that</w:t>
            </w:r>
            <w:r w:rsidRPr="0006336F">
              <w:t xml:space="preserve"> is creating up to 200 jobs in remote areas</w:t>
            </w:r>
          </w:p>
          <w:p w14:paraId="169CBEB7" w14:textId="77777777" w:rsidR="00C55342" w:rsidRPr="0006336F" w:rsidRDefault="00C55342" w:rsidP="00C55342">
            <w:pPr>
              <w:pStyle w:val="TableTextBullet"/>
            </w:pPr>
            <w:r w:rsidRPr="0006336F">
              <w:t xml:space="preserve">Designing a new program to replace ParentsNext in consultation with parents and stakeholders </w:t>
            </w:r>
          </w:p>
          <w:p w14:paraId="581B117D" w14:textId="478A7064" w:rsidR="00C55342" w:rsidRPr="0006336F" w:rsidRDefault="00C55342" w:rsidP="00C55342">
            <w:pPr>
              <w:pStyle w:val="TableTextBullet"/>
            </w:pPr>
            <w:r w:rsidRPr="0006336F">
              <w:t>Reforming the Local Jobs Program to align with best practices in place</w:t>
            </w:r>
            <w:r w:rsidR="00B16861">
              <w:noBreakHyphen/>
            </w:r>
            <w:r w:rsidRPr="0006336F">
              <w:t>based policy design, and expand</w:t>
            </w:r>
            <w:r w:rsidR="00DF1D06">
              <w:t>ing</w:t>
            </w:r>
            <w:r w:rsidRPr="0006336F">
              <w:t xml:space="preserve"> eligibility for projects to more people seeking work </w:t>
            </w:r>
          </w:p>
        </w:tc>
        <w:tc>
          <w:tcPr>
            <w:tcW w:w="1667" w:type="pct"/>
          </w:tcPr>
          <w:p w14:paraId="1808D547" w14:textId="77777777" w:rsidR="00C55342" w:rsidRPr="0006336F" w:rsidRDefault="00C55342" w:rsidP="00C55342">
            <w:pPr>
              <w:pStyle w:val="TableTextLeft"/>
              <w:rPr>
                <w:b/>
                <w:bCs/>
              </w:rPr>
            </w:pPr>
            <w:r w:rsidRPr="0006336F">
              <w:rPr>
                <w:b/>
                <w:bCs/>
              </w:rPr>
              <w:t xml:space="preserve">Reform employment services </w:t>
            </w:r>
          </w:p>
          <w:p w14:paraId="2565F714" w14:textId="77777777" w:rsidR="00E159DF" w:rsidRPr="0006336F" w:rsidRDefault="00E159DF" w:rsidP="00E159DF">
            <w:pPr>
              <w:pStyle w:val="TableTextBullet"/>
              <w:rPr>
                <w:b/>
              </w:rPr>
            </w:pPr>
            <w:r w:rsidRPr="0006336F">
              <w:t xml:space="preserve">Establish clear processes to reform </w:t>
            </w:r>
            <w:r>
              <w:t>e</w:t>
            </w:r>
            <w:r w:rsidRPr="0006336F">
              <w:t xml:space="preserve">mployment </w:t>
            </w:r>
            <w:r>
              <w:t>s</w:t>
            </w:r>
            <w:r w:rsidRPr="0006336F">
              <w:t>ervices</w:t>
            </w:r>
            <w:r>
              <w:t xml:space="preserve"> </w:t>
            </w:r>
            <w:r w:rsidRPr="0006336F">
              <w:t>guided by new principles in this Roadmap</w:t>
            </w:r>
          </w:p>
          <w:p w14:paraId="3AE24743" w14:textId="77777777" w:rsidR="00C55342" w:rsidRPr="0006336F" w:rsidRDefault="00C55342" w:rsidP="00C55342">
            <w:pPr>
              <w:pStyle w:val="TableTextLeft"/>
              <w:rPr>
                <w:b/>
                <w:bCs/>
              </w:rPr>
            </w:pPr>
            <w:r w:rsidRPr="0006336F">
              <w:rPr>
                <w:b/>
                <w:bCs/>
              </w:rPr>
              <w:t xml:space="preserve">Engage with local labour markets </w:t>
            </w:r>
          </w:p>
          <w:p w14:paraId="15D4A883" w14:textId="7CB3F687" w:rsidR="00C55342" w:rsidRPr="0006336F" w:rsidRDefault="00C55342" w:rsidP="00C55342">
            <w:pPr>
              <w:pStyle w:val="TableTextBullet"/>
              <w:rPr>
                <w:b/>
              </w:rPr>
            </w:pPr>
            <w:r w:rsidRPr="0006336F">
              <w:t>Apply place</w:t>
            </w:r>
            <w:r w:rsidR="00B16861">
              <w:noBreakHyphen/>
            </w:r>
            <w:r w:rsidRPr="0006336F">
              <w:t>based policy design best practices to employment services programs</w:t>
            </w:r>
          </w:p>
          <w:p w14:paraId="41FE3DB9" w14:textId="77777777" w:rsidR="00C55342" w:rsidRPr="0006336F" w:rsidRDefault="00C55342" w:rsidP="00C55342">
            <w:pPr>
              <w:pStyle w:val="TableTextLeft"/>
            </w:pPr>
            <w:r w:rsidRPr="0006336F">
              <w:rPr>
                <w:b/>
                <w:bCs/>
              </w:rPr>
              <w:t xml:space="preserve">Evaluate and learn in employment services </w:t>
            </w:r>
          </w:p>
          <w:p w14:paraId="7CAECC1A" w14:textId="5192B574" w:rsidR="00C55342" w:rsidRPr="0006336F" w:rsidRDefault="00C55342" w:rsidP="00C55342">
            <w:pPr>
              <w:pStyle w:val="TableTextBullet"/>
            </w:pPr>
            <w:r w:rsidRPr="0006336F">
              <w:t>Embed evaluation into policy reform processes, and the design of ongoing programs</w:t>
            </w:r>
          </w:p>
        </w:tc>
      </w:tr>
    </w:tbl>
    <w:p w14:paraId="15EAC89B" w14:textId="0C5AA011" w:rsidR="004F1FA7" w:rsidRPr="00EA0408" w:rsidRDefault="004F1FA7" w:rsidP="00EA0408"/>
    <w:tbl>
      <w:tblPr>
        <w:tblW w:w="5000" w:type="pct"/>
        <w:tblBorders>
          <w:top w:val="single" w:sz="12" w:space="0" w:color="2C384A" w:themeColor="accent1"/>
          <w:bottom w:val="single" w:sz="12" w:space="0" w:color="2C384A" w:themeColor="accent1"/>
        </w:tblBorders>
        <w:shd w:val="clear" w:color="auto" w:fill="D9D9D9" w:themeFill="background1" w:themeFillShade="D9"/>
        <w:tblLook w:val="01E0" w:firstRow="1" w:lastRow="1" w:firstColumn="1" w:lastColumn="1" w:noHBand="0" w:noVBand="0"/>
      </w:tblPr>
      <w:tblGrid>
        <w:gridCol w:w="3022"/>
        <w:gridCol w:w="3022"/>
        <w:gridCol w:w="3026"/>
      </w:tblGrid>
      <w:tr w:rsidR="00C55342" w:rsidRPr="0006336F" w14:paraId="16DF75BA" w14:textId="77777777" w:rsidTr="00A05428">
        <w:trPr>
          <w:cantSplit/>
          <w:tblHeader/>
        </w:trPr>
        <w:tc>
          <w:tcPr>
            <w:tcW w:w="5000" w:type="pct"/>
            <w:gridSpan w:val="3"/>
            <w:shd w:val="clear" w:color="auto" w:fill="D2E1F9" w:themeFill="accent5" w:themeFillTint="66"/>
          </w:tcPr>
          <w:p w14:paraId="7DBB5602" w14:textId="13E5DFA6" w:rsidR="00C55342" w:rsidRPr="0006336F" w:rsidRDefault="00C55342" w:rsidP="004F1FA7">
            <w:pPr>
              <w:pStyle w:val="TableColumnHeadingLeft"/>
            </w:pPr>
            <w:r w:rsidRPr="00C55342">
              <w:rPr>
                <w:bCs/>
                <w:sz w:val="24"/>
                <w:szCs w:val="22"/>
              </w:rPr>
              <w:lastRenderedPageBreak/>
              <w:t>8 Reducing barriers to work</w:t>
            </w:r>
          </w:p>
        </w:tc>
      </w:tr>
      <w:tr w:rsidR="00C55342" w:rsidRPr="0006336F" w14:paraId="2B407689" w14:textId="77777777" w:rsidTr="00A05428">
        <w:trPr>
          <w:cantSplit/>
          <w:tblHeader/>
        </w:trPr>
        <w:tc>
          <w:tcPr>
            <w:tcW w:w="1666" w:type="pct"/>
            <w:shd w:val="clear" w:color="auto" w:fill="EEEEEE" w:themeFill="background2"/>
          </w:tcPr>
          <w:p w14:paraId="250F013E" w14:textId="147F2A17" w:rsidR="00C55342" w:rsidRPr="0006336F" w:rsidRDefault="00C55342" w:rsidP="00C55342">
            <w:pPr>
              <w:pStyle w:val="TableColumnHeadingLeft"/>
            </w:pPr>
            <w:r w:rsidRPr="0006336F">
              <w:t xml:space="preserve">Implemented </w:t>
            </w:r>
          </w:p>
        </w:tc>
        <w:tc>
          <w:tcPr>
            <w:tcW w:w="1666" w:type="pct"/>
            <w:shd w:val="clear" w:color="auto" w:fill="EEEEEE" w:themeFill="background2"/>
          </w:tcPr>
          <w:p w14:paraId="4BAF6424" w14:textId="6D7E6DD3" w:rsidR="00C55342" w:rsidRPr="0006336F" w:rsidRDefault="00C55342" w:rsidP="00C55342">
            <w:pPr>
              <w:pStyle w:val="TableColumnHeadingLeft"/>
            </w:pPr>
            <w:r w:rsidRPr="0006336F">
              <w:t>Underway</w:t>
            </w:r>
          </w:p>
        </w:tc>
        <w:tc>
          <w:tcPr>
            <w:tcW w:w="1667" w:type="pct"/>
            <w:shd w:val="clear" w:color="auto" w:fill="EEEEEE" w:themeFill="background2"/>
          </w:tcPr>
          <w:p w14:paraId="22A190E5" w14:textId="26481DB5" w:rsidR="00C55342" w:rsidRPr="0006336F" w:rsidRDefault="00C55342" w:rsidP="00C55342">
            <w:pPr>
              <w:pStyle w:val="TableColumnHeadingLeft"/>
            </w:pPr>
            <w:r w:rsidRPr="0006336F">
              <w:t>Future reform directions</w:t>
            </w:r>
          </w:p>
        </w:tc>
      </w:tr>
      <w:tr w:rsidR="00C55342" w:rsidRPr="0006336F" w14:paraId="50D1DBB1" w14:textId="77777777" w:rsidTr="00A05428">
        <w:trPr>
          <w:cantSplit/>
        </w:trPr>
        <w:tc>
          <w:tcPr>
            <w:tcW w:w="1666" w:type="pct"/>
            <w:shd w:val="clear" w:color="auto" w:fill="auto"/>
          </w:tcPr>
          <w:p w14:paraId="5CC22E16" w14:textId="77777777" w:rsidR="00C55342" w:rsidRPr="0006336F" w:rsidRDefault="00C55342" w:rsidP="00C55342">
            <w:pPr>
              <w:pStyle w:val="TableTextLeft"/>
            </w:pPr>
            <w:r w:rsidRPr="0006336F">
              <w:rPr>
                <w:b/>
              </w:rPr>
              <w:t xml:space="preserve">Implemented measures to end violence against women </w:t>
            </w:r>
          </w:p>
          <w:p w14:paraId="206EF469" w14:textId="77777777" w:rsidR="00C55342" w:rsidRPr="0006336F" w:rsidRDefault="00C55342" w:rsidP="00C55342">
            <w:pPr>
              <w:pStyle w:val="TableTextBullet"/>
            </w:pPr>
            <w:r w:rsidRPr="0006336F">
              <w:t>Committed to implementing all Respect@Work recommendations, including having legislated a positive duty for employers to prevent sexual harassment</w:t>
            </w:r>
          </w:p>
          <w:p w14:paraId="5BA321A1" w14:textId="619E9ED1" w:rsidR="00C55342" w:rsidRPr="0006336F" w:rsidRDefault="00C55342" w:rsidP="00C55342">
            <w:pPr>
              <w:pStyle w:val="TableTextBullet"/>
            </w:pPr>
            <w:r w:rsidRPr="0006336F">
              <w:t>Invested $2.3</w:t>
            </w:r>
            <w:r w:rsidR="000F0ED2">
              <w:t> billion</w:t>
            </w:r>
            <w:r w:rsidRPr="0006336F">
              <w:t xml:space="preserve"> in measures to end violence against women in the October and May Budgets</w:t>
            </w:r>
          </w:p>
          <w:p w14:paraId="3404481A" w14:textId="77777777" w:rsidR="00A34921" w:rsidRPr="0006336F" w:rsidRDefault="00A34921" w:rsidP="00A34921">
            <w:pPr>
              <w:pStyle w:val="TableTextLeft"/>
              <w:rPr>
                <w:b/>
                <w:bCs/>
              </w:rPr>
            </w:pPr>
            <w:r w:rsidRPr="0006336F">
              <w:rPr>
                <w:b/>
                <w:bCs/>
              </w:rPr>
              <w:t xml:space="preserve">Promoted </w:t>
            </w:r>
            <w:r>
              <w:rPr>
                <w:b/>
                <w:bCs/>
              </w:rPr>
              <w:t>flexible and inclusive workplaces</w:t>
            </w:r>
          </w:p>
          <w:p w14:paraId="7A6BB144" w14:textId="77777777" w:rsidR="00C55342" w:rsidRPr="0006336F" w:rsidRDefault="00C55342" w:rsidP="00C55342">
            <w:pPr>
              <w:pStyle w:val="TableTextBullet"/>
            </w:pPr>
            <w:r w:rsidRPr="0006336F">
              <w:t>Legislated 10 days of paid family and domestic violence leave</w:t>
            </w:r>
          </w:p>
          <w:p w14:paraId="107C6BA0" w14:textId="77777777" w:rsidR="00C55342" w:rsidRPr="0006336F" w:rsidRDefault="00C55342" w:rsidP="00C55342">
            <w:pPr>
              <w:pStyle w:val="TableTextBullet"/>
            </w:pPr>
            <w:r w:rsidRPr="0006336F">
              <w:t>Improved access to flexible work and unpaid parental leave through changes to the Fair Work Act</w:t>
            </w:r>
          </w:p>
          <w:p w14:paraId="10399E96" w14:textId="77777777" w:rsidR="00C55342" w:rsidRPr="0006336F" w:rsidRDefault="00C55342" w:rsidP="00C55342">
            <w:pPr>
              <w:pStyle w:val="TableTextLeft"/>
              <w:rPr>
                <w:b/>
              </w:rPr>
            </w:pPr>
            <w:r w:rsidRPr="0006336F">
              <w:rPr>
                <w:b/>
              </w:rPr>
              <w:t>Strengthened working age payments</w:t>
            </w:r>
          </w:p>
          <w:p w14:paraId="0D85A295" w14:textId="4E8ABC97" w:rsidR="00C55342" w:rsidRPr="0006336F" w:rsidRDefault="00C55342" w:rsidP="00C55342">
            <w:pPr>
              <w:pStyle w:val="TableTextBullet"/>
            </w:pPr>
            <w:r w:rsidRPr="0006336F">
              <w:t>Increased the rate of working age and student payments by $40</w:t>
            </w:r>
            <w:r w:rsidR="00942967">
              <w:t> </w:t>
            </w:r>
            <w:r w:rsidRPr="0006336F">
              <w:t>per</w:t>
            </w:r>
            <w:r w:rsidR="00DF091D">
              <w:t> </w:t>
            </w:r>
            <w:r w:rsidRPr="0006336F">
              <w:t>fortnight</w:t>
            </w:r>
          </w:p>
          <w:p w14:paraId="5ABAE98C" w14:textId="77777777" w:rsidR="00C55342" w:rsidRPr="0006336F" w:rsidRDefault="00C55342" w:rsidP="00C55342">
            <w:pPr>
              <w:pStyle w:val="TableTextBullet"/>
            </w:pPr>
            <w:r w:rsidRPr="0006336F">
              <w:t>Expanded eligibility for higher rate of JobSeeker Payment for recipients aged 55 and over</w:t>
            </w:r>
          </w:p>
          <w:p w14:paraId="4F9E7B45" w14:textId="77777777" w:rsidR="00C55342" w:rsidRPr="0006336F" w:rsidRDefault="00C55342" w:rsidP="00C55342">
            <w:pPr>
              <w:pStyle w:val="TableTextBullet"/>
            </w:pPr>
            <w:r w:rsidRPr="0006336F">
              <w:t xml:space="preserve">Expanded eligibility for Parenting Payment (Single) </w:t>
            </w:r>
          </w:p>
          <w:p w14:paraId="0DEBF6FD" w14:textId="77777777" w:rsidR="00C55342" w:rsidRPr="0006336F" w:rsidRDefault="00C55342" w:rsidP="00C55342">
            <w:pPr>
              <w:pStyle w:val="TableTextBullet"/>
            </w:pPr>
            <w:r w:rsidRPr="0006336F">
              <w:t>Increased maximum rate of Commonwealth Rent Assistance</w:t>
            </w:r>
          </w:p>
          <w:p w14:paraId="306EF11F" w14:textId="77777777" w:rsidR="00C55342" w:rsidRPr="0006336F" w:rsidRDefault="00C55342" w:rsidP="00C55342">
            <w:pPr>
              <w:pStyle w:val="TableTextLeft"/>
              <w:rPr>
                <w:b/>
                <w:bCs/>
              </w:rPr>
            </w:pPr>
            <w:r w:rsidRPr="0006336F">
              <w:rPr>
                <w:b/>
              </w:rPr>
              <w:t>A</w:t>
            </w:r>
            <w:r w:rsidRPr="0006336F">
              <w:rPr>
                <w:b/>
                <w:bCs/>
              </w:rPr>
              <w:t xml:space="preserve">cted on disincentives to work </w:t>
            </w:r>
          </w:p>
          <w:p w14:paraId="2B25085B" w14:textId="77777777" w:rsidR="00C55342" w:rsidRPr="0006336F" w:rsidRDefault="00C55342" w:rsidP="00C55342">
            <w:pPr>
              <w:pStyle w:val="TableTextBullet"/>
            </w:pPr>
            <w:r w:rsidRPr="0006336F">
              <w:t>Implemented a temporary $4,000 work bonus upfront credit for pension recipients</w:t>
            </w:r>
          </w:p>
          <w:p w14:paraId="3AA548AF" w14:textId="272ABDA7" w:rsidR="00C55342" w:rsidRPr="0006336F" w:rsidRDefault="00C55342" w:rsidP="00080E00">
            <w:pPr>
              <w:pStyle w:val="TableTextBullet"/>
            </w:pPr>
            <w:r w:rsidRPr="0006336F">
              <w:t xml:space="preserve">Improved affordability of early childhood education and care </w:t>
            </w:r>
          </w:p>
        </w:tc>
        <w:tc>
          <w:tcPr>
            <w:tcW w:w="1666" w:type="pct"/>
            <w:shd w:val="clear" w:color="auto" w:fill="auto"/>
          </w:tcPr>
          <w:p w14:paraId="76479579" w14:textId="77777777" w:rsidR="00C55342" w:rsidRPr="0006336F" w:rsidRDefault="00C55342" w:rsidP="00C55342">
            <w:pPr>
              <w:pStyle w:val="TableTextLeft"/>
              <w:rPr>
                <w:b/>
                <w:bCs/>
              </w:rPr>
            </w:pPr>
            <w:r w:rsidRPr="0006336F">
              <w:rPr>
                <w:b/>
                <w:bCs/>
              </w:rPr>
              <w:t xml:space="preserve">Addressing workplace gender segregation </w:t>
            </w:r>
          </w:p>
          <w:p w14:paraId="333E2FC1" w14:textId="0B16B1D0" w:rsidR="00C55342" w:rsidRPr="0006336F" w:rsidRDefault="00C55342" w:rsidP="00C55342">
            <w:pPr>
              <w:pStyle w:val="TableTextBullet"/>
            </w:pPr>
            <w:r w:rsidRPr="0006336F">
              <w:t>Encouraging shared care by increasing the Government</w:t>
            </w:r>
            <w:r w:rsidR="00B16861">
              <w:t>’</w:t>
            </w:r>
            <w:r w:rsidRPr="0006336F">
              <w:t>s Paid Parental Leave, and improving flexibility in how parents share it</w:t>
            </w:r>
          </w:p>
          <w:p w14:paraId="73BACF0F" w14:textId="77777777" w:rsidR="00C55342" w:rsidRPr="0006336F" w:rsidRDefault="00C55342" w:rsidP="00C55342">
            <w:pPr>
              <w:pStyle w:val="TableTextBullet"/>
            </w:pPr>
            <w:r w:rsidRPr="0006336F">
              <w:t>Establishing the National Construction Industry Forum</w:t>
            </w:r>
          </w:p>
          <w:p w14:paraId="60A66B62" w14:textId="77777777" w:rsidR="00C55342" w:rsidRPr="0006336F" w:rsidRDefault="00C55342" w:rsidP="00C55342">
            <w:pPr>
              <w:pStyle w:val="TableTextBullet"/>
            </w:pPr>
            <w:r w:rsidRPr="0006336F">
              <w:t>Undertaking a Pathway to Diversity in STEM Review</w:t>
            </w:r>
          </w:p>
          <w:p w14:paraId="6B726F08" w14:textId="77777777" w:rsidR="00C55342" w:rsidRPr="0006336F" w:rsidRDefault="00C55342" w:rsidP="00C55342">
            <w:pPr>
              <w:pStyle w:val="TableTextLeft"/>
              <w:rPr>
                <w:b/>
              </w:rPr>
            </w:pPr>
            <w:r w:rsidRPr="0006336F">
              <w:rPr>
                <w:b/>
              </w:rPr>
              <w:t>Acting on disincentives to work</w:t>
            </w:r>
          </w:p>
          <w:p w14:paraId="201A7D58" w14:textId="77777777" w:rsidR="00C55342" w:rsidRPr="0006336F" w:rsidRDefault="00C55342" w:rsidP="00C55342">
            <w:pPr>
              <w:pStyle w:val="TableTextBullet"/>
            </w:pPr>
            <w:r w:rsidRPr="0006336F">
              <w:t xml:space="preserve">Smoothing the transition between income support and work by extending the nil rate period </w:t>
            </w:r>
          </w:p>
          <w:p w14:paraId="356ED086" w14:textId="6EBB4E19" w:rsidR="00C442E6" w:rsidRPr="0006336F" w:rsidRDefault="00C442E6" w:rsidP="00C442E6">
            <w:pPr>
              <w:pStyle w:val="TableTextBullet"/>
            </w:pPr>
            <w:r>
              <w:t>Supporting</w:t>
            </w:r>
            <w:r w:rsidRPr="0006336F">
              <w:t xml:space="preserve"> pensioners who are working by permanently enhancing the Work Bonus for </w:t>
            </w:r>
            <w:r w:rsidR="00C133A4">
              <w:t>a</w:t>
            </w:r>
            <w:r w:rsidRPr="0006336F">
              <w:t xml:space="preserve">ge pensioners </w:t>
            </w:r>
          </w:p>
          <w:p w14:paraId="5465DF64" w14:textId="77777777" w:rsidR="00C55342" w:rsidRPr="0006336F" w:rsidRDefault="00C55342" w:rsidP="00C55342">
            <w:pPr>
              <w:pStyle w:val="TableTextLeft"/>
              <w:rPr>
                <w:b/>
              </w:rPr>
            </w:pPr>
            <w:r w:rsidRPr="0006336F">
              <w:rPr>
                <w:b/>
              </w:rPr>
              <w:t>Broadening employment opportunities for people with high support needs</w:t>
            </w:r>
          </w:p>
          <w:p w14:paraId="594CD58B" w14:textId="78C3C7A3" w:rsidR="00802EA9" w:rsidRPr="0006336F" w:rsidRDefault="00802EA9" w:rsidP="00802EA9">
            <w:pPr>
              <w:pStyle w:val="TableTextBullet"/>
            </w:pPr>
            <w:r>
              <w:t>L</w:t>
            </w:r>
            <w:r w:rsidRPr="0006336F">
              <w:t xml:space="preserve">everaging </w:t>
            </w:r>
            <w:r>
              <w:t xml:space="preserve">the </w:t>
            </w:r>
            <w:r w:rsidRPr="0006336F">
              <w:t>new National Disability Data Asset</w:t>
            </w:r>
          </w:p>
          <w:p w14:paraId="728741CA" w14:textId="77777777" w:rsidR="00C55342" w:rsidRDefault="00C55342" w:rsidP="00C55342">
            <w:pPr>
              <w:pStyle w:val="TableTextBullet"/>
            </w:pPr>
            <w:r w:rsidRPr="0006336F">
              <w:t>Implementing a new Disability Employment Services Quality Framework</w:t>
            </w:r>
          </w:p>
          <w:p w14:paraId="09A5FA74" w14:textId="3ADA8417" w:rsidR="00C442E6" w:rsidRPr="0006336F" w:rsidRDefault="00C442E6" w:rsidP="00C442E6">
            <w:pPr>
              <w:pStyle w:val="TableTextBullet"/>
            </w:pPr>
            <w:r w:rsidRPr="0006336F">
              <w:t>Establish</w:t>
            </w:r>
            <w:r w:rsidR="008E0DF1">
              <w:t>ing</w:t>
            </w:r>
            <w:r w:rsidRPr="0006336F">
              <w:t xml:space="preserve"> a Disability Employment Centre of Excellence</w:t>
            </w:r>
          </w:p>
          <w:p w14:paraId="49F3C79C" w14:textId="77777777" w:rsidR="00C55342" w:rsidRPr="0006336F" w:rsidRDefault="00C55342" w:rsidP="00C55342">
            <w:pPr>
              <w:pStyle w:val="TableTextLeft"/>
            </w:pPr>
            <w:r w:rsidRPr="0006336F">
              <w:rPr>
                <w:b/>
              </w:rPr>
              <w:t xml:space="preserve">Boosting supply of secure, affordable housing </w:t>
            </w:r>
          </w:p>
          <w:p w14:paraId="283D94CC" w14:textId="6954ED3D" w:rsidR="00C55342" w:rsidRPr="0006336F" w:rsidRDefault="00C55342" w:rsidP="00C55342">
            <w:pPr>
              <w:pStyle w:val="TableTextBullet"/>
            </w:pPr>
            <w:r w:rsidRPr="0006336F">
              <w:t>Increasing investment in social and affordable housing through the Housing Australia Future Fund, Social Housing Accelerator and National Housing Infrastructure Facility, building housing where job opportunities</w:t>
            </w:r>
            <w:r w:rsidR="00080E00">
              <w:t> </w:t>
            </w:r>
            <w:r w:rsidRPr="0006336F">
              <w:t xml:space="preserve">are </w:t>
            </w:r>
          </w:p>
          <w:p w14:paraId="0EAC6794" w14:textId="04E6BE23" w:rsidR="00C55342" w:rsidRPr="0006336F" w:rsidRDefault="00C55342" w:rsidP="00C55342">
            <w:pPr>
              <w:pStyle w:val="TableTextBullet"/>
            </w:pPr>
            <w:r w:rsidRPr="0006336F">
              <w:t>Working with states and territories to deliver 1.2</w:t>
            </w:r>
            <w:r w:rsidR="000F0ED2">
              <w:t> million</w:t>
            </w:r>
            <w:r w:rsidRPr="0006336F">
              <w:t xml:space="preserve"> new homes over five</w:t>
            </w:r>
            <w:r w:rsidR="000F0ED2">
              <w:t> year</w:t>
            </w:r>
            <w:r w:rsidRPr="0006336F">
              <w:t>s from 1</w:t>
            </w:r>
            <w:r w:rsidR="00080E00">
              <w:t> </w:t>
            </w:r>
            <w:r w:rsidRPr="0006336F">
              <w:t>July 2024, and to harmonise and strengthen renters</w:t>
            </w:r>
            <w:r w:rsidR="00B16861">
              <w:t>’</w:t>
            </w:r>
            <w:r w:rsidRPr="0006336F">
              <w:t xml:space="preserve"> rights </w:t>
            </w:r>
          </w:p>
        </w:tc>
        <w:tc>
          <w:tcPr>
            <w:tcW w:w="1667" w:type="pct"/>
            <w:shd w:val="clear" w:color="auto" w:fill="auto"/>
          </w:tcPr>
          <w:p w14:paraId="3D51A2EC" w14:textId="77777777" w:rsidR="00C55342" w:rsidRPr="0006336F" w:rsidRDefault="00C55342" w:rsidP="00C55342">
            <w:pPr>
              <w:pStyle w:val="TableTextLeft"/>
              <w:rPr>
                <w:b/>
              </w:rPr>
            </w:pPr>
            <w:r w:rsidRPr="0006336F">
              <w:rPr>
                <w:b/>
              </w:rPr>
              <w:t xml:space="preserve">Promote gender equality </w:t>
            </w:r>
          </w:p>
          <w:p w14:paraId="7FE41444" w14:textId="4184631C" w:rsidR="00C55342" w:rsidRPr="0006336F" w:rsidRDefault="00C55342" w:rsidP="00C55342">
            <w:pPr>
              <w:pStyle w:val="TableTextBullet"/>
              <w:rPr>
                <w:b/>
              </w:rPr>
            </w:pPr>
            <w:r w:rsidRPr="0006336F">
              <w:t>Release a National Strategy to Achieve Gender Equality, which will include a focus on women</w:t>
            </w:r>
            <w:r w:rsidR="00B16861">
              <w:t>’</w:t>
            </w:r>
            <w:r w:rsidRPr="0006336F">
              <w:t xml:space="preserve">s economic equality </w:t>
            </w:r>
          </w:p>
          <w:p w14:paraId="6BEA816B" w14:textId="77777777" w:rsidR="00C55342" w:rsidRPr="0006336F" w:rsidRDefault="00C55342" w:rsidP="00C55342">
            <w:pPr>
              <w:pStyle w:val="TableTextLeft"/>
              <w:rPr>
                <w:b/>
              </w:rPr>
            </w:pPr>
            <w:r w:rsidRPr="0006336F">
              <w:rPr>
                <w:b/>
              </w:rPr>
              <w:t xml:space="preserve">Further address disincentives to work </w:t>
            </w:r>
          </w:p>
          <w:p w14:paraId="1E73C482" w14:textId="77777777" w:rsidR="00C55342" w:rsidRPr="0006336F" w:rsidRDefault="00C55342" w:rsidP="00C55342">
            <w:pPr>
              <w:pStyle w:val="TableTextBullet"/>
            </w:pPr>
            <w:r w:rsidRPr="0006336F">
              <w:t>Better support parents with caring responsibilities through improved access to early childhood education and care</w:t>
            </w:r>
          </w:p>
          <w:p w14:paraId="5A467296" w14:textId="2F4D0769" w:rsidR="00C55342" w:rsidRPr="0006336F" w:rsidRDefault="00C55342" w:rsidP="00C55342">
            <w:pPr>
              <w:pStyle w:val="TableTextBullet"/>
            </w:pPr>
            <w:r w:rsidRPr="0006336F">
              <w:t>Consider further ways to support participation, including for working</w:t>
            </w:r>
            <w:r w:rsidR="00B16861">
              <w:noBreakHyphen/>
            </w:r>
            <w:r w:rsidRPr="0006336F">
              <w:t>age payment recipients</w:t>
            </w:r>
          </w:p>
          <w:p w14:paraId="5BA6C9A5" w14:textId="09CEAE28" w:rsidR="00C55342" w:rsidRPr="0006336F" w:rsidRDefault="00C55342" w:rsidP="00C55342">
            <w:pPr>
              <w:pStyle w:val="TableTextLeft"/>
              <w:rPr>
                <w:b/>
              </w:rPr>
            </w:pPr>
            <w:r w:rsidRPr="0006336F">
              <w:rPr>
                <w:b/>
              </w:rPr>
              <w:t>Provide high</w:t>
            </w:r>
            <w:r w:rsidR="00453F2F">
              <w:rPr>
                <w:b/>
              </w:rPr>
              <w:t>-</w:t>
            </w:r>
            <w:r w:rsidRPr="0006336F">
              <w:rPr>
                <w:b/>
              </w:rPr>
              <w:t xml:space="preserve">quality supports for people with disability </w:t>
            </w:r>
          </w:p>
          <w:p w14:paraId="2892A106" w14:textId="77777777" w:rsidR="00C55342" w:rsidRPr="0006336F" w:rsidRDefault="00C55342" w:rsidP="00C55342">
            <w:pPr>
              <w:pStyle w:val="TableTextBullet"/>
            </w:pPr>
            <w:r w:rsidRPr="0006336F">
              <w:t xml:space="preserve">Reform Disability Employment Services </w:t>
            </w:r>
          </w:p>
          <w:p w14:paraId="4E3E8DC7" w14:textId="58FBE469" w:rsidR="00C55342" w:rsidRPr="0006336F" w:rsidRDefault="00C55342" w:rsidP="006F2589">
            <w:pPr>
              <w:pStyle w:val="TableTextBullet"/>
              <w:numPr>
                <w:ilvl w:val="0"/>
                <w:numId w:val="0"/>
              </w:numPr>
              <w:ind w:left="284"/>
            </w:pPr>
          </w:p>
        </w:tc>
      </w:tr>
    </w:tbl>
    <w:p w14:paraId="1DE5EB52" w14:textId="30B28E3D" w:rsidR="004F1FA7" w:rsidRPr="00EA0408" w:rsidRDefault="004F1FA7" w:rsidP="00EA0408"/>
    <w:tbl>
      <w:tblPr>
        <w:tblW w:w="5000" w:type="pct"/>
        <w:tblBorders>
          <w:top w:val="single" w:sz="12" w:space="0" w:color="2C384A" w:themeColor="accent1"/>
          <w:bottom w:val="single" w:sz="12" w:space="0" w:color="2C384A" w:themeColor="accent1"/>
        </w:tblBorders>
        <w:tblLook w:val="01E0" w:firstRow="1" w:lastRow="1" w:firstColumn="1" w:lastColumn="1" w:noHBand="0" w:noVBand="0"/>
      </w:tblPr>
      <w:tblGrid>
        <w:gridCol w:w="3022"/>
        <w:gridCol w:w="3022"/>
        <w:gridCol w:w="3026"/>
      </w:tblGrid>
      <w:tr w:rsidR="00C55342" w:rsidRPr="0006336F" w14:paraId="10B91F46" w14:textId="77777777" w:rsidTr="00A05428">
        <w:trPr>
          <w:cantSplit/>
          <w:tblHeader/>
        </w:trPr>
        <w:tc>
          <w:tcPr>
            <w:tcW w:w="5000" w:type="pct"/>
            <w:gridSpan w:val="3"/>
            <w:shd w:val="clear" w:color="auto" w:fill="D2E1F9" w:themeFill="accent5" w:themeFillTint="66"/>
          </w:tcPr>
          <w:p w14:paraId="30F70CF7" w14:textId="17499CC1" w:rsidR="00C55342" w:rsidRPr="00C55342" w:rsidRDefault="00C55342" w:rsidP="004F1FA7">
            <w:pPr>
              <w:pStyle w:val="TableColumnHeadingLeft"/>
              <w:rPr>
                <w:bCs/>
              </w:rPr>
            </w:pPr>
            <w:r w:rsidRPr="00C55342">
              <w:rPr>
                <w:bCs/>
                <w:sz w:val="24"/>
                <w:szCs w:val="22"/>
              </w:rPr>
              <w:lastRenderedPageBreak/>
              <w:t>9 Partnering with communities</w:t>
            </w:r>
          </w:p>
        </w:tc>
      </w:tr>
      <w:tr w:rsidR="00C55342" w:rsidRPr="0006336F" w14:paraId="619240D9" w14:textId="77777777" w:rsidTr="00A05428">
        <w:trPr>
          <w:cantSplit/>
          <w:tblHeader/>
        </w:trPr>
        <w:tc>
          <w:tcPr>
            <w:tcW w:w="1666" w:type="pct"/>
            <w:shd w:val="clear" w:color="auto" w:fill="EEEEEE" w:themeFill="background2"/>
          </w:tcPr>
          <w:p w14:paraId="06CA9252" w14:textId="74B41A56" w:rsidR="00C55342" w:rsidRPr="0006336F" w:rsidRDefault="00C55342" w:rsidP="00C55342">
            <w:pPr>
              <w:pStyle w:val="TableColumnHeadingLeft"/>
            </w:pPr>
            <w:r w:rsidRPr="0006336F">
              <w:t xml:space="preserve">Implemented </w:t>
            </w:r>
          </w:p>
        </w:tc>
        <w:tc>
          <w:tcPr>
            <w:tcW w:w="1666" w:type="pct"/>
            <w:shd w:val="clear" w:color="auto" w:fill="EEEEEE" w:themeFill="background2"/>
          </w:tcPr>
          <w:p w14:paraId="245C16A1" w14:textId="3C6357FE" w:rsidR="00C55342" w:rsidRPr="0006336F" w:rsidRDefault="00C55342" w:rsidP="00C55342">
            <w:pPr>
              <w:pStyle w:val="TableColumnHeadingLeft"/>
            </w:pPr>
            <w:r w:rsidRPr="0006336F">
              <w:t>Underway</w:t>
            </w:r>
          </w:p>
        </w:tc>
        <w:tc>
          <w:tcPr>
            <w:tcW w:w="1667" w:type="pct"/>
            <w:shd w:val="clear" w:color="auto" w:fill="EEEEEE" w:themeFill="background2"/>
          </w:tcPr>
          <w:p w14:paraId="7BDCD2DC" w14:textId="4A3383C3" w:rsidR="00C55342" w:rsidRPr="0006336F" w:rsidRDefault="00C55342" w:rsidP="00C55342">
            <w:pPr>
              <w:pStyle w:val="TableColumnHeadingLeft"/>
            </w:pPr>
            <w:r w:rsidRPr="0006336F">
              <w:t>Future reform directions</w:t>
            </w:r>
          </w:p>
        </w:tc>
      </w:tr>
      <w:tr w:rsidR="00C55342" w:rsidRPr="0006336F" w14:paraId="2267DC60" w14:textId="77777777" w:rsidTr="00A05428">
        <w:trPr>
          <w:cantSplit/>
        </w:trPr>
        <w:tc>
          <w:tcPr>
            <w:tcW w:w="1666" w:type="pct"/>
          </w:tcPr>
          <w:p w14:paraId="41EC6E40" w14:textId="77777777" w:rsidR="00C55342" w:rsidRPr="0006336F" w:rsidRDefault="00C55342" w:rsidP="00C55342">
            <w:pPr>
              <w:pStyle w:val="TableTextLeft"/>
              <w:rPr>
                <w:b/>
              </w:rPr>
            </w:pPr>
            <w:r w:rsidRPr="0006336F">
              <w:rPr>
                <w:b/>
              </w:rPr>
              <w:t xml:space="preserve">Funded a Targeting Entrenched Disadvantage package </w:t>
            </w:r>
          </w:p>
          <w:p w14:paraId="264E6076" w14:textId="2B78AA92" w:rsidR="00C55342" w:rsidRPr="00080E00" w:rsidRDefault="00C55342" w:rsidP="00C55342">
            <w:pPr>
              <w:pStyle w:val="TableTextBullet"/>
            </w:pPr>
            <w:r w:rsidRPr="0006336F">
              <w:t>Extended Stronger Places, Stronger People, a community</w:t>
            </w:r>
            <w:r w:rsidR="00B16861">
              <w:noBreakHyphen/>
            </w:r>
            <w:r w:rsidRPr="0006336F">
              <w:t xml:space="preserve">led initiative to address disadvantage through </w:t>
            </w:r>
            <w:r w:rsidRPr="00080E00">
              <w:t>local, evidence</w:t>
            </w:r>
            <w:r w:rsidR="00B16861">
              <w:noBreakHyphen/>
            </w:r>
            <w:r w:rsidRPr="00080E00">
              <w:t>based solutions</w:t>
            </w:r>
          </w:p>
          <w:p w14:paraId="27D76171" w14:textId="18C72599" w:rsidR="00C55342" w:rsidRPr="0006336F" w:rsidRDefault="00C55342" w:rsidP="00C55342">
            <w:pPr>
              <w:pStyle w:val="TableTextLeft"/>
              <w:rPr>
                <w:b/>
              </w:rPr>
            </w:pPr>
            <w:r w:rsidRPr="0006336F">
              <w:rPr>
                <w:b/>
              </w:rPr>
              <w:t xml:space="preserve">Strengthened local </w:t>
            </w:r>
            <w:r w:rsidR="00FD3514">
              <w:rPr>
                <w:b/>
              </w:rPr>
              <w:t>First Nation</w:t>
            </w:r>
            <w:r w:rsidRPr="0006336F">
              <w:rPr>
                <w:b/>
              </w:rPr>
              <w:t>s community initiatives</w:t>
            </w:r>
          </w:p>
          <w:p w14:paraId="0CC1E5F9" w14:textId="3BF71EDD" w:rsidR="00C55342" w:rsidRPr="0006336F" w:rsidRDefault="00C55342" w:rsidP="00C55342">
            <w:pPr>
              <w:pStyle w:val="TableTextBullet"/>
            </w:pPr>
            <w:r w:rsidRPr="0006336F">
              <w:t xml:space="preserve">Funded foundation skills training for </w:t>
            </w:r>
            <w:r w:rsidR="00FD3514">
              <w:t>First Nation</w:t>
            </w:r>
            <w:r w:rsidRPr="0006336F">
              <w:t xml:space="preserve">s people through Aboriginal and </w:t>
            </w:r>
            <w:r w:rsidR="00FD3514">
              <w:t>Torres Strait</w:t>
            </w:r>
            <w:r w:rsidRPr="0006336F">
              <w:t xml:space="preserve"> Islander community</w:t>
            </w:r>
            <w:r w:rsidR="00B16861">
              <w:noBreakHyphen/>
            </w:r>
            <w:r w:rsidRPr="0006336F">
              <w:t>controlled organisations</w:t>
            </w:r>
          </w:p>
          <w:p w14:paraId="05A04499" w14:textId="77777777" w:rsidR="00C55342" w:rsidRPr="0006336F" w:rsidRDefault="00C55342" w:rsidP="00C55342">
            <w:pPr>
              <w:pStyle w:val="TableTextLeft"/>
              <w:rPr>
                <w:b/>
                <w:bCs/>
              </w:rPr>
            </w:pPr>
            <w:r w:rsidRPr="0006336F">
              <w:rPr>
                <w:b/>
                <w:bCs/>
              </w:rPr>
              <w:t>Invested in broader social policy initiatives</w:t>
            </w:r>
          </w:p>
          <w:p w14:paraId="52265AE2" w14:textId="136D249F" w:rsidR="00C55342" w:rsidRPr="0006336F" w:rsidRDefault="002F4C2D" w:rsidP="00C55342">
            <w:pPr>
              <w:pStyle w:val="TableTextBullet"/>
            </w:pPr>
            <w:r w:rsidRPr="0006336F">
              <w:t>Support</w:t>
            </w:r>
            <w:r>
              <w:t>ed</w:t>
            </w:r>
            <w:r w:rsidRPr="0006336F">
              <w:t xml:space="preserve"> victim</w:t>
            </w:r>
            <w:r>
              <w:noBreakHyphen/>
            </w:r>
            <w:r w:rsidRPr="0006336F">
              <w:t>survivors of family, domestic and sexual violence; support</w:t>
            </w:r>
            <w:r>
              <w:t>ed</w:t>
            </w:r>
            <w:r w:rsidRPr="0006336F">
              <w:t xml:space="preserve"> community sector; and support</w:t>
            </w:r>
            <w:r>
              <w:t>ed</w:t>
            </w:r>
            <w:r w:rsidRPr="0006336F">
              <w:t xml:space="preserve"> mental health and suicide prevention research</w:t>
            </w:r>
          </w:p>
        </w:tc>
        <w:tc>
          <w:tcPr>
            <w:tcW w:w="1666" w:type="pct"/>
          </w:tcPr>
          <w:p w14:paraId="142142AF" w14:textId="77777777" w:rsidR="00C55342" w:rsidRPr="0006336F" w:rsidRDefault="00C55342" w:rsidP="00C55342">
            <w:pPr>
              <w:pStyle w:val="TableTextLeft"/>
              <w:rPr>
                <w:b/>
              </w:rPr>
            </w:pPr>
            <w:r w:rsidRPr="0006336F">
              <w:rPr>
                <w:b/>
              </w:rPr>
              <w:t>Working towards improving outcomes</w:t>
            </w:r>
          </w:p>
          <w:p w14:paraId="5B07ED7E" w14:textId="47FB7FB5" w:rsidR="00C55342" w:rsidRPr="0006336F" w:rsidRDefault="00C55342" w:rsidP="00C55342">
            <w:pPr>
              <w:pStyle w:val="TableTextBullet"/>
            </w:pPr>
            <w:r w:rsidRPr="0006336F">
              <w:t>Co</w:t>
            </w:r>
            <w:r w:rsidR="00B16861">
              <w:noBreakHyphen/>
            </w:r>
            <w:r w:rsidRPr="0006336F">
              <w:t>designing the Outcomes Fund and delivering the Social Enterprise Development Initiative</w:t>
            </w:r>
          </w:p>
          <w:p w14:paraId="5A2EE445" w14:textId="04867ADA" w:rsidR="00C55342" w:rsidRPr="0006336F" w:rsidRDefault="00C55342" w:rsidP="00C55342">
            <w:pPr>
              <w:pStyle w:val="TableTextBullet"/>
            </w:pPr>
            <w:r w:rsidRPr="0006336F">
              <w:t>Developing a partnership with philanthropy through the Investment Dialogue for Australia</w:t>
            </w:r>
            <w:r w:rsidR="00B16861">
              <w:t>’</w:t>
            </w:r>
            <w:r w:rsidRPr="0006336F">
              <w:t xml:space="preserve">s Children </w:t>
            </w:r>
          </w:p>
          <w:p w14:paraId="53F821AD" w14:textId="77777777" w:rsidR="00C55342" w:rsidRPr="0006336F" w:rsidRDefault="00C55342" w:rsidP="00C55342">
            <w:pPr>
              <w:pStyle w:val="TableTextBullet"/>
            </w:pPr>
            <w:r w:rsidRPr="0006336F">
              <w:t>Developing the Life Course Data Asset to improve our understanding of how communities experience disadvantage</w:t>
            </w:r>
          </w:p>
          <w:p w14:paraId="7130D84A" w14:textId="77777777" w:rsidR="00C55342" w:rsidRPr="0006336F" w:rsidRDefault="00C55342" w:rsidP="00C55342">
            <w:pPr>
              <w:pStyle w:val="TableTextBullet"/>
            </w:pPr>
            <w:r w:rsidRPr="0006336F">
              <w:t>Doubling the number of Indigenous rangers and expanding the Indigenous Protected Areas Programs by 2030</w:t>
            </w:r>
          </w:p>
          <w:p w14:paraId="79E6850B" w14:textId="77777777" w:rsidR="00C55342" w:rsidRPr="0006336F" w:rsidRDefault="00C55342" w:rsidP="00C55342">
            <w:pPr>
              <w:pStyle w:val="TableTextLeft"/>
            </w:pPr>
            <w:r w:rsidRPr="0006336F">
              <w:rPr>
                <w:b/>
              </w:rPr>
              <w:t xml:space="preserve">Working together through </w:t>
            </w:r>
            <w:r w:rsidRPr="0006336F">
              <w:rPr>
                <w:b/>
                <w:bCs/>
              </w:rPr>
              <w:t>policy partnerships</w:t>
            </w:r>
          </w:p>
          <w:p w14:paraId="1B8AE212" w14:textId="4438DEFB" w:rsidR="00C55342" w:rsidRPr="0006336F" w:rsidRDefault="00C55342" w:rsidP="00C55342">
            <w:pPr>
              <w:pStyle w:val="TableTextBullet"/>
            </w:pPr>
            <w:r w:rsidRPr="0006336F">
              <w:t xml:space="preserve">Scoping a </w:t>
            </w:r>
            <w:r w:rsidR="00FD3514">
              <w:t>First Nation</w:t>
            </w:r>
            <w:r w:rsidRPr="0006336F">
              <w:t>s Economic Partnership</w:t>
            </w:r>
          </w:p>
          <w:p w14:paraId="626EC260" w14:textId="3A0F95BF" w:rsidR="00C55342" w:rsidRPr="0006336F" w:rsidRDefault="00C55342" w:rsidP="00C55342">
            <w:pPr>
              <w:pStyle w:val="TableTextBullet"/>
            </w:pPr>
            <w:r w:rsidRPr="0006336F">
              <w:t xml:space="preserve">Identifying ways to </w:t>
            </w:r>
            <w:r w:rsidRPr="0006336F" w:rsidDel="003C44FD">
              <w:t>back</w:t>
            </w:r>
            <w:r w:rsidRPr="0006336F">
              <w:t xml:space="preserve"> the social enterprise sector, and provide more employment and training opportunities for Australians facing disadvantage</w:t>
            </w:r>
          </w:p>
        </w:tc>
        <w:tc>
          <w:tcPr>
            <w:tcW w:w="1667" w:type="pct"/>
          </w:tcPr>
          <w:p w14:paraId="043CB67D" w14:textId="586BB550" w:rsidR="00C55342" w:rsidRPr="0006336F" w:rsidRDefault="00C55342" w:rsidP="00C55342">
            <w:pPr>
              <w:pStyle w:val="TableTextLeft"/>
            </w:pPr>
            <w:r w:rsidRPr="0006336F">
              <w:rPr>
                <w:b/>
                <w:bCs/>
              </w:rPr>
              <w:t>Boost place</w:t>
            </w:r>
            <w:r w:rsidR="00B16861">
              <w:rPr>
                <w:b/>
                <w:bCs/>
              </w:rPr>
              <w:noBreakHyphen/>
            </w:r>
            <w:r w:rsidRPr="0006336F">
              <w:rPr>
                <w:b/>
                <w:bCs/>
              </w:rPr>
              <w:t>based approaches</w:t>
            </w:r>
          </w:p>
          <w:p w14:paraId="28317DFA" w14:textId="77777777" w:rsidR="00C55342" w:rsidRPr="0006336F" w:rsidRDefault="00C55342" w:rsidP="00C55342">
            <w:pPr>
              <w:pStyle w:val="TableTextBullet"/>
            </w:pPr>
            <w:r w:rsidRPr="0006336F">
              <w:t xml:space="preserve">Better align programs and delivery across governments </w:t>
            </w:r>
          </w:p>
          <w:p w14:paraId="0DBAABE0" w14:textId="77777777" w:rsidR="00C55342" w:rsidRPr="0006336F" w:rsidRDefault="00C55342" w:rsidP="00C55342">
            <w:pPr>
              <w:pStyle w:val="TableTextBullet"/>
            </w:pPr>
            <w:r w:rsidRPr="0006336F">
              <w:t>Put data in the hands of communities and give them a say in how funding is directed, with appropriate government controls</w:t>
            </w:r>
          </w:p>
          <w:p w14:paraId="4D6071DD" w14:textId="5D22AB58" w:rsidR="00C55342" w:rsidRPr="0006336F" w:rsidRDefault="00C55342" w:rsidP="00C55342">
            <w:pPr>
              <w:pStyle w:val="TableTextBullet"/>
            </w:pPr>
            <w:r w:rsidRPr="0006336F">
              <w:t>Expand the role of communities in decision</w:t>
            </w:r>
            <w:r w:rsidR="00D72A26">
              <w:t>-</w:t>
            </w:r>
            <w:r w:rsidRPr="0006336F">
              <w:t>making over time</w:t>
            </w:r>
          </w:p>
          <w:p w14:paraId="07FCFBB0" w14:textId="298D95DC" w:rsidR="00C55342" w:rsidRPr="0006336F" w:rsidRDefault="00C55342" w:rsidP="00C55342">
            <w:pPr>
              <w:pStyle w:val="TableTextLeft"/>
              <w:rPr>
                <w:b/>
                <w:bCs/>
              </w:rPr>
            </w:pPr>
            <w:r w:rsidRPr="0006336F">
              <w:rPr>
                <w:b/>
                <w:bCs/>
              </w:rPr>
              <w:t xml:space="preserve">Partner with </w:t>
            </w:r>
            <w:r w:rsidR="00FD3514">
              <w:rPr>
                <w:b/>
                <w:bCs/>
              </w:rPr>
              <w:t>First Nation</w:t>
            </w:r>
            <w:r w:rsidRPr="0006336F">
              <w:rPr>
                <w:b/>
                <w:bCs/>
              </w:rPr>
              <w:t>s people</w:t>
            </w:r>
          </w:p>
          <w:p w14:paraId="0F503E98" w14:textId="23426743" w:rsidR="00C55342" w:rsidRPr="0006336F" w:rsidRDefault="00C55342" w:rsidP="00C55342">
            <w:pPr>
              <w:pStyle w:val="TableTextBullet"/>
              <w:rPr>
                <w:b/>
              </w:rPr>
            </w:pPr>
            <w:r w:rsidRPr="0006336F">
              <w:t xml:space="preserve">Improve progress on </w:t>
            </w:r>
            <w:r w:rsidR="002F4C2D">
              <w:t>C</w:t>
            </w:r>
            <w:r w:rsidRPr="0006336F">
              <w:t xml:space="preserve">losing the </w:t>
            </w:r>
            <w:r w:rsidR="002F4C2D">
              <w:t>G</w:t>
            </w:r>
            <w:r w:rsidRPr="0006336F">
              <w:t xml:space="preserve">ap in economic participation and development outcomes, by working in partnership with </w:t>
            </w:r>
            <w:r w:rsidR="00FD3514">
              <w:t>First Nation</w:t>
            </w:r>
            <w:r w:rsidRPr="0006336F">
              <w:t>s people</w:t>
            </w:r>
            <w:r w:rsidRPr="0006336F" w:rsidDel="000A330C">
              <w:t xml:space="preserve"> </w:t>
            </w:r>
          </w:p>
          <w:p w14:paraId="147E14C7" w14:textId="77777777" w:rsidR="00C55342" w:rsidRPr="0006336F" w:rsidRDefault="00C55342" w:rsidP="00C55342">
            <w:pPr>
              <w:pStyle w:val="TableTextLeft"/>
              <w:rPr>
                <w:b/>
              </w:rPr>
            </w:pPr>
            <w:r w:rsidRPr="0006336F">
              <w:rPr>
                <w:b/>
              </w:rPr>
              <w:t>Back social enterprise</w:t>
            </w:r>
          </w:p>
          <w:p w14:paraId="4C16D14A" w14:textId="43E6FD19" w:rsidR="00C55342" w:rsidRPr="00080E00" w:rsidRDefault="00C55342" w:rsidP="00080E00">
            <w:pPr>
              <w:pStyle w:val="TableTextBullet"/>
              <w:rPr>
                <w:b/>
              </w:rPr>
            </w:pPr>
            <w:r w:rsidRPr="0006336F">
              <w:t>Build capacity to get people into jobs and create job pathways by supporting the growth of the social enterprise sector</w:t>
            </w:r>
          </w:p>
        </w:tc>
      </w:tr>
    </w:tbl>
    <w:p w14:paraId="057E1636" w14:textId="1C5DCF2B" w:rsidR="004F1FA7" w:rsidRPr="00EA0408" w:rsidRDefault="004F1FA7" w:rsidP="00EA0408"/>
    <w:tbl>
      <w:tblPr>
        <w:tblW w:w="5000" w:type="pct"/>
        <w:tblBorders>
          <w:top w:val="single" w:sz="12" w:space="0" w:color="2C384A" w:themeColor="accent1"/>
          <w:bottom w:val="single" w:sz="12" w:space="0" w:color="2C384A" w:themeColor="accent1"/>
        </w:tblBorders>
        <w:tblLook w:val="01E0" w:firstRow="1" w:lastRow="1" w:firstColumn="1" w:lastColumn="1" w:noHBand="0" w:noVBand="0"/>
      </w:tblPr>
      <w:tblGrid>
        <w:gridCol w:w="3022"/>
        <w:gridCol w:w="3022"/>
        <w:gridCol w:w="3026"/>
      </w:tblGrid>
      <w:tr w:rsidR="00C55342" w:rsidRPr="0006336F" w14:paraId="13E560F6" w14:textId="77777777" w:rsidTr="00A05428">
        <w:trPr>
          <w:cantSplit/>
          <w:tblHeader/>
        </w:trPr>
        <w:tc>
          <w:tcPr>
            <w:tcW w:w="5000" w:type="pct"/>
            <w:gridSpan w:val="3"/>
            <w:shd w:val="clear" w:color="auto" w:fill="D2E1F9" w:themeFill="accent5" w:themeFillTint="66"/>
          </w:tcPr>
          <w:p w14:paraId="75A69D17" w14:textId="584472F0" w:rsidR="00C55342" w:rsidRPr="00C55342" w:rsidRDefault="00C55342" w:rsidP="004F1FA7">
            <w:pPr>
              <w:pStyle w:val="TableColumnHeadingLeft"/>
              <w:rPr>
                <w:bCs/>
              </w:rPr>
            </w:pPr>
            <w:r w:rsidRPr="00C55342">
              <w:rPr>
                <w:bCs/>
                <w:sz w:val="24"/>
                <w:szCs w:val="22"/>
              </w:rPr>
              <w:lastRenderedPageBreak/>
              <w:t>10 Promoting inclusive, dynamic workplaces</w:t>
            </w:r>
          </w:p>
        </w:tc>
      </w:tr>
      <w:tr w:rsidR="00C55342" w:rsidRPr="0006336F" w14:paraId="65D99CC5" w14:textId="77777777" w:rsidTr="00A05428">
        <w:trPr>
          <w:cantSplit/>
          <w:tblHeader/>
        </w:trPr>
        <w:tc>
          <w:tcPr>
            <w:tcW w:w="1666" w:type="pct"/>
            <w:shd w:val="clear" w:color="auto" w:fill="EEEEEE" w:themeFill="background2"/>
          </w:tcPr>
          <w:p w14:paraId="4B4B46D7" w14:textId="31937AB2" w:rsidR="00C55342" w:rsidRPr="0006336F" w:rsidRDefault="00C55342" w:rsidP="00C55342">
            <w:pPr>
              <w:pStyle w:val="TableColumnHeadingLeft"/>
            </w:pPr>
            <w:r w:rsidRPr="0006336F">
              <w:t xml:space="preserve">Implemented </w:t>
            </w:r>
          </w:p>
        </w:tc>
        <w:tc>
          <w:tcPr>
            <w:tcW w:w="1666" w:type="pct"/>
            <w:shd w:val="clear" w:color="auto" w:fill="EEEEEE" w:themeFill="background2"/>
          </w:tcPr>
          <w:p w14:paraId="21E97B3A" w14:textId="01D6D92E" w:rsidR="00C55342" w:rsidRPr="0006336F" w:rsidRDefault="00C55342" w:rsidP="00C55342">
            <w:pPr>
              <w:pStyle w:val="TableColumnHeadingLeft"/>
            </w:pPr>
            <w:r w:rsidRPr="0006336F">
              <w:t>Underway</w:t>
            </w:r>
          </w:p>
        </w:tc>
        <w:tc>
          <w:tcPr>
            <w:tcW w:w="1668" w:type="pct"/>
            <w:shd w:val="clear" w:color="auto" w:fill="EEEEEE" w:themeFill="background2"/>
          </w:tcPr>
          <w:p w14:paraId="152920BD" w14:textId="2A567D5F" w:rsidR="00C55342" w:rsidRPr="0006336F" w:rsidRDefault="00C55342" w:rsidP="00C55342">
            <w:pPr>
              <w:pStyle w:val="TableColumnHeadingLeft"/>
            </w:pPr>
            <w:r w:rsidRPr="0006336F">
              <w:t>Future reform directions</w:t>
            </w:r>
          </w:p>
        </w:tc>
      </w:tr>
      <w:tr w:rsidR="00C55342" w:rsidRPr="0006336F" w14:paraId="563A5F87" w14:textId="77777777" w:rsidTr="00A05428">
        <w:trPr>
          <w:cantSplit/>
        </w:trPr>
        <w:tc>
          <w:tcPr>
            <w:tcW w:w="1666" w:type="pct"/>
          </w:tcPr>
          <w:p w14:paraId="34A71967" w14:textId="77777777" w:rsidR="00C55342" w:rsidRPr="0006336F" w:rsidRDefault="00C55342" w:rsidP="00C55342">
            <w:pPr>
              <w:pStyle w:val="TableTextLeft"/>
              <w:rPr>
                <w:b/>
              </w:rPr>
            </w:pPr>
            <w:r w:rsidRPr="0006336F">
              <w:rPr>
                <w:b/>
              </w:rPr>
              <w:t xml:space="preserve">Strengthened protections in the Fair Work framework </w:t>
            </w:r>
          </w:p>
          <w:p w14:paraId="09864A08" w14:textId="77777777" w:rsidR="00C55342" w:rsidRPr="0006336F" w:rsidRDefault="00C55342" w:rsidP="00C55342">
            <w:pPr>
              <w:pStyle w:val="TableTextBullet"/>
            </w:pPr>
            <w:r w:rsidRPr="0006336F">
              <w:rPr>
                <w:bCs/>
              </w:rPr>
              <w:t>Committed to amend the Fair Work Act to include subjection to family and domestic violence in the list of protected attributes</w:t>
            </w:r>
          </w:p>
          <w:p w14:paraId="7FD2BE90" w14:textId="77777777" w:rsidR="00C55342" w:rsidRPr="0006336F" w:rsidRDefault="00C55342" w:rsidP="00C55342">
            <w:pPr>
              <w:pStyle w:val="TableTextBullet"/>
              <w:rPr>
                <w:szCs w:val="16"/>
              </w:rPr>
            </w:pPr>
            <w:r w:rsidRPr="0006336F">
              <w:t>M</w:t>
            </w:r>
            <w:r w:rsidRPr="0006336F">
              <w:rPr>
                <w:szCs w:val="16"/>
              </w:rPr>
              <w:t>ade breastfeeding, gender identity and intersex status protected attributes in the Fair Work Act</w:t>
            </w:r>
          </w:p>
          <w:p w14:paraId="52E59A37" w14:textId="77777777" w:rsidR="00C55342" w:rsidRPr="0006336F" w:rsidRDefault="00C55342" w:rsidP="00C55342">
            <w:pPr>
              <w:pStyle w:val="TableTextLeft"/>
              <w:rPr>
                <w:b/>
                <w:sz w:val="14"/>
                <w:szCs w:val="16"/>
              </w:rPr>
            </w:pPr>
            <w:r w:rsidRPr="0006336F">
              <w:rPr>
                <w:b/>
                <w:szCs w:val="16"/>
              </w:rPr>
              <w:t>Made gender pay gaps visible</w:t>
            </w:r>
          </w:p>
          <w:p w14:paraId="4D5A0C37" w14:textId="77777777" w:rsidR="00C55342" w:rsidRPr="0006336F" w:rsidRDefault="00C55342" w:rsidP="00C55342">
            <w:pPr>
              <w:pStyle w:val="TableTextBullet"/>
            </w:pPr>
            <w:r w:rsidRPr="0006336F">
              <w:t>Legislated for the Workplace Gender Equality Agency to publish gender pay gaps of employers with 100 or more employees</w:t>
            </w:r>
          </w:p>
          <w:p w14:paraId="12938AD3" w14:textId="77777777" w:rsidR="00C55342" w:rsidRPr="00D4260A" w:rsidRDefault="00C55342" w:rsidP="00C55342">
            <w:pPr>
              <w:pStyle w:val="TableTextBullet"/>
              <w:rPr>
                <w:bCs/>
              </w:rPr>
            </w:pPr>
            <w:r w:rsidRPr="0006336F">
              <w:t>Banned pay secrecy</w:t>
            </w:r>
          </w:p>
          <w:p w14:paraId="41418942" w14:textId="77777777" w:rsidR="00C55342" w:rsidRPr="0006336F" w:rsidRDefault="00C55342" w:rsidP="00C55342">
            <w:pPr>
              <w:pStyle w:val="TableTextLeft"/>
              <w:rPr>
                <w:b/>
              </w:rPr>
            </w:pPr>
            <w:r w:rsidRPr="0006336F">
              <w:rPr>
                <w:b/>
              </w:rPr>
              <w:t>Supported employers to adopt new hiring practices</w:t>
            </w:r>
          </w:p>
          <w:p w14:paraId="0A3B8332" w14:textId="08FDDC9C" w:rsidR="00C55342" w:rsidRPr="0006336F" w:rsidRDefault="00C55342" w:rsidP="00C55342">
            <w:pPr>
              <w:pStyle w:val="TableTextBullet"/>
            </w:pPr>
            <w:r w:rsidRPr="0006336F">
              <w:t>Co</w:t>
            </w:r>
            <w:r w:rsidR="00B16861">
              <w:noBreakHyphen/>
            </w:r>
            <w:r w:rsidRPr="0006336F">
              <w:t>designed entry</w:t>
            </w:r>
            <w:r w:rsidR="00B16861">
              <w:noBreakHyphen/>
            </w:r>
            <w:r w:rsidRPr="0006336F">
              <w:t xml:space="preserve">level work programs with employers through the Launch into Work program </w:t>
            </w:r>
          </w:p>
          <w:p w14:paraId="70474BF7" w14:textId="2824BCF4" w:rsidR="00C55342" w:rsidRPr="0006336F" w:rsidRDefault="00C55342" w:rsidP="00C55342">
            <w:pPr>
              <w:pStyle w:val="TableTextBullet"/>
            </w:pPr>
            <w:r w:rsidRPr="0006336F">
              <w:t>Launched the Carer Inclusive Workplace Initiative</w:t>
            </w:r>
          </w:p>
        </w:tc>
        <w:tc>
          <w:tcPr>
            <w:tcW w:w="1666" w:type="pct"/>
          </w:tcPr>
          <w:p w14:paraId="6850672B" w14:textId="118B502D" w:rsidR="00C55342" w:rsidRPr="0006336F" w:rsidRDefault="00C55342" w:rsidP="00C55342">
            <w:pPr>
              <w:pStyle w:val="TableTextLeft"/>
            </w:pPr>
            <w:r w:rsidRPr="0006336F">
              <w:rPr>
                <w:b/>
              </w:rPr>
              <w:t>Shaping outcomes through Government</w:t>
            </w:r>
            <w:r w:rsidR="00B16861">
              <w:rPr>
                <w:b/>
              </w:rPr>
              <w:t>’</w:t>
            </w:r>
            <w:r w:rsidRPr="0006336F">
              <w:rPr>
                <w:b/>
              </w:rPr>
              <w:t>s purchasing power</w:t>
            </w:r>
          </w:p>
          <w:p w14:paraId="6F92DB06" w14:textId="77777777" w:rsidR="00C55342" w:rsidRPr="0006336F" w:rsidRDefault="00C55342" w:rsidP="00C55342">
            <w:pPr>
              <w:pStyle w:val="TableTextBullet"/>
            </w:pPr>
            <w:r w:rsidRPr="0006336F">
              <w:t>Establishing the Secure Australian Jobs Code to ensure government procurement supports secure jobs</w:t>
            </w:r>
          </w:p>
          <w:p w14:paraId="6FE95F6D" w14:textId="77777777" w:rsidR="00C55342" w:rsidRPr="0006336F" w:rsidRDefault="00C55342" w:rsidP="00C55342">
            <w:pPr>
              <w:pStyle w:val="TableTextBullet"/>
            </w:pPr>
            <w:r w:rsidRPr="0006336F">
              <w:t>Introducing the Australian Skills Guarantee, with targets for women on major Government projects</w:t>
            </w:r>
          </w:p>
          <w:p w14:paraId="66FEC850" w14:textId="77777777" w:rsidR="00C55342" w:rsidRPr="0006336F" w:rsidRDefault="00C55342" w:rsidP="00C55342">
            <w:pPr>
              <w:pStyle w:val="TableTextLeft"/>
              <w:rPr>
                <w:b/>
              </w:rPr>
            </w:pPr>
            <w:r w:rsidRPr="0006336F">
              <w:rPr>
                <w:b/>
              </w:rPr>
              <w:t>Partnering with employers</w:t>
            </w:r>
          </w:p>
          <w:p w14:paraId="57579EAC" w14:textId="70CC8482" w:rsidR="00C55342" w:rsidRPr="0006336F" w:rsidRDefault="00C55342" w:rsidP="00C55342">
            <w:pPr>
              <w:pStyle w:val="TableTextBullet"/>
            </w:pPr>
            <w:r w:rsidRPr="0006336F">
              <w:t>Co</w:t>
            </w:r>
            <w:r w:rsidR="00B16861">
              <w:noBreakHyphen/>
            </w:r>
            <w:r w:rsidRPr="0006336F">
              <w:t>developing a disability employment pilot with the Business Council of Australia</w:t>
            </w:r>
          </w:p>
          <w:p w14:paraId="576EFEC1" w14:textId="51536ACB" w:rsidR="00C55342" w:rsidRPr="0006336F" w:rsidRDefault="00C55342" w:rsidP="00C55342">
            <w:pPr>
              <w:pStyle w:val="TableTextBullet"/>
            </w:pPr>
            <w:r w:rsidRPr="0006336F">
              <w:t>Delivering a Visitor Economy Disability Employment pilot to deliver place</w:t>
            </w:r>
            <w:r w:rsidR="00B16861">
              <w:noBreakHyphen/>
            </w:r>
            <w:r w:rsidRPr="0006336F">
              <w:t xml:space="preserve">based employment outcomes by connecting small businesses, employment service providers and job seekers with disability </w:t>
            </w:r>
          </w:p>
          <w:p w14:paraId="58301CE3" w14:textId="77777777" w:rsidR="00C55342" w:rsidRPr="0006336F" w:rsidRDefault="00C55342" w:rsidP="00C55342">
            <w:pPr>
              <w:pStyle w:val="TableTextLeft"/>
              <w:rPr>
                <w:b/>
              </w:rPr>
            </w:pPr>
            <w:r w:rsidRPr="0006336F">
              <w:rPr>
                <w:b/>
              </w:rPr>
              <w:t xml:space="preserve">Improving information about experiences in work </w:t>
            </w:r>
          </w:p>
          <w:p w14:paraId="23BA0F87" w14:textId="6B7F8279" w:rsidR="00A05428" w:rsidRPr="0006336F" w:rsidRDefault="00C55342" w:rsidP="00A05428">
            <w:pPr>
              <w:pStyle w:val="TableTextBullet"/>
            </w:pPr>
            <w:r w:rsidRPr="0006336F">
              <w:t xml:space="preserve">Funding the ABS to improve data on unpaid care, job security and outcomes of employment services and income support programs </w:t>
            </w:r>
          </w:p>
        </w:tc>
        <w:tc>
          <w:tcPr>
            <w:tcW w:w="1668" w:type="pct"/>
          </w:tcPr>
          <w:p w14:paraId="26DB5E4C" w14:textId="77777777" w:rsidR="00C55342" w:rsidRPr="0006336F" w:rsidRDefault="00C55342" w:rsidP="00C55342">
            <w:pPr>
              <w:pStyle w:val="TableTextLeft"/>
              <w:rPr>
                <w:b/>
              </w:rPr>
            </w:pPr>
            <w:r w:rsidRPr="0006336F">
              <w:rPr>
                <w:b/>
              </w:rPr>
              <w:t>Promote innovative recruitment and job design</w:t>
            </w:r>
          </w:p>
          <w:p w14:paraId="48BD46C0" w14:textId="6F0432B1" w:rsidR="00C55342" w:rsidRPr="0006336F" w:rsidDel="00B4151C" w:rsidRDefault="00C55342" w:rsidP="00C55342">
            <w:pPr>
              <w:pStyle w:val="TableTextBullet"/>
            </w:pPr>
            <w:r w:rsidRPr="0006336F" w:rsidDel="00B4151C">
              <w:t xml:space="preserve">Encourage </w:t>
            </w:r>
            <w:r w:rsidRPr="0006336F">
              <w:t xml:space="preserve">workplace </w:t>
            </w:r>
            <w:r w:rsidRPr="0006336F" w:rsidDel="00B4151C">
              <w:t xml:space="preserve">cultural change and </w:t>
            </w:r>
            <w:r w:rsidRPr="0006336F">
              <w:t>job co</w:t>
            </w:r>
            <w:r w:rsidR="00B16861">
              <w:noBreakHyphen/>
            </w:r>
            <w:r w:rsidRPr="0006336F">
              <w:t>design</w:t>
            </w:r>
          </w:p>
          <w:p w14:paraId="205015FC" w14:textId="4472729B" w:rsidR="00C55342" w:rsidRPr="0006336F" w:rsidRDefault="00C55342" w:rsidP="00C55342">
            <w:pPr>
              <w:pStyle w:val="TableTextBullet"/>
            </w:pPr>
            <w:r w:rsidRPr="0006336F">
              <w:t xml:space="preserve">Expand </w:t>
            </w:r>
            <w:r w:rsidR="00FD3514">
              <w:t>First Nation</w:t>
            </w:r>
            <w:r w:rsidRPr="0006336F">
              <w:t>s employment opportunities in the APS</w:t>
            </w:r>
          </w:p>
          <w:p w14:paraId="3B681D0B" w14:textId="77777777" w:rsidR="00C55342" w:rsidRPr="0006336F" w:rsidRDefault="00C55342" w:rsidP="00C55342">
            <w:pPr>
              <w:pStyle w:val="TableTextLeft"/>
              <w:rPr>
                <w:b/>
              </w:rPr>
            </w:pPr>
            <w:r w:rsidRPr="0006336F">
              <w:rPr>
                <w:b/>
              </w:rPr>
              <w:t>Improve policy evaluation and partnerships</w:t>
            </w:r>
          </w:p>
          <w:p w14:paraId="242F0730" w14:textId="77777777" w:rsidR="00C55342" w:rsidRPr="0006336F" w:rsidRDefault="00C55342" w:rsidP="00C55342">
            <w:pPr>
              <w:pStyle w:val="TableTextBullet"/>
            </w:pPr>
            <w:r w:rsidRPr="0006336F">
              <w:t>Embed robust evaluation into policy design, especially for employment services</w:t>
            </w:r>
          </w:p>
          <w:p w14:paraId="3B338E43" w14:textId="282EA264" w:rsidR="00C55342" w:rsidRPr="0006336F" w:rsidRDefault="00C55342" w:rsidP="00C55342">
            <w:pPr>
              <w:pStyle w:val="TableTextBullet"/>
            </w:pPr>
            <w:r w:rsidRPr="0006336F">
              <w:t>Reform employment services to better support employers</w:t>
            </w:r>
            <w:r w:rsidR="00B16861">
              <w:t>’</w:t>
            </w:r>
            <w:r w:rsidRPr="0006336F">
              <w:t xml:space="preserve"> recruitment needs</w:t>
            </w:r>
          </w:p>
          <w:p w14:paraId="43E5614E" w14:textId="65D4AAC8" w:rsidR="00C55342" w:rsidRPr="0006336F" w:rsidRDefault="00C55342" w:rsidP="00C55342">
            <w:pPr>
              <w:pStyle w:val="TableTextBullet"/>
            </w:pPr>
            <w:r w:rsidRPr="0006336F">
              <w:t>Co</w:t>
            </w:r>
            <w:r w:rsidR="00B16861">
              <w:noBreakHyphen/>
            </w:r>
            <w:r w:rsidRPr="0006336F">
              <w:t>develop work experience principles for job seekers who are disadvantaged</w:t>
            </w:r>
          </w:p>
          <w:p w14:paraId="51D2B351" w14:textId="77777777" w:rsidR="00C55342" w:rsidRPr="0006336F" w:rsidRDefault="00C55342" w:rsidP="00C55342">
            <w:pPr>
              <w:pStyle w:val="TableTextLeft"/>
              <w:rPr>
                <w:b/>
              </w:rPr>
            </w:pPr>
            <w:r w:rsidRPr="0006336F">
              <w:rPr>
                <w:b/>
              </w:rPr>
              <w:t>Improve transparency on workforce diversity</w:t>
            </w:r>
          </w:p>
          <w:p w14:paraId="776E1C23" w14:textId="1B361D4B" w:rsidR="00C55342" w:rsidRPr="0006336F" w:rsidRDefault="00C55342" w:rsidP="00C55342">
            <w:pPr>
              <w:pStyle w:val="TableTextBullet"/>
            </w:pPr>
            <w:r w:rsidRPr="0006336F">
              <w:t>Ensure data leads to change including through setting measurable targets</w:t>
            </w:r>
          </w:p>
        </w:tc>
      </w:tr>
    </w:tbl>
    <w:p w14:paraId="5062C82A" w14:textId="77777777" w:rsidR="00080E00" w:rsidRPr="00A05428" w:rsidRDefault="00080E00" w:rsidP="00A05428">
      <w:bookmarkStart w:id="17" w:name="_Toc146292926"/>
    </w:p>
    <w:p w14:paraId="571FFC14" w14:textId="1F7115EC" w:rsidR="0057083E" w:rsidRPr="00080E00" w:rsidRDefault="002E783C" w:rsidP="00080E00">
      <w:pPr>
        <w:pStyle w:val="Heading2"/>
      </w:pPr>
      <w:r w:rsidRPr="0006336F">
        <w:lastRenderedPageBreak/>
        <w:t>Endnotes</w:t>
      </w:r>
      <w:bookmarkEnd w:id="17"/>
      <w:r>
        <w:t xml:space="preserve"> </w:t>
      </w:r>
    </w:p>
    <w:sectPr w:rsidR="0057083E" w:rsidRPr="00080E00" w:rsidSect="00C819FA">
      <w:footnotePr>
        <w:numFmt w:val="lowerRoman"/>
      </w:footnotePr>
      <w:endnotePr>
        <w:numFmt w:val="decimal"/>
      </w:endnotePr>
      <w:type w:val="continuous"/>
      <w:pgSz w:w="11906" w:h="16838" w:code="9"/>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4F966" w14:textId="77777777" w:rsidR="003026BB" w:rsidRDefault="003026BB">
      <w:pPr>
        <w:spacing w:before="0" w:after="0"/>
      </w:pPr>
      <w:r>
        <w:separator/>
      </w:r>
    </w:p>
  </w:endnote>
  <w:endnote w:type="continuationSeparator" w:id="0">
    <w:p w14:paraId="2F268ADB" w14:textId="77777777" w:rsidR="003026BB" w:rsidRDefault="003026BB">
      <w:pPr>
        <w:spacing w:before="0" w:after="0"/>
      </w:pPr>
      <w:r>
        <w:continuationSeparator/>
      </w:r>
    </w:p>
  </w:endnote>
  <w:endnote w:type="continuationNotice" w:id="1">
    <w:p w14:paraId="2C9C28E2" w14:textId="77777777" w:rsidR="003026BB" w:rsidRDefault="003026BB">
      <w:pPr>
        <w:spacing w:before="0" w:after="0"/>
      </w:pPr>
    </w:p>
  </w:endnote>
  <w:endnote w:id="2">
    <w:p w14:paraId="12B0D759" w14:textId="23CA9768" w:rsidR="00AE0DE8" w:rsidRPr="00080E00" w:rsidRDefault="00AE0DE8" w:rsidP="00080E00">
      <w:pPr>
        <w:pStyle w:val="EndnoteText"/>
      </w:pPr>
      <w:r w:rsidRPr="00080E00">
        <w:rPr>
          <w:rStyle w:val="EndnoteReference"/>
          <w:vertAlign w:val="baseline"/>
        </w:rPr>
        <w:endnoteRef/>
      </w:r>
      <w:r w:rsidRPr="00080E00">
        <w:t xml:space="preserve"> </w:t>
      </w:r>
      <w:r w:rsidR="00525A52" w:rsidRPr="00080E00">
        <w:tab/>
      </w:r>
      <w:r w:rsidR="00DD7869" w:rsidRPr="00080E00">
        <w:t xml:space="preserve">Victoria University, </w:t>
      </w:r>
      <w:r w:rsidR="00C20265" w:rsidRPr="00080E00">
        <w:rPr>
          <w:iCs/>
        </w:rPr>
        <w:t>Projections</w:t>
      </w:r>
      <w:r w:rsidR="00DD7869" w:rsidRPr="00080E00">
        <w:t xml:space="preserve"> for Jobs and Skills Australia, (2023).</w:t>
      </w:r>
    </w:p>
  </w:endnote>
  <w:endnote w:id="3">
    <w:p w14:paraId="39DCF394" w14:textId="33952A33" w:rsidR="006D780D" w:rsidRPr="00080E00" w:rsidRDefault="006D780D" w:rsidP="00080E00">
      <w:pPr>
        <w:pStyle w:val="EndnoteText"/>
      </w:pPr>
      <w:r w:rsidRPr="00080E00">
        <w:rPr>
          <w:rStyle w:val="EndnoteReference"/>
          <w:vertAlign w:val="baseline"/>
        </w:rPr>
        <w:endnoteRef/>
      </w:r>
      <w:r w:rsidRPr="00080E00">
        <w:t xml:space="preserve"> </w:t>
      </w:r>
      <w:r w:rsidR="00525A52" w:rsidRPr="00080E00">
        <w:tab/>
      </w:r>
      <w:r w:rsidRPr="00080E00">
        <w:t>Deloitte, Projections for Jobs and Skills Australia, (2023).</w:t>
      </w:r>
    </w:p>
  </w:endnote>
  <w:endnote w:id="4">
    <w:p w14:paraId="4C21A8E1" w14:textId="42547AF0" w:rsidR="008F544F" w:rsidRDefault="008F544F" w:rsidP="00080E00">
      <w:pPr>
        <w:pStyle w:val="EndnoteText"/>
      </w:pPr>
      <w:r w:rsidRPr="00080E00">
        <w:rPr>
          <w:rStyle w:val="EndnoteReference"/>
          <w:vertAlign w:val="baseline"/>
        </w:rPr>
        <w:endnoteRef/>
      </w:r>
      <w:r>
        <w:t xml:space="preserve"> </w:t>
      </w:r>
      <w:r w:rsidR="00525A52">
        <w:tab/>
      </w:r>
      <w:r>
        <w:t xml:space="preserve">Victoria University, </w:t>
      </w:r>
      <w:r w:rsidR="00C20265">
        <w:t>Projections</w:t>
      </w:r>
      <w:r w:rsidRPr="002C7A11">
        <w:t xml:space="preserve"> for Jobs and Skills Australia</w:t>
      </w:r>
      <w:r>
        <w:t>, (2023).</w:t>
      </w:r>
    </w:p>
  </w:endnote>
  <w:endnote w:id="5">
    <w:p w14:paraId="468B8DA2" w14:textId="002813AE" w:rsidR="002D0020" w:rsidRDefault="002D0020">
      <w:pPr>
        <w:pStyle w:val="EndnoteText"/>
      </w:pPr>
      <w:r w:rsidRPr="001965A3">
        <w:endnoteRef/>
      </w:r>
      <w:r>
        <w:t xml:space="preserve"> </w:t>
      </w:r>
      <w:r>
        <w:tab/>
        <w:t>Coates, B., Wiltshire, T., and Reysenbach, T.</w:t>
      </w:r>
      <w:r w:rsidR="0026751C">
        <w:t>,</w:t>
      </w:r>
      <w:r>
        <w:t xml:space="preserve"> </w:t>
      </w:r>
      <w:r w:rsidRPr="001965A3">
        <w:rPr>
          <w:i/>
          <w:iCs/>
        </w:rPr>
        <w:t>Short-changed: How to stop the exploitation of migrant workers in Australia</w:t>
      </w:r>
      <w:r w:rsidR="0065588B">
        <w:t>,</w:t>
      </w:r>
      <w:r>
        <w:t xml:space="preserve"> </w:t>
      </w:r>
      <w:r w:rsidR="0065588B">
        <w:t>(</w:t>
      </w:r>
      <w:r>
        <w:t>Grattan Institute</w:t>
      </w:r>
      <w:r w:rsidR="0065588B">
        <w:t xml:space="preserve"> </w:t>
      </w:r>
      <w:r w:rsidR="0026751C">
        <w:t>2023).</w:t>
      </w:r>
    </w:p>
    <w:p w14:paraId="22147255" w14:textId="6BC79921" w:rsidR="002D0020" w:rsidRDefault="002D002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13F7" w14:textId="5A32C75E" w:rsidR="0075091A" w:rsidRPr="00A65784" w:rsidRDefault="0075091A" w:rsidP="00A65784">
    <w:pPr>
      <w:pStyle w:val="FooterEven"/>
    </w:pPr>
    <w:r w:rsidRPr="002567AD">
      <w:fldChar w:fldCharType="begin"/>
    </w:r>
    <w:r w:rsidRPr="002567AD">
      <w:instrText xml:space="preserve"> PAGE   \* MERGEFORMAT </w:instrText>
    </w:r>
    <w:r w:rsidRPr="002567AD">
      <w:fldChar w:fldCharType="separate"/>
    </w:r>
    <w:r w:rsidRPr="002567AD">
      <w:t>2</w:t>
    </w:r>
    <w:r w:rsidRPr="002567AD">
      <w:fldChar w:fldCharType="end"/>
    </w:r>
    <w:r w:rsidRPr="002567AD">
      <w:t xml:space="preserve"> | </w:t>
    </w:r>
    <w:fldSimple w:instr="STYLEREF  &quot;Heading 1&quot; \l  \* MERGEFORMAT">
      <w:r w:rsidR="00612042">
        <w:t>Our Roadmap for a dynamic and inclusive labour market</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37B5" w14:textId="3AF6F0D1" w:rsidR="0075091A" w:rsidRPr="0027070B" w:rsidRDefault="00612042" w:rsidP="00C819FA">
    <w:pPr>
      <w:pStyle w:val="FooterOdd"/>
    </w:pPr>
    <w:r>
      <w:fldChar w:fldCharType="begin"/>
    </w:r>
    <w:r>
      <w:instrText>STYLEREF  "Heading 1"  \* MERGEFORMAT</w:instrText>
    </w:r>
    <w:r>
      <w:fldChar w:fldCharType="separate"/>
    </w:r>
    <w:r>
      <w:rPr>
        <w:noProof/>
      </w:rPr>
      <w:t>Our Roadmap for a dynamic and inclusive labour market</w:t>
    </w:r>
    <w:r>
      <w:rPr>
        <w:noProof/>
      </w:rPr>
      <w:fldChar w:fldCharType="end"/>
    </w:r>
    <w:r w:rsidR="0075091A" w:rsidRPr="002567AD">
      <w:t xml:space="preserve"> | </w:t>
    </w:r>
    <w:r w:rsidR="0075091A" w:rsidRPr="002567AD">
      <w:fldChar w:fldCharType="begin"/>
    </w:r>
    <w:r w:rsidR="0075091A" w:rsidRPr="002567AD">
      <w:instrText xml:space="preserve"> PAGE   \* MERGEFORMAT </w:instrText>
    </w:r>
    <w:r w:rsidR="0075091A" w:rsidRPr="002567AD">
      <w:fldChar w:fldCharType="separate"/>
    </w:r>
    <w:r w:rsidR="0075091A" w:rsidRPr="002567AD">
      <w:t>1</w:t>
    </w:r>
    <w:r w:rsidR="0075091A" w:rsidRPr="002567A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772B" w14:textId="08930D37" w:rsidR="00C819FA" w:rsidRDefault="00C819FA" w:rsidP="00C819FA">
    <w:pPr>
      <w:pStyle w:val="FooterOdd"/>
    </w:pPr>
    <w:r w:rsidRPr="002567AD">
      <w:tab/>
    </w:r>
    <w:r>
      <w:fldChar w:fldCharType="begin"/>
    </w:r>
    <w:r>
      <w:instrText>STYLEREF  "Heading 1"</w:instrText>
    </w:r>
    <w:r>
      <w:fldChar w:fldCharType="separate"/>
    </w:r>
    <w:r w:rsidR="00612042">
      <w:rPr>
        <w:noProof/>
      </w:rPr>
      <w:t>Our Roadmap for a dynamic and inclusive labour market</w:t>
    </w:r>
    <w:r>
      <w:fldChar w:fldCharType="end"/>
    </w:r>
    <w:r w:rsidRPr="002567AD">
      <w:t xml:space="preserve"> | </w:t>
    </w:r>
    <w:r w:rsidRPr="002567AD">
      <w:fldChar w:fldCharType="begin"/>
    </w:r>
    <w:r w:rsidRPr="002567AD">
      <w:instrText xml:space="preserve"> PAGE   \* MERGEFORMAT </w:instrText>
    </w:r>
    <w:r w:rsidRPr="002567AD">
      <w:fldChar w:fldCharType="separate"/>
    </w:r>
    <w:r w:rsidRPr="002567AD">
      <w:t>1</w:t>
    </w:r>
    <w:r w:rsidRPr="002567A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6E10D" w14:textId="77777777" w:rsidR="003026BB" w:rsidRPr="00ED5A20" w:rsidRDefault="003026BB" w:rsidP="000F6233">
      <w:pPr>
        <w:rPr>
          <w:color w:val="4D7861" w:themeColor="accent2"/>
        </w:rPr>
      </w:pPr>
      <w:r w:rsidRPr="00ED5A20">
        <w:rPr>
          <w:color w:val="4D7861" w:themeColor="accent2"/>
        </w:rPr>
        <w:separator/>
      </w:r>
    </w:p>
  </w:footnote>
  <w:footnote w:type="continuationSeparator" w:id="0">
    <w:p w14:paraId="4A6475E8" w14:textId="77777777" w:rsidR="003026BB" w:rsidRPr="00B737EB" w:rsidRDefault="003026BB">
      <w:pPr>
        <w:spacing w:before="0" w:after="0"/>
        <w:rPr>
          <w:color w:val="2C384A" w:themeColor="accent1"/>
        </w:rPr>
      </w:pPr>
      <w:r w:rsidRPr="00B737EB">
        <w:rPr>
          <w:color w:val="2C384A" w:themeColor="accent1"/>
        </w:rPr>
        <w:continuationSeparator/>
      </w:r>
    </w:p>
  </w:footnote>
  <w:footnote w:type="continuationNotice" w:id="1">
    <w:p w14:paraId="6E4BB4D1" w14:textId="77777777" w:rsidR="003026BB" w:rsidRDefault="003026BB">
      <w:pPr>
        <w:spacing w:before="0" w:after="0"/>
      </w:pPr>
    </w:p>
  </w:footnote>
  <w:footnote w:id="2">
    <w:p w14:paraId="6B9E276B" w14:textId="4EBEA95D" w:rsidR="007201D4" w:rsidRDefault="001B6C11" w:rsidP="00497FEC">
      <w:pPr>
        <w:pStyle w:val="FootnoteText"/>
        <w:ind w:left="0" w:firstLine="0"/>
      </w:pPr>
      <w:r w:rsidRPr="00BF40C1">
        <w:footnoteRef/>
      </w:r>
      <w:r w:rsidR="007201D4" w:rsidRPr="00BF40C1">
        <w:t xml:space="preserve"> </w:t>
      </w:r>
      <w:r w:rsidR="007201D4" w:rsidRPr="00D06F9B">
        <w:tab/>
      </w:r>
      <w:r w:rsidR="001741A6">
        <w:t>F</w:t>
      </w:r>
      <w:r w:rsidR="007201D4" w:rsidRPr="00D06F9B">
        <w:t>urther details on projections</w:t>
      </w:r>
      <w:r w:rsidR="001741A6">
        <w:t xml:space="preserve"> are in</w:t>
      </w:r>
      <w:r w:rsidR="001741A6" w:rsidRPr="00D06F9B">
        <w:t xml:space="preserve"> Chapter 5</w:t>
      </w:r>
      <w:r w:rsidR="001741A6">
        <w:t xml:space="preserve">. </w:t>
      </w:r>
    </w:p>
  </w:footnote>
  <w:footnote w:id="3">
    <w:p w14:paraId="43589F1D" w14:textId="25AB0061" w:rsidR="006D780D" w:rsidRDefault="001B6C11" w:rsidP="00C819FA">
      <w:pPr>
        <w:pStyle w:val="FootnoteText"/>
      </w:pPr>
      <w:r w:rsidRPr="00C819FA">
        <w:footnoteRef/>
      </w:r>
      <w:r w:rsidR="006D780D" w:rsidRPr="00C819FA">
        <w:t xml:space="preserve"> </w:t>
      </w:r>
      <w:r w:rsidR="006D780D" w:rsidRPr="00C819FA">
        <w:tab/>
        <w:t>JSA defines the clean energy supply workforce as the workers whose employment relates directly to the generation of renewable energy and including hydro</w:t>
      </w:r>
      <w:r w:rsidR="00B16861">
        <w:noBreakHyphen/>
      </w:r>
      <w:r w:rsidR="006D780D" w:rsidRPr="00C819FA">
        <w:t>electricity generation, hydrogen, offshore wind generation, wind generation and solar generation.</w:t>
      </w:r>
    </w:p>
  </w:footnote>
  <w:footnote w:id="4">
    <w:p w14:paraId="0FFC0C69" w14:textId="124E184A" w:rsidR="00582962" w:rsidRPr="00C819FA" w:rsidRDefault="001B6C11" w:rsidP="00C819FA">
      <w:pPr>
        <w:pStyle w:val="FootnoteText"/>
        <w:rPr>
          <w:highlight w:val="green"/>
        </w:rPr>
      </w:pPr>
      <w:r w:rsidRPr="00C819FA">
        <w:footnoteRef/>
      </w:r>
      <w:r w:rsidR="00582962" w:rsidRPr="00C819FA">
        <w:t xml:space="preserve"> </w:t>
      </w:r>
      <w:r w:rsidR="00A82E9D" w:rsidRPr="00C819FA">
        <w:tab/>
      </w:r>
      <w:r w:rsidR="004D17D0" w:rsidRPr="00F65674">
        <w:t>JSA tech</w:t>
      </w:r>
      <w:r w:rsidR="004D17D0" w:rsidRPr="00EE3AF0">
        <w:t xml:space="preserve"> occupations do not include tech</w:t>
      </w:r>
      <w:r w:rsidR="00B16861">
        <w:noBreakHyphen/>
      </w:r>
      <w:r w:rsidR="004D17D0" w:rsidRPr="00EE3AF0">
        <w:t>related jobs which are included in the Government</w:t>
      </w:r>
      <w:r w:rsidR="00B16861">
        <w:t>’</w:t>
      </w:r>
      <w:r w:rsidR="004D17D0" w:rsidRPr="00EE3AF0">
        <w:t>s commitment to 1.2</w:t>
      </w:r>
      <w:r w:rsidR="000F0ED2">
        <w:t> million</w:t>
      </w:r>
      <w:r w:rsidR="004D17D0" w:rsidRPr="00EE3AF0">
        <w:t xml:space="preserve"> tech</w:t>
      </w:r>
      <w:r w:rsidR="00B16861">
        <w:noBreakHyphen/>
      </w:r>
      <w:r w:rsidR="004D17D0" w:rsidRPr="00EE3AF0">
        <w:t>related jobs</w:t>
      </w:r>
      <w:r w:rsidR="00F54FB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6882" w14:textId="18DFA145" w:rsidR="00C819FA" w:rsidRDefault="00C819FA">
    <w:pPr>
      <w:pStyle w:val="Header"/>
    </w:pPr>
    <w:r>
      <w:rPr>
        <w:noProof/>
      </w:rPr>
      <w:drawing>
        <wp:anchor distT="0" distB="0" distL="114300" distR="114300" simplePos="0" relativeHeight="251658240" behindDoc="1" locked="1" layoutInCell="1" allowOverlap="1" wp14:anchorId="563AA3B7" wp14:editId="466E79C8">
          <wp:simplePos x="0" y="0"/>
          <wp:positionH relativeFrom="page">
            <wp:posOffset>3810</wp:posOffset>
          </wp:positionH>
          <wp:positionV relativeFrom="page">
            <wp:posOffset>0</wp:posOffset>
          </wp:positionV>
          <wp:extent cx="7551420" cy="1083310"/>
          <wp:effectExtent l="0" t="0" r="0" b="254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51420" cy="10833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76FE" w14:textId="3D284EDC" w:rsidR="00C819FA" w:rsidRDefault="00C819FA">
    <w:pPr>
      <w:pStyle w:val="Header"/>
    </w:pPr>
    <w:r>
      <w:rPr>
        <w:noProof/>
      </w:rPr>
      <w:drawing>
        <wp:anchor distT="0" distB="0" distL="114300" distR="114300" simplePos="0" relativeHeight="251658241" behindDoc="1" locked="1" layoutInCell="1" allowOverlap="1" wp14:anchorId="4E66133B" wp14:editId="7305124E">
          <wp:simplePos x="0" y="0"/>
          <wp:positionH relativeFrom="page">
            <wp:posOffset>3810</wp:posOffset>
          </wp:positionH>
          <wp:positionV relativeFrom="page">
            <wp:posOffset>0</wp:posOffset>
          </wp:positionV>
          <wp:extent cx="7551420" cy="1083310"/>
          <wp:effectExtent l="0" t="0" r="0" b="254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1420" cy="10833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FEBF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AAD5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5CB7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086C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024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BE18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2C1B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9AE2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A6C8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AC62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942C8"/>
    <w:multiLevelType w:val="multilevel"/>
    <w:tmpl w:val="821A8B8E"/>
    <w:lvl w:ilvl="0">
      <w:start w:val="1"/>
      <w:numFmt w:val="decimal"/>
      <w:pStyle w:val="BoxHeadingPolicy"/>
      <w:suff w:val="space"/>
      <w:lvlText w:val="Policy direction %1:"/>
      <w:lvlJc w:val="left"/>
      <w:pPr>
        <w:ind w:left="0" w:firstLine="0"/>
      </w:pPr>
      <w:rPr>
        <w:rFonts w:ascii="Calibri Light" w:hAnsi="Calibri Light" w:hint="default"/>
        <w:b/>
        <w:i w:val="0"/>
        <w:sz w:val="26"/>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1" w15:restartNumberingAfterBreak="0">
    <w:nsid w:val="01DB5A38"/>
    <w:multiLevelType w:val="multilevel"/>
    <w:tmpl w:val="ED00B64C"/>
    <w:lvl w:ilvl="0">
      <w:start w:val="1"/>
      <w:numFmt w:val="decimal"/>
      <w:pStyle w:val="BoxHeadingBoxR1Roadmap"/>
      <w:suff w:val="space"/>
      <w:lvlText w:val="Box R.%1"/>
      <w:lvlJc w:val="left"/>
      <w:pPr>
        <w:ind w:left="0" w:firstLine="0"/>
      </w:pPr>
    </w:lvl>
    <w:lvl w:ilvl="1">
      <w:start w:val="1"/>
      <w:numFmt w:val="decimal"/>
      <w:lvlRestart w:val="0"/>
      <w:pStyle w:val="ChartMainHeadingRoadmap"/>
      <w:suff w:val="space"/>
      <w:lvlText w:val="Chart R.%2"/>
      <w:lvlJc w:val="left"/>
      <w:pPr>
        <w:ind w:left="0" w:firstLine="0"/>
      </w:pPr>
      <w:rPr>
        <w:rFonts w:hint="default"/>
      </w:rPr>
    </w:lvl>
    <w:lvl w:ilvl="2">
      <w:start w:val="1"/>
      <w:numFmt w:val="decimal"/>
      <w:lvlRestart w:val="0"/>
      <w:pStyle w:val="FigureMainHeadingRoadmap"/>
      <w:suff w:val="space"/>
      <w:lvlText w:val="Figure R.%3"/>
      <w:lvlJc w:val="left"/>
      <w:pPr>
        <w:ind w:left="0" w:firstLine="0"/>
      </w:pPr>
      <w:rPr>
        <w:rFonts w:hint="default"/>
      </w:rPr>
    </w:lvl>
    <w:lvl w:ilvl="3">
      <w:start w:val="1"/>
      <w:numFmt w:val="decimal"/>
      <w:lvlRestart w:val="0"/>
      <w:pStyle w:val="TableMainHeadingRoadmap"/>
      <w:suff w:val="space"/>
      <w:lvlText w:val="Table R.%4"/>
      <w:lvlJc w:val="left"/>
      <w:pPr>
        <w:ind w:left="0" w:firstLine="0"/>
      </w:pPr>
      <w:rPr>
        <w:rFonts w:hint="default"/>
      </w:rPr>
    </w:lvl>
    <w:lvl w:ilvl="4">
      <w:start w:val="1"/>
      <w:numFmt w:val="decimal"/>
      <w:pStyle w:val="TableSecondHeadingRoadmap"/>
      <w:suff w:val="space"/>
      <w:lvlText w:val="Table R.%4.%5"/>
      <w:lvlJc w:val="left"/>
      <w:pPr>
        <w:ind w:left="0" w:firstLine="0"/>
      </w:pPr>
      <w:rPr>
        <w:rFonts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Wingdings" w:hAnsi="Wingdings" w:hint="default"/>
      </w:rPr>
    </w:lvl>
    <w:lvl w:ilvl="7">
      <w:start w:val="1"/>
      <w:numFmt w:val="bullet"/>
      <w:lvlText w:val=""/>
      <w:lvlJc w:val="left"/>
      <w:pPr>
        <w:ind w:left="0" w:firstLine="0"/>
      </w:pPr>
      <w:rPr>
        <w:rFonts w:ascii="Symbol" w:hAnsi="Symbol" w:hint="default"/>
      </w:rPr>
    </w:lvl>
    <w:lvl w:ilvl="8">
      <w:start w:val="1"/>
      <w:numFmt w:val="bullet"/>
      <w:lvlText w:val=""/>
      <w:lvlJc w:val="left"/>
      <w:pPr>
        <w:ind w:left="0" w:firstLine="0"/>
      </w:pPr>
      <w:rPr>
        <w:rFonts w:ascii="Symbol" w:hAnsi="Symbol" w:hint="default"/>
      </w:rPr>
    </w:lvl>
  </w:abstractNum>
  <w:abstractNum w:abstractNumId="12"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15:restartNumberingAfterBreak="0">
    <w:nsid w:val="0DEB1DC8"/>
    <w:multiLevelType w:val="multilevel"/>
    <w:tmpl w:val="DC1A4F9A"/>
    <w:lvl w:ilvl="0">
      <w:start w:val="1"/>
      <w:numFmt w:val="lowerLetter"/>
      <w:pStyle w:val="ChartandTableFootnoteAlpha"/>
      <w:lvlText w:val="(%1)"/>
      <w:lvlJc w:val="left"/>
      <w:pPr>
        <w:tabs>
          <w:tab w:val="num" w:pos="284"/>
        </w:tabs>
        <w:ind w:left="851" w:hanging="567"/>
      </w:pPr>
      <w:rPr>
        <w:rFonts w:asciiTheme="minorHAnsi" w:hAnsiTheme="minorHAnsi" w:hint="default"/>
        <w:b w:val="0"/>
        <w:i w:val="0"/>
        <w:caps w:val="0"/>
        <w:strike w:val="0"/>
        <w:dstrike w:val="0"/>
        <w:vanish w:val="0"/>
        <w:color w:val="auto"/>
        <w:sz w:val="16"/>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7DF7717"/>
    <w:multiLevelType w:val="multilevel"/>
    <w:tmpl w:val="AC140874"/>
    <w:lvl w:ilvl="0">
      <w:start w:val="1"/>
      <w:numFmt w:val="decimal"/>
      <w:pStyle w:val="Heading1Numbered"/>
      <w:lvlText w:val="%1"/>
      <w:lvlJc w:val="left"/>
      <w:pPr>
        <w:ind w:left="1134" w:hanging="1134"/>
      </w:pPr>
      <w:rPr>
        <w:rFonts w:hint="default"/>
      </w:rPr>
    </w:lvl>
    <w:lvl w:ilvl="1">
      <w:start w:val="1"/>
      <w:numFmt w:val="decimal"/>
      <w:pStyle w:val="Heading2Numbered"/>
      <w:lvlText w:val="%1.%2"/>
      <w:lvlJc w:val="left"/>
      <w:pPr>
        <w:ind w:left="1134" w:hanging="1134"/>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701" w:hanging="1701"/>
      </w:pPr>
      <w:rPr>
        <w:rFonts w:hint="default"/>
      </w:rPr>
    </w:lvl>
    <w:lvl w:ilvl="5">
      <w:start w:val="2"/>
      <w:numFmt w:val="decimal"/>
      <w:lvlRestart w:val="1"/>
      <w:pStyle w:val="BoxHeadingBox11"/>
      <w:suff w:val="space"/>
      <w:lvlText w:val="Box %1.%6"/>
      <w:lvlJc w:val="left"/>
      <w:pPr>
        <w:ind w:left="1134" w:hanging="1134"/>
      </w:pPr>
      <w:rPr>
        <w:rFonts w:hint="default"/>
      </w:rPr>
    </w:lvl>
    <w:lvl w:ilvl="6">
      <w:start w:val="1"/>
      <w:numFmt w:val="decimal"/>
      <w:lvlRestart w:val="1"/>
      <w:pStyle w:val="FigureMainHeading"/>
      <w:suff w:val="space"/>
      <w:lvlText w:val="Figure %1.%7"/>
      <w:lvlJc w:val="left"/>
      <w:pPr>
        <w:ind w:left="1134" w:hanging="1134"/>
      </w:pPr>
      <w:rPr>
        <w:rFonts w:hint="default"/>
      </w:rPr>
    </w:lvl>
    <w:lvl w:ilvl="7">
      <w:start w:val="1"/>
      <w:numFmt w:val="decimal"/>
      <w:lvlRestart w:val="1"/>
      <w:pStyle w:val="ChartMainHeading"/>
      <w:suff w:val="space"/>
      <w:lvlText w:val="Chart %1.%8"/>
      <w:lvlJc w:val="left"/>
      <w:pPr>
        <w:ind w:left="1134" w:hanging="1134"/>
      </w:pPr>
      <w:rPr>
        <w:rFonts w:hint="default"/>
      </w:rPr>
    </w:lvl>
    <w:lvl w:ilvl="8">
      <w:start w:val="1"/>
      <w:numFmt w:val="decimal"/>
      <w:lvlRestart w:val="1"/>
      <w:pStyle w:val="TableMainHeading"/>
      <w:suff w:val="space"/>
      <w:lvlText w:val="Table %1.%9"/>
      <w:lvlJc w:val="left"/>
      <w:pPr>
        <w:ind w:left="1134" w:hanging="1134"/>
      </w:pPr>
      <w:rPr>
        <w:rFonts w:hint="default"/>
      </w:rPr>
    </w:lvl>
  </w:abstractNum>
  <w:abstractNum w:abstractNumId="16" w15:restartNumberingAfterBreak="0">
    <w:nsid w:val="2377475F"/>
    <w:multiLevelType w:val="multilevel"/>
    <w:tmpl w:val="9CBA33AE"/>
    <w:lvl w:ilvl="0">
      <w:start w:val="1"/>
      <w:numFmt w:val="upperLetter"/>
      <w:pStyle w:val="Heading1Appendix"/>
      <w:lvlText w:val="Appendix %1"/>
      <w:lvlJc w:val="left"/>
      <w:pPr>
        <w:ind w:left="2835" w:hanging="2835"/>
      </w:pPr>
      <w:rPr>
        <w:rFonts w:hint="default"/>
      </w:rPr>
    </w:lvl>
    <w:lvl w:ilvl="1">
      <w:start w:val="1"/>
      <w:numFmt w:val="decimal"/>
      <w:lvlText w:val="%1.%2"/>
      <w:lvlJc w:val="left"/>
      <w:pPr>
        <w:ind w:left="1134" w:hanging="1134"/>
      </w:pPr>
      <w:rPr>
        <w:rFonts w:hint="default"/>
      </w:rPr>
    </w:lvl>
    <w:lvl w:ilvl="2">
      <w:start w:val="1"/>
      <w:numFmt w:val="decimal"/>
      <w:pStyle w:val="Heading3Appendix"/>
      <w:lvlText w:val="%1.%2.%3"/>
      <w:lvlJc w:val="left"/>
      <w:pPr>
        <w:ind w:left="1134" w:hanging="1134"/>
      </w:pPr>
      <w:rPr>
        <w:rFonts w:hint="default"/>
      </w:rPr>
    </w:lvl>
    <w:lvl w:ilvl="3">
      <w:start w:val="1"/>
      <w:numFmt w:val="decimal"/>
      <w:pStyle w:val="Heading4Appendix"/>
      <w:lvlText w:val="%1.%2.%3.%4"/>
      <w:lvlJc w:val="left"/>
      <w:pPr>
        <w:ind w:left="1134" w:hanging="1134"/>
      </w:pPr>
      <w:rPr>
        <w:rFonts w:hint="default"/>
      </w:rPr>
    </w:lvl>
    <w:lvl w:ilvl="4">
      <w:start w:val="1"/>
      <w:numFmt w:val="decimal"/>
      <w:lvlRestart w:val="1"/>
      <w:pStyle w:val="BoxHeadingBoxA1Appendix"/>
      <w:suff w:val="space"/>
      <w:lvlText w:val="Box %1.%5"/>
      <w:lvlJc w:val="left"/>
      <w:pPr>
        <w:ind w:left="0" w:firstLine="0"/>
      </w:pPr>
      <w:rPr>
        <w:rFonts w:hint="default"/>
      </w:rPr>
    </w:lvl>
    <w:lvl w:ilvl="5">
      <w:start w:val="1"/>
      <w:numFmt w:val="decimal"/>
      <w:lvlRestart w:val="1"/>
      <w:pStyle w:val="ChartMainHeadingAppendix"/>
      <w:suff w:val="space"/>
      <w:lvlText w:val="Chart %1.%6"/>
      <w:lvlJc w:val="left"/>
      <w:pPr>
        <w:ind w:left="0" w:firstLine="0"/>
      </w:pPr>
      <w:rPr>
        <w:rFonts w:hint="default"/>
      </w:rPr>
    </w:lvl>
    <w:lvl w:ilvl="6">
      <w:start w:val="1"/>
      <w:numFmt w:val="decimal"/>
      <w:lvlRestart w:val="1"/>
      <w:pStyle w:val="FigureMainHeadingAppendix"/>
      <w:suff w:val="space"/>
      <w:lvlText w:val="Figure %1.%7"/>
      <w:lvlJc w:val="left"/>
      <w:pPr>
        <w:ind w:left="0" w:firstLine="0"/>
      </w:pPr>
      <w:rPr>
        <w:rFonts w:hint="default"/>
      </w:rPr>
    </w:lvl>
    <w:lvl w:ilvl="7">
      <w:start w:val="1"/>
      <w:numFmt w:val="decimal"/>
      <w:lvlRestart w:val="1"/>
      <w:pStyle w:val="TableMainHeadingAppendix"/>
      <w:suff w:val="space"/>
      <w:lvlText w:val="Table %1.%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08C2710"/>
    <w:multiLevelType w:val="multilevel"/>
    <w:tmpl w:val="793A0856"/>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9"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803C46"/>
    <w:multiLevelType w:val="hybridMultilevel"/>
    <w:tmpl w:val="03CE4884"/>
    <w:styleLink w:val="ChartandTableFootnoteAlphaList"/>
    <w:lvl w:ilvl="0" w:tplc="615EE646">
      <w:start w:val="1"/>
      <w:numFmt w:val="bullet"/>
      <w:lvlText w:val=""/>
      <w:lvlJc w:val="left"/>
      <w:pPr>
        <w:ind w:left="1000" w:hanging="360"/>
      </w:pPr>
      <w:rPr>
        <w:rFonts w:ascii="Symbol" w:hAnsi="Symbol"/>
      </w:rPr>
    </w:lvl>
    <w:lvl w:ilvl="1" w:tplc="BC8CE9D6">
      <w:start w:val="1"/>
      <w:numFmt w:val="bullet"/>
      <w:lvlText w:val=""/>
      <w:lvlJc w:val="left"/>
      <w:pPr>
        <w:ind w:left="1000" w:hanging="360"/>
      </w:pPr>
      <w:rPr>
        <w:rFonts w:ascii="Symbol" w:hAnsi="Symbol"/>
      </w:rPr>
    </w:lvl>
    <w:lvl w:ilvl="2" w:tplc="4E0A2EB0">
      <w:start w:val="1"/>
      <w:numFmt w:val="bullet"/>
      <w:lvlText w:val=""/>
      <w:lvlJc w:val="left"/>
      <w:pPr>
        <w:ind w:left="1000" w:hanging="360"/>
      </w:pPr>
      <w:rPr>
        <w:rFonts w:ascii="Symbol" w:hAnsi="Symbol"/>
      </w:rPr>
    </w:lvl>
    <w:lvl w:ilvl="3" w:tplc="8CD08E6A">
      <w:start w:val="1"/>
      <w:numFmt w:val="bullet"/>
      <w:lvlText w:val=""/>
      <w:lvlJc w:val="left"/>
      <w:pPr>
        <w:ind w:left="1000" w:hanging="360"/>
      </w:pPr>
      <w:rPr>
        <w:rFonts w:ascii="Symbol" w:hAnsi="Symbol"/>
      </w:rPr>
    </w:lvl>
    <w:lvl w:ilvl="4" w:tplc="0A385C3C">
      <w:start w:val="1"/>
      <w:numFmt w:val="bullet"/>
      <w:lvlText w:val=""/>
      <w:lvlJc w:val="left"/>
      <w:pPr>
        <w:ind w:left="1000" w:hanging="360"/>
      </w:pPr>
      <w:rPr>
        <w:rFonts w:ascii="Symbol" w:hAnsi="Symbol"/>
      </w:rPr>
    </w:lvl>
    <w:lvl w:ilvl="5" w:tplc="FFE82D76">
      <w:start w:val="1"/>
      <w:numFmt w:val="bullet"/>
      <w:lvlText w:val=""/>
      <w:lvlJc w:val="left"/>
      <w:pPr>
        <w:ind w:left="1000" w:hanging="360"/>
      </w:pPr>
      <w:rPr>
        <w:rFonts w:ascii="Symbol" w:hAnsi="Symbol"/>
      </w:rPr>
    </w:lvl>
    <w:lvl w:ilvl="6" w:tplc="76C2626A">
      <w:start w:val="1"/>
      <w:numFmt w:val="bullet"/>
      <w:lvlText w:val=""/>
      <w:lvlJc w:val="left"/>
      <w:pPr>
        <w:ind w:left="1000" w:hanging="360"/>
      </w:pPr>
      <w:rPr>
        <w:rFonts w:ascii="Symbol" w:hAnsi="Symbol"/>
      </w:rPr>
    </w:lvl>
    <w:lvl w:ilvl="7" w:tplc="ECAACE56">
      <w:start w:val="1"/>
      <w:numFmt w:val="bullet"/>
      <w:lvlText w:val=""/>
      <w:lvlJc w:val="left"/>
      <w:pPr>
        <w:ind w:left="1000" w:hanging="360"/>
      </w:pPr>
      <w:rPr>
        <w:rFonts w:ascii="Symbol" w:hAnsi="Symbol"/>
      </w:rPr>
    </w:lvl>
    <w:lvl w:ilvl="8" w:tplc="3E14F872">
      <w:start w:val="1"/>
      <w:numFmt w:val="bullet"/>
      <w:lvlText w:val=""/>
      <w:lvlJc w:val="left"/>
      <w:pPr>
        <w:ind w:left="1000" w:hanging="360"/>
      </w:pPr>
      <w:rPr>
        <w:rFonts w:ascii="Symbol" w:hAnsi="Symbol"/>
      </w:rPr>
    </w:lvl>
  </w:abstractNum>
  <w:abstractNum w:abstractNumId="21" w15:restartNumberingAfterBreak="0">
    <w:nsid w:val="510D2021"/>
    <w:multiLevelType w:val="multilevel"/>
    <w:tmpl w:val="72F8140E"/>
    <w:numStyleLink w:val="OutlineList"/>
  </w:abstractNum>
  <w:abstractNum w:abstractNumId="22" w15:restartNumberingAfterBreak="0">
    <w:nsid w:val="7D6B5224"/>
    <w:multiLevelType w:val="multilevel"/>
    <w:tmpl w:val="24E830DC"/>
    <w:name w:val="StandardBulletedList"/>
    <w:lvl w:ilvl="0">
      <w:start w:val="1"/>
      <w:numFmt w:val="bullet"/>
      <w:pStyle w:val="Bullet"/>
      <w:lvlText w:val="•"/>
      <w:lvlJc w:val="left"/>
      <w:pPr>
        <w:tabs>
          <w:tab w:val="num" w:pos="520"/>
        </w:tabs>
        <w:ind w:left="520" w:hanging="520"/>
      </w:pPr>
      <w:rPr>
        <w:rFonts w:ascii="Times New Roman" w:hAnsi="Times New Roman" w:cs="Times New Roman" w:hint="default"/>
        <w:color w:val="auto"/>
      </w:rPr>
    </w:lvl>
    <w:lvl w:ilvl="1">
      <w:start w:val="1"/>
      <w:numFmt w:val="bullet"/>
      <w:pStyle w:val="Dash"/>
      <w:lvlText w:val="–"/>
      <w:lvlJc w:val="left"/>
      <w:pPr>
        <w:tabs>
          <w:tab w:val="num" w:pos="1040"/>
        </w:tabs>
        <w:ind w:left="1040" w:hanging="520"/>
      </w:pPr>
      <w:rPr>
        <w:rFonts w:ascii="Times New Roman" w:hAnsi="Times New Roman" w:cs="Times New Roman" w:hint="default"/>
      </w:rPr>
    </w:lvl>
    <w:lvl w:ilvl="2">
      <w:start w:val="1"/>
      <w:numFmt w:val="bullet"/>
      <w:pStyle w:val="DoubleDot"/>
      <w:lvlText w:val=":"/>
      <w:lvlJc w:val="left"/>
      <w:pPr>
        <w:tabs>
          <w:tab w:val="num" w:pos="1560"/>
        </w:tabs>
        <w:ind w:left="1560" w:hanging="520"/>
      </w:pPr>
      <w:rPr>
        <w:rFonts w:ascii="Times New Roman" w:hAnsi="Times New Roman" w:cs="Times New Roman" w:hint="default"/>
      </w:rPr>
    </w:lvl>
    <w:lvl w:ilvl="3">
      <w:start w:val="1"/>
      <w:numFmt w:val="bullet"/>
      <w:lvlRestart w:val="0"/>
      <w:pStyle w:val="Boxbullet"/>
      <w:lvlText w:val="•"/>
      <w:lvlJc w:val="left"/>
      <w:pPr>
        <w:ind w:left="284" w:hanging="284"/>
      </w:pPr>
      <w:rPr>
        <w:rFonts w:ascii="Times New Roman" w:hAnsi="Times New Roman" w:cs="Times New Roman" w:hint="default"/>
        <w:color w:val="auto"/>
      </w:rPr>
    </w:lvl>
    <w:lvl w:ilvl="4">
      <w:start w:val="1"/>
      <w:numFmt w:val="bullet"/>
      <w:lvlRestart w:val="0"/>
      <w:pStyle w:val="Boxdash"/>
      <w:lvlText w:val="–"/>
      <w:lvlJc w:val="left"/>
      <w:pPr>
        <w:ind w:left="567" w:hanging="283"/>
      </w:pPr>
      <w:rPr>
        <w:rFonts w:ascii="Times New Roman" w:hAnsi="Times New Roman" w:cs="Times New Roman" w:hint="default"/>
      </w:rPr>
    </w:lvl>
    <w:lvl w:ilvl="5">
      <w:start w:val="1"/>
      <w:numFmt w:val="bullet"/>
      <w:lvlRestart w:val="0"/>
      <w:pStyle w:val="Boxdoubledot"/>
      <w:lvlText w:val=":"/>
      <w:lvlJc w:val="left"/>
      <w:pPr>
        <w:ind w:left="851" w:hanging="284"/>
      </w:pPr>
      <w:rPr>
        <w:rFonts w:ascii="Times New Roman" w:hAnsi="Times New Roman" w:cs="Times New Roman"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FA36AF1"/>
    <w:multiLevelType w:val="multilevel"/>
    <w:tmpl w:val="6B5AB944"/>
    <w:lvl w:ilvl="0">
      <w:start w:val="1"/>
      <w:numFmt w:val="bullet"/>
      <w:lvlRestart w:val="0"/>
      <w:pStyle w:val="TableTextBullet"/>
      <w:lvlText w:val="•"/>
      <w:lvlJc w:val="left"/>
      <w:pPr>
        <w:ind w:left="284" w:hanging="284"/>
      </w:pPr>
      <w:rPr>
        <w:rFonts w:ascii="Times New Roman" w:hAnsi="Times New Roman" w:cs="Times New Roman" w:hint="default"/>
        <w:b w:val="0"/>
        <w:i w:val="0"/>
        <w:sz w:val="20"/>
      </w:rPr>
    </w:lvl>
    <w:lvl w:ilvl="1">
      <w:start w:val="1"/>
      <w:numFmt w:val="bullet"/>
      <w:pStyle w:val="TableTextDash"/>
      <w:lvlText w:val="–"/>
      <w:lvlJc w:val="left"/>
      <w:pPr>
        <w:tabs>
          <w:tab w:val="num" w:pos="567"/>
        </w:tabs>
        <w:ind w:left="568" w:hanging="284"/>
      </w:pPr>
      <w:rPr>
        <w:rFonts w:hint="default"/>
        <w:b w:val="0"/>
        <w:i w:val="0"/>
      </w:rPr>
    </w:lvl>
    <w:lvl w:ilvl="2">
      <w:start w:val="1"/>
      <w:numFmt w:val="bullet"/>
      <w:lvlText w:val=":"/>
      <w:lvlJc w:val="left"/>
      <w:pPr>
        <w:tabs>
          <w:tab w:val="num" w:pos="850"/>
        </w:tabs>
        <w:ind w:left="852" w:hanging="284"/>
      </w:pPr>
      <w:rPr>
        <w:rFonts w:hint="default"/>
        <w:b w:val="0"/>
        <w:i w:val="0"/>
      </w:rPr>
    </w:lvl>
    <w:lvl w:ilvl="3">
      <w:start w:val="1"/>
      <w:numFmt w:val="decimal"/>
      <w:lvlText w:val="(%4)"/>
      <w:lvlJc w:val="left"/>
      <w:pPr>
        <w:tabs>
          <w:tab w:val="num" w:pos="1440"/>
        </w:tabs>
        <w:ind w:left="1136" w:hanging="284"/>
      </w:pPr>
      <w:rPr>
        <w:rFonts w:hint="default"/>
        <w:b w:val="0"/>
        <w:i w:val="0"/>
      </w:rPr>
    </w:lvl>
    <w:lvl w:ilvl="4">
      <w:start w:val="1"/>
      <w:numFmt w:val="lowerLetter"/>
      <w:lvlText w:val="(%5)"/>
      <w:lvlJc w:val="left"/>
      <w:pPr>
        <w:tabs>
          <w:tab w:val="num" w:pos="1800"/>
        </w:tabs>
        <w:ind w:left="1420" w:hanging="284"/>
      </w:pPr>
      <w:rPr>
        <w:rFonts w:hint="default"/>
        <w:b w:val="0"/>
        <w:i w:val="0"/>
      </w:rPr>
    </w:lvl>
    <w:lvl w:ilvl="5">
      <w:start w:val="1"/>
      <w:numFmt w:val="lowerRoman"/>
      <w:lvlText w:val="(%6)"/>
      <w:lvlJc w:val="left"/>
      <w:pPr>
        <w:tabs>
          <w:tab w:val="num" w:pos="2160"/>
        </w:tabs>
        <w:ind w:left="1704" w:hanging="284"/>
      </w:pPr>
      <w:rPr>
        <w:rFonts w:hint="default"/>
        <w:b w:val="0"/>
        <w:i w:val="0"/>
      </w:rPr>
    </w:lvl>
    <w:lvl w:ilvl="6">
      <w:start w:val="1"/>
      <w:numFmt w:val="decimal"/>
      <w:lvlText w:val="%7."/>
      <w:lvlJc w:val="left"/>
      <w:pPr>
        <w:tabs>
          <w:tab w:val="num" w:pos="2520"/>
        </w:tabs>
        <w:ind w:left="1988" w:hanging="284"/>
      </w:pPr>
      <w:rPr>
        <w:rFonts w:hint="default"/>
        <w:b w:val="0"/>
        <w:i w:val="0"/>
      </w:rPr>
    </w:lvl>
    <w:lvl w:ilvl="7">
      <w:start w:val="1"/>
      <w:numFmt w:val="lowerLetter"/>
      <w:lvlText w:val="%8."/>
      <w:lvlJc w:val="left"/>
      <w:pPr>
        <w:tabs>
          <w:tab w:val="num" w:pos="2880"/>
        </w:tabs>
        <w:ind w:left="2272" w:hanging="284"/>
      </w:pPr>
      <w:rPr>
        <w:rFonts w:hint="default"/>
        <w:b w:val="0"/>
        <w:i w:val="0"/>
      </w:rPr>
    </w:lvl>
    <w:lvl w:ilvl="8">
      <w:start w:val="1"/>
      <w:numFmt w:val="lowerRoman"/>
      <w:lvlText w:val="%9."/>
      <w:lvlJc w:val="left"/>
      <w:pPr>
        <w:tabs>
          <w:tab w:val="num" w:pos="3240"/>
        </w:tabs>
        <w:ind w:left="2556" w:hanging="284"/>
      </w:pPr>
      <w:rPr>
        <w:rFonts w:hint="default"/>
        <w:b w:val="0"/>
        <w:i w:val="0"/>
      </w:rPr>
    </w:lvl>
  </w:abstractNum>
  <w:num w:numId="1">
    <w:abstractNumId w:val="18"/>
  </w:num>
  <w:num w:numId="2">
    <w:abstractNumId w:val="12"/>
  </w:num>
  <w:num w:numId="3">
    <w:abstractNumId w:val="19"/>
  </w:num>
  <w:num w:numId="4">
    <w:abstractNumId w:val="14"/>
  </w:num>
  <w:num w:numId="5">
    <w:abstractNumId w:val="21"/>
    <w:lvlOverride w:ilvl="0">
      <w:lvl w:ilvl="0">
        <w:start w:val="1"/>
        <w:numFmt w:val="decimal"/>
        <w:pStyle w:val="OutlineNumbered1"/>
        <w:lvlText w:val="%1."/>
        <w:lvlJc w:val="left"/>
        <w:pPr>
          <w:tabs>
            <w:tab w:val="num" w:pos="851"/>
          </w:tabs>
          <w:ind w:left="567" w:hanging="567"/>
        </w:pPr>
        <w:rPr>
          <w:rFonts w:hint="default"/>
        </w:rPr>
      </w:lvl>
    </w:lvlOverride>
    <w:lvlOverride w:ilvl="1">
      <w:lvl w:ilvl="1">
        <w:start w:val="1"/>
        <w:numFmt w:val="decimal"/>
        <w:pStyle w:val="OutlineNumbered2"/>
        <w:lvlText w:val="%1.%2"/>
        <w:lvlJc w:val="left"/>
        <w:pPr>
          <w:tabs>
            <w:tab w:val="num" w:pos="851"/>
          </w:tabs>
          <w:ind w:left="567" w:hanging="567"/>
        </w:pPr>
        <w:rPr>
          <w:rFonts w:hint="default"/>
        </w:rPr>
      </w:lvl>
    </w:lvlOverride>
    <w:lvlOverride w:ilvl="2">
      <w:lvl w:ilvl="2">
        <w:start w:val="1"/>
        <w:numFmt w:val="decimal"/>
        <w:pStyle w:val="OutlineNumbered3"/>
        <w:lvlText w:val="%1.%2.%3"/>
        <w:lvlJc w:val="left"/>
        <w:pPr>
          <w:tabs>
            <w:tab w:val="num" w:pos="851"/>
          </w:tabs>
          <w:ind w:left="567" w:hanging="567"/>
        </w:pPr>
        <w:rPr>
          <w:rFonts w:hint="default"/>
        </w:rPr>
      </w:lvl>
    </w:lvlOverride>
    <w:lvlOverride w:ilvl="3">
      <w:lvl w:ilvl="3">
        <w:start w:val="1"/>
        <w:numFmt w:val="decimal"/>
        <w:lvlText w:val="(%4)"/>
        <w:lvlJc w:val="left"/>
        <w:pPr>
          <w:tabs>
            <w:tab w:val="num" w:pos="851"/>
          </w:tabs>
          <w:ind w:left="567" w:hanging="567"/>
        </w:pPr>
        <w:rPr>
          <w:rFonts w:hint="default"/>
        </w:rPr>
      </w:lvl>
    </w:lvlOverride>
    <w:lvlOverride w:ilvl="4">
      <w:lvl w:ilvl="4">
        <w:start w:val="1"/>
        <w:numFmt w:val="lowerLetter"/>
        <w:lvlText w:val="(%5)"/>
        <w:lvlJc w:val="left"/>
        <w:pPr>
          <w:tabs>
            <w:tab w:val="num" w:pos="851"/>
          </w:tabs>
          <w:ind w:left="567" w:hanging="567"/>
        </w:pPr>
        <w:rPr>
          <w:rFonts w:hint="default"/>
        </w:rPr>
      </w:lvl>
    </w:lvlOverride>
    <w:lvlOverride w:ilvl="5">
      <w:lvl w:ilvl="5">
        <w:start w:val="1"/>
        <w:numFmt w:val="lowerRoman"/>
        <w:lvlText w:val="(%6)"/>
        <w:lvlJc w:val="left"/>
        <w:pPr>
          <w:tabs>
            <w:tab w:val="num" w:pos="851"/>
          </w:tabs>
          <w:ind w:left="567" w:hanging="567"/>
        </w:pPr>
        <w:rPr>
          <w:rFonts w:hint="default"/>
        </w:rPr>
      </w:lvl>
    </w:lvlOverride>
    <w:lvlOverride w:ilvl="6">
      <w:lvl w:ilvl="6">
        <w:start w:val="1"/>
        <w:numFmt w:val="decimal"/>
        <w:lvlText w:val="%7."/>
        <w:lvlJc w:val="left"/>
        <w:pPr>
          <w:tabs>
            <w:tab w:val="num" w:pos="851"/>
          </w:tabs>
          <w:ind w:left="567" w:hanging="567"/>
        </w:pPr>
        <w:rPr>
          <w:rFonts w:hint="default"/>
        </w:rPr>
      </w:lvl>
    </w:lvlOverride>
    <w:lvlOverride w:ilvl="7">
      <w:lvl w:ilvl="7">
        <w:start w:val="1"/>
        <w:numFmt w:val="lowerLetter"/>
        <w:lvlText w:val="%8."/>
        <w:lvlJc w:val="left"/>
        <w:pPr>
          <w:tabs>
            <w:tab w:val="num" w:pos="851"/>
          </w:tabs>
          <w:ind w:left="567" w:hanging="567"/>
        </w:pPr>
        <w:rPr>
          <w:rFonts w:hint="default"/>
        </w:rPr>
      </w:lvl>
    </w:lvlOverride>
    <w:lvlOverride w:ilvl="8">
      <w:lvl w:ilvl="8">
        <w:start w:val="1"/>
        <w:numFmt w:val="lowerRoman"/>
        <w:lvlText w:val="%9."/>
        <w:lvlJc w:val="left"/>
        <w:pPr>
          <w:tabs>
            <w:tab w:val="num" w:pos="851"/>
          </w:tabs>
          <w:ind w:left="567" w:hanging="567"/>
        </w:pPr>
        <w:rPr>
          <w:rFonts w:hint="default"/>
        </w:rPr>
      </w:lvl>
    </w:lvlOverride>
  </w:num>
  <w:num w:numId="6">
    <w:abstractNumId w:val="17"/>
  </w:num>
  <w:num w:numId="7">
    <w:abstractNumId w:val="22"/>
  </w:num>
  <w:num w:numId="8">
    <w:abstractNumId w:val="2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1"/>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1"/>
    <w:lvlOverride w:ilvl="0">
      <w:lvl w:ilvl="0">
        <w:start w:val="1"/>
        <w:numFmt w:val="decimal"/>
        <w:pStyle w:val="BoxHeadingBoxR1Roadmap"/>
        <w:suff w:val="space"/>
        <w:lvlText w:val="Box R.%1"/>
        <w:lvlJc w:val="left"/>
        <w:pPr>
          <w:ind w:left="0" w:firstLine="0"/>
        </w:pPr>
        <w:rPr>
          <w:rFonts w:hint="default"/>
        </w:rPr>
      </w:lvl>
    </w:lvlOverride>
    <w:lvlOverride w:ilvl="1">
      <w:lvl w:ilvl="1">
        <w:start w:val="1"/>
        <w:numFmt w:val="decimal"/>
        <w:lvlRestart w:val="0"/>
        <w:pStyle w:val="ChartMainHeadingRoadmap"/>
        <w:suff w:val="space"/>
        <w:lvlText w:val="Chart R.%2"/>
        <w:lvlJc w:val="left"/>
        <w:pPr>
          <w:ind w:left="0" w:firstLine="0"/>
        </w:pPr>
        <w:rPr>
          <w:rFonts w:hint="default"/>
        </w:rPr>
      </w:lvl>
    </w:lvlOverride>
    <w:lvlOverride w:ilvl="2">
      <w:lvl w:ilvl="2">
        <w:start w:val="1"/>
        <w:numFmt w:val="decimal"/>
        <w:lvlRestart w:val="0"/>
        <w:pStyle w:val="FigureMainHeadingRoadmap"/>
        <w:suff w:val="space"/>
        <w:lvlText w:val="Figure R.%3"/>
        <w:lvlJc w:val="left"/>
        <w:pPr>
          <w:ind w:left="0" w:firstLine="0"/>
        </w:pPr>
        <w:rPr>
          <w:rFonts w:hint="default"/>
        </w:rPr>
      </w:lvl>
    </w:lvlOverride>
    <w:lvlOverride w:ilvl="3">
      <w:lvl w:ilvl="3">
        <w:start w:val="2"/>
        <w:numFmt w:val="decimal"/>
        <w:lvlRestart w:val="0"/>
        <w:pStyle w:val="TableMainHeadingRoadmap"/>
        <w:suff w:val="space"/>
        <w:lvlText w:val="Table R.%4"/>
        <w:lvlJc w:val="left"/>
        <w:pPr>
          <w:ind w:left="0" w:firstLine="0"/>
        </w:pPr>
        <w:rPr>
          <w:rFonts w:hint="default"/>
        </w:rPr>
      </w:lvl>
    </w:lvlOverride>
    <w:lvlOverride w:ilvl="4">
      <w:lvl w:ilvl="4">
        <w:start w:val="1"/>
        <w:numFmt w:val="bullet"/>
        <w:pStyle w:val="TableSecondHeadingRoadmap"/>
        <w:lvlText w:val=""/>
        <w:lvlJc w:val="left"/>
        <w:pPr>
          <w:ind w:left="0" w:firstLine="0"/>
        </w:pPr>
        <w:rPr>
          <w:rFonts w:ascii="Symbol" w:hAnsi="Symbol" w:hint="default"/>
        </w:rPr>
      </w:lvl>
    </w:lvlOverride>
    <w:lvlOverride w:ilvl="5">
      <w:lvl w:ilvl="5">
        <w:start w:val="1"/>
        <w:numFmt w:val="bullet"/>
        <w:lvlText w:val=""/>
        <w:lvlJc w:val="left"/>
        <w:pPr>
          <w:ind w:left="0" w:firstLine="0"/>
        </w:pPr>
        <w:rPr>
          <w:rFonts w:ascii="Wingdings" w:hAnsi="Wingdings" w:hint="default"/>
        </w:rPr>
      </w:lvl>
    </w:lvlOverride>
    <w:lvlOverride w:ilvl="6">
      <w:lvl w:ilvl="6">
        <w:start w:val="1"/>
        <w:numFmt w:val="bullet"/>
        <w:lvlText w:val=""/>
        <w:lvlJc w:val="left"/>
        <w:pPr>
          <w:ind w:left="0" w:firstLine="0"/>
        </w:pPr>
        <w:rPr>
          <w:rFonts w:ascii="Wingdings" w:hAnsi="Wingdings" w:hint="default"/>
        </w:rPr>
      </w:lvl>
    </w:lvlOverride>
    <w:lvlOverride w:ilvl="7">
      <w:lvl w:ilvl="7">
        <w:start w:val="1"/>
        <w:numFmt w:val="bullet"/>
        <w:lvlText w:val=""/>
        <w:lvlJc w:val="left"/>
        <w:pPr>
          <w:ind w:left="0" w:firstLine="0"/>
        </w:pPr>
        <w:rPr>
          <w:rFonts w:ascii="Symbol" w:hAnsi="Symbol" w:hint="default"/>
        </w:rPr>
      </w:lvl>
    </w:lvlOverride>
    <w:lvlOverride w:ilvl="8">
      <w:lvl w:ilvl="8">
        <w:start w:val="1"/>
        <w:numFmt w:val="bullet"/>
        <w:lvlText w:val=""/>
        <w:lvlJc w:val="left"/>
        <w:pPr>
          <w:ind w:left="0" w:firstLine="0"/>
        </w:pPr>
        <w:rPr>
          <w:rFonts w:ascii="Symbol" w:hAnsi="Symbol" w:hint="default"/>
        </w:rPr>
      </w:lvl>
    </w:lvlOverride>
  </w:num>
  <w:num w:numId="18">
    <w:abstractNumId w:val="11"/>
    <w:lvlOverride w:ilvl="0">
      <w:startOverride w:val="1"/>
      <w:lvl w:ilvl="0">
        <w:start w:val="1"/>
        <w:numFmt w:val="decimal"/>
        <w:pStyle w:val="BoxHeadingBoxR1Roadmap"/>
        <w:lvlText w:val="Box R.%1"/>
        <w:lvlJc w:val="left"/>
        <w:pPr>
          <w:ind w:left="0" w:firstLine="0"/>
        </w:pPr>
        <w:rPr>
          <w:rFonts w:hint="default"/>
        </w:rPr>
      </w:lvl>
    </w:lvlOverride>
    <w:lvlOverride w:ilvl="1">
      <w:startOverride w:val="1"/>
      <w:lvl w:ilvl="1">
        <w:start w:val="1"/>
        <w:numFmt w:val="decimal"/>
        <w:lvlRestart w:val="0"/>
        <w:pStyle w:val="ChartMainHeadingRoadmap"/>
        <w:lvlText w:val="Chart R.%2"/>
        <w:lvlJc w:val="left"/>
        <w:pPr>
          <w:ind w:left="0" w:firstLine="0"/>
        </w:pPr>
        <w:rPr>
          <w:rFonts w:hint="default"/>
        </w:rPr>
      </w:lvl>
    </w:lvlOverride>
    <w:lvlOverride w:ilvl="2">
      <w:startOverride w:val="2"/>
      <w:lvl w:ilvl="2">
        <w:start w:val="2"/>
        <w:numFmt w:val="decimal"/>
        <w:lvlRestart w:val="0"/>
        <w:pStyle w:val="FigureMainHeadingRoadmap"/>
        <w:lvlText w:val="Figure R.%3"/>
        <w:lvlJc w:val="left"/>
        <w:pPr>
          <w:ind w:left="0" w:firstLine="0"/>
        </w:pPr>
        <w:rPr>
          <w:rFonts w:hint="default"/>
        </w:rPr>
      </w:lvl>
    </w:lvlOverride>
    <w:lvlOverride w:ilvl="3">
      <w:startOverride w:val="1"/>
      <w:lvl w:ilvl="3">
        <w:start w:val="1"/>
        <w:numFmt w:val="decimal"/>
        <w:lvlRestart w:val="0"/>
        <w:pStyle w:val="TableMainHeadingRoadmap"/>
        <w:lvlText w:val="Table R.%4"/>
        <w:lvlJc w:val="left"/>
        <w:pPr>
          <w:ind w:left="3260" w:hanging="3260"/>
        </w:pPr>
        <w:rPr>
          <w:rFonts w:hint="default"/>
        </w:rPr>
      </w:lvl>
    </w:lvlOverride>
    <w:lvlOverride w:ilvl="4">
      <w:startOverride w:val="1"/>
      <w:lvl w:ilvl="4">
        <w:start w:val="1"/>
        <w:numFmt w:val="bullet"/>
        <w:pStyle w:val="TableSecondHeadingRoadmap"/>
        <w:lvlText w:val=""/>
        <w:lvlJc w:val="left"/>
        <w:pPr>
          <w:ind w:left="0" w:firstLine="0"/>
        </w:pPr>
        <w:rPr>
          <w:rFonts w:ascii="Symbol" w:hAnsi="Symbol" w:hint="default"/>
        </w:rPr>
      </w:lvl>
    </w:lvlOverride>
    <w:lvlOverride w:ilvl="5">
      <w:startOverride w:val="1"/>
      <w:lvl w:ilvl="5">
        <w:start w:val="1"/>
        <w:numFmt w:val="bullet"/>
        <w:lvlText w:val=""/>
        <w:lvlJc w:val="left"/>
        <w:pPr>
          <w:ind w:left="0" w:firstLine="0"/>
        </w:pPr>
        <w:rPr>
          <w:rFonts w:ascii="Wingdings" w:hAnsi="Wingdings" w:hint="default"/>
        </w:rPr>
      </w:lvl>
    </w:lvlOverride>
    <w:lvlOverride w:ilvl="6">
      <w:startOverride w:val="1"/>
      <w:lvl w:ilvl="6">
        <w:start w:val="1"/>
        <w:numFmt w:val="bullet"/>
        <w:lvlText w:val=""/>
        <w:lvlJc w:val="left"/>
        <w:pPr>
          <w:ind w:left="0" w:firstLine="0"/>
        </w:pPr>
        <w:rPr>
          <w:rFonts w:ascii="Wingdings" w:hAnsi="Wingdings" w:hint="default"/>
        </w:rPr>
      </w:lvl>
    </w:lvlOverride>
    <w:lvlOverride w:ilvl="7">
      <w:startOverride w:val="1"/>
      <w:lvl w:ilvl="7">
        <w:start w:val="1"/>
        <w:numFmt w:val="bullet"/>
        <w:lvlText w:val=""/>
        <w:lvlJc w:val="left"/>
        <w:pPr>
          <w:ind w:left="0" w:firstLine="0"/>
        </w:pPr>
        <w:rPr>
          <w:rFonts w:ascii="Symbol" w:hAnsi="Symbol" w:hint="default"/>
        </w:rPr>
      </w:lvl>
    </w:lvlOverride>
    <w:lvlOverride w:ilvl="8">
      <w:startOverride w:val="1"/>
      <w:lvl w:ilvl="8">
        <w:start w:val="1"/>
        <w:numFmt w:val="bullet"/>
        <w:lvlText w:val=""/>
        <w:lvlJc w:val="left"/>
        <w:pPr>
          <w:ind w:left="0" w:firstLine="0"/>
        </w:pPr>
        <w:rPr>
          <w:rFonts w:ascii="Symbol" w:hAnsi="Symbol" w:hint="default"/>
        </w:rPr>
      </w:lvl>
    </w:lvlOverride>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1"/>
    <w:lvlOverride w:ilvl="0">
      <w:startOverride w:val="2"/>
      <w:lvl w:ilvl="0">
        <w:start w:val="2"/>
        <w:numFmt w:val="decimal"/>
        <w:pStyle w:val="BoxHeadingBoxR1Roadmap"/>
        <w:suff w:val="space"/>
        <w:lvlText w:val="Box R.%1"/>
        <w:lvlJc w:val="left"/>
        <w:pPr>
          <w:ind w:left="0" w:firstLine="0"/>
        </w:pPr>
        <w:rPr>
          <w:rFonts w:hint="default"/>
        </w:rPr>
      </w:lvl>
    </w:lvlOverride>
    <w:lvlOverride w:ilvl="1">
      <w:startOverride w:val="1"/>
      <w:lvl w:ilvl="1">
        <w:start w:val="1"/>
        <w:numFmt w:val="decimal"/>
        <w:lvlRestart w:val="0"/>
        <w:pStyle w:val="ChartMainHeadingRoadmap"/>
        <w:suff w:val="space"/>
        <w:lvlText w:val="Chart R.%2"/>
        <w:lvlJc w:val="left"/>
        <w:pPr>
          <w:ind w:left="0" w:firstLine="0"/>
        </w:pPr>
        <w:rPr>
          <w:rFonts w:hint="default"/>
        </w:rPr>
      </w:lvl>
    </w:lvlOverride>
    <w:lvlOverride w:ilvl="2">
      <w:startOverride w:val="2"/>
      <w:lvl w:ilvl="2">
        <w:start w:val="2"/>
        <w:numFmt w:val="decimal"/>
        <w:lvlRestart w:val="0"/>
        <w:pStyle w:val="FigureMainHeadingRoadmap"/>
        <w:suff w:val="space"/>
        <w:lvlText w:val="Figure R.%3"/>
        <w:lvlJc w:val="left"/>
        <w:pPr>
          <w:ind w:left="0" w:firstLine="0"/>
        </w:pPr>
        <w:rPr>
          <w:rFonts w:hint="default"/>
        </w:rPr>
      </w:lvl>
    </w:lvlOverride>
    <w:lvlOverride w:ilvl="3">
      <w:startOverride w:val="1"/>
      <w:lvl w:ilvl="3">
        <w:start w:val="1"/>
        <w:numFmt w:val="decimal"/>
        <w:lvlRestart w:val="0"/>
        <w:pStyle w:val="TableMainHeadingRoadmap"/>
        <w:suff w:val="space"/>
        <w:lvlText w:val="Table R.%4"/>
        <w:lvlJc w:val="left"/>
        <w:pPr>
          <w:ind w:left="0" w:firstLine="0"/>
        </w:pPr>
        <w:rPr>
          <w:rFonts w:hint="default"/>
        </w:rPr>
      </w:lvl>
    </w:lvlOverride>
    <w:lvlOverride w:ilvl="4">
      <w:startOverride w:val="1"/>
      <w:lvl w:ilvl="4">
        <w:start w:val="1"/>
        <w:numFmt w:val="bullet"/>
        <w:pStyle w:val="TableSecondHeadingRoadmap"/>
        <w:lvlText w:val=""/>
        <w:lvlJc w:val="left"/>
        <w:pPr>
          <w:ind w:left="0" w:firstLine="0"/>
        </w:pPr>
        <w:rPr>
          <w:rFonts w:ascii="Symbol" w:hAnsi="Symbol" w:hint="default"/>
        </w:rPr>
      </w:lvl>
    </w:lvlOverride>
    <w:lvlOverride w:ilvl="5">
      <w:startOverride w:val="1"/>
      <w:lvl w:ilvl="5">
        <w:start w:val="1"/>
        <w:numFmt w:val="bullet"/>
        <w:lvlText w:val=""/>
        <w:lvlJc w:val="left"/>
        <w:pPr>
          <w:ind w:left="0" w:firstLine="0"/>
        </w:pPr>
        <w:rPr>
          <w:rFonts w:ascii="Wingdings" w:hAnsi="Wingdings" w:hint="default"/>
        </w:rPr>
      </w:lvl>
    </w:lvlOverride>
    <w:lvlOverride w:ilvl="6">
      <w:startOverride w:val="1"/>
      <w:lvl w:ilvl="6">
        <w:start w:val="1"/>
        <w:numFmt w:val="bullet"/>
        <w:lvlText w:val=""/>
        <w:lvlJc w:val="left"/>
        <w:pPr>
          <w:ind w:left="0" w:firstLine="0"/>
        </w:pPr>
        <w:rPr>
          <w:rFonts w:ascii="Wingdings" w:hAnsi="Wingdings" w:hint="default"/>
        </w:rPr>
      </w:lvl>
    </w:lvlOverride>
    <w:lvlOverride w:ilvl="7">
      <w:startOverride w:val="1"/>
      <w:lvl w:ilvl="7">
        <w:start w:val="1"/>
        <w:numFmt w:val="bullet"/>
        <w:lvlText w:val=""/>
        <w:lvlJc w:val="left"/>
        <w:pPr>
          <w:ind w:left="0" w:firstLine="0"/>
        </w:pPr>
        <w:rPr>
          <w:rFonts w:ascii="Symbol" w:hAnsi="Symbol" w:hint="default"/>
        </w:rPr>
      </w:lvl>
    </w:lvlOverride>
    <w:lvlOverride w:ilvl="8">
      <w:startOverride w:val="1"/>
      <w:lvl w:ilvl="8">
        <w:start w:val="1"/>
        <w:numFmt w:val="bullet"/>
        <w:lvlText w:val=""/>
        <w:lvlJc w:val="left"/>
        <w:pPr>
          <w:ind w:left="0" w:firstLine="0"/>
        </w:pPr>
        <w:rPr>
          <w:rFonts w:ascii="Symbol" w:hAnsi="Symbol" w:hint="default"/>
        </w:rPr>
      </w:lvl>
    </w:lvlOverride>
  </w:num>
  <w:num w:numId="30">
    <w:abstractNumId w:val="11"/>
  </w:num>
  <w:num w:numId="31">
    <w:abstractNumId w:val="11"/>
  </w:num>
  <w:num w:numId="32">
    <w:abstractNumId w:val="11"/>
  </w:num>
  <w:num w:numId="33">
    <w:abstractNumId w:val="11"/>
  </w:num>
  <w:num w:numId="34">
    <w:abstractNumId w:val="11"/>
  </w:num>
  <w:num w:numId="35">
    <w:abstractNumId w:val="21"/>
    <w:lvlOverride w:ilvl="0">
      <w:startOverride w:val="1"/>
      <w:lvl w:ilvl="0">
        <w:start w:val="1"/>
        <w:numFmt w:val="decimal"/>
        <w:pStyle w:val="OutlineNumbered1"/>
        <w:lvlText w:val="%1."/>
        <w:lvlJc w:val="left"/>
        <w:pPr>
          <w:tabs>
            <w:tab w:val="num" w:pos="851"/>
          </w:tabs>
          <w:ind w:left="851" w:hanging="851"/>
        </w:pPr>
        <w:rPr>
          <w:rFonts w:hint="default"/>
        </w:rPr>
      </w:lvl>
    </w:lvlOverride>
    <w:lvlOverride w:ilvl="1">
      <w:startOverride w:val="1"/>
      <w:lvl w:ilvl="1">
        <w:start w:val="1"/>
        <w:numFmt w:val="decimal"/>
        <w:pStyle w:val="OutlineNumbered2"/>
        <w:lvlText w:val="%1.%2"/>
        <w:lvlJc w:val="left"/>
        <w:pPr>
          <w:tabs>
            <w:tab w:val="num" w:pos="1134"/>
          </w:tabs>
          <w:ind w:left="1134" w:hanging="1134"/>
        </w:pPr>
        <w:rPr>
          <w:rFonts w:hint="default"/>
        </w:rPr>
      </w:lvl>
    </w:lvlOverride>
    <w:lvlOverride w:ilvl="2">
      <w:startOverride w:val="1"/>
      <w:lvl w:ilvl="2">
        <w:start w:val="1"/>
        <w:numFmt w:val="decimal"/>
        <w:pStyle w:val="OutlineNumbered3"/>
        <w:lvlText w:val="%1.%2.%3"/>
        <w:lvlJc w:val="left"/>
        <w:pPr>
          <w:tabs>
            <w:tab w:val="num" w:pos="1418"/>
          </w:tabs>
          <w:ind w:left="1418" w:hanging="1418"/>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3"/>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lFOUb+8gJT78IGOXb4VyAPSyMlmtOB8PmVa650ZGl/5UifE0aWxCAR8L/TcQFx5Y7agh0p4O5O7Ly3YwmAbyBA==" w:salt="DQp3Vv2ZncNfIbnaOPTfLg=="/>
  <w:defaultTabStop w:val="720"/>
  <w:evenAndOddHeaders/>
  <w:characterSpacingControl w:val="doNotCompress"/>
  <w:hdrShapeDefaults>
    <o:shapedefaults v:ext="edit" spidmax="2050"/>
  </w:hdrShapeDefaults>
  <w:footnotePr>
    <w:numFmt w:val="lowerRoman"/>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CD28FD"/>
    <w:rsid w:val="00000154"/>
    <w:rsid w:val="000001A1"/>
    <w:rsid w:val="00000222"/>
    <w:rsid w:val="000002A7"/>
    <w:rsid w:val="00000585"/>
    <w:rsid w:val="0000079E"/>
    <w:rsid w:val="000008BB"/>
    <w:rsid w:val="00000945"/>
    <w:rsid w:val="00000A2B"/>
    <w:rsid w:val="00000A47"/>
    <w:rsid w:val="00000E54"/>
    <w:rsid w:val="00000F6E"/>
    <w:rsid w:val="0000105F"/>
    <w:rsid w:val="000010B3"/>
    <w:rsid w:val="0000117B"/>
    <w:rsid w:val="0000123D"/>
    <w:rsid w:val="00001268"/>
    <w:rsid w:val="00001328"/>
    <w:rsid w:val="00001539"/>
    <w:rsid w:val="00001751"/>
    <w:rsid w:val="00001913"/>
    <w:rsid w:val="00001CC9"/>
    <w:rsid w:val="00001D00"/>
    <w:rsid w:val="00001D2F"/>
    <w:rsid w:val="00001D9B"/>
    <w:rsid w:val="00001DEB"/>
    <w:rsid w:val="00001F28"/>
    <w:rsid w:val="00002209"/>
    <w:rsid w:val="0000220B"/>
    <w:rsid w:val="0000225D"/>
    <w:rsid w:val="000022BC"/>
    <w:rsid w:val="000023B0"/>
    <w:rsid w:val="00002452"/>
    <w:rsid w:val="000024BC"/>
    <w:rsid w:val="000026C3"/>
    <w:rsid w:val="000028A8"/>
    <w:rsid w:val="000028DE"/>
    <w:rsid w:val="000029CC"/>
    <w:rsid w:val="00002A56"/>
    <w:rsid w:val="00002B9C"/>
    <w:rsid w:val="00002E0B"/>
    <w:rsid w:val="00002FAE"/>
    <w:rsid w:val="00002FF4"/>
    <w:rsid w:val="0000318F"/>
    <w:rsid w:val="000031A8"/>
    <w:rsid w:val="00003211"/>
    <w:rsid w:val="00003253"/>
    <w:rsid w:val="00003370"/>
    <w:rsid w:val="00003579"/>
    <w:rsid w:val="00003588"/>
    <w:rsid w:val="00003589"/>
    <w:rsid w:val="000035F5"/>
    <w:rsid w:val="00003694"/>
    <w:rsid w:val="000037A2"/>
    <w:rsid w:val="00003820"/>
    <w:rsid w:val="00003A32"/>
    <w:rsid w:val="00003A8E"/>
    <w:rsid w:val="00003B35"/>
    <w:rsid w:val="00003FC1"/>
    <w:rsid w:val="0000404A"/>
    <w:rsid w:val="0000417C"/>
    <w:rsid w:val="00004254"/>
    <w:rsid w:val="000042A7"/>
    <w:rsid w:val="000042D4"/>
    <w:rsid w:val="0000434A"/>
    <w:rsid w:val="0000439F"/>
    <w:rsid w:val="0000445A"/>
    <w:rsid w:val="000045AA"/>
    <w:rsid w:val="0000461E"/>
    <w:rsid w:val="000046FB"/>
    <w:rsid w:val="000048CB"/>
    <w:rsid w:val="00004975"/>
    <w:rsid w:val="00004D86"/>
    <w:rsid w:val="00004F5A"/>
    <w:rsid w:val="000050D2"/>
    <w:rsid w:val="00005209"/>
    <w:rsid w:val="000052FA"/>
    <w:rsid w:val="00005626"/>
    <w:rsid w:val="000056B4"/>
    <w:rsid w:val="000056EB"/>
    <w:rsid w:val="00005746"/>
    <w:rsid w:val="00005865"/>
    <w:rsid w:val="0000592D"/>
    <w:rsid w:val="00005BDC"/>
    <w:rsid w:val="00005E28"/>
    <w:rsid w:val="00005E41"/>
    <w:rsid w:val="00006054"/>
    <w:rsid w:val="00006058"/>
    <w:rsid w:val="0000607F"/>
    <w:rsid w:val="0000612A"/>
    <w:rsid w:val="00006194"/>
    <w:rsid w:val="00006512"/>
    <w:rsid w:val="00006537"/>
    <w:rsid w:val="0000654E"/>
    <w:rsid w:val="0000685E"/>
    <w:rsid w:val="000068B9"/>
    <w:rsid w:val="000068BE"/>
    <w:rsid w:val="000068C1"/>
    <w:rsid w:val="00006B0E"/>
    <w:rsid w:val="00006C3B"/>
    <w:rsid w:val="00006CD1"/>
    <w:rsid w:val="00006DFC"/>
    <w:rsid w:val="00006F50"/>
    <w:rsid w:val="00007290"/>
    <w:rsid w:val="000072E0"/>
    <w:rsid w:val="0000737B"/>
    <w:rsid w:val="00007450"/>
    <w:rsid w:val="000074CE"/>
    <w:rsid w:val="00007527"/>
    <w:rsid w:val="0000770B"/>
    <w:rsid w:val="000078BE"/>
    <w:rsid w:val="00007980"/>
    <w:rsid w:val="00007D03"/>
    <w:rsid w:val="00007D19"/>
    <w:rsid w:val="00007F14"/>
    <w:rsid w:val="00007FD4"/>
    <w:rsid w:val="00007FF0"/>
    <w:rsid w:val="000100C8"/>
    <w:rsid w:val="000103DF"/>
    <w:rsid w:val="000104D5"/>
    <w:rsid w:val="000105F8"/>
    <w:rsid w:val="0001060D"/>
    <w:rsid w:val="0001061D"/>
    <w:rsid w:val="0001063F"/>
    <w:rsid w:val="000106FE"/>
    <w:rsid w:val="00010723"/>
    <w:rsid w:val="00010857"/>
    <w:rsid w:val="00010895"/>
    <w:rsid w:val="00010962"/>
    <w:rsid w:val="00010A44"/>
    <w:rsid w:val="00010AE6"/>
    <w:rsid w:val="00010D98"/>
    <w:rsid w:val="00010F02"/>
    <w:rsid w:val="00010F0B"/>
    <w:rsid w:val="00010F9D"/>
    <w:rsid w:val="0001109C"/>
    <w:rsid w:val="00011151"/>
    <w:rsid w:val="00011389"/>
    <w:rsid w:val="000114AB"/>
    <w:rsid w:val="000114E8"/>
    <w:rsid w:val="0001153A"/>
    <w:rsid w:val="000115CE"/>
    <w:rsid w:val="00011610"/>
    <w:rsid w:val="000116F7"/>
    <w:rsid w:val="00011725"/>
    <w:rsid w:val="0001187E"/>
    <w:rsid w:val="00011916"/>
    <w:rsid w:val="0001199D"/>
    <w:rsid w:val="00011A5B"/>
    <w:rsid w:val="00011AE0"/>
    <w:rsid w:val="00011B15"/>
    <w:rsid w:val="00011C64"/>
    <w:rsid w:val="00011CC5"/>
    <w:rsid w:val="00011FE1"/>
    <w:rsid w:val="000120B5"/>
    <w:rsid w:val="00012127"/>
    <w:rsid w:val="0001225B"/>
    <w:rsid w:val="00012387"/>
    <w:rsid w:val="000123EC"/>
    <w:rsid w:val="0001250A"/>
    <w:rsid w:val="000125B5"/>
    <w:rsid w:val="00012616"/>
    <w:rsid w:val="00012699"/>
    <w:rsid w:val="00012710"/>
    <w:rsid w:val="0001272C"/>
    <w:rsid w:val="000128B1"/>
    <w:rsid w:val="000128DF"/>
    <w:rsid w:val="00012AFA"/>
    <w:rsid w:val="00012C31"/>
    <w:rsid w:val="00012C62"/>
    <w:rsid w:val="00012CE3"/>
    <w:rsid w:val="00012E33"/>
    <w:rsid w:val="00012E76"/>
    <w:rsid w:val="00013074"/>
    <w:rsid w:val="000131DE"/>
    <w:rsid w:val="000132A1"/>
    <w:rsid w:val="000134B0"/>
    <w:rsid w:val="000134BE"/>
    <w:rsid w:val="000134DD"/>
    <w:rsid w:val="000134FF"/>
    <w:rsid w:val="0001356D"/>
    <w:rsid w:val="000135A0"/>
    <w:rsid w:val="000136EE"/>
    <w:rsid w:val="000136F1"/>
    <w:rsid w:val="00013770"/>
    <w:rsid w:val="00013959"/>
    <w:rsid w:val="0001396A"/>
    <w:rsid w:val="00013AD0"/>
    <w:rsid w:val="00013AFF"/>
    <w:rsid w:val="00013D06"/>
    <w:rsid w:val="00013EB4"/>
    <w:rsid w:val="00014057"/>
    <w:rsid w:val="00014073"/>
    <w:rsid w:val="000140E1"/>
    <w:rsid w:val="00014161"/>
    <w:rsid w:val="00014347"/>
    <w:rsid w:val="00014515"/>
    <w:rsid w:val="00014669"/>
    <w:rsid w:val="00014751"/>
    <w:rsid w:val="000147DB"/>
    <w:rsid w:val="00014842"/>
    <w:rsid w:val="000149E4"/>
    <w:rsid w:val="00014A32"/>
    <w:rsid w:val="00014B0E"/>
    <w:rsid w:val="00014D2E"/>
    <w:rsid w:val="00014D31"/>
    <w:rsid w:val="00014D89"/>
    <w:rsid w:val="00014EC2"/>
    <w:rsid w:val="00014ECC"/>
    <w:rsid w:val="00014F27"/>
    <w:rsid w:val="0001504D"/>
    <w:rsid w:val="000151C6"/>
    <w:rsid w:val="000151F9"/>
    <w:rsid w:val="000152A8"/>
    <w:rsid w:val="0001557F"/>
    <w:rsid w:val="000155DD"/>
    <w:rsid w:val="00015764"/>
    <w:rsid w:val="00015842"/>
    <w:rsid w:val="0001585C"/>
    <w:rsid w:val="000158D8"/>
    <w:rsid w:val="00015BEF"/>
    <w:rsid w:val="00015D47"/>
    <w:rsid w:val="00015DB9"/>
    <w:rsid w:val="00016051"/>
    <w:rsid w:val="0001605D"/>
    <w:rsid w:val="0001606F"/>
    <w:rsid w:val="000160C0"/>
    <w:rsid w:val="000160C3"/>
    <w:rsid w:val="0001616E"/>
    <w:rsid w:val="00016255"/>
    <w:rsid w:val="000162BC"/>
    <w:rsid w:val="000162FA"/>
    <w:rsid w:val="0001630B"/>
    <w:rsid w:val="000164E9"/>
    <w:rsid w:val="0001654B"/>
    <w:rsid w:val="00016572"/>
    <w:rsid w:val="00016611"/>
    <w:rsid w:val="00016693"/>
    <w:rsid w:val="000166C2"/>
    <w:rsid w:val="00016767"/>
    <w:rsid w:val="0001698A"/>
    <w:rsid w:val="000169CE"/>
    <w:rsid w:val="00016AA7"/>
    <w:rsid w:val="00016B22"/>
    <w:rsid w:val="00016C0C"/>
    <w:rsid w:val="00016CCD"/>
    <w:rsid w:val="00016D66"/>
    <w:rsid w:val="00016D78"/>
    <w:rsid w:val="00017003"/>
    <w:rsid w:val="0001704A"/>
    <w:rsid w:val="0001706C"/>
    <w:rsid w:val="0001722B"/>
    <w:rsid w:val="0001730E"/>
    <w:rsid w:val="0001750C"/>
    <w:rsid w:val="00017584"/>
    <w:rsid w:val="0001761A"/>
    <w:rsid w:val="000176FD"/>
    <w:rsid w:val="000177E3"/>
    <w:rsid w:val="00017869"/>
    <w:rsid w:val="000178FB"/>
    <w:rsid w:val="00017913"/>
    <w:rsid w:val="00017C6E"/>
    <w:rsid w:val="00017CDF"/>
    <w:rsid w:val="00017ED8"/>
    <w:rsid w:val="00020424"/>
    <w:rsid w:val="00020547"/>
    <w:rsid w:val="00020595"/>
    <w:rsid w:val="000206B2"/>
    <w:rsid w:val="00020843"/>
    <w:rsid w:val="00020858"/>
    <w:rsid w:val="0002094D"/>
    <w:rsid w:val="000209C1"/>
    <w:rsid w:val="00020C73"/>
    <w:rsid w:val="00020CE1"/>
    <w:rsid w:val="00020D09"/>
    <w:rsid w:val="00020E16"/>
    <w:rsid w:val="00020F9B"/>
    <w:rsid w:val="00020FED"/>
    <w:rsid w:val="00021093"/>
    <w:rsid w:val="00021151"/>
    <w:rsid w:val="000211BA"/>
    <w:rsid w:val="00021218"/>
    <w:rsid w:val="00021328"/>
    <w:rsid w:val="000213B8"/>
    <w:rsid w:val="0002147E"/>
    <w:rsid w:val="000214C3"/>
    <w:rsid w:val="00021601"/>
    <w:rsid w:val="00021730"/>
    <w:rsid w:val="0002176E"/>
    <w:rsid w:val="000218A9"/>
    <w:rsid w:val="00021A98"/>
    <w:rsid w:val="00021B98"/>
    <w:rsid w:val="00021BD2"/>
    <w:rsid w:val="00021C25"/>
    <w:rsid w:val="00021C61"/>
    <w:rsid w:val="00021D75"/>
    <w:rsid w:val="00021DAA"/>
    <w:rsid w:val="00021F14"/>
    <w:rsid w:val="000220FE"/>
    <w:rsid w:val="0002227C"/>
    <w:rsid w:val="00022439"/>
    <w:rsid w:val="00022745"/>
    <w:rsid w:val="00022792"/>
    <w:rsid w:val="000227D2"/>
    <w:rsid w:val="000227DD"/>
    <w:rsid w:val="00022800"/>
    <w:rsid w:val="00022832"/>
    <w:rsid w:val="000229AF"/>
    <w:rsid w:val="000229D9"/>
    <w:rsid w:val="00022BC8"/>
    <w:rsid w:val="00022C27"/>
    <w:rsid w:val="00022D22"/>
    <w:rsid w:val="00022D6A"/>
    <w:rsid w:val="00022EEF"/>
    <w:rsid w:val="00022F22"/>
    <w:rsid w:val="00022F4B"/>
    <w:rsid w:val="000230E5"/>
    <w:rsid w:val="00023423"/>
    <w:rsid w:val="00023524"/>
    <w:rsid w:val="000235FB"/>
    <w:rsid w:val="0002371D"/>
    <w:rsid w:val="000238BB"/>
    <w:rsid w:val="00023BBC"/>
    <w:rsid w:val="00023D1D"/>
    <w:rsid w:val="00023D52"/>
    <w:rsid w:val="00023DD8"/>
    <w:rsid w:val="00023DED"/>
    <w:rsid w:val="00023E5E"/>
    <w:rsid w:val="00023E62"/>
    <w:rsid w:val="00023FDF"/>
    <w:rsid w:val="00024018"/>
    <w:rsid w:val="0002402C"/>
    <w:rsid w:val="000241D9"/>
    <w:rsid w:val="000242E6"/>
    <w:rsid w:val="00024850"/>
    <w:rsid w:val="00024A20"/>
    <w:rsid w:val="00024A94"/>
    <w:rsid w:val="00024AFC"/>
    <w:rsid w:val="00024BE8"/>
    <w:rsid w:val="00024BF6"/>
    <w:rsid w:val="00025147"/>
    <w:rsid w:val="00025231"/>
    <w:rsid w:val="00025387"/>
    <w:rsid w:val="000253ED"/>
    <w:rsid w:val="0002544D"/>
    <w:rsid w:val="00025498"/>
    <w:rsid w:val="0002578D"/>
    <w:rsid w:val="00025912"/>
    <w:rsid w:val="00025992"/>
    <w:rsid w:val="00025B14"/>
    <w:rsid w:val="00025B91"/>
    <w:rsid w:val="00025E6C"/>
    <w:rsid w:val="00025EC7"/>
    <w:rsid w:val="00025F94"/>
    <w:rsid w:val="00025FB1"/>
    <w:rsid w:val="00026263"/>
    <w:rsid w:val="000262E7"/>
    <w:rsid w:val="000263BB"/>
    <w:rsid w:val="000263D0"/>
    <w:rsid w:val="000263D7"/>
    <w:rsid w:val="00026490"/>
    <w:rsid w:val="000267D2"/>
    <w:rsid w:val="000267D3"/>
    <w:rsid w:val="00026876"/>
    <w:rsid w:val="00026A65"/>
    <w:rsid w:val="00026B22"/>
    <w:rsid w:val="00026D06"/>
    <w:rsid w:val="00026DE8"/>
    <w:rsid w:val="00026EDA"/>
    <w:rsid w:val="00026F66"/>
    <w:rsid w:val="00026F73"/>
    <w:rsid w:val="00027414"/>
    <w:rsid w:val="0002759F"/>
    <w:rsid w:val="000275A0"/>
    <w:rsid w:val="000275A6"/>
    <w:rsid w:val="000275C7"/>
    <w:rsid w:val="000275FA"/>
    <w:rsid w:val="000276BF"/>
    <w:rsid w:val="00027723"/>
    <w:rsid w:val="00027749"/>
    <w:rsid w:val="000277C4"/>
    <w:rsid w:val="00027832"/>
    <w:rsid w:val="0002785B"/>
    <w:rsid w:val="00027AB5"/>
    <w:rsid w:val="00027B6C"/>
    <w:rsid w:val="00027BE9"/>
    <w:rsid w:val="00027C24"/>
    <w:rsid w:val="00027E85"/>
    <w:rsid w:val="00027EEC"/>
    <w:rsid w:val="00027F45"/>
    <w:rsid w:val="000300CB"/>
    <w:rsid w:val="00030137"/>
    <w:rsid w:val="000302A4"/>
    <w:rsid w:val="000302D3"/>
    <w:rsid w:val="00030436"/>
    <w:rsid w:val="00030453"/>
    <w:rsid w:val="00030587"/>
    <w:rsid w:val="0003067E"/>
    <w:rsid w:val="000306EE"/>
    <w:rsid w:val="00030797"/>
    <w:rsid w:val="000308A9"/>
    <w:rsid w:val="00030974"/>
    <w:rsid w:val="00030A1B"/>
    <w:rsid w:val="00030A29"/>
    <w:rsid w:val="00030A3A"/>
    <w:rsid w:val="00030BBB"/>
    <w:rsid w:val="00030C3C"/>
    <w:rsid w:val="00030C56"/>
    <w:rsid w:val="00030E78"/>
    <w:rsid w:val="00031031"/>
    <w:rsid w:val="000312A8"/>
    <w:rsid w:val="000313BA"/>
    <w:rsid w:val="000313F8"/>
    <w:rsid w:val="00031458"/>
    <w:rsid w:val="000314F7"/>
    <w:rsid w:val="00031661"/>
    <w:rsid w:val="0003170B"/>
    <w:rsid w:val="00031711"/>
    <w:rsid w:val="000317AD"/>
    <w:rsid w:val="00031935"/>
    <w:rsid w:val="00031980"/>
    <w:rsid w:val="00031BF4"/>
    <w:rsid w:val="00031CD0"/>
    <w:rsid w:val="00031DA7"/>
    <w:rsid w:val="00032120"/>
    <w:rsid w:val="000323EC"/>
    <w:rsid w:val="00032663"/>
    <w:rsid w:val="000327FE"/>
    <w:rsid w:val="00032810"/>
    <w:rsid w:val="0003286C"/>
    <w:rsid w:val="0003287A"/>
    <w:rsid w:val="00032966"/>
    <w:rsid w:val="0003297A"/>
    <w:rsid w:val="0003298A"/>
    <w:rsid w:val="00032A17"/>
    <w:rsid w:val="00032AB7"/>
    <w:rsid w:val="00032AF9"/>
    <w:rsid w:val="00032BE1"/>
    <w:rsid w:val="00032C87"/>
    <w:rsid w:val="00032CCF"/>
    <w:rsid w:val="00032CE1"/>
    <w:rsid w:val="00032E1D"/>
    <w:rsid w:val="00032EEA"/>
    <w:rsid w:val="00033195"/>
    <w:rsid w:val="0003320A"/>
    <w:rsid w:val="00033295"/>
    <w:rsid w:val="0003329A"/>
    <w:rsid w:val="000338DA"/>
    <w:rsid w:val="000338E2"/>
    <w:rsid w:val="00033A2E"/>
    <w:rsid w:val="00033B08"/>
    <w:rsid w:val="00033B87"/>
    <w:rsid w:val="00033BCC"/>
    <w:rsid w:val="00033C4B"/>
    <w:rsid w:val="00033D62"/>
    <w:rsid w:val="00033DF7"/>
    <w:rsid w:val="00033E86"/>
    <w:rsid w:val="00033F7B"/>
    <w:rsid w:val="00033FF6"/>
    <w:rsid w:val="0003404C"/>
    <w:rsid w:val="000341A0"/>
    <w:rsid w:val="0003423D"/>
    <w:rsid w:val="00034247"/>
    <w:rsid w:val="0003429B"/>
    <w:rsid w:val="000342A0"/>
    <w:rsid w:val="000343C2"/>
    <w:rsid w:val="00034448"/>
    <w:rsid w:val="000345DE"/>
    <w:rsid w:val="000345F8"/>
    <w:rsid w:val="0003462B"/>
    <w:rsid w:val="0003466D"/>
    <w:rsid w:val="0003470C"/>
    <w:rsid w:val="0003488A"/>
    <w:rsid w:val="0003489C"/>
    <w:rsid w:val="00034A52"/>
    <w:rsid w:val="00034ACD"/>
    <w:rsid w:val="00034C62"/>
    <w:rsid w:val="00034D57"/>
    <w:rsid w:val="00034D7A"/>
    <w:rsid w:val="00034E30"/>
    <w:rsid w:val="00034ED6"/>
    <w:rsid w:val="00034F8A"/>
    <w:rsid w:val="0003501F"/>
    <w:rsid w:val="00035074"/>
    <w:rsid w:val="0003545E"/>
    <w:rsid w:val="000355F6"/>
    <w:rsid w:val="000357D9"/>
    <w:rsid w:val="0003587B"/>
    <w:rsid w:val="00035996"/>
    <w:rsid w:val="00035AD4"/>
    <w:rsid w:val="00035B32"/>
    <w:rsid w:val="00035C7E"/>
    <w:rsid w:val="00035CB6"/>
    <w:rsid w:val="00035D34"/>
    <w:rsid w:val="00035D5F"/>
    <w:rsid w:val="00035E7F"/>
    <w:rsid w:val="00036020"/>
    <w:rsid w:val="0003607D"/>
    <w:rsid w:val="000361E6"/>
    <w:rsid w:val="0003631E"/>
    <w:rsid w:val="00036384"/>
    <w:rsid w:val="00036409"/>
    <w:rsid w:val="00036489"/>
    <w:rsid w:val="00036527"/>
    <w:rsid w:val="00036843"/>
    <w:rsid w:val="000368D0"/>
    <w:rsid w:val="000368EF"/>
    <w:rsid w:val="000369A6"/>
    <w:rsid w:val="00036A2D"/>
    <w:rsid w:val="00036A30"/>
    <w:rsid w:val="00036B19"/>
    <w:rsid w:val="00036BFC"/>
    <w:rsid w:val="00036CC3"/>
    <w:rsid w:val="00036D56"/>
    <w:rsid w:val="00036DB0"/>
    <w:rsid w:val="000372DE"/>
    <w:rsid w:val="000372EA"/>
    <w:rsid w:val="000373FF"/>
    <w:rsid w:val="00037411"/>
    <w:rsid w:val="00037506"/>
    <w:rsid w:val="0003758F"/>
    <w:rsid w:val="00037683"/>
    <w:rsid w:val="000376A4"/>
    <w:rsid w:val="00037705"/>
    <w:rsid w:val="0003780B"/>
    <w:rsid w:val="00037880"/>
    <w:rsid w:val="0003789D"/>
    <w:rsid w:val="000378C8"/>
    <w:rsid w:val="0003796D"/>
    <w:rsid w:val="00037B12"/>
    <w:rsid w:val="00037BE8"/>
    <w:rsid w:val="00037D18"/>
    <w:rsid w:val="00037F0F"/>
    <w:rsid w:val="00037FB6"/>
    <w:rsid w:val="0004001D"/>
    <w:rsid w:val="0004026F"/>
    <w:rsid w:val="00040428"/>
    <w:rsid w:val="0004045F"/>
    <w:rsid w:val="00040509"/>
    <w:rsid w:val="0004050E"/>
    <w:rsid w:val="00040527"/>
    <w:rsid w:val="0004057F"/>
    <w:rsid w:val="00040626"/>
    <w:rsid w:val="0004072F"/>
    <w:rsid w:val="00040753"/>
    <w:rsid w:val="00040769"/>
    <w:rsid w:val="00040786"/>
    <w:rsid w:val="000407F0"/>
    <w:rsid w:val="000408EE"/>
    <w:rsid w:val="00040AAD"/>
    <w:rsid w:val="00040B9D"/>
    <w:rsid w:val="00040BFE"/>
    <w:rsid w:val="00040C48"/>
    <w:rsid w:val="00040E08"/>
    <w:rsid w:val="0004112D"/>
    <w:rsid w:val="0004115C"/>
    <w:rsid w:val="000411C1"/>
    <w:rsid w:val="00041350"/>
    <w:rsid w:val="000413A5"/>
    <w:rsid w:val="000413C9"/>
    <w:rsid w:val="00041484"/>
    <w:rsid w:val="0004155D"/>
    <w:rsid w:val="00041644"/>
    <w:rsid w:val="00041791"/>
    <w:rsid w:val="00041794"/>
    <w:rsid w:val="0004179C"/>
    <w:rsid w:val="000418C8"/>
    <w:rsid w:val="000418CE"/>
    <w:rsid w:val="00041909"/>
    <w:rsid w:val="000419BD"/>
    <w:rsid w:val="00041CF5"/>
    <w:rsid w:val="00041D54"/>
    <w:rsid w:val="00041DAB"/>
    <w:rsid w:val="00041DB8"/>
    <w:rsid w:val="00041F71"/>
    <w:rsid w:val="00042014"/>
    <w:rsid w:val="000422CE"/>
    <w:rsid w:val="000423E7"/>
    <w:rsid w:val="00042543"/>
    <w:rsid w:val="000426F7"/>
    <w:rsid w:val="0004274D"/>
    <w:rsid w:val="00042873"/>
    <w:rsid w:val="0004299F"/>
    <w:rsid w:val="000429E9"/>
    <w:rsid w:val="00042AA6"/>
    <w:rsid w:val="00042ACA"/>
    <w:rsid w:val="00042BAC"/>
    <w:rsid w:val="00042CA7"/>
    <w:rsid w:val="00042CF2"/>
    <w:rsid w:val="00042DBE"/>
    <w:rsid w:val="00042E4D"/>
    <w:rsid w:val="000430CA"/>
    <w:rsid w:val="00043269"/>
    <w:rsid w:val="00043348"/>
    <w:rsid w:val="00043355"/>
    <w:rsid w:val="00043502"/>
    <w:rsid w:val="0004352D"/>
    <w:rsid w:val="0004353A"/>
    <w:rsid w:val="0004365A"/>
    <w:rsid w:val="000437D1"/>
    <w:rsid w:val="000438B3"/>
    <w:rsid w:val="00043B99"/>
    <w:rsid w:val="00043C50"/>
    <w:rsid w:val="00043D11"/>
    <w:rsid w:val="00043DB3"/>
    <w:rsid w:val="00043DDF"/>
    <w:rsid w:val="00043E2D"/>
    <w:rsid w:val="00043E36"/>
    <w:rsid w:val="00043EA5"/>
    <w:rsid w:val="00044069"/>
    <w:rsid w:val="000440B3"/>
    <w:rsid w:val="000440B6"/>
    <w:rsid w:val="00044132"/>
    <w:rsid w:val="0004413B"/>
    <w:rsid w:val="000441BD"/>
    <w:rsid w:val="00044357"/>
    <w:rsid w:val="00044461"/>
    <w:rsid w:val="0004449D"/>
    <w:rsid w:val="000444F8"/>
    <w:rsid w:val="00044667"/>
    <w:rsid w:val="00044749"/>
    <w:rsid w:val="0004483F"/>
    <w:rsid w:val="000448C0"/>
    <w:rsid w:val="00044A07"/>
    <w:rsid w:val="00044B71"/>
    <w:rsid w:val="00044BB7"/>
    <w:rsid w:val="00044BE8"/>
    <w:rsid w:val="00044C69"/>
    <w:rsid w:val="00044CD9"/>
    <w:rsid w:val="00044D14"/>
    <w:rsid w:val="00044D2E"/>
    <w:rsid w:val="00044D87"/>
    <w:rsid w:val="00044F11"/>
    <w:rsid w:val="000452FB"/>
    <w:rsid w:val="00045530"/>
    <w:rsid w:val="0004566C"/>
    <w:rsid w:val="00045696"/>
    <w:rsid w:val="00045803"/>
    <w:rsid w:val="00045857"/>
    <w:rsid w:val="00045994"/>
    <w:rsid w:val="00045A2D"/>
    <w:rsid w:val="00045B17"/>
    <w:rsid w:val="00045B47"/>
    <w:rsid w:val="00045C67"/>
    <w:rsid w:val="00045C7B"/>
    <w:rsid w:val="00045C91"/>
    <w:rsid w:val="00045DAB"/>
    <w:rsid w:val="00045E5C"/>
    <w:rsid w:val="00045FC2"/>
    <w:rsid w:val="0004606A"/>
    <w:rsid w:val="000460E5"/>
    <w:rsid w:val="0004645F"/>
    <w:rsid w:val="000464F3"/>
    <w:rsid w:val="000465D1"/>
    <w:rsid w:val="000467AF"/>
    <w:rsid w:val="00046A0C"/>
    <w:rsid w:val="00046A36"/>
    <w:rsid w:val="00046C66"/>
    <w:rsid w:val="00046CB4"/>
    <w:rsid w:val="00046F26"/>
    <w:rsid w:val="00046F67"/>
    <w:rsid w:val="00046F7A"/>
    <w:rsid w:val="00046F9A"/>
    <w:rsid w:val="00047140"/>
    <w:rsid w:val="0004715E"/>
    <w:rsid w:val="000471C3"/>
    <w:rsid w:val="0004725B"/>
    <w:rsid w:val="000472F2"/>
    <w:rsid w:val="00047438"/>
    <w:rsid w:val="0004762D"/>
    <w:rsid w:val="000476BD"/>
    <w:rsid w:val="00047725"/>
    <w:rsid w:val="0004774C"/>
    <w:rsid w:val="00047944"/>
    <w:rsid w:val="000479AA"/>
    <w:rsid w:val="00047A53"/>
    <w:rsid w:val="00047B2E"/>
    <w:rsid w:val="00047DC3"/>
    <w:rsid w:val="00047E9B"/>
    <w:rsid w:val="000501E0"/>
    <w:rsid w:val="000503DE"/>
    <w:rsid w:val="000504D6"/>
    <w:rsid w:val="00050525"/>
    <w:rsid w:val="00050535"/>
    <w:rsid w:val="000505A3"/>
    <w:rsid w:val="00050695"/>
    <w:rsid w:val="0005083C"/>
    <w:rsid w:val="00050892"/>
    <w:rsid w:val="000508B1"/>
    <w:rsid w:val="0005091E"/>
    <w:rsid w:val="00050925"/>
    <w:rsid w:val="0005094B"/>
    <w:rsid w:val="00050A33"/>
    <w:rsid w:val="00050AE1"/>
    <w:rsid w:val="00050D2B"/>
    <w:rsid w:val="00050DF7"/>
    <w:rsid w:val="00050FF9"/>
    <w:rsid w:val="00051034"/>
    <w:rsid w:val="0005116E"/>
    <w:rsid w:val="0005138B"/>
    <w:rsid w:val="0005141D"/>
    <w:rsid w:val="00051443"/>
    <w:rsid w:val="0005168C"/>
    <w:rsid w:val="000516E3"/>
    <w:rsid w:val="00051745"/>
    <w:rsid w:val="00051A55"/>
    <w:rsid w:val="00051CAE"/>
    <w:rsid w:val="00051D14"/>
    <w:rsid w:val="00051D3C"/>
    <w:rsid w:val="00051D89"/>
    <w:rsid w:val="000521BB"/>
    <w:rsid w:val="000522B7"/>
    <w:rsid w:val="000523BD"/>
    <w:rsid w:val="0005242F"/>
    <w:rsid w:val="00052456"/>
    <w:rsid w:val="00052476"/>
    <w:rsid w:val="00052617"/>
    <w:rsid w:val="000526C4"/>
    <w:rsid w:val="000527EF"/>
    <w:rsid w:val="0005283C"/>
    <w:rsid w:val="0005293F"/>
    <w:rsid w:val="00052949"/>
    <w:rsid w:val="00052AF5"/>
    <w:rsid w:val="00052C3B"/>
    <w:rsid w:val="00052DE9"/>
    <w:rsid w:val="00052F40"/>
    <w:rsid w:val="00052FCE"/>
    <w:rsid w:val="00052FDB"/>
    <w:rsid w:val="0005303E"/>
    <w:rsid w:val="000530DC"/>
    <w:rsid w:val="00053102"/>
    <w:rsid w:val="00053243"/>
    <w:rsid w:val="000534B4"/>
    <w:rsid w:val="00053717"/>
    <w:rsid w:val="00053796"/>
    <w:rsid w:val="0005386C"/>
    <w:rsid w:val="00053ADB"/>
    <w:rsid w:val="00053B21"/>
    <w:rsid w:val="000540AE"/>
    <w:rsid w:val="000542C9"/>
    <w:rsid w:val="000543EB"/>
    <w:rsid w:val="0005442E"/>
    <w:rsid w:val="00054458"/>
    <w:rsid w:val="000545B3"/>
    <w:rsid w:val="00054777"/>
    <w:rsid w:val="00054890"/>
    <w:rsid w:val="00054AAB"/>
    <w:rsid w:val="00054B13"/>
    <w:rsid w:val="00054D69"/>
    <w:rsid w:val="00054D7A"/>
    <w:rsid w:val="00054E05"/>
    <w:rsid w:val="00054E55"/>
    <w:rsid w:val="00054FCC"/>
    <w:rsid w:val="00054FD4"/>
    <w:rsid w:val="00055233"/>
    <w:rsid w:val="0005542A"/>
    <w:rsid w:val="000554CA"/>
    <w:rsid w:val="00055542"/>
    <w:rsid w:val="00055639"/>
    <w:rsid w:val="000557D4"/>
    <w:rsid w:val="000557FA"/>
    <w:rsid w:val="000559BA"/>
    <w:rsid w:val="000559BC"/>
    <w:rsid w:val="00055A08"/>
    <w:rsid w:val="00055A45"/>
    <w:rsid w:val="00055A80"/>
    <w:rsid w:val="00055B20"/>
    <w:rsid w:val="00055BEA"/>
    <w:rsid w:val="00055C84"/>
    <w:rsid w:val="00055E2C"/>
    <w:rsid w:val="00055FC3"/>
    <w:rsid w:val="00056096"/>
    <w:rsid w:val="000560CC"/>
    <w:rsid w:val="000560E9"/>
    <w:rsid w:val="00056154"/>
    <w:rsid w:val="00056196"/>
    <w:rsid w:val="0005622B"/>
    <w:rsid w:val="000564AD"/>
    <w:rsid w:val="000564D3"/>
    <w:rsid w:val="000564DB"/>
    <w:rsid w:val="000567B8"/>
    <w:rsid w:val="0005686A"/>
    <w:rsid w:val="00056880"/>
    <w:rsid w:val="00056B3D"/>
    <w:rsid w:val="00056C6A"/>
    <w:rsid w:val="00056DC7"/>
    <w:rsid w:val="00056E70"/>
    <w:rsid w:val="00057098"/>
    <w:rsid w:val="00057176"/>
    <w:rsid w:val="000574A4"/>
    <w:rsid w:val="000575C8"/>
    <w:rsid w:val="000575FF"/>
    <w:rsid w:val="00057602"/>
    <w:rsid w:val="00057631"/>
    <w:rsid w:val="00057645"/>
    <w:rsid w:val="0005768D"/>
    <w:rsid w:val="0005775B"/>
    <w:rsid w:val="000578F7"/>
    <w:rsid w:val="000579F4"/>
    <w:rsid w:val="00057C55"/>
    <w:rsid w:val="00057C66"/>
    <w:rsid w:val="00057D27"/>
    <w:rsid w:val="00057D52"/>
    <w:rsid w:val="00057FF1"/>
    <w:rsid w:val="00060167"/>
    <w:rsid w:val="000602AE"/>
    <w:rsid w:val="000603DD"/>
    <w:rsid w:val="0006049B"/>
    <w:rsid w:val="0006067F"/>
    <w:rsid w:val="000606AC"/>
    <w:rsid w:val="00060724"/>
    <w:rsid w:val="00060884"/>
    <w:rsid w:val="00060909"/>
    <w:rsid w:val="00060945"/>
    <w:rsid w:val="000609BF"/>
    <w:rsid w:val="00060A4A"/>
    <w:rsid w:val="00060A6D"/>
    <w:rsid w:val="00060AA3"/>
    <w:rsid w:val="00060C85"/>
    <w:rsid w:val="00060F93"/>
    <w:rsid w:val="00061054"/>
    <w:rsid w:val="00061127"/>
    <w:rsid w:val="00061178"/>
    <w:rsid w:val="000612A2"/>
    <w:rsid w:val="000613D5"/>
    <w:rsid w:val="00061482"/>
    <w:rsid w:val="000614CA"/>
    <w:rsid w:val="00061624"/>
    <w:rsid w:val="0006169D"/>
    <w:rsid w:val="00061722"/>
    <w:rsid w:val="00061769"/>
    <w:rsid w:val="000617BE"/>
    <w:rsid w:val="000618A2"/>
    <w:rsid w:val="00061A64"/>
    <w:rsid w:val="00061ABC"/>
    <w:rsid w:val="00061BAA"/>
    <w:rsid w:val="00061C2D"/>
    <w:rsid w:val="00061C8F"/>
    <w:rsid w:val="000621D9"/>
    <w:rsid w:val="000622C4"/>
    <w:rsid w:val="00062318"/>
    <w:rsid w:val="00062530"/>
    <w:rsid w:val="00062671"/>
    <w:rsid w:val="00062802"/>
    <w:rsid w:val="0006298F"/>
    <w:rsid w:val="00062C65"/>
    <w:rsid w:val="00062D70"/>
    <w:rsid w:val="00062DF9"/>
    <w:rsid w:val="00062EE8"/>
    <w:rsid w:val="00063133"/>
    <w:rsid w:val="000631AE"/>
    <w:rsid w:val="000632DF"/>
    <w:rsid w:val="0006336F"/>
    <w:rsid w:val="0006346E"/>
    <w:rsid w:val="0006350B"/>
    <w:rsid w:val="000636A1"/>
    <w:rsid w:val="000638DC"/>
    <w:rsid w:val="0006390C"/>
    <w:rsid w:val="00063C24"/>
    <w:rsid w:val="00063D94"/>
    <w:rsid w:val="00063E29"/>
    <w:rsid w:val="00063FBB"/>
    <w:rsid w:val="0006403F"/>
    <w:rsid w:val="00064042"/>
    <w:rsid w:val="000640FB"/>
    <w:rsid w:val="00064143"/>
    <w:rsid w:val="00064147"/>
    <w:rsid w:val="00064216"/>
    <w:rsid w:val="00064303"/>
    <w:rsid w:val="0006439C"/>
    <w:rsid w:val="00064480"/>
    <w:rsid w:val="000644A7"/>
    <w:rsid w:val="000644B7"/>
    <w:rsid w:val="000645DF"/>
    <w:rsid w:val="000646FA"/>
    <w:rsid w:val="00064734"/>
    <w:rsid w:val="00064A84"/>
    <w:rsid w:val="00064B38"/>
    <w:rsid w:val="00064C61"/>
    <w:rsid w:val="00064D33"/>
    <w:rsid w:val="00064DDA"/>
    <w:rsid w:val="00064FEC"/>
    <w:rsid w:val="0006504F"/>
    <w:rsid w:val="000650A2"/>
    <w:rsid w:val="00065191"/>
    <w:rsid w:val="000651FD"/>
    <w:rsid w:val="0006525C"/>
    <w:rsid w:val="000652F9"/>
    <w:rsid w:val="0006538C"/>
    <w:rsid w:val="0006539E"/>
    <w:rsid w:val="00065400"/>
    <w:rsid w:val="00065503"/>
    <w:rsid w:val="00065657"/>
    <w:rsid w:val="000656E0"/>
    <w:rsid w:val="0006573C"/>
    <w:rsid w:val="0006577F"/>
    <w:rsid w:val="000657BB"/>
    <w:rsid w:val="00065A0A"/>
    <w:rsid w:val="00065A6E"/>
    <w:rsid w:val="00065AF3"/>
    <w:rsid w:val="00065B02"/>
    <w:rsid w:val="00065C16"/>
    <w:rsid w:val="00065C28"/>
    <w:rsid w:val="00065C8A"/>
    <w:rsid w:val="00065C9E"/>
    <w:rsid w:val="00065CC5"/>
    <w:rsid w:val="00065D1C"/>
    <w:rsid w:val="00065DA0"/>
    <w:rsid w:val="00065EA1"/>
    <w:rsid w:val="00065F2C"/>
    <w:rsid w:val="0006604C"/>
    <w:rsid w:val="00066088"/>
    <w:rsid w:val="000660BF"/>
    <w:rsid w:val="00066160"/>
    <w:rsid w:val="0006629A"/>
    <w:rsid w:val="000663B9"/>
    <w:rsid w:val="000664DF"/>
    <w:rsid w:val="000664E2"/>
    <w:rsid w:val="000667B2"/>
    <w:rsid w:val="00066891"/>
    <w:rsid w:val="000668B2"/>
    <w:rsid w:val="000669D9"/>
    <w:rsid w:val="00066A0A"/>
    <w:rsid w:val="00066A7D"/>
    <w:rsid w:val="00066B00"/>
    <w:rsid w:val="00066B8C"/>
    <w:rsid w:val="00066CE1"/>
    <w:rsid w:val="00066D3F"/>
    <w:rsid w:val="00066D76"/>
    <w:rsid w:val="00066E86"/>
    <w:rsid w:val="00066F26"/>
    <w:rsid w:val="00066F88"/>
    <w:rsid w:val="00067024"/>
    <w:rsid w:val="0006726A"/>
    <w:rsid w:val="000673E3"/>
    <w:rsid w:val="0006742D"/>
    <w:rsid w:val="000675A2"/>
    <w:rsid w:val="000675D1"/>
    <w:rsid w:val="00067619"/>
    <w:rsid w:val="0006767B"/>
    <w:rsid w:val="00067761"/>
    <w:rsid w:val="00067801"/>
    <w:rsid w:val="00067826"/>
    <w:rsid w:val="00067948"/>
    <w:rsid w:val="00067A30"/>
    <w:rsid w:val="00067A4B"/>
    <w:rsid w:val="00067A8D"/>
    <w:rsid w:val="00067B1F"/>
    <w:rsid w:val="00067BF5"/>
    <w:rsid w:val="00067C2D"/>
    <w:rsid w:val="00067C5C"/>
    <w:rsid w:val="00067CC9"/>
    <w:rsid w:val="00067D07"/>
    <w:rsid w:val="00067D48"/>
    <w:rsid w:val="00067FAD"/>
    <w:rsid w:val="00067FBC"/>
    <w:rsid w:val="0007003E"/>
    <w:rsid w:val="00070299"/>
    <w:rsid w:val="00070368"/>
    <w:rsid w:val="0007056F"/>
    <w:rsid w:val="00070732"/>
    <w:rsid w:val="0007076A"/>
    <w:rsid w:val="0007076D"/>
    <w:rsid w:val="00070867"/>
    <w:rsid w:val="000708D3"/>
    <w:rsid w:val="00070A5A"/>
    <w:rsid w:val="00070CBF"/>
    <w:rsid w:val="00070D32"/>
    <w:rsid w:val="00070D69"/>
    <w:rsid w:val="00070D94"/>
    <w:rsid w:val="00070E58"/>
    <w:rsid w:val="00070FCC"/>
    <w:rsid w:val="0007100A"/>
    <w:rsid w:val="00071033"/>
    <w:rsid w:val="000712D1"/>
    <w:rsid w:val="000713A2"/>
    <w:rsid w:val="000713B9"/>
    <w:rsid w:val="0007141D"/>
    <w:rsid w:val="00071568"/>
    <w:rsid w:val="00071614"/>
    <w:rsid w:val="00071666"/>
    <w:rsid w:val="0007174C"/>
    <w:rsid w:val="0007176C"/>
    <w:rsid w:val="0007187C"/>
    <w:rsid w:val="000718AD"/>
    <w:rsid w:val="00071A38"/>
    <w:rsid w:val="00071B61"/>
    <w:rsid w:val="00071B72"/>
    <w:rsid w:val="00071BCC"/>
    <w:rsid w:val="00071C2F"/>
    <w:rsid w:val="00071CBE"/>
    <w:rsid w:val="00071D40"/>
    <w:rsid w:val="00071E4A"/>
    <w:rsid w:val="00072063"/>
    <w:rsid w:val="000721B7"/>
    <w:rsid w:val="0007224F"/>
    <w:rsid w:val="000722D5"/>
    <w:rsid w:val="0007234C"/>
    <w:rsid w:val="00072406"/>
    <w:rsid w:val="000724D3"/>
    <w:rsid w:val="00072614"/>
    <w:rsid w:val="00072687"/>
    <w:rsid w:val="0007284B"/>
    <w:rsid w:val="0007286A"/>
    <w:rsid w:val="000728E2"/>
    <w:rsid w:val="00072908"/>
    <w:rsid w:val="00072990"/>
    <w:rsid w:val="000729C3"/>
    <w:rsid w:val="00072A67"/>
    <w:rsid w:val="00072B25"/>
    <w:rsid w:val="00072B38"/>
    <w:rsid w:val="00072B6A"/>
    <w:rsid w:val="00072B93"/>
    <w:rsid w:val="00072C0C"/>
    <w:rsid w:val="00072D66"/>
    <w:rsid w:val="00072D7D"/>
    <w:rsid w:val="00072F47"/>
    <w:rsid w:val="00073089"/>
    <w:rsid w:val="000731EF"/>
    <w:rsid w:val="0007321A"/>
    <w:rsid w:val="0007329D"/>
    <w:rsid w:val="000734FE"/>
    <w:rsid w:val="00073521"/>
    <w:rsid w:val="00073644"/>
    <w:rsid w:val="00073645"/>
    <w:rsid w:val="000736D7"/>
    <w:rsid w:val="00073B10"/>
    <w:rsid w:val="00073B62"/>
    <w:rsid w:val="00073B92"/>
    <w:rsid w:val="00073C71"/>
    <w:rsid w:val="00073DA2"/>
    <w:rsid w:val="00073E20"/>
    <w:rsid w:val="00073EE2"/>
    <w:rsid w:val="00073FA8"/>
    <w:rsid w:val="00073FB3"/>
    <w:rsid w:val="000740C9"/>
    <w:rsid w:val="00074327"/>
    <w:rsid w:val="00074436"/>
    <w:rsid w:val="000745A4"/>
    <w:rsid w:val="00074655"/>
    <w:rsid w:val="00074A05"/>
    <w:rsid w:val="00074A3A"/>
    <w:rsid w:val="00074A5B"/>
    <w:rsid w:val="00074B6D"/>
    <w:rsid w:val="00074BE9"/>
    <w:rsid w:val="00074C4A"/>
    <w:rsid w:val="00074E96"/>
    <w:rsid w:val="00074EDC"/>
    <w:rsid w:val="00074EEB"/>
    <w:rsid w:val="0007529A"/>
    <w:rsid w:val="00075323"/>
    <w:rsid w:val="00075333"/>
    <w:rsid w:val="0007552C"/>
    <w:rsid w:val="000755DA"/>
    <w:rsid w:val="0007565C"/>
    <w:rsid w:val="00075745"/>
    <w:rsid w:val="0007574A"/>
    <w:rsid w:val="0007578F"/>
    <w:rsid w:val="000758B6"/>
    <w:rsid w:val="00075A17"/>
    <w:rsid w:val="00075BE9"/>
    <w:rsid w:val="00075C74"/>
    <w:rsid w:val="00075E49"/>
    <w:rsid w:val="00075F5C"/>
    <w:rsid w:val="00076037"/>
    <w:rsid w:val="000762D2"/>
    <w:rsid w:val="000764B3"/>
    <w:rsid w:val="000764B5"/>
    <w:rsid w:val="0007650E"/>
    <w:rsid w:val="00076861"/>
    <w:rsid w:val="00076B53"/>
    <w:rsid w:val="00076D48"/>
    <w:rsid w:val="00076D68"/>
    <w:rsid w:val="00076D8E"/>
    <w:rsid w:val="00076DC6"/>
    <w:rsid w:val="00076FF4"/>
    <w:rsid w:val="00077070"/>
    <w:rsid w:val="00077087"/>
    <w:rsid w:val="0007717C"/>
    <w:rsid w:val="0007724C"/>
    <w:rsid w:val="0007737F"/>
    <w:rsid w:val="00077402"/>
    <w:rsid w:val="0007747C"/>
    <w:rsid w:val="000774B6"/>
    <w:rsid w:val="00077557"/>
    <w:rsid w:val="00077558"/>
    <w:rsid w:val="000775DE"/>
    <w:rsid w:val="000775EA"/>
    <w:rsid w:val="0007760E"/>
    <w:rsid w:val="000776E0"/>
    <w:rsid w:val="000777F8"/>
    <w:rsid w:val="0007789A"/>
    <w:rsid w:val="000779A6"/>
    <w:rsid w:val="00077A5F"/>
    <w:rsid w:val="00077E32"/>
    <w:rsid w:val="00077F12"/>
    <w:rsid w:val="00077F25"/>
    <w:rsid w:val="0008015B"/>
    <w:rsid w:val="00080425"/>
    <w:rsid w:val="0008056F"/>
    <w:rsid w:val="0008089A"/>
    <w:rsid w:val="000808D2"/>
    <w:rsid w:val="00080957"/>
    <w:rsid w:val="00080A05"/>
    <w:rsid w:val="00080B53"/>
    <w:rsid w:val="00080C88"/>
    <w:rsid w:val="00080CCB"/>
    <w:rsid w:val="00080CCE"/>
    <w:rsid w:val="00080DAC"/>
    <w:rsid w:val="00080E00"/>
    <w:rsid w:val="00080E08"/>
    <w:rsid w:val="00080E91"/>
    <w:rsid w:val="00080FD4"/>
    <w:rsid w:val="000810B0"/>
    <w:rsid w:val="000810E4"/>
    <w:rsid w:val="00081273"/>
    <w:rsid w:val="00081345"/>
    <w:rsid w:val="0008136C"/>
    <w:rsid w:val="000814B5"/>
    <w:rsid w:val="00081509"/>
    <w:rsid w:val="00081614"/>
    <w:rsid w:val="0008174F"/>
    <w:rsid w:val="00081851"/>
    <w:rsid w:val="00081A03"/>
    <w:rsid w:val="00081AB4"/>
    <w:rsid w:val="00081ACA"/>
    <w:rsid w:val="00081BC7"/>
    <w:rsid w:val="00081BC8"/>
    <w:rsid w:val="00081C3E"/>
    <w:rsid w:val="00081C4B"/>
    <w:rsid w:val="00081C73"/>
    <w:rsid w:val="00081C96"/>
    <w:rsid w:val="00081D0B"/>
    <w:rsid w:val="00081DD9"/>
    <w:rsid w:val="00081E3F"/>
    <w:rsid w:val="00081F16"/>
    <w:rsid w:val="00081F46"/>
    <w:rsid w:val="00082144"/>
    <w:rsid w:val="000821FC"/>
    <w:rsid w:val="00082326"/>
    <w:rsid w:val="0008235C"/>
    <w:rsid w:val="000823D8"/>
    <w:rsid w:val="0008244C"/>
    <w:rsid w:val="000825EF"/>
    <w:rsid w:val="0008264B"/>
    <w:rsid w:val="0008269F"/>
    <w:rsid w:val="0008272A"/>
    <w:rsid w:val="0008273D"/>
    <w:rsid w:val="000827A8"/>
    <w:rsid w:val="000827D4"/>
    <w:rsid w:val="0008284A"/>
    <w:rsid w:val="00082880"/>
    <w:rsid w:val="000829B6"/>
    <w:rsid w:val="000829FA"/>
    <w:rsid w:val="00082A2F"/>
    <w:rsid w:val="00082AC8"/>
    <w:rsid w:val="00082B87"/>
    <w:rsid w:val="00082BB9"/>
    <w:rsid w:val="00082D57"/>
    <w:rsid w:val="00082D59"/>
    <w:rsid w:val="00082D6D"/>
    <w:rsid w:val="00082E6D"/>
    <w:rsid w:val="00082E7A"/>
    <w:rsid w:val="00082F42"/>
    <w:rsid w:val="000830CF"/>
    <w:rsid w:val="00083152"/>
    <w:rsid w:val="00083187"/>
    <w:rsid w:val="000831BF"/>
    <w:rsid w:val="000831FC"/>
    <w:rsid w:val="00083473"/>
    <w:rsid w:val="00083567"/>
    <w:rsid w:val="0008360D"/>
    <w:rsid w:val="00083657"/>
    <w:rsid w:val="0008365E"/>
    <w:rsid w:val="000838AB"/>
    <w:rsid w:val="000838D8"/>
    <w:rsid w:val="00083928"/>
    <w:rsid w:val="000839B7"/>
    <w:rsid w:val="00083ADB"/>
    <w:rsid w:val="00083B40"/>
    <w:rsid w:val="00083B54"/>
    <w:rsid w:val="00083B7E"/>
    <w:rsid w:val="00083C2C"/>
    <w:rsid w:val="00083CF6"/>
    <w:rsid w:val="00083DD4"/>
    <w:rsid w:val="00083E1A"/>
    <w:rsid w:val="00083E91"/>
    <w:rsid w:val="00084033"/>
    <w:rsid w:val="00084072"/>
    <w:rsid w:val="000841D9"/>
    <w:rsid w:val="000842E2"/>
    <w:rsid w:val="000843F2"/>
    <w:rsid w:val="000843FA"/>
    <w:rsid w:val="0008445E"/>
    <w:rsid w:val="000845A3"/>
    <w:rsid w:val="000845D2"/>
    <w:rsid w:val="0008463E"/>
    <w:rsid w:val="00084644"/>
    <w:rsid w:val="00084762"/>
    <w:rsid w:val="0008491F"/>
    <w:rsid w:val="00084929"/>
    <w:rsid w:val="000849C1"/>
    <w:rsid w:val="00084A93"/>
    <w:rsid w:val="00084C39"/>
    <w:rsid w:val="00084C94"/>
    <w:rsid w:val="00084D48"/>
    <w:rsid w:val="00084DD4"/>
    <w:rsid w:val="00084E04"/>
    <w:rsid w:val="00084EB8"/>
    <w:rsid w:val="00084EE6"/>
    <w:rsid w:val="00084FE9"/>
    <w:rsid w:val="00085065"/>
    <w:rsid w:val="00085077"/>
    <w:rsid w:val="000850C8"/>
    <w:rsid w:val="000850FD"/>
    <w:rsid w:val="000853B5"/>
    <w:rsid w:val="0008545A"/>
    <w:rsid w:val="00085618"/>
    <w:rsid w:val="0008578C"/>
    <w:rsid w:val="000857DB"/>
    <w:rsid w:val="00085827"/>
    <w:rsid w:val="0008587C"/>
    <w:rsid w:val="00085885"/>
    <w:rsid w:val="00085922"/>
    <w:rsid w:val="00085928"/>
    <w:rsid w:val="000859B0"/>
    <w:rsid w:val="000859C1"/>
    <w:rsid w:val="000859FE"/>
    <w:rsid w:val="00085A7D"/>
    <w:rsid w:val="00085AF8"/>
    <w:rsid w:val="00085AF9"/>
    <w:rsid w:val="00085C8E"/>
    <w:rsid w:val="00085C9E"/>
    <w:rsid w:val="00085E6D"/>
    <w:rsid w:val="00085E9B"/>
    <w:rsid w:val="00085F2A"/>
    <w:rsid w:val="00085F7D"/>
    <w:rsid w:val="00086088"/>
    <w:rsid w:val="0008609A"/>
    <w:rsid w:val="000860A3"/>
    <w:rsid w:val="000861AE"/>
    <w:rsid w:val="000861F5"/>
    <w:rsid w:val="0008629B"/>
    <w:rsid w:val="0008633A"/>
    <w:rsid w:val="000863B5"/>
    <w:rsid w:val="000863BD"/>
    <w:rsid w:val="000863C0"/>
    <w:rsid w:val="000864D1"/>
    <w:rsid w:val="000865B6"/>
    <w:rsid w:val="0008662D"/>
    <w:rsid w:val="00086731"/>
    <w:rsid w:val="0008677C"/>
    <w:rsid w:val="0008688B"/>
    <w:rsid w:val="000868D5"/>
    <w:rsid w:val="00086A92"/>
    <w:rsid w:val="00086C7C"/>
    <w:rsid w:val="00086ED8"/>
    <w:rsid w:val="00086F0D"/>
    <w:rsid w:val="000870C5"/>
    <w:rsid w:val="00087221"/>
    <w:rsid w:val="00087710"/>
    <w:rsid w:val="0008772F"/>
    <w:rsid w:val="000877BC"/>
    <w:rsid w:val="000878B2"/>
    <w:rsid w:val="000878F5"/>
    <w:rsid w:val="0008796F"/>
    <w:rsid w:val="00087976"/>
    <w:rsid w:val="00087AE6"/>
    <w:rsid w:val="00087D28"/>
    <w:rsid w:val="00087DD4"/>
    <w:rsid w:val="00087E98"/>
    <w:rsid w:val="00087F28"/>
    <w:rsid w:val="00087F85"/>
    <w:rsid w:val="00087FAF"/>
    <w:rsid w:val="00090198"/>
    <w:rsid w:val="00090199"/>
    <w:rsid w:val="00090230"/>
    <w:rsid w:val="000902BB"/>
    <w:rsid w:val="00090321"/>
    <w:rsid w:val="00090594"/>
    <w:rsid w:val="000905FA"/>
    <w:rsid w:val="0009073D"/>
    <w:rsid w:val="00090816"/>
    <w:rsid w:val="00090839"/>
    <w:rsid w:val="00090849"/>
    <w:rsid w:val="0009086B"/>
    <w:rsid w:val="00090877"/>
    <w:rsid w:val="000908A0"/>
    <w:rsid w:val="000909AD"/>
    <w:rsid w:val="00090A7C"/>
    <w:rsid w:val="00090C1D"/>
    <w:rsid w:val="00090D78"/>
    <w:rsid w:val="00090D97"/>
    <w:rsid w:val="00090E12"/>
    <w:rsid w:val="00090E9D"/>
    <w:rsid w:val="00090F3A"/>
    <w:rsid w:val="00091149"/>
    <w:rsid w:val="00091155"/>
    <w:rsid w:val="00091192"/>
    <w:rsid w:val="00091216"/>
    <w:rsid w:val="000913E8"/>
    <w:rsid w:val="0009140E"/>
    <w:rsid w:val="000915DE"/>
    <w:rsid w:val="0009161B"/>
    <w:rsid w:val="00091770"/>
    <w:rsid w:val="00091856"/>
    <w:rsid w:val="00091A2E"/>
    <w:rsid w:val="00091ADD"/>
    <w:rsid w:val="00091AE9"/>
    <w:rsid w:val="00091AFF"/>
    <w:rsid w:val="00091BF8"/>
    <w:rsid w:val="00091C8A"/>
    <w:rsid w:val="00091DC0"/>
    <w:rsid w:val="00091DC7"/>
    <w:rsid w:val="00091E81"/>
    <w:rsid w:val="000921CB"/>
    <w:rsid w:val="0009221A"/>
    <w:rsid w:val="0009222F"/>
    <w:rsid w:val="00092295"/>
    <w:rsid w:val="00092553"/>
    <w:rsid w:val="0009283B"/>
    <w:rsid w:val="00092943"/>
    <w:rsid w:val="00092B51"/>
    <w:rsid w:val="00092CBB"/>
    <w:rsid w:val="00092F14"/>
    <w:rsid w:val="00092F55"/>
    <w:rsid w:val="0009308E"/>
    <w:rsid w:val="000930BD"/>
    <w:rsid w:val="000930DD"/>
    <w:rsid w:val="00093108"/>
    <w:rsid w:val="000931F3"/>
    <w:rsid w:val="00093237"/>
    <w:rsid w:val="000932AF"/>
    <w:rsid w:val="0009332F"/>
    <w:rsid w:val="0009337C"/>
    <w:rsid w:val="0009339E"/>
    <w:rsid w:val="000933BA"/>
    <w:rsid w:val="00093543"/>
    <w:rsid w:val="000936B4"/>
    <w:rsid w:val="0009374B"/>
    <w:rsid w:val="000937D8"/>
    <w:rsid w:val="000937FE"/>
    <w:rsid w:val="0009382A"/>
    <w:rsid w:val="00093A32"/>
    <w:rsid w:val="00093B19"/>
    <w:rsid w:val="00093CB6"/>
    <w:rsid w:val="00093D3A"/>
    <w:rsid w:val="00093D78"/>
    <w:rsid w:val="00093DBD"/>
    <w:rsid w:val="00093E8C"/>
    <w:rsid w:val="00094084"/>
    <w:rsid w:val="000940E3"/>
    <w:rsid w:val="0009418D"/>
    <w:rsid w:val="000941B1"/>
    <w:rsid w:val="000942E6"/>
    <w:rsid w:val="000944EC"/>
    <w:rsid w:val="00094705"/>
    <w:rsid w:val="0009479D"/>
    <w:rsid w:val="000947BA"/>
    <w:rsid w:val="000947EB"/>
    <w:rsid w:val="000947F5"/>
    <w:rsid w:val="000949AC"/>
    <w:rsid w:val="00094A3B"/>
    <w:rsid w:val="00094B10"/>
    <w:rsid w:val="00094BA9"/>
    <w:rsid w:val="00094C7A"/>
    <w:rsid w:val="00094DF8"/>
    <w:rsid w:val="00094EA6"/>
    <w:rsid w:val="00094EB8"/>
    <w:rsid w:val="00094F33"/>
    <w:rsid w:val="000950BD"/>
    <w:rsid w:val="00095202"/>
    <w:rsid w:val="000952BF"/>
    <w:rsid w:val="0009548C"/>
    <w:rsid w:val="000955FA"/>
    <w:rsid w:val="0009570E"/>
    <w:rsid w:val="00095772"/>
    <w:rsid w:val="00095908"/>
    <w:rsid w:val="000959C6"/>
    <w:rsid w:val="00095A3A"/>
    <w:rsid w:val="00095A72"/>
    <w:rsid w:val="00095AA6"/>
    <w:rsid w:val="00095B85"/>
    <w:rsid w:val="00095BA8"/>
    <w:rsid w:val="00095C42"/>
    <w:rsid w:val="00095C7E"/>
    <w:rsid w:val="00095D26"/>
    <w:rsid w:val="00095D65"/>
    <w:rsid w:val="00095D88"/>
    <w:rsid w:val="00095DB8"/>
    <w:rsid w:val="00095F11"/>
    <w:rsid w:val="00095FDD"/>
    <w:rsid w:val="00096083"/>
    <w:rsid w:val="0009620A"/>
    <w:rsid w:val="0009629D"/>
    <w:rsid w:val="000964BF"/>
    <w:rsid w:val="00096650"/>
    <w:rsid w:val="000967DE"/>
    <w:rsid w:val="0009698E"/>
    <w:rsid w:val="000969BA"/>
    <w:rsid w:val="00096B12"/>
    <w:rsid w:val="00096BBD"/>
    <w:rsid w:val="00096C2B"/>
    <w:rsid w:val="00096C5B"/>
    <w:rsid w:val="00096C9A"/>
    <w:rsid w:val="00096E17"/>
    <w:rsid w:val="00096EFB"/>
    <w:rsid w:val="00096F29"/>
    <w:rsid w:val="00096FDD"/>
    <w:rsid w:val="00097043"/>
    <w:rsid w:val="00097060"/>
    <w:rsid w:val="0009734B"/>
    <w:rsid w:val="000973A7"/>
    <w:rsid w:val="0009769B"/>
    <w:rsid w:val="0009769D"/>
    <w:rsid w:val="0009778E"/>
    <w:rsid w:val="0009781D"/>
    <w:rsid w:val="00097881"/>
    <w:rsid w:val="00097C0D"/>
    <w:rsid w:val="00097C7E"/>
    <w:rsid w:val="00097CC0"/>
    <w:rsid w:val="00097D0A"/>
    <w:rsid w:val="00097F12"/>
    <w:rsid w:val="00097F30"/>
    <w:rsid w:val="00097F3E"/>
    <w:rsid w:val="00097FF2"/>
    <w:rsid w:val="000A0110"/>
    <w:rsid w:val="000A01F2"/>
    <w:rsid w:val="000A02B8"/>
    <w:rsid w:val="000A02E7"/>
    <w:rsid w:val="000A04CA"/>
    <w:rsid w:val="000A0547"/>
    <w:rsid w:val="000A0716"/>
    <w:rsid w:val="000A0966"/>
    <w:rsid w:val="000A0B8E"/>
    <w:rsid w:val="000A0CC4"/>
    <w:rsid w:val="000A0D11"/>
    <w:rsid w:val="000A0FF3"/>
    <w:rsid w:val="000A1037"/>
    <w:rsid w:val="000A1171"/>
    <w:rsid w:val="000A1278"/>
    <w:rsid w:val="000A13CC"/>
    <w:rsid w:val="000A142A"/>
    <w:rsid w:val="000A1559"/>
    <w:rsid w:val="000A15E1"/>
    <w:rsid w:val="000A16AE"/>
    <w:rsid w:val="000A16F2"/>
    <w:rsid w:val="000A1779"/>
    <w:rsid w:val="000A17D1"/>
    <w:rsid w:val="000A17D8"/>
    <w:rsid w:val="000A18C2"/>
    <w:rsid w:val="000A19A2"/>
    <w:rsid w:val="000A1B14"/>
    <w:rsid w:val="000A1B3C"/>
    <w:rsid w:val="000A1DB9"/>
    <w:rsid w:val="000A1DCA"/>
    <w:rsid w:val="000A1DE0"/>
    <w:rsid w:val="000A20CA"/>
    <w:rsid w:val="000A2122"/>
    <w:rsid w:val="000A22FD"/>
    <w:rsid w:val="000A24A3"/>
    <w:rsid w:val="000A2838"/>
    <w:rsid w:val="000A29CE"/>
    <w:rsid w:val="000A2B3C"/>
    <w:rsid w:val="000A2B51"/>
    <w:rsid w:val="000A2C23"/>
    <w:rsid w:val="000A2D88"/>
    <w:rsid w:val="000A2EE7"/>
    <w:rsid w:val="000A2F6E"/>
    <w:rsid w:val="000A30EE"/>
    <w:rsid w:val="000A3218"/>
    <w:rsid w:val="000A32A6"/>
    <w:rsid w:val="000A330C"/>
    <w:rsid w:val="000A33A9"/>
    <w:rsid w:val="000A33D7"/>
    <w:rsid w:val="000A3840"/>
    <w:rsid w:val="000A3A0A"/>
    <w:rsid w:val="000A3BB9"/>
    <w:rsid w:val="000A3C58"/>
    <w:rsid w:val="000A3D63"/>
    <w:rsid w:val="000A42AB"/>
    <w:rsid w:val="000A4306"/>
    <w:rsid w:val="000A4343"/>
    <w:rsid w:val="000A438D"/>
    <w:rsid w:val="000A4468"/>
    <w:rsid w:val="000A4477"/>
    <w:rsid w:val="000A4504"/>
    <w:rsid w:val="000A4586"/>
    <w:rsid w:val="000A46D5"/>
    <w:rsid w:val="000A474D"/>
    <w:rsid w:val="000A48D0"/>
    <w:rsid w:val="000A48F2"/>
    <w:rsid w:val="000A4986"/>
    <w:rsid w:val="000A4AAF"/>
    <w:rsid w:val="000A4BC3"/>
    <w:rsid w:val="000A4D5B"/>
    <w:rsid w:val="000A4D73"/>
    <w:rsid w:val="000A4DF2"/>
    <w:rsid w:val="000A4E9E"/>
    <w:rsid w:val="000A50CE"/>
    <w:rsid w:val="000A52EE"/>
    <w:rsid w:val="000A5484"/>
    <w:rsid w:val="000A54A3"/>
    <w:rsid w:val="000A5608"/>
    <w:rsid w:val="000A5647"/>
    <w:rsid w:val="000A566A"/>
    <w:rsid w:val="000A570E"/>
    <w:rsid w:val="000A5715"/>
    <w:rsid w:val="000A587A"/>
    <w:rsid w:val="000A5887"/>
    <w:rsid w:val="000A58D7"/>
    <w:rsid w:val="000A58F2"/>
    <w:rsid w:val="000A5932"/>
    <w:rsid w:val="000A5AA1"/>
    <w:rsid w:val="000A5AB3"/>
    <w:rsid w:val="000A5B28"/>
    <w:rsid w:val="000A5B49"/>
    <w:rsid w:val="000A5BD6"/>
    <w:rsid w:val="000A5BDB"/>
    <w:rsid w:val="000A5C8C"/>
    <w:rsid w:val="000A5CB7"/>
    <w:rsid w:val="000A5CD9"/>
    <w:rsid w:val="000A5CEE"/>
    <w:rsid w:val="000A62D0"/>
    <w:rsid w:val="000A63D5"/>
    <w:rsid w:val="000A63EE"/>
    <w:rsid w:val="000A642A"/>
    <w:rsid w:val="000A649D"/>
    <w:rsid w:val="000A6615"/>
    <w:rsid w:val="000A6675"/>
    <w:rsid w:val="000A66A6"/>
    <w:rsid w:val="000A66C3"/>
    <w:rsid w:val="000A6779"/>
    <w:rsid w:val="000A680E"/>
    <w:rsid w:val="000A6831"/>
    <w:rsid w:val="000A68B0"/>
    <w:rsid w:val="000A69B0"/>
    <w:rsid w:val="000A6B73"/>
    <w:rsid w:val="000A6C27"/>
    <w:rsid w:val="000A6C45"/>
    <w:rsid w:val="000A6C48"/>
    <w:rsid w:val="000A6C76"/>
    <w:rsid w:val="000A6D91"/>
    <w:rsid w:val="000A6E73"/>
    <w:rsid w:val="000A6E83"/>
    <w:rsid w:val="000A6FAC"/>
    <w:rsid w:val="000A7075"/>
    <w:rsid w:val="000A71CB"/>
    <w:rsid w:val="000A728E"/>
    <w:rsid w:val="000A733E"/>
    <w:rsid w:val="000A7402"/>
    <w:rsid w:val="000A7478"/>
    <w:rsid w:val="000A74F6"/>
    <w:rsid w:val="000A754F"/>
    <w:rsid w:val="000A757E"/>
    <w:rsid w:val="000A75C3"/>
    <w:rsid w:val="000A768D"/>
    <w:rsid w:val="000A7699"/>
    <w:rsid w:val="000A7711"/>
    <w:rsid w:val="000A775F"/>
    <w:rsid w:val="000A781F"/>
    <w:rsid w:val="000A78FA"/>
    <w:rsid w:val="000A7C75"/>
    <w:rsid w:val="000A7D0D"/>
    <w:rsid w:val="000A7EB7"/>
    <w:rsid w:val="000B0217"/>
    <w:rsid w:val="000B0267"/>
    <w:rsid w:val="000B02C2"/>
    <w:rsid w:val="000B0401"/>
    <w:rsid w:val="000B0486"/>
    <w:rsid w:val="000B04D5"/>
    <w:rsid w:val="000B052C"/>
    <w:rsid w:val="000B061B"/>
    <w:rsid w:val="000B06AC"/>
    <w:rsid w:val="000B06D2"/>
    <w:rsid w:val="000B08B7"/>
    <w:rsid w:val="000B0925"/>
    <w:rsid w:val="000B093F"/>
    <w:rsid w:val="000B0A1B"/>
    <w:rsid w:val="000B0C21"/>
    <w:rsid w:val="000B0CCF"/>
    <w:rsid w:val="000B0D3F"/>
    <w:rsid w:val="000B0D72"/>
    <w:rsid w:val="000B0DDE"/>
    <w:rsid w:val="000B1035"/>
    <w:rsid w:val="000B11D9"/>
    <w:rsid w:val="000B149A"/>
    <w:rsid w:val="000B1643"/>
    <w:rsid w:val="000B16BC"/>
    <w:rsid w:val="000B19B0"/>
    <w:rsid w:val="000B1A18"/>
    <w:rsid w:val="000B1A68"/>
    <w:rsid w:val="000B1A8B"/>
    <w:rsid w:val="000B1A90"/>
    <w:rsid w:val="000B1B59"/>
    <w:rsid w:val="000B1B9A"/>
    <w:rsid w:val="000B1E12"/>
    <w:rsid w:val="000B1EDF"/>
    <w:rsid w:val="000B1FBC"/>
    <w:rsid w:val="000B21A5"/>
    <w:rsid w:val="000B22A6"/>
    <w:rsid w:val="000B23C6"/>
    <w:rsid w:val="000B24C9"/>
    <w:rsid w:val="000B254E"/>
    <w:rsid w:val="000B287B"/>
    <w:rsid w:val="000B28AC"/>
    <w:rsid w:val="000B2973"/>
    <w:rsid w:val="000B2AD2"/>
    <w:rsid w:val="000B2AF1"/>
    <w:rsid w:val="000B2B9E"/>
    <w:rsid w:val="000B2BCE"/>
    <w:rsid w:val="000B2C24"/>
    <w:rsid w:val="000B2C64"/>
    <w:rsid w:val="000B2CE7"/>
    <w:rsid w:val="000B2D01"/>
    <w:rsid w:val="000B2D3C"/>
    <w:rsid w:val="000B2DAA"/>
    <w:rsid w:val="000B2EBD"/>
    <w:rsid w:val="000B3000"/>
    <w:rsid w:val="000B302A"/>
    <w:rsid w:val="000B3312"/>
    <w:rsid w:val="000B3491"/>
    <w:rsid w:val="000B3531"/>
    <w:rsid w:val="000B360D"/>
    <w:rsid w:val="000B361B"/>
    <w:rsid w:val="000B36E2"/>
    <w:rsid w:val="000B383D"/>
    <w:rsid w:val="000B38B2"/>
    <w:rsid w:val="000B3982"/>
    <w:rsid w:val="000B3A16"/>
    <w:rsid w:val="000B3A40"/>
    <w:rsid w:val="000B3B31"/>
    <w:rsid w:val="000B3C5D"/>
    <w:rsid w:val="000B3F30"/>
    <w:rsid w:val="000B4049"/>
    <w:rsid w:val="000B4151"/>
    <w:rsid w:val="000B41E0"/>
    <w:rsid w:val="000B44D0"/>
    <w:rsid w:val="000B44FD"/>
    <w:rsid w:val="000B452A"/>
    <w:rsid w:val="000B475E"/>
    <w:rsid w:val="000B494E"/>
    <w:rsid w:val="000B4A54"/>
    <w:rsid w:val="000B4C44"/>
    <w:rsid w:val="000B4D46"/>
    <w:rsid w:val="000B4D9B"/>
    <w:rsid w:val="000B4F4A"/>
    <w:rsid w:val="000B5168"/>
    <w:rsid w:val="000B5349"/>
    <w:rsid w:val="000B53A4"/>
    <w:rsid w:val="000B53AA"/>
    <w:rsid w:val="000B5492"/>
    <w:rsid w:val="000B54E4"/>
    <w:rsid w:val="000B583D"/>
    <w:rsid w:val="000B58C0"/>
    <w:rsid w:val="000B590D"/>
    <w:rsid w:val="000B597F"/>
    <w:rsid w:val="000B5AA0"/>
    <w:rsid w:val="000B5BF3"/>
    <w:rsid w:val="000B5D35"/>
    <w:rsid w:val="000B5D61"/>
    <w:rsid w:val="000B5D82"/>
    <w:rsid w:val="000B5E03"/>
    <w:rsid w:val="000B5F05"/>
    <w:rsid w:val="000B5F65"/>
    <w:rsid w:val="000B60DB"/>
    <w:rsid w:val="000B60F4"/>
    <w:rsid w:val="000B6248"/>
    <w:rsid w:val="000B6339"/>
    <w:rsid w:val="000B64BB"/>
    <w:rsid w:val="000B6520"/>
    <w:rsid w:val="000B653D"/>
    <w:rsid w:val="000B6705"/>
    <w:rsid w:val="000B676A"/>
    <w:rsid w:val="000B67DF"/>
    <w:rsid w:val="000B6A01"/>
    <w:rsid w:val="000B6A80"/>
    <w:rsid w:val="000B6AEE"/>
    <w:rsid w:val="000B6BD0"/>
    <w:rsid w:val="000B6C1F"/>
    <w:rsid w:val="000B6C6C"/>
    <w:rsid w:val="000B6D33"/>
    <w:rsid w:val="000B6DC4"/>
    <w:rsid w:val="000B6F9E"/>
    <w:rsid w:val="000B6FBF"/>
    <w:rsid w:val="000B70D5"/>
    <w:rsid w:val="000B7151"/>
    <w:rsid w:val="000B7229"/>
    <w:rsid w:val="000B725C"/>
    <w:rsid w:val="000B72A7"/>
    <w:rsid w:val="000B764F"/>
    <w:rsid w:val="000B76A9"/>
    <w:rsid w:val="000B76C3"/>
    <w:rsid w:val="000B7792"/>
    <w:rsid w:val="000B77A2"/>
    <w:rsid w:val="000B787B"/>
    <w:rsid w:val="000B78F3"/>
    <w:rsid w:val="000B7A7B"/>
    <w:rsid w:val="000B7BC2"/>
    <w:rsid w:val="000B7BD6"/>
    <w:rsid w:val="000B7CB2"/>
    <w:rsid w:val="000B7D8B"/>
    <w:rsid w:val="000B7DA9"/>
    <w:rsid w:val="000C01A9"/>
    <w:rsid w:val="000C027A"/>
    <w:rsid w:val="000C02FD"/>
    <w:rsid w:val="000C02FF"/>
    <w:rsid w:val="000C037D"/>
    <w:rsid w:val="000C03A9"/>
    <w:rsid w:val="000C0435"/>
    <w:rsid w:val="000C092B"/>
    <w:rsid w:val="000C0953"/>
    <w:rsid w:val="000C0A08"/>
    <w:rsid w:val="000C0CAD"/>
    <w:rsid w:val="000C0E1B"/>
    <w:rsid w:val="000C0E66"/>
    <w:rsid w:val="000C0F28"/>
    <w:rsid w:val="000C0F40"/>
    <w:rsid w:val="000C1028"/>
    <w:rsid w:val="000C1036"/>
    <w:rsid w:val="000C113A"/>
    <w:rsid w:val="000C1186"/>
    <w:rsid w:val="000C11FB"/>
    <w:rsid w:val="000C14AE"/>
    <w:rsid w:val="000C15FC"/>
    <w:rsid w:val="000C160A"/>
    <w:rsid w:val="000C1761"/>
    <w:rsid w:val="000C17CF"/>
    <w:rsid w:val="000C18C3"/>
    <w:rsid w:val="000C1903"/>
    <w:rsid w:val="000C1ABA"/>
    <w:rsid w:val="000C1B88"/>
    <w:rsid w:val="000C1C5D"/>
    <w:rsid w:val="000C1C90"/>
    <w:rsid w:val="000C1D1E"/>
    <w:rsid w:val="000C1D83"/>
    <w:rsid w:val="000C1FEB"/>
    <w:rsid w:val="000C228B"/>
    <w:rsid w:val="000C23A2"/>
    <w:rsid w:val="000C23CB"/>
    <w:rsid w:val="000C24CD"/>
    <w:rsid w:val="000C24DB"/>
    <w:rsid w:val="000C2685"/>
    <w:rsid w:val="000C294E"/>
    <w:rsid w:val="000C2C71"/>
    <w:rsid w:val="000C2C73"/>
    <w:rsid w:val="000C2CF7"/>
    <w:rsid w:val="000C2D73"/>
    <w:rsid w:val="000C2ED8"/>
    <w:rsid w:val="000C3194"/>
    <w:rsid w:val="000C31DA"/>
    <w:rsid w:val="000C3400"/>
    <w:rsid w:val="000C349B"/>
    <w:rsid w:val="000C3571"/>
    <w:rsid w:val="000C361E"/>
    <w:rsid w:val="000C3737"/>
    <w:rsid w:val="000C37D9"/>
    <w:rsid w:val="000C3917"/>
    <w:rsid w:val="000C3BBE"/>
    <w:rsid w:val="000C3DD4"/>
    <w:rsid w:val="000C3F0A"/>
    <w:rsid w:val="000C3FBC"/>
    <w:rsid w:val="000C3FDC"/>
    <w:rsid w:val="000C406E"/>
    <w:rsid w:val="000C407B"/>
    <w:rsid w:val="000C41E7"/>
    <w:rsid w:val="000C4254"/>
    <w:rsid w:val="000C4304"/>
    <w:rsid w:val="000C432C"/>
    <w:rsid w:val="000C437B"/>
    <w:rsid w:val="000C43AD"/>
    <w:rsid w:val="000C4715"/>
    <w:rsid w:val="000C48BC"/>
    <w:rsid w:val="000C4A23"/>
    <w:rsid w:val="000C4AEF"/>
    <w:rsid w:val="000C4B5F"/>
    <w:rsid w:val="000C4E00"/>
    <w:rsid w:val="000C4E58"/>
    <w:rsid w:val="000C4F19"/>
    <w:rsid w:val="000C4F41"/>
    <w:rsid w:val="000C4F75"/>
    <w:rsid w:val="000C500B"/>
    <w:rsid w:val="000C5058"/>
    <w:rsid w:val="000C5107"/>
    <w:rsid w:val="000C513D"/>
    <w:rsid w:val="000C548A"/>
    <w:rsid w:val="000C54F2"/>
    <w:rsid w:val="000C5561"/>
    <w:rsid w:val="000C56BA"/>
    <w:rsid w:val="000C571D"/>
    <w:rsid w:val="000C57ED"/>
    <w:rsid w:val="000C5872"/>
    <w:rsid w:val="000C5905"/>
    <w:rsid w:val="000C59F0"/>
    <w:rsid w:val="000C5A06"/>
    <w:rsid w:val="000C5BF6"/>
    <w:rsid w:val="000C5C80"/>
    <w:rsid w:val="000C5D7E"/>
    <w:rsid w:val="000C5DEC"/>
    <w:rsid w:val="000C5F40"/>
    <w:rsid w:val="000C61BA"/>
    <w:rsid w:val="000C6269"/>
    <w:rsid w:val="000C62C6"/>
    <w:rsid w:val="000C62F7"/>
    <w:rsid w:val="000C631E"/>
    <w:rsid w:val="000C632A"/>
    <w:rsid w:val="000C6472"/>
    <w:rsid w:val="000C65FD"/>
    <w:rsid w:val="000C6745"/>
    <w:rsid w:val="000C679D"/>
    <w:rsid w:val="000C67C3"/>
    <w:rsid w:val="000C691F"/>
    <w:rsid w:val="000C6B6E"/>
    <w:rsid w:val="000C6CB1"/>
    <w:rsid w:val="000C71D1"/>
    <w:rsid w:val="000C7275"/>
    <w:rsid w:val="000C727F"/>
    <w:rsid w:val="000C7389"/>
    <w:rsid w:val="000C73E7"/>
    <w:rsid w:val="000C74B6"/>
    <w:rsid w:val="000C7552"/>
    <w:rsid w:val="000C7681"/>
    <w:rsid w:val="000C769F"/>
    <w:rsid w:val="000C76BA"/>
    <w:rsid w:val="000C7772"/>
    <w:rsid w:val="000C7A34"/>
    <w:rsid w:val="000C7ABA"/>
    <w:rsid w:val="000C7C24"/>
    <w:rsid w:val="000C7D03"/>
    <w:rsid w:val="000C7DBF"/>
    <w:rsid w:val="000C7F33"/>
    <w:rsid w:val="000D004D"/>
    <w:rsid w:val="000D0066"/>
    <w:rsid w:val="000D01DE"/>
    <w:rsid w:val="000D0259"/>
    <w:rsid w:val="000D059B"/>
    <w:rsid w:val="000D08B9"/>
    <w:rsid w:val="000D08FB"/>
    <w:rsid w:val="000D090E"/>
    <w:rsid w:val="000D0980"/>
    <w:rsid w:val="000D0AD2"/>
    <w:rsid w:val="000D0AEC"/>
    <w:rsid w:val="000D0B66"/>
    <w:rsid w:val="000D0CE1"/>
    <w:rsid w:val="000D0D9D"/>
    <w:rsid w:val="000D0ECE"/>
    <w:rsid w:val="000D0EEE"/>
    <w:rsid w:val="000D0EF5"/>
    <w:rsid w:val="000D0F56"/>
    <w:rsid w:val="000D1048"/>
    <w:rsid w:val="000D107E"/>
    <w:rsid w:val="000D10F3"/>
    <w:rsid w:val="000D11E5"/>
    <w:rsid w:val="000D128C"/>
    <w:rsid w:val="000D13AF"/>
    <w:rsid w:val="000D1554"/>
    <w:rsid w:val="000D158C"/>
    <w:rsid w:val="000D18A4"/>
    <w:rsid w:val="000D193F"/>
    <w:rsid w:val="000D1A3C"/>
    <w:rsid w:val="000D1A6C"/>
    <w:rsid w:val="000D1AB2"/>
    <w:rsid w:val="000D1B03"/>
    <w:rsid w:val="000D1CC1"/>
    <w:rsid w:val="000D1D80"/>
    <w:rsid w:val="000D1DAA"/>
    <w:rsid w:val="000D1EF4"/>
    <w:rsid w:val="000D1FD8"/>
    <w:rsid w:val="000D2030"/>
    <w:rsid w:val="000D21DF"/>
    <w:rsid w:val="000D21E3"/>
    <w:rsid w:val="000D21F9"/>
    <w:rsid w:val="000D23FA"/>
    <w:rsid w:val="000D2443"/>
    <w:rsid w:val="000D2524"/>
    <w:rsid w:val="000D26B6"/>
    <w:rsid w:val="000D284F"/>
    <w:rsid w:val="000D2955"/>
    <w:rsid w:val="000D29C5"/>
    <w:rsid w:val="000D2C1C"/>
    <w:rsid w:val="000D2C60"/>
    <w:rsid w:val="000D2C77"/>
    <w:rsid w:val="000D2C7F"/>
    <w:rsid w:val="000D2D25"/>
    <w:rsid w:val="000D2E14"/>
    <w:rsid w:val="000D2E49"/>
    <w:rsid w:val="000D2E69"/>
    <w:rsid w:val="000D2F49"/>
    <w:rsid w:val="000D3016"/>
    <w:rsid w:val="000D3069"/>
    <w:rsid w:val="000D31F3"/>
    <w:rsid w:val="000D32CC"/>
    <w:rsid w:val="000D33E9"/>
    <w:rsid w:val="000D3866"/>
    <w:rsid w:val="000D3A54"/>
    <w:rsid w:val="000D3C4B"/>
    <w:rsid w:val="000D3C7C"/>
    <w:rsid w:val="000D3D8A"/>
    <w:rsid w:val="000D3E94"/>
    <w:rsid w:val="000D3F22"/>
    <w:rsid w:val="000D3F60"/>
    <w:rsid w:val="000D3FEA"/>
    <w:rsid w:val="000D3FF1"/>
    <w:rsid w:val="000D40CE"/>
    <w:rsid w:val="000D4145"/>
    <w:rsid w:val="000D42E8"/>
    <w:rsid w:val="000D439A"/>
    <w:rsid w:val="000D4616"/>
    <w:rsid w:val="000D4651"/>
    <w:rsid w:val="000D4677"/>
    <w:rsid w:val="000D4767"/>
    <w:rsid w:val="000D49D3"/>
    <w:rsid w:val="000D4A2C"/>
    <w:rsid w:val="000D4B29"/>
    <w:rsid w:val="000D4BE5"/>
    <w:rsid w:val="000D4C43"/>
    <w:rsid w:val="000D51B6"/>
    <w:rsid w:val="000D5325"/>
    <w:rsid w:val="000D5334"/>
    <w:rsid w:val="000D53BB"/>
    <w:rsid w:val="000D5454"/>
    <w:rsid w:val="000D5467"/>
    <w:rsid w:val="000D5515"/>
    <w:rsid w:val="000D554B"/>
    <w:rsid w:val="000D5610"/>
    <w:rsid w:val="000D5625"/>
    <w:rsid w:val="000D569C"/>
    <w:rsid w:val="000D5873"/>
    <w:rsid w:val="000D5925"/>
    <w:rsid w:val="000D5AEA"/>
    <w:rsid w:val="000D5CBD"/>
    <w:rsid w:val="000D5CC5"/>
    <w:rsid w:val="000D5D3A"/>
    <w:rsid w:val="000D5D91"/>
    <w:rsid w:val="000D5DC3"/>
    <w:rsid w:val="000D5E68"/>
    <w:rsid w:val="000D5EAE"/>
    <w:rsid w:val="000D5F21"/>
    <w:rsid w:val="000D5F47"/>
    <w:rsid w:val="000D5FA5"/>
    <w:rsid w:val="000D6136"/>
    <w:rsid w:val="000D6190"/>
    <w:rsid w:val="000D6315"/>
    <w:rsid w:val="000D6562"/>
    <w:rsid w:val="000D6587"/>
    <w:rsid w:val="000D658D"/>
    <w:rsid w:val="000D668C"/>
    <w:rsid w:val="000D6914"/>
    <w:rsid w:val="000D6987"/>
    <w:rsid w:val="000D6BEE"/>
    <w:rsid w:val="000D6C03"/>
    <w:rsid w:val="000D6C32"/>
    <w:rsid w:val="000D6CC1"/>
    <w:rsid w:val="000D6D71"/>
    <w:rsid w:val="000D6D88"/>
    <w:rsid w:val="000D6E96"/>
    <w:rsid w:val="000D700B"/>
    <w:rsid w:val="000D70B0"/>
    <w:rsid w:val="000D70FE"/>
    <w:rsid w:val="000D7374"/>
    <w:rsid w:val="000D75BF"/>
    <w:rsid w:val="000D7646"/>
    <w:rsid w:val="000D764A"/>
    <w:rsid w:val="000D76CF"/>
    <w:rsid w:val="000D77D7"/>
    <w:rsid w:val="000D78C5"/>
    <w:rsid w:val="000D7962"/>
    <w:rsid w:val="000D7A6F"/>
    <w:rsid w:val="000D7AA2"/>
    <w:rsid w:val="000D7B99"/>
    <w:rsid w:val="000D7BF3"/>
    <w:rsid w:val="000D7C0D"/>
    <w:rsid w:val="000D7E2D"/>
    <w:rsid w:val="000D7FAC"/>
    <w:rsid w:val="000E01E8"/>
    <w:rsid w:val="000E027F"/>
    <w:rsid w:val="000E041A"/>
    <w:rsid w:val="000E05A2"/>
    <w:rsid w:val="000E05E1"/>
    <w:rsid w:val="000E0700"/>
    <w:rsid w:val="000E07C4"/>
    <w:rsid w:val="000E07DB"/>
    <w:rsid w:val="000E090A"/>
    <w:rsid w:val="000E0A15"/>
    <w:rsid w:val="000E0AEC"/>
    <w:rsid w:val="000E0B74"/>
    <w:rsid w:val="000E0D32"/>
    <w:rsid w:val="000E0EC3"/>
    <w:rsid w:val="000E0EC6"/>
    <w:rsid w:val="000E0F55"/>
    <w:rsid w:val="000E1130"/>
    <w:rsid w:val="000E13E9"/>
    <w:rsid w:val="000E13EF"/>
    <w:rsid w:val="000E15D5"/>
    <w:rsid w:val="000E1638"/>
    <w:rsid w:val="000E1672"/>
    <w:rsid w:val="000E1950"/>
    <w:rsid w:val="000E198F"/>
    <w:rsid w:val="000E1B82"/>
    <w:rsid w:val="000E1BF1"/>
    <w:rsid w:val="000E1C62"/>
    <w:rsid w:val="000E1D1E"/>
    <w:rsid w:val="000E1D64"/>
    <w:rsid w:val="000E1F1A"/>
    <w:rsid w:val="000E1FE7"/>
    <w:rsid w:val="000E20BE"/>
    <w:rsid w:val="000E2169"/>
    <w:rsid w:val="000E231C"/>
    <w:rsid w:val="000E23B0"/>
    <w:rsid w:val="000E247B"/>
    <w:rsid w:val="000E2857"/>
    <w:rsid w:val="000E2950"/>
    <w:rsid w:val="000E2956"/>
    <w:rsid w:val="000E2973"/>
    <w:rsid w:val="000E29DA"/>
    <w:rsid w:val="000E2C41"/>
    <w:rsid w:val="000E2C7A"/>
    <w:rsid w:val="000E2CD3"/>
    <w:rsid w:val="000E2DD4"/>
    <w:rsid w:val="000E2DD6"/>
    <w:rsid w:val="000E2E65"/>
    <w:rsid w:val="000E2F69"/>
    <w:rsid w:val="000E303B"/>
    <w:rsid w:val="000E3086"/>
    <w:rsid w:val="000E327E"/>
    <w:rsid w:val="000E32BB"/>
    <w:rsid w:val="000E32F5"/>
    <w:rsid w:val="000E334A"/>
    <w:rsid w:val="000E352F"/>
    <w:rsid w:val="000E365F"/>
    <w:rsid w:val="000E367A"/>
    <w:rsid w:val="000E378B"/>
    <w:rsid w:val="000E3827"/>
    <w:rsid w:val="000E383F"/>
    <w:rsid w:val="000E3933"/>
    <w:rsid w:val="000E39F1"/>
    <w:rsid w:val="000E3AA5"/>
    <w:rsid w:val="000E3AE5"/>
    <w:rsid w:val="000E3C9F"/>
    <w:rsid w:val="000E3D48"/>
    <w:rsid w:val="000E3DF3"/>
    <w:rsid w:val="000E3EEA"/>
    <w:rsid w:val="000E410A"/>
    <w:rsid w:val="000E411E"/>
    <w:rsid w:val="000E436C"/>
    <w:rsid w:val="000E456F"/>
    <w:rsid w:val="000E4694"/>
    <w:rsid w:val="000E4771"/>
    <w:rsid w:val="000E47A6"/>
    <w:rsid w:val="000E4832"/>
    <w:rsid w:val="000E49C0"/>
    <w:rsid w:val="000E4A84"/>
    <w:rsid w:val="000E4C72"/>
    <w:rsid w:val="000E4C94"/>
    <w:rsid w:val="000E4FAC"/>
    <w:rsid w:val="000E4FF1"/>
    <w:rsid w:val="000E5010"/>
    <w:rsid w:val="000E504D"/>
    <w:rsid w:val="000E5119"/>
    <w:rsid w:val="000E513D"/>
    <w:rsid w:val="000E5168"/>
    <w:rsid w:val="000E5338"/>
    <w:rsid w:val="000E53A1"/>
    <w:rsid w:val="000E53F2"/>
    <w:rsid w:val="000E5551"/>
    <w:rsid w:val="000E5629"/>
    <w:rsid w:val="000E58B7"/>
    <w:rsid w:val="000E58FA"/>
    <w:rsid w:val="000E5A33"/>
    <w:rsid w:val="000E5AAA"/>
    <w:rsid w:val="000E5B91"/>
    <w:rsid w:val="000E5C33"/>
    <w:rsid w:val="000E5E51"/>
    <w:rsid w:val="000E5FD3"/>
    <w:rsid w:val="000E6079"/>
    <w:rsid w:val="000E60A8"/>
    <w:rsid w:val="000E612B"/>
    <w:rsid w:val="000E615E"/>
    <w:rsid w:val="000E61D2"/>
    <w:rsid w:val="000E6559"/>
    <w:rsid w:val="000E673B"/>
    <w:rsid w:val="000E6802"/>
    <w:rsid w:val="000E685E"/>
    <w:rsid w:val="000E688D"/>
    <w:rsid w:val="000E6A7A"/>
    <w:rsid w:val="000E6A96"/>
    <w:rsid w:val="000E7017"/>
    <w:rsid w:val="000E7087"/>
    <w:rsid w:val="000E7180"/>
    <w:rsid w:val="000E718A"/>
    <w:rsid w:val="000E71E2"/>
    <w:rsid w:val="000E72DA"/>
    <w:rsid w:val="000E740D"/>
    <w:rsid w:val="000E750B"/>
    <w:rsid w:val="000E752D"/>
    <w:rsid w:val="000E7649"/>
    <w:rsid w:val="000E7679"/>
    <w:rsid w:val="000E781E"/>
    <w:rsid w:val="000E78D7"/>
    <w:rsid w:val="000E7901"/>
    <w:rsid w:val="000E7945"/>
    <w:rsid w:val="000E7B81"/>
    <w:rsid w:val="000E7CE7"/>
    <w:rsid w:val="000E7D68"/>
    <w:rsid w:val="000E7DCD"/>
    <w:rsid w:val="000E7E83"/>
    <w:rsid w:val="000E7FD8"/>
    <w:rsid w:val="000F00B1"/>
    <w:rsid w:val="000F025A"/>
    <w:rsid w:val="000F0300"/>
    <w:rsid w:val="000F0303"/>
    <w:rsid w:val="000F03B6"/>
    <w:rsid w:val="000F0414"/>
    <w:rsid w:val="000F051D"/>
    <w:rsid w:val="000F05F5"/>
    <w:rsid w:val="000F063C"/>
    <w:rsid w:val="000F0685"/>
    <w:rsid w:val="000F0728"/>
    <w:rsid w:val="000F0975"/>
    <w:rsid w:val="000F0A71"/>
    <w:rsid w:val="000F0ED2"/>
    <w:rsid w:val="000F1085"/>
    <w:rsid w:val="000F11C6"/>
    <w:rsid w:val="000F13FB"/>
    <w:rsid w:val="000F14C9"/>
    <w:rsid w:val="000F14E6"/>
    <w:rsid w:val="000F1775"/>
    <w:rsid w:val="000F1807"/>
    <w:rsid w:val="000F182F"/>
    <w:rsid w:val="000F1906"/>
    <w:rsid w:val="000F1973"/>
    <w:rsid w:val="000F1C6F"/>
    <w:rsid w:val="000F1C76"/>
    <w:rsid w:val="000F1D24"/>
    <w:rsid w:val="000F1D2F"/>
    <w:rsid w:val="000F1D67"/>
    <w:rsid w:val="000F1F09"/>
    <w:rsid w:val="000F20FD"/>
    <w:rsid w:val="000F213E"/>
    <w:rsid w:val="000F2158"/>
    <w:rsid w:val="000F21F2"/>
    <w:rsid w:val="000F22EB"/>
    <w:rsid w:val="000F23EF"/>
    <w:rsid w:val="000F264F"/>
    <w:rsid w:val="000F269F"/>
    <w:rsid w:val="000F26EE"/>
    <w:rsid w:val="000F2863"/>
    <w:rsid w:val="000F28D7"/>
    <w:rsid w:val="000F2985"/>
    <w:rsid w:val="000F29AE"/>
    <w:rsid w:val="000F2A45"/>
    <w:rsid w:val="000F2C08"/>
    <w:rsid w:val="000F2CE1"/>
    <w:rsid w:val="000F2EAD"/>
    <w:rsid w:val="000F2F42"/>
    <w:rsid w:val="000F3525"/>
    <w:rsid w:val="000F38EF"/>
    <w:rsid w:val="000F3916"/>
    <w:rsid w:val="000F3971"/>
    <w:rsid w:val="000F39AA"/>
    <w:rsid w:val="000F3A2D"/>
    <w:rsid w:val="000F3AF9"/>
    <w:rsid w:val="000F3B52"/>
    <w:rsid w:val="000F3C2F"/>
    <w:rsid w:val="000F3D0D"/>
    <w:rsid w:val="000F3D64"/>
    <w:rsid w:val="000F3D8C"/>
    <w:rsid w:val="000F3E90"/>
    <w:rsid w:val="000F3EF4"/>
    <w:rsid w:val="000F4179"/>
    <w:rsid w:val="000F4295"/>
    <w:rsid w:val="000F42BE"/>
    <w:rsid w:val="000F431B"/>
    <w:rsid w:val="000F437A"/>
    <w:rsid w:val="000F445A"/>
    <w:rsid w:val="000F446B"/>
    <w:rsid w:val="000F4567"/>
    <w:rsid w:val="000F45DD"/>
    <w:rsid w:val="000F4613"/>
    <w:rsid w:val="000F463B"/>
    <w:rsid w:val="000F46D0"/>
    <w:rsid w:val="000F47D6"/>
    <w:rsid w:val="000F4837"/>
    <w:rsid w:val="000F4852"/>
    <w:rsid w:val="000F4964"/>
    <w:rsid w:val="000F49EC"/>
    <w:rsid w:val="000F4BAA"/>
    <w:rsid w:val="000F4CDB"/>
    <w:rsid w:val="000F4CEF"/>
    <w:rsid w:val="000F4D0D"/>
    <w:rsid w:val="000F4E54"/>
    <w:rsid w:val="000F5005"/>
    <w:rsid w:val="000F502C"/>
    <w:rsid w:val="000F5155"/>
    <w:rsid w:val="000F519A"/>
    <w:rsid w:val="000F51E0"/>
    <w:rsid w:val="000F525A"/>
    <w:rsid w:val="000F5270"/>
    <w:rsid w:val="000F5398"/>
    <w:rsid w:val="000F5531"/>
    <w:rsid w:val="000F5559"/>
    <w:rsid w:val="000F57E6"/>
    <w:rsid w:val="000F59AB"/>
    <w:rsid w:val="000F5B88"/>
    <w:rsid w:val="000F5B8F"/>
    <w:rsid w:val="000F5BCE"/>
    <w:rsid w:val="000F5C5C"/>
    <w:rsid w:val="000F5C88"/>
    <w:rsid w:val="000F5DF0"/>
    <w:rsid w:val="000F5FB0"/>
    <w:rsid w:val="000F5FCE"/>
    <w:rsid w:val="000F6155"/>
    <w:rsid w:val="000F6163"/>
    <w:rsid w:val="000F61B5"/>
    <w:rsid w:val="000F6233"/>
    <w:rsid w:val="000F6363"/>
    <w:rsid w:val="000F636B"/>
    <w:rsid w:val="000F63F1"/>
    <w:rsid w:val="000F64BD"/>
    <w:rsid w:val="000F658E"/>
    <w:rsid w:val="000F674C"/>
    <w:rsid w:val="000F6767"/>
    <w:rsid w:val="000F68A4"/>
    <w:rsid w:val="000F68DA"/>
    <w:rsid w:val="000F6A06"/>
    <w:rsid w:val="000F6A63"/>
    <w:rsid w:val="000F6A9D"/>
    <w:rsid w:val="000F6AE5"/>
    <w:rsid w:val="000F6CE5"/>
    <w:rsid w:val="000F6E01"/>
    <w:rsid w:val="000F7166"/>
    <w:rsid w:val="000F71BB"/>
    <w:rsid w:val="000F7294"/>
    <w:rsid w:val="000F7390"/>
    <w:rsid w:val="000F7546"/>
    <w:rsid w:val="000F7643"/>
    <w:rsid w:val="000F7652"/>
    <w:rsid w:val="000F7772"/>
    <w:rsid w:val="000F779D"/>
    <w:rsid w:val="000F786E"/>
    <w:rsid w:val="000F78B6"/>
    <w:rsid w:val="000F78C7"/>
    <w:rsid w:val="000F79AF"/>
    <w:rsid w:val="000F7AF2"/>
    <w:rsid w:val="000F7CB6"/>
    <w:rsid w:val="000F7D65"/>
    <w:rsid w:val="000F7F67"/>
    <w:rsid w:val="00100038"/>
    <w:rsid w:val="001001D6"/>
    <w:rsid w:val="001002E8"/>
    <w:rsid w:val="00100388"/>
    <w:rsid w:val="0010048A"/>
    <w:rsid w:val="00100537"/>
    <w:rsid w:val="00100565"/>
    <w:rsid w:val="0010058A"/>
    <w:rsid w:val="001005D6"/>
    <w:rsid w:val="00100684"/>
    <w:rsid w:val="001007BE"/>
    <w:rsid w:val="001009F7"/>
    <w:rsid w:val="00100B33"/>
    <w:rsid w:val="00100B8D"/>
    <w:rsid w:val="00100CD6"/>
    <w:rsid w:val="00100DBC"/>
    <w:rsid w:val="00100FA1"/>
    <w:rsid w:val="0010102D"/>
    <w:rsid w:val="0010107D"/>
    <w:rsid w:val="00101144"/>
    <w:rsid w:val="00101363"/>
    <w:rsid w:val="001015FB"/>
    <w:rsid w:val="0010190C"/>
    <w:rsid w:val="001019AE"/>
    <w:rsid w:val="00101A13"/>
    <w:rsid w:val="00101A31"/>
    <w:rsid w:val="00101A6D"/>
    <w:rsid w:val="00101B86"/>
    <w:rsid w:val="00101B99"/>
    <w:rsid w:val="00101C08"/>
    <w:rsid w:val="00101C92"/>
    <w:rsid w:val="00101DCD"/>
    <w:rsid w:val="00101ED6"/>
    <w:rsid w:val="00102025"/>
    <w:rsid w:val="0010205B"/>
    <w:rsid w:val="001020BB"/>
    <w:rsid w:val="001020E6"/>
    <w:rsid w:val="001021A7"/>
    <w:rsid w:val="001021FF"/>
    <w:rsid w:val="0010222A"/>
    <w:rsid w:val="00102231"/>
    <w:rsid w:val="001023EE"/>
    <w:rsid w:val="001024B6"/>
    <w:rsid w:val="001025D7"/>
    <w:rsid w:val="001027D1"/>
    <w:rsid w:val="0010284E"/>
    <w:rsid w:val="001028EE"/>
    <w:rsid w:val="00102A9B"/>
    <w:rsid w:val="00102AB7"/>
    <w:rsid w:val="00102C1F"/>
    <w:rsid w:val="00102D17"/>
    <w:rsid w:val="00102D60"/>
    <w:rsid w:val="00102DDA"/>
    <w:rsid w:val="00102E7B"/>
    <w:rsid w:val="00102FBC"/>
    <w:rsid w:val="0010307E"/>
    <w:rsid w:val="0010321F"/>
    <w:rsid w:val="0010339F"/>
    <w:rsid w:val="0010346A"/>
    <w:rsid w:val="001034BF"/>
    <w:rsid w:val="00103544"/>
    <w:rsid w:val="001037C2"/>
    <w:rsid w:val="001039E0"/>
    <w:rsid w:val="00103B55"/>
    <w:rsid w:val="00103B8A"/>
    <w:rsid w:val="00103BF1"/>
    <w:rsid w:val="00103CCF"/>
    <w:rsid w:val="00103D69"/>
    <w:rsid w:val="00103D70"/>
    <w:rsid w:val="00103DB7"/>
    <w:rsid w:val="00103DC4"/>
    <w:rsid w:val="00103EF7"/>
    <w:rsid w:val="00103F3C"/>
    <w:rsid w:val="00103FA9"/>
    <w:rsid w:val="001042F8"/>
    <w:rsid w:val="0010437C"/>
    <w:rsid w:val="00104388"/>
    <w:rsid w:val="00104603"/>
    <w:rsid w:val="00104820"/>
    <w:rsid w:val="00104825"/>
    <w:rsid w:val="001048BC"/>
    <w:rsid w:val="001048D9"/>
    <w:rsid w:val="00104910"/>
    <w:rsid w:val="0010493F"/>
    <w:rsid w:val="0010497C"/>
    <w:rsid w:val="001049DF"/>
    <w:rsid w:val="00104A36"/>
    <w:rsid w:val="00104A68"/>
    <w:rsid w:val="00104A97"/>
    <w:rsid w:val="00104BE1"/>
    <w:rsid w:val="00104BF9"/>
    <w:rsid w:val="00104C2D"/>
    <w:rsid w:val="00104D0A"/>
    <w:rsid w:val="00104D2C"/>
    <w:rsid w:val="00104DE2"/>
    <w:rsid w:val="00104FFE"/>
    <w:rsid w:val="00105051"/>
    <w:rsid w:val="00105073"/>
    <w:rsid w:val="0010508C"/>
    <w:rsid w:val="001050DA"/>
    <w:rsid w:val="001051CA"/>
    <w:rsid w:val="00105256"/>
    <w:rsid w:val="00105277"/>
    <w:rsid w:val="001052F8"/>
    <w:rsid w:val="001053A3"/>
    <w:rsid w:val="00105540"/>
    <w:rsid w:val="001055B0"/>
    <w:rsid w:val="001055F3"/>
    <w:rsid w:val="00105A43"/>
    <w:rsid w:val="00105AD7"/>
    <w:rsid w:val="00105BF7"/>
    <w:rsid w:val="00105C78"/>
    <w:rsid w:val="00105D88"/>
    <w:rsid w:val="00105D97"/>
    <w:rsid w:val="00105F70"/>
    <w:rsid w:val="00105F74"/>
    <w:rsid w:val="00105FFE"/>
    <w:rsid w:val="00106301"/>
    <w:rsid w:val="001065C0"/>
    <w:rsid w:val="001066AF"/>
    <w:rsid w:val="00106A84"/>
    <w:rsid w:val="00106C60"/>
    <w:rsid w:val="00106CA5"/>
    <w:rsid w:val="00106D8D"/>
    <w:rsid w:val="00106F66"/>
    <w:rsid w:val="00107058"/>
    <w:rsid w:val="001070AC"/>
    <w:rsid w:val="001070CF"/>
    <w:rsid w:val="00107121"/>
    <w:rsid w:val="001071D9"/>
    <w:rsid w:val="00107204"/>
    <w:rsid w:val="00107249"/>
    <w:rsid w:val="0010730F"/>
    <w:rsid w:val="00107332"/>
    <w:rsid w:val="0010739E"/>
    <w:rsid w:val="001073A8"/>
    <w:rsid w:val="00107481"/>
    <w:rsid w:val="001074D5"/>
    <w:rsid w:val="001075E8"/>
    <w:rsid w:val="00107625"/>
    <w:rsid w:val="00107685"/>
    <w:rsid w:val="00107694"/>
    <w:rsid w:val="001077B8"/>
    <w:rsid w:val="001077BD"/>
    <w:rsid w:val="001077E2"/>
    <w:rsid w:val="0010786D"/>
    <w:rsid w:val="001078DF"/>
    <w:rsid w:val="00107931"/>
    <w:rsid w:val="001079F4"/>
    <w:rsid w:val="00107A03"/>
    <w:rsid w:val="00107C3E"/>
    <w:rsid w:val="00107E29"/>
    <w:rsid w:val="00107E7F"/>
    <w:rsid w:val="00107F84"/>
    <w:rsid w:val="0011018B"/>
    <w:rsid w:val="00110213"/>
    <w:rsid w:val="00110258"/>
    <w:rsid w:val="0011065E"/>
    <w:rsid w:val="001106B2"/>
    <w:rsid w:val="00110778"/>
    <w:rsid w:val="001108C0"/>
    <w:rsid w:val="001108E1"/>
    <w:rsid w:val="00110C1D"/>
    <w:rsid w:val="00110CDF"/>
    <w:rsid w:val="00110E2C"/>
    <w:rsid w:val="00110E53"/>
    <w:rsid w:val="00110E88"/>
    <w:rsid w:val="0011106C"/>
    <w:rsid w:val="001111B3"/>
    <w:rsid w:val="00111247"/>
    <w:rsid w:val="00111258"/>
    <w:rsid w:val="001113C0"/>
    <w:rsid w:val="001114C8"/>
    <w:rsid w:val="00111523"/>
    <w:rsid w:val="00111627"/>
    <w:rsid w:val="00111712"/>
    <w:rsid w:val="00111722"/>
    <w:rsid w:val="001117C0"/>
    <w:rsid w:val="00111822"/>
    <w:rsid w:val="001118CB"/>
    <w:rsid w:val="0011193F"/>
    <w:rsid w:val="00111AC3"/>
    <w:rsid w:val="00111B2F"/>
    <w:rsid w:val="00111BBD"/>
    <w:rsid w:val="00111CA5"/>
    <w:rsid w:val="00111D6A"/>
    <w:rsid w:val="00111D9A"/>
    <w:rsid w:val="00112099"/>
    <w:rsid w:val="00112127"/>
    <w:rsid w:val="0011213E"/>
    <w:rsid w:val="001122CF"/>
    <w:rsid w:val="001122E3"/>
    <w:rsid w:val="001123D2"/>
    <w:rsid w:val="00112422"/>
    <w:rsid w:val="00112487"/>
    <w:rsid w:val="0011257D"/>
    <w:rsid w:val="001125D4"/>
    <w:rsid w:val="001126BF"/>
    <w:rsid w:val="001126FA"/>
    <w:rsid w:val="001127A6"/>
    <w:rsid w:val="001128CD"/>
    <w:rsid w:val="0011291B"/>
    <w:rsid w:val="001129FB"/>
    <w:rsid w:val="00112AD3"/>
    <w:rsid w:val="00112B2A"/>
    <w:rsid w:val="00112CFB"/>
    <w:rsid w:val="00112DB7"/>
    <w:rsid w:val="00112DCA"/>
    <w:rsid w:val="00112E2E"/>
    <w:rsid w:val="00112EE9"/>
    <w:rsid w:val="00112F17"/>
    <w:rsid w:val="00112F4C"/>
    <w:rsid w:val="001131AF"/>
    <w:rsid w:val="001131F1"/>
    <w:rsid w:val="00113228"/>
    <w:rsid w:val="0011333A"/>
    <w:rsid w:val="0011345D"/>
    <w:rsid w:val="0011361F"/>
    <w:rsid w:val="0011385B"/>
    <w:rsid w:val="001138AF"/>
    <w:rsid w:val="00113976"/>
    <w:rsid w:val="00113A5E"/>
    <w:rsid w:val="00113CE3"/>
    <w:rsid w:val="00113D2A"/>
    <w:rsid w:val="00113E74"/>
    <w:rsid w:val="00113EE5"/>
    <w:rsid w:val="00113F85"/>
    <w:rsid w:val="0011400B"/>
    <w:rsid w:val="001140CD"/>
    <w:rsid w:val="001142B2"/>
    <w:rsid w:val="00114399"/>
    <w:rsid w:val="00114432"/>
    <w:rsid w:val="00114644"/>
    <w:rsid w:val="00114748"/>
    <w:rsid w:val="001148C8"/>
    <w:rsid w:val="00114AD5"/>
    <w:rsid w:val="00114BE3"/>
    <w:rsid w:val="00114CEE"/>
    <w:rsid w:val="00114D34"/>
    <w:rsid w:val="00114D4E"/>
    <w:rsid w:val="00114DBD"/>
    <w:rsid w:val="00114EE6"/>
    <w:rsid w:val="00115056"/>
    <w:rsid w:val="0011514D"/>
    <w:rsid w:val="00115190"/>
    <w:rsid w:val="001151AB"/>
    <w:rsid w:val="00115331"/>
    <w:rsid w:val="001153F6"/>
    <w:rsid w:val="001154A5"/>
    <w:rsid w:val="00115578"/>
    <w:rsid w:val="00115626"/>
    <w:rsid w:val="0011562B"/>
    <w:rsid w:val="0011565A"/>
    <w:rsid w:val="001156A3"/>
    <w:rsid w:val="001157F7"/>
    <w:rsid w:val="00115945"/>
    <w:rsid w:val="001159E9"/>
    <w:rsid w:val="00115D55"/>
    <w:rsid w:val="00115E72"/>
    <w:rsid w:val="00115EEB"/>
    <w:rsid w:val="00115F78"/>
    <w:rsid w:val="0011602D"/>
    <w:rsid w:val="00116087"/>
    <w:rsid w:val="00116093"/>
    <w:rsid w:val="00116214"/>
    <w:rsid w:val="00116402"/>
    <w:rsid w:val="00116428"/>
    <w:rsid w:val="00116443"/>
    <w:rsid w:val="001165CC"/>
    <w:rsid w:val="001165EC"/>
    <w:rsid w:val="001168A5"/>
    <w:rsid w:val="0011697A"/>
    <w:rsid w:val="00116B75"/>
    <w:rsid w:val="00116B7A"/>
    <w:rsid w:val="00116CCC"/>
    <w:rsid w:val="00116D4E"/>
    <w:rsid w:val="00116D99"/>
    <w:rsid w:val="00116F56"/>
    <w:rsid w:val="00117134"/>
    <w:rsid w:val="0011715D"/>
    <w:rsid w:val="0011719D"/>
    <w:rsid w:val="001173DF"/>
    <w:rsid w:val="0011742D"/>
    <w:rsid w:val="0011749A"/>
    <w:rsid w:val="001174DB"/>
    <w:rsid w:val="00117528"/>
    <w:rsid w:val="001175C3"/>
    <w:rsid w:val="00117891"/>
    <w:rsid w:val="001178C8"/>
    <w:rsid w:val="00117AA8"/>
    <w:rsid w:val="00117B6C"/>
    <w:rsid w:val="00117BF1"/>
    <w:rsid w:val="00117E97"/>
    <w:rsid w:val="00117ED1"/>
    <w:rsid w:val="00117F11"/>
    <w:rsid w:val="0012003C"/>
    <w:rsid w:val="00120058"/>
    <w:rsid w:val="001201A7"/>
    <w:rsid w:val="001201CD"/>
    <w:rsid w:val="00120201"/>
    <w:rsid w:val="00120203"/>
    <w:rsid w:val="001202A6"/>
    <w:rsid w:val="001202CC"/>
    <w:rsid w:val="0012031A"/>
    <w:rsid w:val="00120342"/>
    <w:rsid w:val="00120380"/>
    <w:rsid w:val="001203E7"/>
    <w:rsid w:val="001204F4"/>
    <w:rsid w:val="00120757"/>
    <w:rsid w:val="00120928"/>
    <w:rsid w:val="00120932"/>
    <w:rsid w:val="001209BE"/>
    <w:rsid w:val="00120B09"/>
    <w:rsid w:val="00120B95"/>
    <w:rsid w:val="00120CBF"/>
    <w:rsid w:val="00120DB5"/>
    <w:rsid w:val="00120ED3"/>
    <w:rsid w:val="001211A3"/>
    <w:rsid w:val="0012136D"/>
    <w:rsid w:val="001214D0"/>
    <w:rsid w:val="001214FD"/>
    <w:rsid w:val="00121A5D"/>
    <w:rsid w:val="00121CCE"/>
    <w:rsid w:val="00121E0F"/>
    <w:rsid w:val="00121FAA"/>
    <w:rsid w:val="0012205B"/>
    <w:rsid w:val="0012205E"/>
    <w:rsid w:val="00122061"/>
    <w:rsid w:val="001221BE"/>
    <w:rsid w:val="001222DD"/>
    <w:rsid w:val="00122354"/>
    <w:rsid w:val="00122473"/>
    <w:rsid w:val="00122481"/>
    <w:rsid w:val="001224F7"/>
    <w:rsid w:val="001225D2"/>
    <w:rsid w:val="001227D9"/>
    <w:rsid w:val="0012286E"/>
    <w:rsid w:val="00122C19"/>
    <w:rsid w:val="00122D30"/>
    <w:rsid w:val="00122D45"/>
    <w:rsid w:val="00122F11"/>
    <w:rsid w:val="00122F37"/>
    <w:rsid w:val="00123215"/>
    <w:rsid w:val="00123224"/>
    <w:rsid w:val="00123254"/>
    <w:rsid w:val="001232A4"/>
    <w:rsid w:val="00123343"/>
    <w:rsid w:val="0012342F"/>
    <w:rsid w:val="001235FF"/>
    <w:rsid w:val="0012364D"/>
    <w:rsid w:val="001236DC"/>
    <w:rsid w:val="001236DF"/>
    <w:rsid w:val="001236F2"/>
    <w:rsid w:val="0012380C"/>
    <w:rsid w:val="00123969"/>
    <w:rsid w:val="00123973"/>
    <w:rsid w:val="001239C5"/>
    <w:rsid w:val="001239D1"/>
    <w:rsid w:val="00123E0D"/>
    <w:rsid w:val="00123E16"/>
    <w:rsid w:val="00123E54"/>
    <w:rsid w:val="00123F52"/>
    <w:rsid w:val="00124140"/>
    <w:rsid w:val="00124160"/>
    <w:rsid w:val="001241A7"/>
    <w:rsid w:val="001242E9"/>
    <w:rsid w:val="0012433E"/>
    <w:rsid w:val="00124481"/>
    <w:rsid w:val="00124516"/>
    <w:rsid w:val="00124521"/>
    <w:rsid w:val="00124536"/>
    <w:rsid w:val="00124649"/>
    <w:rsid w:val="00124733"/>
    <w:rsid w:val="0012482E"/>
    <w:rsid w:val="00124B5F"/>
    <w:rsid w:val="00124B85"/>
    <w:rsid w:val="00124EA1"/>
    <w:rsid w:val="00124EAF"/>
    <w:rsid w:val="00124F20"/>
    <w:rsid w:val="001250F8"/>
    <w:rsid w:val="001251BE"/>
    <w:rsid w:val="001252D7"/>
    <w:rsid w:val="001253E3"/>
    <w:rsid w:val="001254EB"/>
    <w:rsid w:val="001254ED"/>
    <w:rsid w:val="00125594"/>
    <w:rsid w:val="001258C3"/>
    <w:rsid w:val="0012590B"/>
    <w:rsid w:val="00125A0D"/>
    <w:rsid w:val="00125B3A"/>
    <w:rsid w:val="00125D49"/>
    <w:rsid w:val="00125D74"/>
    <w:rsid w:val="00125D7D"/>
    <w:rsid w:val="00125DD8"/>
    <w:rsid w:val="00125E3C"/>
    <w:rsid w:val="00125F35"/>
    <w:rsid w:val="001260F6"/>
    <w:rsid w:val="0012615C"/>
    <w:rsid w:val="001263B6"/>
    <w:rsid w:val="001263F6"/>
    <w:rsid w:val="001265DB"/>
    <w:rsid w:val="00126643"/>
    <w:rsid w:val="00126836"/>
    <w:rsid w:val="001268F9"/>
    <w:rsid w:val="0012690D"/>
    <w:rsid w:val="00126AB4"/>
    <w:rsid w:val="00126B52"/>
    <w:rsid w:val="00126BFD"/>
    <w:rsid w:val="00126D6A"/>
    <w:rsid w:val="00126DE5"/>
    <w:rsid w:val="00126F05"/>
    <w:rsid w:val="00126F15"/>
    <w:rsid w:val="00126F25"/>
    <w:rsid w:val="00126F27"/>
    <w:rsid w:val="00127011"/>
    <w:rsid w:val="00127078"/>
    <w:rsid w:val="0012738C"/>
    <w:rsid w:val="00127878"/>
    <w:rsid w:val="00127A48"/>
    <w:rsid w:val="00127B33"/>
    <w:rsid w:val="00127BB4"/>
    <w:rsid w:val="00127DC6"/>
    <w:rsid w:val="001300F6"/>
    <w:rsid w:val="00130292"/>
    <w:rsid w:val="00130434"/>
    <w:rsid w:val="00130464"/>
    <w:rsid w:val="001304C4"/>
    <w:rsid w:val="001304FC"/>
    <w:rsid w:val="001306F5"/>
    <w:rsid w:val="00130842"/>
    <w:rsid w:val="00130CBF"/>
    <w:rsid w:val="00130E85"/>
    <w:rsid w:val="00130FC7"/>
    <w:rsid w:val="0013101D"/>
    <w:rsid w:val="00131029"/>
    <w:rsid w:val="00131195"/>
    <w:rsid w:val="0013146B"/>
    <w:rsid w:val="001315F1"/>
    <w:rsid w:val="00131802"/>
    <w:rsid w:val="00131816"/>
    <w:rsid w:val="0013183C"/>
    <w:rsid w:val="0013188A"/>
    <w:rsid w:val="0013194C"/>
    <w:rsid w:val="00131B51"/>
    <w:rsid w:val="00131DC3"/>
    <w:rsid w:val="00131E63"/>
    <w:rsid w:val="001320CE"/>
    <w:rsid w:val="0013228E"/>
    <w:rsid w:val="00132578"/>
    <w:rsid w:val="00132782"/>
    <w:rsid w:val="001327F6"/>
    <w:rsid w:val="001328B2"/>
    <w:rsid w:val="00132A70"/>
    <w:rsid w:val="00132B70"/>
    <w:rsid w:val="00132B7D"/>
    <w:rsid w:val="00132B92"/>
    <w:rsid w:val="00132BCF"/>
    <w:rsid w:val="00132DBB"/>
    <w:rsid w:val="00132E57"/>
    <w:rsid w:val="00132EEB"/>
    <w:rsid w:val="001331ED"/>
    <w:rsid w:val="00133286"/>
    <w:rsid w:val="001332F0"/>
    <w:rsid w:val="00133326"/>
    <w:rsid w:val="00133765"/>
    <w:rsid w:val="001337D3"/>
    <w:rsid w:val="001337DE"/>
    <w:rsid w:val="00133930"/>
    <w:rsid w:val="001339BE"/>
    <w:rsid w:val="00133A01"/>
    <w:rsid w:val="00133A07"/>
    <w:rsid w:val="00133CC8"/>
    <w:rsid w:val="00133D0C"/>
    <w:rsid w:val="00133D6B"/>
    <w:rsid w:val="00133DD8"/>
    <w:rsid w:val="00133F23"/>
    <w:rsid w:val="00133F4C"/>
    <w:rsid w:val="001340C6"/>
    <w:rsid w:val="001340E3"/>
    <w:rsid w:val="0013419B"/>
    <w:rsid w:val="00134326"/>
    <w:rsid w:val="001343F4"/>
    <w:rsid w:val="00134414"/>
    <w:rsid w:val="001345E1"/>
    <w:rsid w:val="00134671"/>
    <w:rsid w:val="001347AF"/>
    <w:rsid w:val="00134895"/>
    <w:rsid w:val="00134A56"/>
    <w:rsid w:val="00134AB9"/>
    <w:rsid w:val="00134AE7"/>
    <w:rsid w:val="00134EB9"/>
    <w:rsid w:val="00135065"/>
    <w:rsid w:val="001352FD"/>
    <w:rsid w:val="0013552D"/>
    <w:rsid w:val="0013567B"/>
    <w:rsid w:val="001356E3"/>
    <w:rsid w:val="00135799"/>
    <w:rsid w:val="001357B5"/>
    <w:rsid w:val="00135953"/>
    <w:rsid w:val="00135A78"/>
    <w:rsid w:val="00135AA9"/>
    <w:rsid w:val="00135B2B"/>
    <w:rsid w:val="00135B5D"/>
    <w:rsid w:val="00135C99"/>
    <w:rsid w:val="00135E4C"/>
    <w:rsid w:val="00135E83"/>
    <w:rsid w:val="00135E98"/>
    <w:rsid w:val="00135FAB"/>
    <w:rsid w:val="00136069"/>
    <w:rsid w:val="001361A1"/>
    <w:rsid w:val="001361B2"/>
    <w:rsid w:val="001361E8"/>
    <w:rsid w:val="0013622B"/>
    <w:rsid w:val="00136237"/>
    <w:rsid w:val="001362DB"/>
    <w:rsid w:val="00136324"/>
    <w:rsid w:val="001365C1"/>
    <w:rsid w:val="0013675F"/>
    <w:rsid w:val="001367B7"/>
    <w:rsid w:val="00136825"/>
    <w:rsid w:val="00136841"/>
    <w:rsid w:val="0013689C"/>
    <w:rsid w:val="00136A0B"/>
    <w:rsid w:val="00136B11"/>
    <w:rsid w:val="00136B64"/>
    <w:rsid w:val="00136B8B"/>
    <w:rsid w:val="00136BE3"/>
    <w:rsid w:val="00136D42"/>
    <w:rsid w:val="00136E98"/>
    <w:rsid w:val="00136FE2"/>
    <w:rsid w:val="00137067"/>
    <w:rsid w:val="00137190"/>
    <w:rsid w:val="00137211"/>
    <w:rsid w:val="00137242"/>
    <w:rsid w:val="001372BB"/>
    <w:rsid w:val="001372CA"/>
    <w:rsid w:val="001372F9"/>
    <w:rsid w:val="001373F5"/>
    <w:rsid w:val="0013753C"/>
    <w:rsid w:val="00137551"/>
    <w:rsid w:val="00137607"/>
    <w:rsid w:val="00137624"/>
    <w:rsid w:val="00137770"/>
    <w:rsid w:val="001378BB"/>
    <w:rsid w:val="00137998"/>
    <w:rsid w:val="001379D9"/>
    <w:rsid w:val="00137BFC"/>
    <w:rsid w:val="00137C13"/>
    <w:rsid w:val="00137C54"/>
    <w:rsid w:val="00137C61"/>
    <w:rsid w:val="00137D15"/>
    <w:rsid w:val="00137E38"/>
    <w:rsid w:val="00137E3C"/>
    <w:rsid w:val="00137ED2"/>
    <w:rsid w:val="00137FC0"/>
    <w:rsid w:val="0014011A"/>
    <w:rsid w:val="0014011E"/>
    <w:rsid w:val="00140162"/>
    <w:rsid w:val="0014061E"/>
    <w:rsid w:val="00140793"/>
    <w:rsid w:val="001407FB"/>
    <w:rsid w:val="001408DB"/>
    <w:rsid w:val="00140943"/>
    <w:rsid w:val="00140AFE"/>
    <w:rsid w:val="00140B05"/>
    <w:rsid w:val="00140B31"/>
    <w:rsid w:val="00140BD9"/>
    <w:rsid w:val="00141069"/>
    <w:rsid w:val="00141193"/>
    <w:rsid w:val="001411B4"/>
    <w:rsid w:val="00141213"/>
    <w:rsid w:val="00141316"/>
    <w:rsid w:val="00141406"/>
    <w:rsid w:val="00141639"/>
    <w:rsid w:val="001417BC"/>
    <w:rsid w:val="0014185B"/>
    <w:rsid w:val="0014187B"/>
    <w:rsid w:val="001418BD"/>
    <w:rsid w:val="00141AE5"/>
    <w:rsid w:val="00141DEC"/>
    <w:rsid w:val="00141EA7"/>
    <w:rsid w:val="00141F6E"/>
    <w:rsid w:val="00141FBC"/>
    <w:rsid w:val="00142055"/>
    <w:rsid w:val="00142241"/>
    <w:rsid w:val="001422C0"/>
    <w:rsid w:val="001422C8"/>
    <w:rsid w:val="00142377"/>
    <w:rsid w:val="001423C5"/>
    <w:rsid w:val="0014240A"/>
    <w:rsid w:val="0014243A"/>
    <w:rsid w:val="001425B0"/>
    <w:rsid w:val="0014261F"/>
    <w:rsid w:val="00142623"/>
    <w:rsid w:val="0014276B"/>
    <w:rsid w:val="001427B3"/>
    <w:rsid w:val="001427BD"/>
    <w:rsid w:val="0014290A"/>
    <w:rsid w:val="0014293F"/>
    <w:rsid w:val="001429DE"/>
    <w:rsid w:val="00142A38"/>
    <w:rsid w:val="00142AA1"/>
    <w:rsid w:val="00142AFB"/>
    <w:rsid w:val="00142B5A"/>
    <w:rsid w:val="00142BC2"/>
    <w:rsid w:val="00142D60"/>
    <w:rsid w:val="00142D76"/>
    <w:rsid w:val="00142EFE"/>
    <w:rsid w:val="00142F0A"/>
    <w:rsid w:val="00142F1D"/>
    <w:rsid w:val="00142F8E"/>
    <w:rsid w:val="001430D8"/>
    <w:rsid w:val="0014331A"/>
    <w:rsid w:val="0014340E"/>
    <w:rsid w:val="001434D8"/>
    <w:rsid w:val="0014353B"/>
    <w:rsid w:val="00143644"/>
    <w:rsid w:val="00143689"/>
    <w:rsid w:val="001436A5"/>
    <w:rsid w:val="00143737"/>
    <w:rsid w:val="0014376D"/>
    <w:rsid w:val="001438D4"/>
    <w:rsid w:val="00143AB1"/>
    <w:rsid w:val="00143ACE"/>
    <w:rsid w:val="00143BF4"/>
    <w:rsid w:val="00143C6C"/>
    <w:rsid w:val="00143D50"/>
    <w:rsid w:val="00143DD7"/>
    <w:rsid w:val="00143F0C"/>
    <w:rsid w:val="00143FC3"/>
    <w:rsid w:val="00143FDB"/>
    <w:rsid w:val="00144051"/>
    <w:rsid w:val="001440CF"/>
    <w:rsid w:val="001442EE"/>
    <w:rsid w:val="0014430F"/>
    <w:rsid w:val="0014432C"/>
    <w:rsid w:val="00144428"/>
    <w:rsid w:val="001444B5"/>
    <w:rsid w:val="001446A6"/>
    <w:rsid w:val="00144743"/>
    <w:rsid w:val="00144898"/>
    <w:rsid w:val="001448BC"/>
    <w:rsid w:val="00144A49"/>
    <w:rsid w:val="00144B44"/>
    <w:rsid w:val="00144B49"/>
    <w:rsid w:val="00144CC0"/>
    <w:rsid w:val="00144CC8"/>
    <w:rsid w:val="00144D27"/>
    <w:rsid w:val="00144DD1"/>
    <w:rsid w:val="0014520C"/>
    <w:rsid w:val="0014537A"/>
    <w:rsid w:val="001454D3"/>
    <w:rsid w:val="001455F5"/>
    <w:rsid w:val="00145654"/>
    <w:rsid w:val="00145665"/>
    <w:rsid w:val="0014572A"/>
    <w:rsid w:val="00145AB6"/>
    <w:rsid w:val="00145E42"/>
    <w:rsid w:val="00145F02"/>
    <w:rsid w:val="00145F52"/>
    <w:rsid w:val="00145F78"/>
    <w:rsid w:val="00146094"/>
    <w:rsid w:val="0014619D"/>
    <w:rsid w:val="0014639B"/>
    <w:rsid w:val="001463E7"/>
    <w:rsid w:val="001466B5"/>
    <w:rsid w:val="00146715"/>
    <w:rsid w:val="00146857"/>
    <w:rsid w:val="00146899"/>
    <w:rsid w:val="00146C13"/>
    <w:rsid w:val="00147035"/>
    <w:rsid w:val="001470BA"/>
    <w:rsid w:val="00147115"/>
    <w:rsid w:val="001472CE"/>
    <w:rsid w:val="00147323"/>
    <w:rsid w:val="00147392"/>
    <w:rsid w:val="001473C5"/>
    <w:rsid w:val="0014741C"/>
    <w:rsid w:val="00147489"/>
    <w:rsid w:val="0014763B"/>
    <w:rsid w:val="0014776A"/>
    <w:rsid w:val="001477C2"/>
    <w:rsid w:val="001477D3"/>
    <w:rsid w:val="00147825"/>
    <w:rsid w:val="001478BA"/>
    <w:rsid w:val="00147941"/>
    <w:rsid w:val="0014797C"/>
    <w:rsid w:val="00147BB7"/>
    <w:rsid w:val="00147BE7"/>
    <w:rsid w:val="00147CAB"/>
    <w:rsid w:val="00147D26"/>
    <w:rsid w:val="00147FF8"/>
    <w:rsid w:val="0015008D"/>
    <w:rsid w:val="00150198"/>
    <w:rsid w:val="001501C6"/>
    <w:rsid w:val="0015022F"/>
    <w:rsid w:val="00150316"/>
    <w:rsid w:val="001503D6"/>
    <w:rsid w:val="0015061F"/>
    <w:rsid w:val="0015065B"/>
    <w:rsid w:val="0015087E"/>
    <w:rsid w:val="001508D0"/>
    <w:rsid w:val="001508DA"/>
    <w:rsid w:val="00150908"/>
    <w:rsid w:val="00150957"/>
    <w:rsid w:val="0015097F"/>
    <w:rsid w:val="001509DB"/>
    <w:rsid w:val="00150A39"/>
    <w:rsid w:val="00150A5F"/>
    <w:rsid w:val="00150C6F"/>
    <w:rsid w:val="00150D00"/>
    <w:rsid w:val="00150D49"/>
    <w:rsid w:val="00150DC9"/>
    <w:rsid w:val="00150DDD"/>
    <w:rsid w:val="00150F3A"/>
    <w:rsid w:val="00150FAB"/>
    <w:rsid w:val="00151003"/>
    <w:rsid w:val="00151070"/>
    <w:rsid w:val="001510E0"/>
    <w:rsid w:val="00151155"/>
    <w:rsid w:val="001511CD"/>
    <w:rsid w:val="0015125D"/>
    <w:rsid w:val="00151279"/>
    <w:rsid w:val="00151328"/>
    <w:rsid w:val="00151388"/>
    <w:rsid w:val="00151399"/>
    <w:rsid w:val="001514E2"/>
    <w:rsid w:val="001515E8"/>
    <w:rsid w:val="001518AF"/>
    <w:rsid w:val="0015194B"/>
    <w:rsid w:val="001519CE"/>
    <w:rsid w:val="00151BDA"/>
    <w:rsid w:val="00151DAA"/>
    <w:rsid w:val="00151EB3"/>
    <w:rsid w:val="00151F68"/>
    <w:rsid w:val="00151F80"/>
    <w:rsid w:val="0015203B"/>
    <w:rsid w:val="0015207E"/>
    <w:rsid w:val="001520D4"/>
    <w:rsid w:val="00152290"/>
    <w:rsid w:val="0015229F"/>
    <w:rsid w:val="001522D8"/>
    <w:rsid w:val="001524F8"/>
    <w:rsid w:val="001526E0"/>
    <w:rsid w:val="001526FC"/>
    <w:rsid w:val="001527BB"/>
    <w:rsid w:val="001528B0"/>
    <w:rsid w:val="001529CF"/>
    <w:rsid w:val="00152A34"/>
    <w:rsid w:val="00152AB5"/>
    <w:rsid w:val="00152B96"/>
    <w:rsid w:val="00152BDA"/>
    <w:rsid w:val="00152CC0"/>
    <w:rsid w:val="00152E0A"/>
    <w:rsid w:val="0015322E"/>
    <w:rsid w:val="001532A7"/>
    <w:rsid w:val="00153533"/>
    <w:rsid w:val="00153946"/>
    <w:rsid w:val="00153977"/>
    <w:rsid w:val="00153BFF"/>
    <w:rsid w:val="00153C22"/>
    <w:rsid w:val="00153D36"/>
    <w:rsid w:val="00153DCB"/>
    <w:rsid w:val="00153DE6"/>
    <w:rsid w:val="00153E15"/>
    <w:rsid w:val="00153EE5"/>
    <w:rsid w:val="00153EF0"/>
    <w:rsid w:val="00153FAD"/>
    <w:rsid w:val="00153FE7"/>
    <w:rsid w:val="00154041"/>
    <w:rsid w:val="001542AE"/>
    <w:rsid w:val="001545D0"/>
    <w:rsid w:val="0015478A"/>
    <w:rsid w:val="0015496B"/>
    <w:rsid w:val="00154B13"/>
    <w:rsid w:val="00154C7A"/>
    <w:rsid w:val="00154E06"/>
    <w:rsid w:val="00154E5E"/>
    <w:rsid w:val="00154E8B"/>
    <w:rsid w:val="00154EE4"/>
    <w:rsid w:val="00154F61"/>
    <w:rsid w:val="00154F62"/>
    <w:rsid w:val="00154F99"/>
    <w:rsid w:val="001550F7"/>
    <w:rsid w:val="001553AD"/>
    <w:rsid w:val="00155411"/>
    <w:rsid w:val="001554B9"/>
    <w:rsid w:val="00155676"/>
    <w:rsid w:val="001556A1"/>
    <w:rsid w:val="001556E9"/>
    <w:rsid w:val="00155A5C"/>
    <w:rsid w:val="00155B09"/>
    <w:rsid w:val="00155C49"/>
    <w:rsid w:val="00155CC7"/>
    <w:rsid w:val="00155D16"/>
    <w:rsid w:val="00155EC9"/>
    <w:rsid w:val="00155FF3"/>
    <w:rsid w:val="00156031"/>
    <w:rsid w:val="00156050"/>
    <w:rsid w:val="0015620C"/>
    <w:rsid w:val="00156304"/>
    <w:rsid w:val="00156408"/>
    <w:rsid w:val="0015646D"/>
    <w:rsid w:val="001564BB"/>
    <w:rsid w:val="001564F2"/>
    <w:rsid w:val="00156566"/>
    <w:rsid w:val="0015676F"/>
    <w:rsid w:val="00156AD5"/>
    <w:rsid w:val="00156D10"/>
    <w:rsid w:val="00156D58"/>
    <w:rsid w:val="00156D89"/>
    <w:rsid w:val="00156E41"/>
    <w:rsid w:val="00157031"/>
    <w:rsid w:val="00157169"/>
    <w:rsid w:val="0015729A"/>
    <w:rsid w:val="001572F9"/>
    <w:rsid w:val="00157377"/>
    <w:rsid w:val="001574C0"/>
    <w:rsid w:val="001575F9"/>
    <w:rsid w:val="0015781D"/>
    <w:rsid w:val="00157949"/>
    <w:rsid w:val="00157B44"/>
    <w:rsid w:val="00157C7A"/>
    <w:rsid w:val="00157E16"/>
    <w:rsid w:val="00157FE7"/>
    <w:rsid w:val="001600BA"/>
    <w:rsid w:val="00160605"/>
    <w:rsid w:val="001606CF"/>
    <w:rsid w:val="001608E9"/>
    <w:rsid w:val="00160962"/>
    <w:rsid w:val="00160A29"/>
    <w:rsid w:val="00160B06"/>
    <w:rsid w:val="00160B2F"/>
    <w:rsid w:val="00160D0A"/>
    <w:rsid w:val="00160E8C"/>
    <w:rsid w:val="00160F13"/>
    <w:rsid w:val="0016100B"/>
    <w:rsid w:val="00161105"/>
    <w:rsid w:val="00161120"/>
    <w:rsid w:val="00161133"/>
    <w:rsid w:val="00161252"/>
    <w:rsid w:val="0016128D"/>
    <w:rsid w:val="00161308"/>
    <w:rsid w:val="001613F0"/>
    <w:rsid w:val="0016152E"/>
    <w:rsid w:val="00161762"/>
    <w:rsid w:val="001617F4"/>
    <w:rsid w:val="0016183F"/>
    <w:rsid w:val="00161859"/>
    <w:rsid w:val="00161A97"/>
    <w:rsid w:val="00161B7B"/>
    <w:rsid w:val="00161C1D"/>
    <w:rsid w:val="00161C65"/>
    <w:rsid w:val="00161F39"/>
    <w:rsid w:val="00161F51"/>
    <w:rsid w:val="00161F77"/>
    <w:rsid w:val="001620E6"/>
    <w:rsid w:val="00162117"/>
    <w:rsid w:val="00162138"/>
    <w:rsid w:val="001623B4"/>
    <w:rsid w:val="001624A0"/>
    <w:rsid w:val="001624F5"/>
    <w:rsid w:val="00162535"/>
    <w:rsid w:val="001627E0"/>
    <w:rsid w:val="001628C9"/>
    <w:rsid w:val="0016298B"/>
    <w:rsid w:val="00162AB7"/>
    <w:rsid w:val="00162BBD"/>
    <w:rsid w:val="00162C00"/>
    <w:rsid w:val="00162CE9"/>
    <w:rsid w:val="00162CEF"/>
    <w:rsid w:val="00162DBC"/>
    <w:rsid w:val="00162E4B"/>
    <w:rsid w:val="00162F2B"/>
    <w:rsid w:val="00162FAC"/>
    <w:rsid w:val="00163202"/>
    <w:rsid w:val="001632C7"/>
    <w:rsid w:val="00163340"/>
    <w:rsid w:val="0016334F"/>
    <w:rsid w:val="00163474"/>
    <w:rsid w:val="00163499"/>
    <w:rsid w:val="001634C3"/>
    <w:rsid w:val="001634F3"/>
    <w:rsid w:val="001636B5"/>
    <w:rsid w:val="001637E4"/>
    <w:rsid w:val="001637EE"/>
    <w:rsid w:val="0016395E"/>
    <w:rsid w:val="00163BE0"/>
    <w:rsid w:val="00163C2C"/>
    <w:rsid w:val="00163CBD"/>
    <w:rsid w:val="00163EEE"/>
    <w:rsid w:val="001642A1"/>
    <w:rsid w:val="00164365"/>
    <w:rsid w:val="0016437C"/>
    <w:rsid w:val="001643A4"/>
    <w:rsid w:val="00164599"/>
    <w:rsid w:val="00164600"/>
    <w:rsid w:val="00164674"/>
    <w:rsid w:val="0016468B"/>
    <w:rsid w:val="001646D8"/>
    <w:rsid w:val="001647BC"/>
    <w:rsid w:val="00164A3C"/>
    <w:rsid w:val="00164B93"/>
    <w:rsid w:val="00164C7A"/>
    <w:rsid w:val="00165018"/>
    <w:rsid w:val="0016517F"/>
    <w:rsid w:val="0016518E"/>
    <w:rsid w:val="001651D0"/>
    <w:rsid w:val="0016520E"/>
    <w:rsid w:val="0016530F"/>
    <w:rsid w:val="00165515"/>
    <w:rsid w:val="0016558B"/>
    <w:rsid w:val="001656F0"/>
    <w:rsid w:val="001657C2"/>
    <w:rsid w:val="0016587C"/>
    <w:rsid w:val="001658ED"/>
    <w:rsid w:val="00165D8C"/>
    <w:rsid w:val="00165DE9"/>
    <w:rsid w:val="00165EAE"/>
    <w:rsid w:val="0016604B"/>
    <w:rsid w:val="00166187"/>
    <w:rsid w:val="0016639A"/>
    <w:rsid w:val="001663E9"/>
    <w:rsid w:val="00166657"/>
    <w:rsid w:val="001668AD"/>
    <w:rsid w:val="0016690A"/>
    <w:rsid w:val="00166C9D"/>
    <w:rsid w:val="00166CDA"/>
    <w:rsid w:val="00166CE1"/>
    <w:rsid w:val="00166CED"/>
    <w:rsid w:val="00166DC3"/>
    <w:rsid w:val="00166EDE"/>
    <w:rsid w:val="00166EFD"/>
    <w:rsid w:val="0016706C"/>
    <w:rsid w:val="0016718D"/>
    <w:rsid w:val="00167196"/>
    <w:rsid w:val="001671D6"/>
    <w:rsid w:val="00167268"/>
    <w:rsid w:val="00167335"/>
    <w:rsid w:val="0016742C"/>
    <w:rsid w:val="00167455"/>
    <w:rsid w:val="00167466"/>
    <w:rsid w:val="001676A1"/>
    <w:rsid w:val="00167726"/>
    <w:rsid w:val="00167865"/>
    <w:rsid w:val="00167A00"/>
    <w:rsid w:val="00167B9B"/>
    <w:rsid w:val="00167CC5"/>
    <w:rsid w:val="00167DF6"/>
    <w:rsid w:val="00167E2A"/>
    <w:rsid w:val="00167E68"/>
    <w:rsid w:val="00167F42"/>
    <w:rsid w:val="00167F5A"/>
    <w:rsid w:val="00167F8E"/>
    <w:rsid w:val="0017019E"/>
    <w:rsid w:val="001701BE"/>
    <w:rsid w:val="001702A4"/>
    <w:rsid w:val="001702BF"/>
    <w:rsid w:val="00170342"/>
    <w:rsid w:val="0017044B"/>
    <w:rsid w:val="001704D0"/>
    <w:rsid w:val="001704D9"/>
    <w:rsid w:val="001704F3"/>
    <w:rsid w:val="0017059E"/>
    <w:rsid w:val="001705AF"/>
    <w:rsid w:val="001705D8"/>
    <w:rsid w:val="00170625"/>
    <w:rsid w:val="00170650"/>
    <w:rsid w:val="00170757"/>
    <w:rsid w:val="0017075D"/>
    <w:rsid w:val="001707CE"/>
    <w:rsid w:val="0017084D"/>
    <w:rsid w:val="0017088A"/>
    <w:rsid w:val="0017089D"/>
    <w:rsid w:val="001708B1"/>
    <w:rsid w:val="001708EB"/>
    <w:rsid w:val="00170964"/>
    <w:rsid w:val="00170B62"/>
    <w:rsid w:val="00170D3D"/>
    <w:rsid w:val="00170D95"/>
    <w:rsid w:val="00170DF5"/>
    <w:rsid w:val="00170EF0"/>
    <w:rsid w:val="001711B9"/>
    <w:rsid w:val="00171299"/>
    <w:rsid w:val="00171309"/>
    <w:rsid w:val="00171366"/>
    <w:rsid w:val="00171367"/>
    <w:rsid w:val="001713D5"/>
    <w:rsid w:val="00171403"/>
    <w:rsid w:val="00171418"/>
    <w:rsid w:val="001715E9"/>
    <w:rsid w:val="00171655"/>
    <w:rsid w:val="00171811"/>
    <w:rsid w:val="00171852"/>
    <w:rsid w:val="001718AE"/>
    <w:rsid w:val="001718B0"/>
    <w:rsid w:val="00171A80"/>
    <w:rsid w:val="00171A85"/>
    <w:rsid w:val="00171BEA"/>
    <w:rsid w:val="00171BFE"/>
    <w:rsid w:val="00171D31"/>
    <w:rsid w:val="00171E0F"/>
    <w:rsid w:val="00171F20"/>
    <w:rsid w:val="00172023"/>
    <w:rsid w:val="001721B1"/>
    <w:rsid w:val="00172202"/>
    <w:rsid w:val="001723A2"/>
    <w:rsid w:val="001724A7"/>
    <w:rsid w:val="001724BC"/>
    <w:rsid w:val="00172536"/>
    <w:rsid w:val="00172567"/>
    <w:rsid w:val="0017257A"/>
    <w:rsid w:val="0017270A"/>
    <w:rsid w:val="00172861"/>
    <w:rsid w:val="00172A2D"/>
    <w:rsid w:val="00172A6A"/>
    <w:rsid w:val="00172E78"/>
    <w:rsid w:val="00172EF7"/>
    <w:rsid w:val="00173206"/>
    <w:rsid w:val="00173272"/>
    <w:rsid w:val="0017333C"/>
    <w:rsid w:val="00173497"/>
    <w:rsid w:val="001734FD"/>
    <w:rsid w:val="0017373B"/>
    <w:rsid w:val="0017375C"/>
    <w:rsid w:val="00173797"/>
    <w:rsid w:val="00173875"/>
    <w:rsid w:val="0017391D"/>
    <w:rsid w:val="00173937"/>
    <w:rsid w:val="001739EE"/>
    <w:rsid w:val="00173BFC"/>
    <w:rsid w:val="00173C8C"/>
    <w:rsid w:val="00173DC0"/>
    <w:rsid w:val="00173EB6"/>
    <w:rsid w:val="00173F9F"/>
    <w:rsid w:val="00173FEB"/>
    <w:rsid w:val="001740D8"/>
    <w:rsid w:val="001741A6"/>
    <w:rsid w:val="001742C0"/>
    <w:rsid w:val="001743B9"/>
    <w:rsid w:val="001743DD"/>
    <w:rsid w:val="00174506"/>
    <w:rsid w:val="0017454B"/>
    <w:rsid w:val="00174559"/>
    <w:rsid w:val="001745A9"/>
    <w:rsid w:val="001747FF"/>
    <w:rsid w:val="001748B4"/>
    <w:rsid w:val="00174917"/>
    <w:rsid w:val="00174935"/>
    <w:rsid w:val="00174B78"/>
    <w:rsid w:val="00174BA3"/>
    <w:rsid w:val="00174BF8"/>
    <w:rsid w:val="00174DAF"/>
    <w:rsid w:val="00174F78"/>
    <w:rsid w:val="00175032"/>
    <w:rsid w:val="0017511A"/>
    <w:rsid w:val="001751A6"/>
    <w:rsid w:val="00175246"/>
    <w:rsid w:val="00175253"/>
    <w:rsid w:val="001752C8"/>
    <w:rsid w:val="00175383"/>
    <w:rsid w:val="0017538C"/>
    <w:rsid w:val="001753EE"/>
    <w:rsid w:val="0017548D"/>
    <w:rsid w:val="001754C3"/>
    <w:rsid w:val="001755EA"/>
    <w:rsid w:val="00175604"/>
    <w:rsid w:val="001757B0"/>
    <w:rsid w:val="00175899"/>
    <w:rsid w:val="00175A2F"/>
    <w:rsid w:val="00175AFE"/>
    <w:rsid w:val="00175C31"/>
    <w:rsid w:val="00175E49"/>
    <w:rsid w:val="00175E57"/>
    <w:rsid w:val="00175E9D"/>
    <w:rsid w:val="0017606E"/>
    <w:rsid w:val="0017610F"/>
    <w:rsid w:val="0017613B"/>
    <w:rsid w:val="001761EE"/>
    <w:rsid w:val="001764E7"/>
    <w:rsid w:val="00176549"/>
    <w:rsid w:val="00176607"/>
    <w:rsid w:val="00176850"/>
    <w:rsid w:val="00176853"/>
    <w:rsid w:val="00176B1F"/>
    <w:rsid w:val="00176B36"/>
    <w:rsid w:val="00176C92"/>
    <w:rsid w:val="00176CD1"/>
    <w:rsid w:val="00176F35"/>
    <w:rsid w:val="00176F3E"/>
    <w:rsid w:val="00177027"/>
    <w:rsid w:val="00177100"/>
    <w:rsid w:val="00177104"/>
    <w:rsid w:val="0017745C"/>
    <w:rsid w:val="001775DC"/>
    <w:rsid w:val="00177623"/>
    <w:rsid w:val="0017768E"/>
    <w:rsid w:val="001776EF"/>
    <w:rsid w:val="001777F1"/>
    <w:rsid w:val="001778DE"/>
    <w:rsid w:val="00177A58"/>
    <w:rsid w:val="00177ADC"/>
    <w:rsid w:val="00177AED"/>
    <w:rsid w:val="00177B16"/>
    <w:rsid w:val="00177B6B"/>
    <w:rsid w:val="00177BF5"/>
    <w:rsid w:val="00177BF9"/>
    <w:rsid w:val="00177C57"/>
    <w:rsid w:val="00177C81"/>
    <w:rsid w:val="00177E27"/>
    <w:rsid w:val="00180000"/>
    <w:rsid w:val="001801D7"/>
    <w:rsid w:val="00180268"/>
    <w:rsid w:val="001804AC"/>
    <w:rsid w:val="001805A8"/>
    <w:rsid w:val="00180AA6"/>
    <w:rsid w:val="00180AFC"/>
    <w:rsid w:val="00180B52"/>
    <w:rsid w:val="00180B88"/>
    <w:rsid w:val="00180D09"/>
    <w:rsid w:val="00180D0F"/>
    <w:rsid w:val="00180DB1"/>
    <w:rsid w:val="00180E01"/>
    <w:rsid w:val="00180FC9"/>
    <w:rsid w:val="0018107A"/>
    <w:rsid w:val="00181096"/>
    <w:rsid w:val="001810EA"/>
    <w:rsid w:val="001810F1"/>
    <w:rsid w:val="0018128B"/>
    <w:rsid w:val="001812D0"/>
    <w:rsid w:val="0018134A"/>
    <w:rsid w:val="001815A7"/>
    <w:rsid w:val="00181602"/>
    <w:rsid w:val="0018169C"/>
    <w:rsid w:val="001817CF"/>
    <w:rsid w:val="00181848"/>
    <w:rsid w:val="00181924"/>
    <w:rsid w:val="00181954"/>
    <w:rsid w:val="001819CF"/>
    <w:rsid w:val="001819DA"/>
    <w:rsid w:val="00181A7D"/>
    <w:rsid w:val="00181A9C"/>
    <w:rsid w:val="00181B1D"/>
    <w:rsid w:val="00181B40"/>
    <w:rsid w:val="00181B9A"/>
    <w:rsid w:val="00181C04"/>
    <w:rsid w:val="00181CE8"/>
    <w:rsid w:val="00181D50"/>
    <w:rsid w:val="00181E6B"/>
    <w:rsid w:val="00181E8B"/>
    <w:rsid w:val="00182004"/>
    <w:rsid w:val="00182061"/>
    <w:rsid w:val="00182120"/>
    <w:rsid w:val="001821B7"/>
    <w:rsid w:val="001823A4"/>
    <w:rsid w:val="001823A5"/>
    <w:rsid w:val="00182441"/>
    <w:rsid w:val="00182666"/>
    <w:rsid w:val="00182667"/>
    <w:rsid w:val="00182793"/>
    <w:rsid w:val="00182BE5"/>
    <w:rsid w:val="00182D35"/>
    <w:rsid w:val="00182E56"/>
    <w:rsid w:val="00183026"/>
    <w:rsid w:val="0018304A"/>
    <w:rsid w:val="00183135"/>
    <w:rsid w:val="001831FB"/>
    <w:rsid w:val="00183226"/>
    <w:rsid w:val="00183578"/>
    <w:rsid w:val="001835CA"/>
    <w:rsid w:val="001835D2"/>
    <w:rsid w:val="00183736"/>
    <w:rsid w:val="001837D6"/>
    <w:rsid w:val="001839EB"/>
    <w:rsid w:val="00183A0A"/>
    <w:rsid w:val="00183A31"/>
    <w:rsid w:val="00183BC8"/>
    <w:rsid w:val="00183C41"/>
    <w:rsid w:val="00183D25"/>
    <w:rsid w:val="00183D35"/>
    <w:rsid w:val="00184186"/>
    <w:rsid w:val="00184211"/>
    <w:rsid w:val="001842A6"/>
    <w:rsid w:val="0018430B"/>
    <w:rsid w:val="001843FC"/>
    <w:rsid w:val="00184406"/>
    <w:rsid w:val="0018456C"/>
    <w:rsid w:val="00184729"/>
    <w:rsid w:val="00184741"/>
    <w:rsid w:val="001848A7"/>
    <w:rsid w:val="0018494C"/>
    <w:rsid w:val="00184AF5"/>
    <w:rsid w:val="00184C27"/>
    <w:rsid w:val="00184D26"/>
    <w:rsid w:val="00184D4F"/>
    <w:rsid w:val="00184D68"/>
    <w:rsid w:val="00184E17"/>
    <w:rsid w:val="00184F30"/>
    <w:rsid w:val="00184F52"/>
    <w:rsid w:val="00184FA3"/>
    <w:rsid w:val="0018517C"/>
    <w:rsid w:val="00185276"/>
    <w:rsid w:val="0018532C"/>
    <w:rsid w:val="001853AA"/>
    <w:rsid w:val="001856EE"/>
    <w:rsid w:val="00185774"/>
    <w:rsid w:val="00185CB3"/>
    <w:rsid w:val="00185D6A"/>
    <w:rsid w:val="00185EC5"/>
    <w:rsid w:val="00185ED0"/>
    <w:rsid w:val="00185ED5"/>
    <w:rsid w:val="00185FD4"/>
    <w:rsid w:val="00185FE4"/>
    <w:rsid w:val="0018602B"/>
    <w:rsid w:val="001862A0"/>
    <w:rsid w:val="001862C7"/>
    <w:rsid w:val="00186324"/>
    <w:rsid w:val="00186388"/>
    <w:rsid w:val="001864E5"/>
    <w:rsid w:val="0018654B"/>
    <w:rsid w:val="0018659D"/>
    <w:rsid w:val="0018665B"/>
    <w:rsid w:val="0018667A"/>
    <w:rsid w:val="00186A02"/>
    <w:rsid w:val="00186ABD"/>
    <w:rsid w:val="00186BD3"/>
    <w:rsid w:val="00186C60"/>
    <w:rsid w:val="00186CC7"/>
    <w:rsid w:val="00186F19"/>
    <w:rsid w:val="00186F43"/>
    <w:rsid w:val="00186F89"/>
    <w:rsid w:val="00187016"/>
    <w:rsid w:val="00187039"/>
    <w:rsid w:val="0018719F"/>
    <w:rsid w:val="001872A3"/>
    <w:rsid w:val="00187337"/>
    <w:rsid w:val="00187370"/>
    <w:rsid w:val="00187627"/>
    <w:rsid w:val="00187B93"/>
    <w:rsid w:val="00187CD8"/>
    <w:rsid w:val="00187F7C"/>
    <w:rsid w:val="00190235"/>
    <w:rsid w:val="00190289"/>
    <w:rsid w:val="00190568"/>
    <w:rsid w:val="00190681"/>
    <w:rsid w:val="001906DC"/>
    <w:rsid w:val="00190704"/>
    <w:rsid w:val="00190993"/>
    <w:rsid w:val="001909D7"/>
    <w:rsid w:val="00190A4E"/>
    <w:rsid w:val="00190A7A"/>
    <w:rsid w:val="00190AE5"/>
    <w:rsid w:val="00190BC9"/>
    <w:rsid w:val="00190D5B"/>
    <w:rsid w:val="00190E58"/>
    <w:rsid w:val="00190FD0"/>
    <w:rsid w:val="0019101A"/>
    <w:rsid w:val="00191073"/>
    <w:rsid w:val="0019109D"/>
    <w:rsid w:val="00191122"/>
    <w:rsid w:val="001911EC"/>
    <w:rsid w:val="00191278"/>
    <w:rsid w:val="0019127E"/>
    <w:rsid w:val="001912DA"/>
    <w:rsid w:val="00191303"/>
    <w:rsid w:val="001913AE"/>
    <w:rsid w:val="001913E9"/>
    <w:rsid w:val="0019146D"/>
    <w:rsid w:val="00191547"/>
    <w:rsid w:val="001917BB"/>
    <w:rsid w:val="001918E3"/>
    <w:rsid w:val="00191A09"/>
    <w:rsid w:val="00191B26"/>
    <w:rsid w:val="00191CA3"/>
    <w:rsid w:val="00191CC8"/>
    <w:rsid w:val="00191E86"/>
    <w:rsid w:val="00191EBD"/>
    <w:rsid w:val="00192093"/>
    <w:rsid w:val="001920BA"/>
    <w:rsid w:val="0019213D"/>
    <w:rsid w:val="00192283"/>
    <w:rsid w:val="0019249C"/>
    <w:rsid w:val="001924EC"/>
    <w:rsid w:val="0019269E"/>
    <w:rsid w:val="00192741"/>
    <w:rsid w:val="00192746"/>
    <w:rsid w:val="00192948"/>
    <w:rsid w:val="0019296E"/>
    <w:rsid w:val="00192B29"/>
    <w:rsid w:val="00192B59"/>
    <w:rsid w:val="00192C34"/>
    <w:rsid w:val="00192C5F"/>
    <w:rsid w:val="00192DD4"/>
    <w:rsid w:val="00192E10"/>
    <w:rsid w:val="00192E5C"/>
    <w:rsid w:val="00192EAC"/>
    <w:rsid w:val="00192F65"/>
    <w:rsid w:val="00193194"/>
    <w:rsid w:val="00193449"/>
    <w:rsid w:val="001935BF"/>
    <w:rsid w:val="0019383F"/>
    <w:rsid w:val="0019388A"/>
    <w:rsid w:val="0019389D"/>
    <w:rsid w:val="0019398A"/>
    <w:rsid w:val="00193AE3"/>
    <w:rsid w:val="00193BD2"/>
    <w:rsid w:val="00193CCF"/>
    <w:rsid w:val="00193D1B"/>
    <w:rsid w:val="00193EC6"/>
    <w:rsid w:val="00193FBE"/>
    <w:rsid w:val="00194003"/>
    <w:rsid w:val="00194065"/>
    <w:rsid w:val="001941B7"/>
    <w:rsid w:val="0019451C"/>
    <w:rsid w:val="0019453E"/>
    <w:rsid w:val="00194561"/>
    <w:rsid w:val="001945C7"/>
    <w:rsid w:val="001945E5"/>
    <w:rsid w:val="00194721"/>
    <w:rsid w:val="0019479A"/>
    <w:rsid w:val="001947DB"/>
    <w:rsid w:val="00194891"/>
    <w:rsid w:val="00194ABE"/>
    <w:rsid w:val="00194BF2"/>
    <w:rsid w:val="00194C15"/>
    <w:rsid w:val="00194C5B"/>
    <w:rsid w:val="00194D52"/>
    <w:rsid w:val="00194D67"/>
    <w:rsid w:val="00194D8F"/>
    <w:rsid w:val="00194D96"/>
    <w:rsid w:val="00194DCC"/>
    <w:rsid w:val="00194DFB"/>
    <w:rsid w:val="00194E1E"/>
    <w:rsid w:val="00194E65"/>
    <w:rsid w:val="00194F95"/>
    <w:rsid w:val="00194FED"/>
    <w:rsid w:val="0019512D"/>
    <w:rsid w:val="00195169"/>
    <w:rsid w:val="00195205"/>
    <w:rsid w:val="001952C2"/>
    <w:rsid w:val="00195315"/>
    <w:rsid w:val="00195372"/>
    <w:rsid w:val="001954A1"/>
    <w:rsid w:val="0019562E"/>
    <w:rsid w:val="00195816"/>
    <w:rsid w:val="001959B0"/>
    <w:rsid w:val="00195AE7"/>
    <w:rsid w:val="00195C7B"/>
    <w:rsid w:val="00195C8E"/>
    <w:rsid w:val="00195E07"/>
    <w:rsid w:val="00195E4C"/>
    <w:rsid w:val="00195E5C"/>
    <w:rsid w:val="00195E79"/>
    <w:rsid w:val="00196031"/>
    <w:rsid w:val="00196078"/>
    <w:rsid w:val="0019607F"/>
    <w:rsid w:val="001960A0"/>
    <w:rsid w:val="001960A7"/>
    <w:rsid w:val="001960BC"/>
    <w:rsid w:val="001960F8"/>
    <w:rsid w:val="00196516"/>
    <w:rsid w:val="00196588"/>
    <w:rsid w:val="0019658C"/>
    <w:rsid w:val="001965A3"/>
    <w:rsid w:val="00196765"/>
    <w:rsid w:val="001968FF"/>
    <w:rsid w:val="00196943"/>
    <w:rsid w:val="00196B1A"/>
    <w:rsid w:val="00196B6B"/>
    <w:rsid w:val="00196C7F"/>
    <w:rsid w:val="00196C87"/>
    <w:rsid w:val="00196D38"/>
    <w:rsid w:val="00196DEB"/>
    <w:rsid w:val="00196E07"/>
    <w:rsid w:val="00196E16"/>
    <w:rsid w:val="0019702F"/>
    <w:rsid w:val="00197089"/>
    <w:rsid w:val="001970D9"/>
    <w:rsid w:val="0019723F"/>
    <w:rsid w:val="0019724E"/>
    <w:rsid w:val="001972D2"/>
    <w:rsid w:val="001975F1"/>
    <w:rsid w:val="001975F5"/>
    <w:rsid w:val="0019761E"/>
    <w:rsid w:val="0019772B"/>
    <w:rsid w:val="0019774E"/>
    <w:rsid w:val="00197801"/>
    <w:rsid w:val="00197818"/>
    <w:rsid w:val="001978EE"/>
    <w:rsid w:val="001979A7"/>
    <w:rsid w:val="00197A08"/>
    <w:rsid w:val="00197BCB"/>
    <w:rsid w:val="00197BDC"/>
    <w:rsid w:val="00197C7B"/>
    <w:rsid w:val="00197D34"/>
    <w:rsid w:val="00197DB2"/>
    <w:rsid w:val="00197DBE"/>
    <w:rsid w:val="00197DD5"/>
    <w:rsid w:val="00197F0C"/>
    <w:rsid w:val="00197F40"/>
    <w:rsid w:val="001A0061"/>
    <w:rsid w:val="001A00A1"/>
    <w:rsid w:val="001A0139"/>
    <w:rsid w:val="001A01CA"/>
    <w:rsid w:val="001A068F"/>
    <w:rsid w:val="001A06B7"/>
    <w:rsid w:val="001A073D"/>
    <w:rsid w:val="001A0B5C"/>
    <w:rsid w:val="001A0C46"/>
    <w:rsid w:val="001A0CD8"/>
    <w:rsid w:val="001A0D5A"/>
    <w:rsid w:val="001A0E77"/>
    <w:rsid w:val="001A0F8B"/>
    <w:rsid w:val="001A1116"/>
    <w:rsid w:val="001A11D4"/>
    <w:rsid w:val="001A133C"/>
    <w:rsid w:val="001A136D"/>
    <w:rsid w:val="001A1414"/>
    <w:rsid w:val="001A1597"/>
    <w:rsid w:val="001A15C1"/>
    <w:rsid w:val="001A15F8"/>
    <w:rsid w:val="001A16C7"/>
    <w:rsid w:val="001A174C"/>
    <w:rsid w:val="001A182A"/>
    <w:rsid w:val="001A183F"/>
    <w:rsid w:val="001A186B"/>
    <w:rsid w:val="001A18A5"/>
    <w:rsid w:val="001A1969"/>
    <w:rsid w:val="001A19CA"/>
    <w:rsid w:val="001A1A50"/>
    <w:rsid w:val="001A1A77"/>
    <w:rsid w:val="001A1A81"/>
    <w:rsid w:val="001A1C92"/>
    <w:rsid w:val="001A1CF4"/>
    <w:rsid w:val="001A1D46"/>
    <w:rsid w:val="001A1DB0"/>
    <w:rsid w:val="001A2121"/>
    <w:rsid w:val="001A219D"/>
    <w:rsid w:val="001A2254"/>
    <w:rsid w:val="001A231B"/>
    <w:rsid w:val="001A24F0"/>
    <w:rsid w:val="001A253D"/>
    <w:rsid w:val="001A25D7"/>
    <w:rsid w:val="001A2626"/>
    <w:rsid w:val="001A2669"/>
    <w:rsid w:val="001A269E"/>
    <w:rsid w:val="001A27A5"/>
    <w:rsid w:val="001A288B"/>
    <w:rsid w:val="001A290D"/>
    <w:rsid w:val="001A292A"/>
    <w:rsid w:val="001A2AFA"/>
    <w:rsid w:val="001A2B4F"/>
    <w:rsid w:val="001A2DE8"/>
    <w:rsid w:val="001A2E6C"/>
    <w:rsid w:val="001A2EA8"/>
    <w:rsid w:val="001A2EFE"/>
    <w:rsid w:val="001A2F2B"/>
    <w:rsid w:val="001A2FF6"/>
    <w:rsid w:val="001A3038"/>
    <w:rsid w:val="001A3173"/>
    <w:rsid w:val="001A31B2"/>
    <w:rsid w:val="001A3217"/>
    <w:rsid w:val="001A329E"/>
    <w:rsid w:val="001A343E"/>
    <w:rsid w:val="001A34AA"/>
    <w:rsid w:val="001A34EA"/>
    <w:rsid w:val="001A372C"/>
    <w:rsid w:val="001A37B6"/>
    <w:rsid w:val="001A37E3"/>
    <w:rsid w:val="001A381C"/>
    <w:rsid w:val="001A383B"/>
    <w:rsid w:val="001A3ACC"/>
    <w:rsid w:val="001A3B4E"/>
    <w:rsid w:val="001A3D7C"/>
    <w:rsid w:val="001A3D92"/>
    <w:rsid w:val="001A3EAA"/>
    <w:rsid w:val="001A3ED1"/>
    <w:rsid w:val="001A3EF2"/>
    <w:rsid w:val="001A3F1A"/>
    <w:rsid w:val="001A3FF7"/>
    <w:rsid w:val="001A403F"/>
    <w:rsid w:val="001A4095"/>
    <w:rsid w:val="001A4198"/>
    <w:rsid w:val="001A421B"/>
    <w:rsid w:val="001A4236"/>
    <w:rsid w:val="001A4262"/>
    <w:rsid w:val="001A4298"/>
    <w:rsid w:val="001A42D9"/>
    <w:rsid w:val="001A441F"/>
    <w:rsid w:val="001A45C6"/>
    <w:rsid w:val="001A484F"/>
    <w:rsid w:val="001A49F9"/>
    <w:rsid w:val="001A4ACD"/>
    <w:rsid w:val="001A4D88"/>
    <w:rsid w:val="001A4D8E"/>
    <w:rsid w:val="001A5014"/>
    <w:rsid w:val="001A502B"/>
    <w:rsid w:val="001A50F7"/>
    <w:rsid w:val="001A5132"/>
    <w:rsid w:val="001A517D"/>
    <w:rsid w:val="001A527A"/>
    <w:rsid w:val="001A5432"/>
    <w:rsid w:val="001A5482"/>
    <w:rsid w:val="001A54AE"/>
    <w:rsid w:val="001A54E8"/>
    <w:rsid w:val="001A5578"/>
    <w:rsid w:val="001A56B3"/>
    <w:rsid w:val="001A579F"/>
    <w:rsid w:val="001A57AA"/>
    <w:rsid w:val="001A5835"/>
    <w:rsid w:val="001A5903"/>
    <w:rsid w:val="001A5A92"/>
    <w:rsid w:val="001A5B0D"/>
    <w:rsid w:val="001A5BB8"/>
    <w:rsid w:val="001A5BD4"/>
    <w:rsid w:val="001A5BE4"/>
    <w:rsid w:val="001A5CAC"/>
    <w:rsid w:val="001A5DAC"/>
    <w:rsid w:val="001A5E1F"/>
    <w:rsid w:val="001A5E4D"/>
    <w:rsid w:val="001A5EB7"/>
    <w:rsid w:val="001A5FB1"/>
    <w:rsid w:val="001A601B"/>
    <w:rsid w:val="001A6198"/>
    <w:rsid w:val="001A6279"/>
    <w:rsid w:val="001A636C"/>
    <w:rsid w:val="001A646C"/>
    <w:rsid w:val="001A6491"/>
    <w:rsid w:val="001A65CF"/>
    <w:rsid w:val="001A665B"/>
    <w:rsid w:val="001A6700"/>
    <w:rsid w:val="001A687A"/>
    <w:rsid w:val="001A6949"/>
    <w:rsid w:val="001A6A34"/>
    <w:rsid w:val="001A6A53"/>
    <w:rsid w:val="001A6ABC"/>
    <w:rsid w:val="001A6AD2"/>
    <w:rsid w:val="001A6B3B"/>
    <w:rsid w:val="001A6B92"/>
    <w:rsid w:val="001A6B97"/>
    <w:rsid w:val="001A6C95"/>
    <w:rsid w:val="001A6D6B"/>
    <w:rsid w:val="001A6EAA"/>
    <w:rsid w:val="001A6FAB"/>
    <w:rsid w:val="001A6FC2"/>
    <w:rsid w:val="001A7305"/>
    <w:rsid w:val="001A7436"/>
    <w:rsid w:val="001A7465"/>
    <w:rsid w:val="001A7766"/>
    <w:rsid w:val="001A7800"/>
    <w:rsid w:val="001A7814"/>
    <w:rsid w:val="001A7846"/>
    <w:rsid w:val="001A7998"/>
    <w:rsid w:val="001A7A52"/>
    <w:rsid w:val="001A7A62"/>
    <w:rsid w:val="001A7C1E"/>
    <w:rsid w:val="001A7C6A"/>
    <w:rsid w:val="001A7C89"/>
    <w:rsid w:val="001A7CA3"/>
    <w:rsid w:val="001A7DA0"/>
    <w:rsid w:val="001A7E68"/>
    <w:rsid w:val="001B00DF"/>
    <w:rsid w:val="001B02E3"/>
    <w:rsid w:val="001B0345"/>
    <w:rsid w:val="001B0449"/>
    <w:rsid w:val="001B0714"/>
    <w:rsid w:val="001B073F"/>
    <w:rsid w:val="001B0785"/>
    <w:rsid w:val="001B0786"/>
    <w:rsid w:val="001B08A5"/>
    <w:rsid w:val="001B08C1"/>
    <w:rsid w:val="001B0955"/>
    <w:rsid w:val="001B09D4"/>
    <w:rsid w:val="001B0A06"/>
    <w:rsid w:val="001B0A07"/>
    <w:rsid w:val="001B0A90"/>
    <w:rsid w:val="001B0C6B"/>
    <w:rsid w:val="001B0C9C"/>
    <w:rsid w:val="001B0D5B"/>
    <w:rsid w:val="001B0E1C"/>
    <w:rsid w:val="001B0E48"/>
    <w:rsid w:val="001B1015"/>
    <w:rsid w:val="001B1078"/>
    <w:rsid w:val="001B11DD"/>
    <w:rsid w:val="001B1524"/>
    <w:rsid w:val="001B180F"/>
    <w:rsid w:val="001B187B"/>
    <w:rsid w:val="001B188C"/>
    <w:rsid w:val="001B1A2D"/>
    <w:rsid w:val="001B1C3C"/>
    <w:rsid w:val="001B1C85"/>
    <w:rsid w:val="001B1E44"/>
    <w:rsid w:val="001B1EA6"/>
    <w:rsid w:val="001B1FB3"/>
    <w:rsid w:val="001B1FC4"/>
    <w:rsid w:val="001B20F0"/>
    <w:rsid w:val="001B2106"/>
    <w:rsid w:val="001B2240"/>
    <w:rsid w:val="001B22EF"/>
    <w:rsid w:val="001B259E"/>
    <w:rsid w:val="001B269A"/>
    <w:rsid w:val="001B2729"/>
    <w:rsid w:val="001B2891"/>
    <w:rsid w:val="001B2963"/>
    <w:rsid w:val="001B2ACD"/>
    <w:rsid w:val="001B2B74"/>
    <w:rsid w:val="001B2CBF"/>
    <w:rsid w:val="001B2CFE"/>
    <w:rsid w:val="001B2E0C"/>
    <w:rsid w:val="001B2EFC"/>
    <w:rsid w:val="001B2F10"/>
    <w:rsid w:val="001B31B1"/>
    <w:rsid w:val="001B31C8"/>
    <w:rsid w:val="001B3339"/>
    <w:rsid w:val="001B334B"/>
    <w:rsid w:val="001B3398"/>
    <w:rsid w:val="001B343B"/>
    <w:rsid w:val="001B35E4"/>
    <w:rsid w:val="001B361C"/>
    <w:rsid w:val="001B3716"/>
    <w:rsid w:val="001B38A5"/>
    <w:rsid w:val="001B38BD"/>
    <w:rsid w:val="001B39A3"/>
    <w:rsid w:val="001B39C5"/>
    <w:rsid w:val="001B3B65"/>
    <w:rsid w:val="001B3BCB"/>
    <w:rsid w:val="001B3CE3"/>
    <w:rsid w:val="001B3EAF"/>
    <w:rsid w:val="001B3F17"/>
    <w:rsid w:val="001B3FAA"/>
    <w:rsid w:val="001B40F8"/>
    <w:rsid w:val="001B4231"/>
    <w:rsid w:val="001B42D0"/>
    <w:rsid w:val="001B43D8"/>
    <w:rsid w:val="001B4460"/>
    <w:rsid w:val="001B4568"/>
    <w:rsid w:val="001B45A9"/>
    <w:rsid w:val="001B45CB"/>
    <w:rsid w:val="001B466D"/>
    <w:rsid w:val="001B47CF"/>
    <w:rsid w:val="001B482A"/>
    <w:rsid w:val="001B499B"/>
    <w:rsid w:val="001B49B3"/>
    <w:rsid w:val="001B4A0A"/>
    <w:rsid w:val="001B4A2B"/>
    <w:rsid w:val="001B4AC9"/>
    <w:rsid w:val="001B4B2C"/>
    <w:rsid w:val="001B4BE6"/>
    <w:rsid w:val="001B4DC4"/>
    <w:rsid w:val="001B4F65"/>
    <w:rsid w:val="001B5067"/>
    <w:rsid w:val="001B50E4"/>
    <w:rsid w:val="001B5150"/>
    <w:rsid w:val="001B5157"/>
    <w:rsid w:val="001B5189"/>
    <w:rsid w:val="001B52F8"/>
    <w:rsid w:val="001B5300"/>
    <w:rsid w:val="001B5305"/>
    <w:rsid w:val="001B5352"/>
    <w:rsid w:val="001B538C"/>
    <w:rsid w:val="001B54ED"/>
    <w:rsid w:val="001B579F"/>
    <w:rsid w:val="001B57B4"/>
    <w:rsid w:val="001B592C"/>
    <w:rsid w:val="001B5A53"/>
    <w:rsid w:val="001B5B79"/>
    <w:rsid w:val="001B5C1C"/>
    <w:rsid w:val="001B5E49"/>
    <w:rsid w:val="001B5F96"/>
    <w:rsid w:val="001B65C2"/>
    <w:rsid w:val="001B67E8"/>
    <w:rsid w:val="001B689A"/>
    <w:rsid w:val="001B6916"/>
    <w:rsid w:val="001B6936"/>
    <w:rsid w:val="001B6C11"/>
    <w:rsid w:val="001B6C5D"/>
    <w:rsid w:val="001B6C80"/>
    <w:rsid w:val="001B6CB8"/>
    <w:rsid w:val="001B70AB"/>
    <w:rsid w:val="001B70AF"/>
    <w:rsid w:val="001B714A"/>
    <w:rsid w:val="001B7258"/>
    <w:rsid w:val="001B74C2"/>
    <w:rsid w:val="001B74D5"/>
    <w:rsid w:val="001B7559"/>
    <w:rsid w:val="001B75B7"/>
    <w:rsid w:val="001B75DD"/>
    <w:rsid w:val="001B7736"/>
    <w:rsid w:val="001B7770"/>
    <w:rsid w:val="001B79D5"/>
    <w:rsid w:val="001B7BB6"/>
    <w:rsid w:val="001B7C07"/>
    <w:rsid w:val="001B7C2F"/>
    <w:rsid w:val="001B7C34"/>
    <w:rsid w:val="001B7CE5"/>
    <w:rsid w:val="001B7D9A"/>
    <w:rsid w:val="001B7DF2"/>
    <w:rsid w:val="001B7F60"/>
    <w:rsid w:val="001B7F7D"/>
    <w:rsid w:val="001C0057"/>
    <w:rsid w:val="001C00E8"/>
    <w:rsid w:val="001C010B"/>
    <w:rsid w:val="001C016F"/>
    <w:rsid w:val="001C02AC"/>
    <w:rsid w:val="001C02B0"/>
    <w:rsid w:val="001C0387"/>
    <w:rsid w:val="001C0460"/>
    <w:rsid w:val="001C0589"/>
    <w:rsid w:val="001C061A"/>
    <w:rsid w:val="001C0773"/>
    <w:rsid w:val="001C0872"/>
    <w:rsid w:val="001C08D5"/>
    <w:rsid w:val="001C0952"/>
    <w:rsid w:val="001C09AA"/>
    <w:rsid w:val="001C09D8"/>
    <w:rsid w:val="001C0A8C"/>
    <w:rsid w:val="001C0A98"/>
    <w:rsid w:val="001C0AC7"/>
    <w:rsid w:val="001C0B0C"/>
    <w:rsid w:val="001C0C8B"/>
    <w:rsid w:val="001C0CFB"/>
    <w:rsid w:val="001C0D6D"/>
    <w:rsid w:val="001C0DC5"/>
    <w:rsid w:val="001C0F34"/>
    <w:rsid w:val="001C0FB8"/>
    <w:rsid w:val="001C1050"/>
    <w:rsid w:val="001C12A0"/>
    <w:rsid w:val="001C140C"/>
    <w:rsid w:val="001C14B9"/>
    <w:rsid w:val="001C1955"/>
    <w:rsid w:val="001C19CA"/>
    <w:rsid w:val="001C19F3"/>
    <w:rsid w:val="001C1A0A"/>
    <w:rsid w:val="001C1A2F"/>
    <w:rsid w:val="001C1C0F"/>
    <w:rsid w:val="001C1D20"/>
    <w:rsid w:val="001C1D54"/>
    <w:rsid w:val="001C1D71"/>
    <w:rsid w:val="001C1D87"/>
    <w:rsid w:val="001C1D9B"/>
    <w:rsid w:val="001C1DDE"/>
    <w:rsid w:val="001C1E43"/>
    <w:rsid w:val="001C1F7A"/>
    <w:rsid w:val="001C1FF1"/>
    <w:rsid w:val="001C2092"/>
    <w:rsid w:val="001C22F3"/>
    <w:rsid w:val="001C2309"/>
    <w:rsid w:val="001C2605"/>
    <w:rsid w:val="001C2709"/>
    <w:rsid w:val="001C28A7"/>
    <w:rsid w:val="001C29F6"/>
    <w:rsid w:val="001C2C5A"/>
    <w:rsid w:val="001C2CEF"/>
    <w:rsid w:val="001C2D68"/>
    <w:rsid w:val="001C2D99"/>
    <w:rsid w:val="001C2E81"/>
    <w:rsid w:val="001C2EDC"/>
    <w:rsid w:val="001C2F5F"/>
    <w:rsid w:val="001C3010"/>
    <w:rsid w:val="001C308B"/>
    <w:rsid w:val="001C3199"/>
    <w:rsid w:val="001C32AB"/>
    <w:rsid w:val="001C33CC"/>
    <w:rsid w:val="001C33F8"/>
    <w:rsid w:val="001C3420"/>
    <w:rsid w:val="001C3517"/>
    <w:rsid w:val="001C358D"/>
    <w:rsid w:val="001C37B1"/>
    <w:rsid w:val="001C3933"/>
    <w:rsid w:val="001C398E"/>
    <w:rsid w:val="001C3ACD"/>
    <w:rsid w:val="001C3D60"/>
    <w:rsid w:val="001C3D7D"/>
    <w:rsid w:val="001C3DBA"/>
    <w:rsid w:val="001C3DC4"/>
    <w:rsid w:val="001C3DE6"/>
    <w:rsid w:val="001C3E05"/>
    <w:rsid w:val="001C3FE8"/>
    <w:rsid w:val="001C40A0"/>
    <w:rsid w:val="001C4129"/>
    <w:rsid w:val="001C4151"/>
    <w:rsid w:val="001C41A8"/>
    <w:rsid w:val="001C4277"/>
    <w:rsid w:val="001C42C2"/>
    <w:rsid w:val="001C43BD"/>
    <w:rsid w:val="001C4451"/>
    <w:rsid w:val="001C44F5"/>
    <w:rsid w:val="001C456B"/>
    <w:rsid w:val="001C46A6"/>
    <w:rsid w:val="001C4750"/>
    <w:rsid w:val="001C47F3"/>
    <w:rsid w:val="001C4842"/>
    <w:rsid w:val="001C499B"/>
    <w:rsid w:val="001C4BAA"/>
    <w:rsid w:val="001C4CDC"/>
    <w:rsid w:val="001C4F42"/>
    <w:rsid w:val="001C4F7F"/>
    <w:rsid w:val="001C4FC1"/>
    <w:rsid w:val="001C4FE4"/>
    <w:rsid w:val="001C5002"/>
    <w:rsid w:val="001C50A5"/>
    <w:rsid w:val="001C5193"/>
    <w:rsid w:val="001C5292"/>
    <w:rsid w:val="001C52CD"/>
    <w:rsid w:val="001C5353"/>
    <w:rsid w:val="001C53AD"/>
    <w:rsid w:val="001C546E"/>
    <w:rsid w:val="001C5640"/>
    <w:rsid w:val="001C56FE"/>
    <w:rsid w:val="001C5738"/>
    <w:rsid w:val="001C5773"/>
    <w:rsid w:val="001C58AA"/>
    <w:rsid w:val="001C5971"/>
    <w:rsid w:val="001C5B93"/>
    <w:rsid w:val="001C5DCC"/>
    <w:rsid w:val="001C5EA8"/>
    <w:rsid w:val="001C5F0E"/>
    <w:rsid w:val="001C6413"/>
    <w:rsid w:val="001C6419"/>
    <w:rsid w:val="001C64AA"/>
    <w:rsid w:val="001C64AC"/>
    <w:rsid w:val="001C6518"/>
    <w:rsid w:val="001C6543"/>
    <w:rsid w:val="001C6615"/>
    <w:rsid w:val="001C66EA"/>
    <w:rsid w:val="001C6858"/>
    <w:rsid w:val="001C68D4"/>
    <w:rsid w:val="001C68D9"/>
    <w:rsid w:val="001C6BBC"/>
    <w:rsid w:val="001C6BD2"/>
    <w:rsid w:val="001C6C75"/>
    <w:rsid w:val="001C6CA9"/>
    <w:rsid w:val="001C6DE7"/>
    <w:rsid w:val="001C6F9C"/>
    <w:rsid w:val="001C70B5"/>
    <w:rsid w:val="001C710D"/>
    <w:rsid w:val="001C7128"/>
    <w:rsid w:val="001C7170"/>
    <w:rsid w:val="001C7314"/>
    <w:rsid w:val="001C740C"/>
    <w:rsid w:val="001C7428"/>
    <w:rsid w:val="001C7466"/>
    <w:rsid w:val="001C7632"/>
    <w:rsid w:val="001C7635"/>
    <w:rsid w:val="001C76ED"/>
    <w:rsid w:val="001C785D"/>
    <w:rsid w:val="001C7AEB"/>
    <w:rsid w:val="001C7E27"/>
    <w:rsid w:val="001C7E5A"/>
    <w:rsid w:val="001C7E62"/>
    <w:rsid w:val="001C7E66"/>
    <w:rsid w:val="001D027F"/>
    <w:rsid w:val="001D0386"/>
    <w:rsid w:val="001D039C"/>
    <w:rsid w:val="001D045D"/>
    <w:rsid w:val="001D065B"/>
    <w:rsid w:val="001D0665"/>
    <w:rsid w:val="001D0678"/>
    <w:rsid w:val="001D069B"/>
    <w:rsid w:val="001D06B9"/>
    <w:rsid w:val="001D081F"/>
    <w:rsid w:val="001D0827"/>
    <w:rsid w:val="001D0833"/>
    <w:rsid w:val="001D0B93"/>
    <w:rsid w:val="001D0BDD"/>
    <w:rsid w:val="001D0C04"/>
    <w:rsid w:val="001D0C8F"/>
    <w:rsid w:val="001D0C94"/>
    <w:rsid w:val="001D0D2C"/>
    <w:rsid w:val="001D0EB0"/>
    <w:rsid w:val="001D0EDA"/>
    <w:rsid w:val="001D1074"/>
    <w:rsid w:val="001D10AF"/>
    <w:rsid w:val="001D10CB"/>
    <w:rsid w:val="001D12F1"/>
    <w:rsid w:val="001D1339"/>
    <w:rsid w:val="001D13D3"/>
    <w:rsid w:val="001D1515"/>
    <w:rsid w:val="001D1536"/>
    <w:rsid w:val="001D166A"/>
    <w:rsid w:val="001D16E2"/>
    <w:rsid w:val="001D170C"/>
    <w:rsid w:val="001D176E"/>
    <w:rsid w:val="001D1AD2"/>
    <w:rsid w:val="001D1C06"/>
    <w:rsid w:val="001D1C81"/>
    <w:rsid w:val="001D1D60"/>
    <w:rsid w:val="001D1F77"/>
    <w:rsid w:val="001D1FB0"/>
    <w:rsid w:val="001D20CD"/>
    <w:rsid w:val="001D2105"/>
    <w:rsid w:val="001D216D"/>
    <w:rsid w:val="001D2221"/>
    <w:rsid w:val="001D2229"/>
    <w:rsid w:val="001D22E2"/>
    <w:rsid w:val="001D2375"/>
    <w:rsid w:val="001D248F"/>
    <w:rsid w:val="001D2713"/>
    <w:rsid w:val="001D27A6"/>
    <w:rsid w:val="001D280D"/>
    <w:rsid w:val="001D2842"/>
    <w:rsid w:val="001D2BF3"/>
    <w:rsid w:val="001D2CA8"/>
    <w:rsid w:val="001D2D09"/>
    <w:rsid w:val="001D2D99"/>
    <w:rsid w:val="001D2DD1"/>
    <w:rsid w:val="001D2E90"/>
    <w:rsid w:val="001D2FB8"/>
    <w:rsid w:val="001D3062"/>
    <w:rsid w:val="001D307F"/>
    <w:rsid w:val="001D3207"/>
    <w:rsid w:val="001D3247"/>
    <w:rsid w:val="001D3509"/>
    <w:rsid w:val="001D36E3"/>
    <w:rsid w:val="001D3835"/>
    <w:rsid w:val="001D3844"/>
    <w:rsid w:val="001D38F0"/>
    <w:rsid w:val="001D3918"/>
    <w:rsid w:val="001D397B"/>
    <w:rsid w:val="001D3A81"/>
    <w:rsid w:val="001D3AE0"/>
    <w:rsid w:val="001D3B5A"/>
    <w:rsid w:val="001D3BE6"/>
    <w:rsid w:val="001D3BF4"/>
    <w:rsid w:val="001D3C83"/>
    <w:rsid w:val="001D3E81"/>
    <w:rsid w:val="001D3F57"/>
    <w:rsid w:val="001D3F58"/>
    <w:rsid w:val="001D41D4"/>
    <w:rsid w:val="001D4217"/>
    <w:rsid w:val="001D44CA"/>
    <w:rsid w:val="001D456C"/>
    <w:rsid w:val="001D45E4"/>
    <w:rsid w:val="001D45EF"/>
    <w:rsid w:val="001D47BC"/>
    <w:rsid w:val="001D4830"/>
    <w:rsid w:val="001D499B"/>
    <w:rsid w:val="001D4BE9"/>
    <w:rsid w:val="001D4C1E"/>
    <w:rsid w:val="001D4C38"/>
    <w:rsid w:val="001D4CB2"/>
    <w:rsid w:val="001D4CF0"/>
    <w:rsid w:val="001D4E69"/>
    <w:rsid w:val="001D4EF1"/>
    <w:rsid w:val="001D4F9C"/>
    <w:rsid w:val="001D515C"/>
    <w:rsid w:val="001D5239"/>
    <w:rsid w:val="001D52A6"/>
    <w:rsid w:val="001D541E"/>
    <w:rsid w:val="001D5436"/>
    <w:rsid w:val="001D5482"/>
    <w:rsid w:val="001D54B7"/>
    <w:rsid w:val="001D5599"/>
    <w:rsid w:val="001D568D"/>
    <w:rsid w:val="001D5724"/>
    <w:rsid w:val="001D577C"/>
    <w:rsid w:val="001D57FE"/>
    <w:rsid w:val="001D58B7"/>
    <w:rsid w:val="001D59BA"/>
    <w:rsid w:val="001D59DA"/>
    <w:rsid w:val="001D59E1"/>
    <w:rsid w:val="001D5ABF"/>
    <w:rsid w:val="001D5AEB"/>
    <w:rsid w:val="001D5C6E"/>
    <w:rsid w:val="001D5E4B"/>
    <w:rsid w:val="001D5E96"/>
    <w:rsid w:val="001D5EA2"/>
    <w:rsid w:val="001D5FFD"/>
    <w:rsid w:val="001D60EF"/>
    <w:rsid w:val="001D61B5"/>
    <w:rsid w:val="001D61C4"/>
    <w:rsid w:val="001D61EE"/>
    <w:rsid w:val="001D6296"/>
    <w:rsid w:val="001D651A"/>
    <w:rsid w:val="001D657E"/>
    <w:rsid w:val="001D6582"/>
    <w:rsid w:val="001D6662"/>
    <w:rsid w:val="001D6669"/>
    <w:rsid w:val="001D6715"/>
    <w:rsid w:val="001D67B8"/>
    <w:rsid w:val="001D67B9"/>
    <w:rsid w:val="001D6832"/>
    <w:rsid w:val="001D692D"/>
    <w:rsid w:val="001D6A53"/>
    <w:rsid w:val="001D6A88"/>
    <w:rsid w:val="001D6ADB"/>
    <w:rsid w:val="001D6C42"/>
    <w:rsid w:val="001D6C5A"/>
    <w:rsid w:val="001D6CEA"/>
    <w:rsid w:val="001D6D35"/>
    <w:rsid w:val="001D6E16"/>
    <w:rsid w:val="001D70C4"/>
    <w:rsid w:val="001D70FD"/>
    <w:rsid w:val="001D715E"/>
    <w:rsid w:val="001D71BD"/>
    <w:rsid w:val="001D72F0"/>
    <w:rsid w:val="001D765A"/>
    <w:rsid w:val="001D775C"/>
    <w:rsid w:val="001D7775"/>
    <w:rsid w:val="001D77A6"/>
    <w:rsid w:val="001D7877"/>
    <w:rsid w:val="001D7914"/>
    <w:rsid w:val="001D7939"/>
    <w:rsid w:val="001D7A1C"/>
    <w:rsid w:val="001D7A5D"/>
    <w:rsid w:val="001D7A90"/>
    <w:rsid w:val="001D7C14"/>
    <w:rsid w:val="001D7DD0"/>
    <w:rsid w:val="001D7DF0"/>
    <w:rsid w:val="001E0138"/>
    <w:rsid w:val="001E0196"/>
    <w:rsid w:val="001E01C1"/>
    <w:rsid w:val="001E02EB"/>
    <w:rsid w:val="001E02F9"/>
    <w:rsid w:val="001E0328"/>
    <w:rsid w:val="001E050A"/>
    <w:rsid w:val="001E05D3"/>
    <w:rsid w:val="001E060D"/>
    <w:rsid w:val="001E060F"/>
    <w:rsid w:val="001E06F3"/>
    <w:rsid w:val="001E0796"/>
    <w:rsid w:val="001E085A"/>
    <w:rsid w:val="001E0918"/>
    <w:rsid w:val="001E091E"/>
    <w:rsid w:val="001E0934"/>
    <w:rsid w:val="001E0989"/>
    <w:rsid w:val="001E0A5B"/>
    <w:rsid w:val="001E0A63"/>
    <w:rsid w:val="001E0A80"/>
    <w:rsid w:val="001E0BDB"/>
    <w:rsid w:val="001E0BED"/>
    <w:rsid w:val="001E0C90"/>
    <w:rsid w:val="001E0C96"/>
    <w:rsid w:val="001E0CEB"/>
    <w:rsid w:val="001E0D92"/>
    <w:rsid w:val="001E0E61"/>
    <w:rsid w:val="001E0F7F"/>
    <w:rsid w:val="001E1096"/>
    <w:rsid w:val="001E10EB"/>
    <w:rsid w:val="001E115B"/>
    <w:rsid w:val="001E11EE"/>
    <w:rsid w:val="001E13CA"/>
    <w:rsid w:val="001E14F0"/>
    <w:rsid w:val="001E14FD"/>
    <w:rsid w:val="001E15FE"/>
    <w:rsid w:val="001E161E"/>
    <w:rsid w:val="001E167B"/>
    <w:rsid w:val="001E181C"/>
    <w:rsid w:val="001E19FC"/>
    <w:rsid w:val="001E1ADF"/>
    <w:rsid w:val="001E1CAD"/>
    <w:rsid w:val="001E1DA9"/>
    <w:rsid w:val="001E1DE8"/>
    <w:rsid w:val="001E1EA0"/>
    <w:rsid w:val="001E1F15"/>
    <w:rsid w:val="001E1F80"/>
    <w:rsid w:val="001E20A6"/>
    <w:rsid w:val="001E24E0"/>
    <w:rsid w:val="001E24ED"/>
    <w:rsid w:val="001E2668"/>
    <w:rsid w:val="001E2691"/>
    <w:rsid w:val="001E2773"/>
    <w:rsid w:val="001E2801"/>
    <w:rsid w:val="001E28C3"/>
    <w:rsid w:val="001E28FA"/>
    <w:rsid w:val="001E2BE5"/>
    <w:rsid w:val="001E2C3B"/>
    <w:rsid w:val="001E2C7A"/>
    <w:rsid w:val="001E2DAC"/>
    <w:rsid w:val="001E2F88"/>
    <w:rsid w:val="001E2F91"/>
    <w:rsid w:val="001E2F92"/>
    <w:rsid w:val="001E2FD8"/>
    <w:rsid w:val="001E3003"/>
    <w:rsid w:val="001E3102"/>
    <w:rsid w:val="001E3199"/>
    <w:rsid w:val="001E34E4"/>
    <w:rsid w:val="001E3534"/>
    <w:rsid w:val="001E356D"/>
    <w:rsid w:val="001E3618"/>
    <w:rsid w:val="001E373D"/>
    <w:rsid w:val="001E39C8"/>
    <w:rsid w:val="001E3AF3"/>
    <w:rsid w:val="001E3B22"/>
    <w:rsid w:val="001E3B9C"/>
    <w:rsid w:val="001E3CB0"/>
    <w:rsid w:val="001E3E75"/>
    <w:rsid w:val="001E3F30"/>
    <w:rsid w:val="001E4070"/>
    <w:rsid w:val="001E4077"/>
    <w:rsid w:val="001E412E"/>
    <w:rsid w:val="001E42CA"/>
    <w:rsid w:val="001E42EB"/>
    <w:rsid w:val="001E4569"/>
    <w:rsid w:val="001E46B2"/>
    <w:rsid w:val="001E46E0"/>
    <w:rsid w:val="001E476E"/>
    <w:rsid w:val="001E47C3"/>
    <w:rsid w:val="001E485B"/>
    <w:rsid w:val="001E4971"/>
    <w:rsid w:val="001E4A36"/>
    <w:rsid w:val="001E4B7D"/>
    <w:rsid w:val="001E4CFC"/>
    <w:rsid w:val="001E4DDE"/>
    <w:rsid w:val="001E4F40"/>
    <w:rsid w:val="001E514F"/>
    <w:rsid w:val="001E5172"/>
    <w:rsid w:val="001E51C6"/>
    <w:rsid w:val="001E51E8"/>
    <w:rsid w:val="001E5216"/>
    <w:rsid w:val="001E5309"/>
    <w:rsid w:val="001E53D4"/>
    <w:rsid w:val="001E5603"/>
    <w:rsid w:val="001E5743"/>
    <w:rsid w:val="001E574C"/>
    <w:rsid w:val="001E5826"/>
    <w:rsid w:val="001E5862"/>
    <w:rsid w:val="001E588F"/>
    <w:rsid w:val="001E58AF"/>
    <w:rsid w:val="001E58ED"/>
    <w:rsid w:val="001E5975"/>
    <w:rsid w:val="001E59B9"/>
    <w:rsid w:val="001E5C78"/>
    <w:rsid w:val="001E5CBF"/>
    <w:rsid w:val="001E5E9E"/>
    <w:rsid w:val="001E5F1C"/>
    <w:rsid w:val="001E6029"/>
    <w:rsid w:val="001E6053"/>
    <w:rsid w:val="001E6092"/>
    <w:rsid w:val="001E61E6"/>
    <w:rsid w:val="001E6244"/>
    <w:rsid w:val="001E63EB"/>
    <w:rsid w:val="001E642A"/>
    <w:rsid w:val="001E647A"/>
    <w:rsid w:val="001E64F7"/>
    <w:rsid w:val="001E67E4"/>
    <w:rsid w:val="001E68EA"/>
    <w:rsid w:val="001E6A66"/>
    <w:rsid w:val="001E6BCE"/>
    <w:rsid w:val="001E6BEB"/>
    <w:rsid w:val="001E6C2B"/>
    <w:rsid w:val="001E6E0A"/>
    <w:rsid w:val="001E6F5C"/>
    <w:rsid w:val="001E6F9B"/>
    <w:rsid w:val="001E712F"/>
    <w:rsid w:val="001E716F"/>
    <w:rsid w:val="001E717C"/>
    <w:rsid w:val="001E7237"/>
    <w:rsid w:val="001E72ED"/>
    <w:rsid w:val="001E72FA"/>
    <w:rsid w:val="001E734D"/>
    <w:rsid w:val="001E73D7"/>
    <w:rsid w:val="001E7454"/>
    <w:rsid w:val="001E765D"/>
    <w:rsid w:val="001E767A"/>
    <w:rsid w:val="001E7782"/>
    <w:rsid w:val="001E7927"/>
    <w:rsid w:val="001E7BC0"/>
    <w:rsid w:val="001E7E63"/>
    <w:rsid w:val="001E7EE9"/>
    <w:rsid w:val="001E7EFE"/>
    <w:rsid w:val="001E7F8A"/>
    <w:rsid w:val="001F00C5"/>
    <w:rsid w:val="001F00E3"/>
    <w:rsid w:val="001F01EA"/>
    <w:rsid w:val="001F02FC"/>
    <w:rsid w:val="001F0451"/>
    <w:rsid w:val="001F052B"/>
    <w:rsid w:val="001F05DB"/>
    <w:rsid w:val="001F0789"/>
    <w:rsid w:val="001F0BE6"/>
    <w:rsid w:val="001F0E5C"/>
    <w:rsid w:val="001F110B"/>
    <w:rsid w:val="001F11CB"/>
    <w:rsid w:val="001F12AC"/>
    <w:rsid w:val="001F1391"/>
    <w:rsid w:val="001F13D3"/>
    <w:rsid w:val="001F14E5"/>
    <w:rsid w:val="001F15B4"/>
    <w:rsid w:val="001F15D7"/>
    <w:rsid w:val="001F18A0"/>
    <w:rsid w:val="001F190E"/>
    <w:rsid w:val="001F1A81"/>
    <w:rsid w:val="001F1AD1"/>
    <w:rsid w:val="001F1AF2"/>
    <w:rsid w:val="001F1B27"/>
    <w:rsid w:val="001F1D03"/>
    <w:rsid w:val="001F1DAA"/>
    <w:rsid w:val="001F1DFC"/>
    <w:rsid w:val="001F1E57"/>
    <w:rsid w:val="001F1FF8"/>
    <w:rsid w:val="001F2007"/>
    <w:rsid w:val="001F2275"/>
    <w:rsid w:val="001F22F5"/>
    <w:rsid w:val="001F268F"/>
    <w:rsid w:val="001F26E7"/>
    <w:rsid w:val="001F29F6"/>
    <w:rsid w:val="001F2A2B"/>
    <w:rsid w:val="001F2A51"/>
    <w:rsid w:val="001F2A67"/>
    <w:rsid w:val="001F2A8C"/>
    <w:rsid w:val="001F2A9A"/>
    <w:rsid w:val="001F2B28"/>
    <w:rsid w:val="001F2D20"/>
    <w:rsid w:val="001F2D2E"/>
    <w:rsid w:val="001F2D4D"/>
    <w:rsid w:val="001F2F6D"/>
    <w:rsid w:val="001F2F9C"/>
    <w:rsid w:val="001F2FE4"/>
    <w:rsid w:val="001F300A"/>
    <w:rsid w:val="001F31E0"/>
    <w:rsid w:val="001F3265"/>
    <w:rsid w:val="001F33C3"/>
    <w:rsid w:val="001F33CA"/>
    <w:rsid w:val="001F3544"/>
    <w:rsid w:val="001F3660"/>
    <w:rsid w:val="001F374E"/>
    <w:rsid w:val="001F3794"/>
    <w:rsid w:val="001F38F4"/>
    <w:rsid w:val="001F39B4"/>
    <w:rsid w:val="001F39DA"/>
    <w:rsid w:val="001F3A72"/>
    <w:rsid w:val="001F3AF5"/>
    <w:rsid w:val="001F3B3E"/>
    <w:rsid w:val="001F3C2B"/>
    <w:rsid w:val="001F3E9A"/>
    <w:rsid w:val="001F4051"/>
    <w:rsid w:val="001F420B"/>
    <w:rsid w:val="001F427E"/>
    <w:rsid w:val="001F42B5"/>
    <w:rsid w:val="001F4317"/>
    <w:rsid w:val="001F4401"/>
    <w:rsid w:val="001F446D"/>
    <w:rsid w:val="001F45A6"/>
    <w:rsid w:val="001F45BA"/>
    <w:rsid w:val="001F45D0"/>
    <w:rsid w:val="001F46CE"/>
    <w:rsid w:val="001F47BB"/>
    <w:rsid w:val="001F481C"/>
    <w:rsid w:val="001F48D7"/>
    <w:rsid w:val="001F4BC2"/>
    <w:rsid w:val="001F4BE6"/>
    <w:rsid w:val="001F4BE7"/>
    <w:rsid w:val="001F4CAE"/>
    <w:rsid w:val="001F4CDD"/>
    <w:rsid w:val="001F4D8E"/>
    <w:rsid w:val="001F4DBE"/>
    <w:rsid w:val="001F4EDD"/>
    <w:rsid w:val="001F4F7C"/>
    <w:rsid w:val="001F4FDE"/>
    <w:rsid w:val="001F5034"/>
    <w:rsid w:val="001F508C"/>
    <w:rsid w:val="001F50D9"/>
    <w:rsid w:val="001F5147"/>
    <w:rsid w:val="001F51AA"/>
    <w:rsid w:val="001F5287"/>
    <w:rsid w:val="001F52D5"/>
    <w:rsid w:val="001F53C8"/>
    <w:rsid w:val="001F5606"/>
    <w:rsid w:val="001F5697"/>
    <w:rsid w:val="001F5743"/>
    <w:rsid w:val="001F57A8"/>
    <w:rsid w:val="001F57ED"/>
    <w:rsid w:val="001F586B"/>
    <w:rsid w:val="001F5927"/>
    <w:rsid w:val="001F596E"/>
    <w:rsid w:val="001F5986"/>
    <w:rsid w:val="001F5B50"/>
    <w:rsid w:val="001F5B7F"/>
    <w:rsid w:val="001F5E0E"/>
    <w:rsid w:val="001F5E7E"/>
    <w:rsid w:val="001F5FB8"/>
    <w:rsid w:val="001F603A"/>
    <w:rsid w:val="001F6071"/>
    <w:rsid w:val="001F609D"/>
    <w:rsid w:val="001F60E3"/>
    <w:rsid w:val="001F627B"/>
    <w:rsid w:val="001F627E"/>
    <w:rsid w:val="001F628A"/>
    <w:rsid w:val="001F629B"/>
    <w:rsid w:val="001F642A"/>
    <w:rsid w:val="001F6458"/>
    <w:rsid w:val="001F6490"/>
    <w:rsid w:val="001F64C5"/>
    <w:rsid w:val="001F666D"/>
    <w:rsid w:val="001F684A"/>
    <w:rsid w:val="001F68D3"/>
    <w:rsid w:val="001F6903"/>
    <w:rsid w:val="001F69A2"/>
    <w:rsid w:val="001F6AAC"/>
    <w:rsid w:val="001F6B33"/>
    <w:rsid w:val="001F6BD3"/>
    <w:rsid w:val="001F6DA4"/>
    <w:rsid w:val="001F6DEC"/>
    <w:rsid w:val="001F6DFD"/>
    <w:rsid w:val="001F6E7B"/>
    <w:rsid w:val="001F6EDB"/>
    <w:rsid w:val="001F6F0C"/>
    <w:rsid w:val="001F6F26"/>
    <w:rsid w:val="001F713B"/>
    <w:rsid w:val="001F7170"/>
    <w:rsid w:val="001F72B7"/>
    <w:rsid w:val="001F731A"/>
    <w:rsid w:val="001F73E1"/>
    <w:rsid w:val="001F7464"/>
    <w:rsid w:val="001F7588"/>
    <w:rsid w:val="001F77C3"/>
    <w:rsid w:val="001F7861"/>
    <w:rsid w:val="001F78E4"/>
    <w:rsid w:val="001F7A93"/>
    <w:rsid w:val="001F7ACF"/>
    <w:rsid w:val="001F7AFD"/>
    <w:rsid w:val="001F7B46"/>
    <w:rsid w:val="001F7CBF"/>
    <w:rsid w:val="0020008C"/>
    <w:rsid w:val="00200315"/>
    <w:rsid w:val="002003EA"/>
    <w:rsid w:val="00200511"/>
    <w:rsid w:val="002008A9"/>
    <w:rsid w:val="00200969"/>
    <w:rsid w:val="00200A52"/>
    <w:rsid w:val="00200A6C"/>
    <w:rsid w:val="00200B13"/>
    <w:rsid w:val="00200EE5"/>
    <w:rsid w:val="00200F2E"/>
    <w:rsid w:val="00200FC9"/>
    <w:rsid w:val="002010F9"/>
    <w:rsid w:val="0020143B"/>
    <w:rsid w:val="0020146F"/>
    <w:rsid w:val="002014BD"/>
    <w:rsid w:val="002016B9"/>
    <w:rsid w:val="00201844"/>
    <w:rsid w:val="00201989"/>
    <w:rsid w:val="00201ADA"/>
    <w:rsid w:val="00201AE1"/>
    <w:rsid w:val="00201AFE"/>
    <w:rsid w:val="00201BC4"/>
    <w:rsid w:val="00201D63"/>
    <w:rsid w:val="00201DBA"/>
    <w:rsid w:val="00201EB0"/>
    <w:rsid w:val="00202028"/>
    <w:rsid w:val="0020202A"/>
    <w:rsid w:val="00202031"/>
    <w:rsid w:val="00202037"/>
    <w:rsid w:val="002020C4"/>
    <w:rsid w:val="002022F3"/>
    <w:rsid w:val="002023E4"/>
    <w:rsid w:val="002024E1"/>
    <w:rsid w:val="00202501"/>
    <w:rsid w:val="00202510"/>
    <w:rsid w:val="002025A1"/>
    <w:rsid w:val="002025A5"/>
    <w:rsid w:val="0020265E"/>
    <w:rsid w:val="00202836"/>
    <w:rsid w:val="00202889"/>
    <w:rsid w:val="0020297B"/>
    <w:rsid w:val="002029EE"/>
    <w:rsid w:val="00202B2E"/>
    <w:rsid w:val="00202B6F"/>
    <w:rsid w:val="00202C92"/>
    <w:rsid w:val="00202CC4"/>
    <w:rsid w:val="00202CD0"/>
    <w:rsid w:val="00202CFA"/>
    <w:rsid w:val="00202DE1"/>
    <w:rsid w:val="00202E1D"/>
    <w:rsid w:val="002033D0"/>
    <w:rsid w:val="00203531"/>
    <w:rsid w:val="0020355E"/>
    <w:rsid w:val="002035F4"/>
    <w:rsid w:val="00203685"/>
    <w:rsid w:val="002036E9"/>
    <w:rsid w:val="00203814"/>
    <w:rsid w:val="00203925"/>
    <w:rsid w:val="00203962"/>
    <w:rsid w:val="002039A1"/>
    <w:rsid w:val="00203B1A"/>
    <w:rsid w:val="00203D0E"/>
    <w:rsid w:val="00203DD3"/>
    <w:rsid w:val="00203E3C"/>
    <w:rsid w:val="00203E85"/>
    <w:rsid w:val="00203EAD"/>
    <w:rsid w:val="00203ECF"/>
    <w:rsid w:val="00203F6E"/>
    <w:rsid w:val="00203FF1"/>
    <w:rsid w:val="002042B5"/>
    <w:rsid w:val="0020436E"/>
    <w:rsid w:val="00204377"/>
    <w:rsid w:val="002044CA"/>
    <w:rsid w:val="002045E9"/>
    <w:rsid w:val="0020496B"/>
    <w:rsid w:val="002049E5"/>
    <w:rsid w:val="00204A9D"/>
    <w:rsid w:val="00204B21"/>
    <w:rsid w:val="00204BAE"/>
    <w:rsid w:val="00204BBF"/>
    <w:rsid w:val="00204CC8"/>
    <w:rsid w:val="00204D24"/>
    <w:rsid w:val="002050B9"/>
    <w:rsid w:val="002050BD"/>
    <w:rsid w:val="00205217"/>
    <w:rsid w:val="0020524A"/>
    <w:rsid w:val="0020525C"/>
    <w:rsid w:val="002052E5"/>
    <w:rsid w:val="0020531F"/>
    <w:rsid w:val="0020533D"/>
    <w:rsid w:val="0020579A"/>
    <w:rsid w:val="002057E1"/>
    <w:rsid w:val="0020587A"/>
    <w:rsid w:val="002058A5"/>
    <w:rsid w:val="00205C1C"/>
    <w:rsid w:val="00205C55"/>
    <w:rsid w:val="00205CE9"/>
    <w:rsid w:val="00205D1B"/>
    <w:rsid w:val="00205FC7"/>
    <w:rsid w:val="002060B9"/>
    <w:rsid w:val="00206200"/>
    <w:rsid w:val="0020634A"/>
    <w:rsid w:val="00206358"/>
    <w:rsid w:val="002064F8"/>
    <w:rsid w:val="0020654C"/>
    <w:rsid w:val="00206624"/>
    <w:rsid w:val="002066AD"/>
    <w:rsid w:val="002067E2"/>
    <w:rsid w:val="00206988"/>
    <w:rsid w:val="00206A35"/>
    <w:rsid w:val="00206A67"/>
    <w:rsid w:val="00206C67"/>
    <w:rsid w:val="00206D10"/>
    <w:rsid w:val="00206D7C"/>
    <w:rsid w:val="00206E53"/>
    <w:rsid w:val="00206F15"/>
    <w:rsid w:val="00206F60"/>
    <w:rsid w:val="002070A7"/>
    <w:rsid w:val="00207277"/>
    <w:rsid w:val="0020727A"/>
    <w:rsid w:val="002072F8"/>
    <w:rsid w:val="00207327"/>
    <w:rsid w:val="00207367"/>
    <w:rsid w:val="002073C2"/>
    <w:rsid w:val="00207464"/>
    <w:rsid w:val="002074AE"/>
    <w:rsid w:val="00207860"/>
    <w:rsid w:val="00207903"/>
    <w:rsid w:val="00207A16"/>
    <w:rsid w:val="00207B0D"/>
    <w:rsid w:val="00207BFF"/>
    <w:rsid w:val="00207D91"/>
    <w:rsid w:val="00207DDB"/>
    <w:rsid w:val="00207DFD"/>
    <w:rsid w:val="00207E2B"/>
    <w:rsid w:val="00207F06"/>
    <w:rsid w:val="0021002E"/>
    <w:rsid w:val="00210277"/>
    <w:rsid w:val="002102A6"/>
    <w:rsid w:val="002102D6"/>
    <w:rsid w:val="002103A9"/>
    <w:rsid w:val="002105AC"/>
    <w:rsid w:val="0021066E"/>
    <w:rsid w:val="002107E8"/>
    <w:rsid w:val="0021090A"/>
    <w:rsid w:val="00210946"/>
    <w:rsid w:val="00210E2D"/>
    <w:rsid w:val="00210EE2"/>
    <w:rsid w:val="00210EFC"/>
    <w:rsid w:val="00210F37"/>
    <w:rsid w:val="00210F43"/>
    <w:rsid w:val="00211021"/>
    <w:rsid w:val="00211129"/>
    <w:rsid w:val="002112A3"/>
    <w:rsid w:val="00211524"/>
    <w:rsid w:val="0021176B"/>
    <w:rsid w:val="00211795"/>
    <w:rsid w:val="002119DD"/>
    <w:rsid w:val="00211A5F"/>
    <w:rsid w:val="00211EAC"/>
    <w:rsid w:val="002121B3"/>
    <w:rsid w:val="002121BE"/>
    <w:rsid w:val="0021226E"/>
    <w:rsid w:val="00212407"/>
    <w:rsid w:val="00212574"/>
    <w:rsid w:val="0021257A"/>
    <w:rsid w:val="002125B9"/>
    <w:rsid w:val="002125F7"/>
    <w:rsid w:val="002126B2"/>
    <w:rsid w:val="0021274C"/>
    <w:rsid w:val="00212772"/>
    <w:rsid w:val="002127CF"/>
    <w:rsid w:val="00212842"/>
    <w:rsid w:val="00212895"/>
    <w:rsid w:val="002128F8"/>
    <w:rsid w:val="00212A1C"/>
    <w:rsid w:val="00212A35"/>
    <w:rsid w:val="00212BA9"/>
    <w:rsid w:val="00212C31"/>
    <w:rsid w:val="00212D40"/>
    <w:rsid w:val="00212E99"/>
    <w:rsid w:val="00212F61"/>
    <w:rsid w:val="00212FD1"/>
    <w:rsid w:val="0021314B"/>
    <w:rsid w:val="0021323A"/>
    <w:rsid w:val="0021327A"/>
    <w:rsid w:val="002133D2"/>
    <w:rsid w:val="002133EF"/>
    <w:rsid w:val="00213444"/>
    <w:rsid w:val="0021367B"/>
    <w:rsid w:val="002138BA"/>
    <w:rsid w:val="00213953"/>
    <w:rsid w:val="002139A1"/>
    <w:rsid w:val="002139E3"/>
    <w:rsid w:val="00213A42"/>
    <w:rsid w:val="00213BA8"/>
    <w:rsid w:val="00213CB6"/>
    <w:rsid w:val="00213DED"/>
    <w:rsid w:val="00213F08"/>
    <w:rsid w:val="00213F56"/>
    <w:rsid w:val="00213FC6"/>
    <w:rsid w:val="00214037"/>
    <w:rsid w:val="0021414F"/>
    <w:rsid w:val="00214225"/>
    <w:rsid w:val="0021459E"/>
    <w:rsid w:val="00214804"/>
    <w:rsid w:val="00214847"/>
    <w:rsid w:val="00214861"/>
    <w:rsid w:val="00214888"/>
    <w:rsid w:val="002148EC"/>
    <w:rsid w:val="00214938"/>
    <w:rsid w:val="00214A26"/>
    <w:rsid w:val="00214ACE"/>
    <w:rsid w:val="00214C62"/>
    <w:rsid w:val="00214CE7"/>
    <w:rsid w:val="00214D4F"/>
    <w:rsid w:val="00214E3F"/>
    <w:rsid w:val="00214FEE"/>
    <w:rsid w:val="00215038"/>
    <w:rsid w:val="00215373"/>
    <w:rsid w:val="002155D2"/>
    <w:rsid w:val="0021567E"/>
    <w:rsid w:val="002156EC"/>
    <w:rsid w:val="0021579D"/>
    <w:rsid w:val="002158E7"/>
    <w:rsid w:val="00215AF6"/>
    <w:rsid w:val="00215B76"/>
    <w:rsid w:val="00215D1E"/>
    <w:rsid w:val="00215D88"/>
    <w:rsid w:val="00215D89"/>
    <w:rsid w:val="00215DA1"/>
    <w:rsid w:val="00215DA2"/>
    <w:rsid w:val="00215FC6"/>
    <w:rsid w:val="0021608B"/>
    <w:rsid w:val="00216306"/>
    <w:rsid w:val="00216311"/>
    <w:rsid w:val="00216625"/>
    <w:rsid w:val="0021668C"/>
    <w:rsid w:val="0021670B"/>
    <w:rsid w:val="002167C3"/>
    <w:rsid w:val="002168ED"/>
    <w:rsid w:val="00216A8A"/>
    <w:rsid w:val="00216B2B"/>
    <w:rsid w:val="00216C18"/>
    <w:rsid w:val="00216CEA"/>
    <w:rsid w:val="00216D05"/>
    <w:rsid w:val="00216DF9"/>
    <w:rsid w:val="00216E09"/>
    <w:rsid w:val="00216F43"/>
    <w:rsid w:val="00216F68"/>
    <w:rsid w:val="00216FD5"/>
    <w:rsid w:val="00217062"/>
    <w:rsid w:val="0021708C"/>
    <w:rsid w:val="00217162"/>
    <w:rsid w:val="0021721D"/>
    <w:rsid w:val="00217229"/>
    <w:rsid w:val="002172F6"/>
    <w:rsid w:val="002173A8"/>
    <w:rsid w:val="002174CF"/>
    <w:rsid w:val="002175FE"/>
    <w:rsid w:val="002176B8"/>
    <w:rsid w:val="00217725"/>
    <w:rsid w:val="0021774E"/>
    <w:rsid w:val="00217922"/>
    <w:rsid w:val="00217935"/>
    <w:rsid w:val="00217ADA"/>
    <w:rsid w:val="00217B85"/>
    <w:rsid w:val="00217CA3"/>
    <w:rsid w:val="00217DDF"/>
    <w:rsid w:val="00217E0C"/>
    <w:rsid w:val="00217E19"/>
    <w:rsid w:val="00217EC6"/>
    <w:rsid w:val="00217F27"/>
    <w:rsid w:val="00217FBB"/>
    <w:rsid w:val="00220022"/>
    <w:rsid w:val="00220379"/>
    <w:rsid w:val="0022037A"/>
    <w:rsid w:val="00220427"/>
    <w:rsid w:val="002204E5"/>
    <w:rsid w:val="002205B8"/>
    <w:rsid w:val="00220653"/>
    <w:rsid w:val="0022072D"/>
    <w:rsid w:val="00220AD4"/>
    <w:rsid w:val="00220BCA"/>
    <w:rsid w:val="00220CF1"/>
    <w:rsid w:val="00220DB4"/>
    <w:rsid w:val="00220E09"/>
    <w:rsid w:val="00220E6C"/>
    <w:rsid w:val="00220FF8"/>
    <w:rsid w:val="0022111B"/>
    <w:rsid w:val="002211BF"/>
    <w:rsid w:val="00221218"/>
    <w:rsid w:val="0022122B"/>
    <w:rsid w:val="002212CD"/>
    <w:rsid w:val="00221359"/>
    <w:rsid w:val="0022150D"/>
    <w:rsid w:val="0022151F"/>
    <w:rsid w:val="002215C9"/>
    <w:rsid w:val="00221640"/>
    <w:rsid w:val="00221667"/>
    <w:rsid w:val="002216EF"/>
    <w:rsid w:val="0022177E"/>
    <w:rsid w:val="002217D4"/>
    <w:rsid w:val="002219D3"/>
    <w:rsid w:val="00221A36"/>
    <w:rsid w:val="00221A61"/>
    <w:rsid w:val="00221AFA"/>
    <w:rsid w:val="00221B82"/>
    <w:rsid w:val="00221C8E"/>
    <w:rsid w:val="00221D96"/>
    <w:rsid w:val="00221E7B"/>
    <w:rsid w:val="00221EC0"/>
    <w:rsid w:val="00221FB6"/>
    <w:rsid w:val="002220AA"/>
    <w:rsid w:val="0022216D"/>
    <w:rsid w:val="0022228C"/>
    <w:rsid w:val="00222313"/>
    <w:rsid w:val="00222395"/>
    <w:rsid w:val="00222430"/>
    <w:rsid w:val="0022248C"/>
    <w:rsid w:val="002224AB"/>
    <w:rsid w:val="00222535"/>
    <w:rsid w:val="00222633"/>
    <w:rsid w:val="002226ED"/>
    <w:rsid w:val="0022271A"/>
    <w:rsid w:val="0022273B"/>
    <w:rsid w:val="0022274F"/>
    <w:rsid w:val="002227C8"/>
    <w:rsid w:val="00222805"/>
    <w:rsid w:val="0022288D"/>
    <w:rsid w:val="00222C6E"/>
    <w:rsid w:val="00222C7F"/>
    <w:rsid w:val="00222CAB"/>
    <w:rsid w:val="00222D6E"/>
    <w:rsid w:val="00222EE5"/>
    <w:rsid w:val="00222F8A"/>
    <w:rsid w:val="00223038"/>
    <w:rsid w:val="002232C6"/>
    <w:rsid w:val="00223379"/>
    <w:rsid w:val="0022366F"/>
    <w:rsid w:val="0022368C"/>
    <w:rsid w:val="002237D6"/>
    <w:rsid w:val="00223802"/>
    <w:rsid w:val="00223850"/>
    <w:rsid w:val="0022392C"/>
    <w:rsid w:val="00223A21"/>
    <w:rsid w:val="00223B70"/>
    <w:rsid w:val="00223C03"/>
    <w:rsid w:val="00223C75"/>
    <w:rsid w:val="00223C8E"/>
    <w:rsid w:val="00223D1D"/>
    <w:rsid w:val="00223DDC"/>
    <w:rsid w:val="00223F39"/>
    <w:rsid w:val="00223FD1"/>
    <w:rsid w:val="00224021"/>
    <w:rsid w:val="002240A8"/>
    <w:rsid w:val="00224181"/>
    <w:rsid w:val="00224200"/>
    <w:rsid w:val="002242CC"/>
    <w:rsid w:val="0022430F"/>
    <w:rsid w:val="0022435F"/>
    <w:rsid w:val="00224459"/>
    <w:rsid w:val="002245B3"/>
    <w:rsid w:val="0022461A"/>
    <w:rsid w:val="0022469B"/>
    <w:rsid w:val="0022469E"/>
    <w:rsid w:val="00224976"/>
    <w:rsid w:val="00224A0F"/>
    <w:rsid w:val="00224A17"/>
    <w:rsid w:val="00224A70"/>
    <w:rsid w:val="00224B34"/>
    <w:rsid w:val="00224CF3"/>
    <w:rsid w:val="00224F23"/>
    <w:rsid w:val="00225133"/>
    <w:rsid w:val="00225283"/>
    <w:rsid w:val="002252D8"/>
    <w:rsid w:val="0022532F"/>
    <w:rsid w:val="0022534C"/>
    <w:rsid w:val="002253C2"/>
    <w:rsid w:val="00225478"/>
    <w:rsid w:val="0022554A"/>
    <w:rsid w:val="0022559E"/>
    <w:rsid w:val="00225611"/>
    <w:rsid w:val="0022572D"/>
    <w:rsid w:val="0022573B"/>
    <w:rsid w:val="002257E8"/>
    <w:rsid w:val="002258B4"/>
    <w:rsid w:val="002258F4"/>
    <w:rsid w:val="00225B1F"/>
    <w:rsid w:val="00225BF2"/>
    <w:rsid w:val="00225CB9"/>
    <w:rsid w:val="00225D28"/>
    <w:rsid w:val="00225D92"/>
    <w:rsid w:val="00225E20"/>
    <w:rsid w:val="00225E84"/>
    <w:rsid w:val="00226080"/>
    <w:rsid w:val="00226203"/>
    <w:rsid w:val="00226234"/>
    <w:rsid w:val="002263D9"/>
    <w:rsid w:val="0022640B"/>
    <w:rsid w:val="00226561"/>
    <w:rsid w:val="002265B8"/>
    <w:rsid w:val="00226624"/>
    <w:rsid w:val="0022663E"/>
    <w:rsid w:val="002266C2"/>
    <w:rsid w:val="002266CC"/>
    <w:rsid w:val="00226851"/>
    <w:rsid w:val="00226A9C"/>
    <w:rsid w:val="00226B2F"/>
    <w:rsid w:val="00226B76"/>
    <w:rsid w:val="00226E80"/>
    <w:rsid w:val="00226F47"/>
    <w:rsid w:val="00226FBA"/>
    <w:rsid w:val="002270C8"/>
    <w:rsid w:val="002272CB"/>
    <w:rsid w:val="0022731F"/>
    <w:rsid w:val="0022741C"/>
    <w:rsid w:val="002274D5"/>
    <w:rsid w:val="002274D6"/>
    <w:rsid w:val="0022750D"/>
    <w:rsid w:val="0022753D"/>
    <w:rsid w:val="0022762B"/>
    <w:rsid w:val="0022763E"/>
    <w:rsid w:val="00227728"/>
    <w:rsid w:val="0022776C"/>
    <w:rsid w:val="002277C3"/>
    <w:rsid w:val="002278D1"/>
    <w:rsid w:val="002278E6"/>
    <w:rsid w:val="00227905"/>
    <w:rsid w:val="00227A9B"/>
    <w:rsid w:val="00227C3A"/>
    <w:rsid w:val="00227CAD"/>
    <w:rsid w:val="00227EEC"/>
    <w:rsid w:val="00227F62"/>
    <w:rsid w:val="00227F6A"/>
    <w:rsid w:val="00227F91"/>
    <w:rsid w:val="00227F97"/>
    <w:rsid w:val="002300DF"/>
    <w:rsid w:val="00230126"/>
    <w:rsid w:val="00230169"/>
    <w:rsid w:val="00230448"/>
    <w:rsid w:val="00230551"/>
    <w:rsid w:val="00230565"/>
    <w:rsid w:val="00230604"/>
    <w:rsid w:val="002306F9"/>
    <w:rsid w:val="00230726"/>
    <w:rsid w:val="0023073F"/>
    <w:rsid w:val="00230743"/>
    <w:rsid w:val="00230896"/>
    <w:rsid w:val="00230976"/>
    <w:rsid w:val="00230D07"/>
    <w:rsid w:val="00230D55"/>
    <w:rsid w:val="00230DB9"/>
    <w:rsid w:val="00230F81"/>
    <w:rsid w:val="00231049"/>
    <w:rsid w:val="002310E5"/>
    <w:rsid w:val="0023111A"/>
    <w:rsid w:val="00231191"/>
    <w:rsid w:val="002311FD"/>
    <w:rsid w:val="00231263"/>
    <w:rsid w:val="002312AB"/>
    <w:rsid w:val="002313E5"/>
    <w:rsid w:val="002314A3"/>
    <w:rsid w:val="002314D2"/>
    <w:rsid w:val="002314D4"/>
    <w:rsid w:val="002314DA"/>
    <w:rsid w:val="00231550"/>
    <w:rsid w:val="00231648"/>
    <w:rsid w:val="00231657"/>
    <w:rsid w:val="00231823"/>
    <w:rsid w:val="00231B9E"/>
    <w:rsid w:val="00231C25"/>
    <w:rsid w:val="00231C93"/>
    <w:rsid w:val="00231D48"/>
    <w:rsid w:val="00231E04"/>
    <w:rsid w:val="00231E8C"/>
    <w:rsid w:val="00231F20"/>
    <w:rsid w:val="00231FEF"/>
    <w:rsid w:val="00232031"/>
    <w:rsid w:val="002321B9"/>
    <w:rsid w:val="002321C6"/>
    <w:rsid w:val="0023221D"/>
    <w:rsid w:val="00232245"/>
    <w:rsid w:val="0023225D"/>
    <w:rsid w:val="00232442"/>
    <w:rsid w:val="0023253F"/>
    <w:rsid w:val="002325A8"/>
    <w:rsid w:val="00232666"/>
    <w:rsid w:val="00232925"/>
    <w:rsid w:val="00232B22"/>
    <w:rsid w:val="00232C13"/>
    <w:rsid w:val="00232C65"/>
    <w:rsid w:val="00232C80"/>
    <w:rsid w:val="00232CCE"/>
    <w:rsid w:val="00232D70"/>
    <w:rsid w:val="00232FE4"/>
    <w:rsid w:val="0023305C"/>
    <w:rsid w:val="00233072"/>
    <w:rsid w:val="00233297"/>
    <w:rsid w:val="002332A2"/>
    <w:rsid w:val="0023330B"/>
    <w:rsid w:val="002334D3"/>
    <w:rsid w:val="00233543"/>
    <w:rsid w:val="002336B5"/>
    <w:rsid w:val="00233796"/>
    <w:rsid w:val="00233890"/>
    <w:rsid w:val="002339DA"/>
    <w:rsid w:val="00233B0E"/>
    <w:rsid w:val="00233BE0"/>
    <w:rsid w:val="00233BED"/>
    <w:rsid w:val="00233C9A"/>
    <w:rsid w:val="00233E25"/>
    <w:rsid w:val="00233F42"/>
    <w:rsid w:val="00234556"/>
    <w:rsid w:val="00234726"/>
    <w:rsid w:val="0023496D"/>
    <w:rsid w:val="0023499C"/>
    <w:rsid w:val="002349FF"/>
    <w:rsid w:val="00234A62"/>
    <w:rsid w:val="00234ABC"/>
    <w:rsid w:val="00234AD9"/>
    <w:rsid w:val="00234B46"/>
    <w:rsid w:val="00235058"/>
    <w:rsid w:val="002350FB"/>
    <w:rsid w:val="002351C1"/>
    <w:rsid w:val="0023526C"/>
    <w:rsid w:val="00235340"/>
    <w:rsid w:val="00235400"/>
    <w:rsid w:val="002356AB"/>
    <w:rsid w:val="002356EB"/>
    <w:rsid w:val="00235855"/>
    <w:rsid w:val="002359F4"/>
    <w:rsid w:val="00235B47"/>
    <w:rsid w:val="00235B5F"/>
    <w:rsid w:val="00235C40"/>
    <w:rsid w:val="00235CB9"/>
    <w:rsid w:val="00235D68"/>
    <w:rsid w:val="00235ED7"/>
    <w:rsid w:val="00235F88"/>
    <w:rsid w:val="00235FBC"/>
    <w:rsid w:val="00235FED"/>
    <w:rsid w:val="00236039"/>
    <w:rsid w:val="002360B8"/>
    <w:rsid w:val="002361DB"/>
    <w:rsid w:val="002361FA"/>
    <w:rsid w:val="0023624F"/>
    <w:rsid w:val="002362A7"/>
    <w:rsid w:val="00236310"/>
    <w:rsid w:val="00236492"/>
    <w:rsid w:val="002364BF"/>
    <w:rsid w:val="002365CA"/>
    <w:rsid w:val="00236642"/>
    <w:rsid w:val="00236708"/>
    <w:rsid w:val="0023672C"/>
    <w:rsid w:val="002367CF"/>
    <w:rsid w:val="0023680E"/>
    <w:rsid w:val="0023697F"/>
    <w:rsid w:val="002369F8"/>
    <w:rsid w:val="00236ADE"/>
    <w:rsid w:val="00236C31"/>
    <w:rsid w:val="00236CDE"/>
    <w:rsid w:val="00236D5A"/>
    <w:rsid w:val="00236D61"/>
    <w:rsid w:val="00236E9F"/>
    <w:rsid w:val="00236F8A"/>
    <w:rsid w:val="00237108"/>
    <w:rsid w:val="002371C6"/>
    <w:rsid w:val="00237219"/>
    <w:rsid w:val="002372AB"/>
    <w:rsid w:val="002372BA"/>
    <w:rsid w:val="0023760E"/>
    <w:rsid w:val="00237731"/>
    <w:rsid w:val="002377D3"/>
    <w:rsid w:val="002377DA"/>
    <w:rsid w:val="002377E1"/>
    <w:rsid w:val="00237806"/>
    <w:rsid w:val="0023798B"/>
    <w:rsid w:val="002379C9"/>
    <w:rsid w:val="002379D9"/>
    <w:rsid w:val="002379FC"/>
    <w:rsid w:val="00237BCF"/>
    <w:rsid w:val="00237D00"/>
    <w:rsid w:val="00237D9D"/>
    <w:rsid w:val="00237DD0"/>
    <w:rsid w:val="00237E44"/>
    <w:rsid w:val="00237FC9"/>
    <w:rsid w:val="00240039"/>
    <w:rsid w:val="00240123"/>
    <w:rsid w:val="002402E8"/>
    <w:rsid w:val="00240326"/>
    <w:rsid w:val="00240449"/>
    <w:rsid w:val="002404B4"/>
    <w:rsid w:val="002404D4"/>
    <w:rsid w:val="00240501"/>
    <w:rsid w:val="002405A5"/>
    <w:rsid w:val="0024086F"/>
    <w:rsid w:val="00240947"/>
    <w:rsid w:val="00240A48"/>
    <w:rsid w:val="00240A63"/>
    <w:rsid w:val="00240B72"/>
    <w:rsid w:val="00240BFB"/>
    <w:rsid w:val="00240BFD"/>
    <w:rsid w:val="00240CD9"/>
    <w:rsid w:val="00240DBC"/>
    <w:rsid w:val="00240DF6"/>
    <w:rsid w:val="0024100B"/>
    <w:rsid w:val="002410DC"/>
    <w:rsid w:val="00241199"/>
    <w:rsid w:val="002411DC"/>
    <w:rsid w:val="002411E5"/>
    <w:rsid w:val="0024144F"/>
    <w:rsid w:val="00241558"/>
    <w:rsid w:val="002416FC"/>
    <w:rsid w:val="00241823"/>
    <w:rsid w:val="00241881"/>
    <w:rsid w:val="00241A30"/>
    <w:rsid w:val="00241B7F"/>
    <w:rsid w:val="00241C09"/>
    <w:rsid w:val="00241DA3"/>
    <w:rsid w:val="00241DBB"/>
    <w:rsid w:val="00241E30"/>
    <w:rsid w:val="00241E4A"/>
    <w:rsid w:val="00241ED1"/>
    <w:rsid w:val="00242051"/>
    <w:rsid w:val="00242070"/>
    <w:rsid w:val="00242159"/>
    <w:rsid w:val="00242385"/>
    <w:rsid w:val="002423EC"/>
    <w:rsid w:val="00242430"/>
    <w:rsid w:val="002424D7"/>
    <w:rsid w:val="0024294C"/>
    <w:rsid w:val="0024295B"/>
    <w:rsid w:val="00242B0A"/>
    <w:rsid w:val="00242CB9"/>
    <w:rsid w:val="00242D75"/>
    <w:rsid w:val="00242F96"/>
    <w:rsid w:val="002430E4"/>
    <w:rsid w:val="002430EC"/>
    <w:rsid w:val="002430F9"/>
    <w:rsid w:val="0024313F"/>
    <w:rsid w:val="00243319"/>
    <w:rsid w:val="0024357B"/>
    <w:rsid w:val="00243593"/>
    <w:rsid w:val="00243623"/>
    <w:rsid w:val="00243680"/>
    <w:rsid w:val="00243687"/>
    <w:rsid w:val="002436FF"/>
    <w:rsid w:val="0024380B"/>
    <w:rsid w:val="00243874"/>
    <w:rsid w:val="0024388A"/>
    <w:rsid w:val="0024398F"/>
    <w:rsid w:val="002439E8"/>
    <w:rsid w:val="002439F0"/>
    <w:rsid w:val="00243B5B"/>
    <w:rsid w:val="00243BEC"/>
    <w:rsid w:val="00243C2E"/>
    <w:rsid w:val="00243D6F"/>
    <w:rsid w:val="00243DEC"/>
    <w:rsid w:val="00243F90"/>
    <w:rsid w:val="00244007"/>
    <w:rsid w:val="00244044"/>
    <w:rsid w:val="002441AF"/>
    <w:rsid w:val="002442D8"/>
    <w:rsid w:val="00244328"/>
    <w:rsid w:val="0024436F"/>
    <w:rsid w:val="002443F1"/>
    <w:rsid w:val="002444F1"/>
    <w:rsid w:val="002445AE"/>
    <w:rsid w:val="0024461D"/>
    <w:rsid w:val="0024468C"/>
    <w:rsid w:val="002446BF"/>
    <w:rsid w:val="002446EF"/>
    <w:rsid w:val="00244703"/>
    <w:rsid w:val="00244707"/>
    <w:rsid w:val="0024479A"/>
    <w:rsid w:val="00244948"/>
    <w:rsid w:val="00244961"/>
    <w:rsid w:val="002449E3"/>
    <w:rsid w:val="00244A3E"/>
    <w:rsid w:val="00244D84"/>
    <w:rsid w:val="00244E55"/>
    <w:rsid w:val="00244F54"/>
    <w:rsid w:val="00244FCB"/>
    <w:rsid w:val="00244FF4"/>
    <w:rsid w:val="002450A8"/>
    <w:rsid w:val="00245126"/>
    <w:rsid w:val="00245609"/>
    <w:rsid w:val="0024566A"/>
    <w:rsid w:val="002457E3"/>
    <w:rsid w:val="002458A1"/>
    <w:rsid w:val="002459F6"/>
    <w:rsid w:val="00245A8D"/>
    <w:rsid w:val="00245AAC"/>
    <w:rsid w:val="00245AD0"/>
    <w:rsid w:val="00245DD6"/>
    <w:rsid w:val="00245DED"/>
    <w:rsid w:val="00245E2A"/>
    <w:rsid w:val="00245F3A"/>
    <w:rsid w:val="002460BC"/>
    <w:rsid w:val="00246186"/>
    <w:rsid w:val="002461BA"/>
    <w:rsid w:val="002464AF"/>
    <w:rsid w:val="002465C1"/>
    <w:rsid w:val="002465F4"/>
    <w:rsid w:val="002466D2"/>
    <w:rsid w:val="002466F0"/>
    <w:rsid w:val="00246899"/>
    <w:rsid w:val="002469C3"/>
    <w:rsid w:val="002469D4"/>
    <w:rsid w:val="00246A3C"/>
    <w:rsid w:val="00246AAC"/>
    <w:rsid w:val="00246B1C"/>
    <w:rsid w:val="00246BCC"/>
    <w:rsid w:val="00246BDE"/>
    <w:rsid w:val="00246C6D"/>
    <w:rsid w:val="00246CAD"/>
    <w:rsid w:val="00246D31"/>
    <w:rsid w:val="00246D86"/>
    <w:rsid w:val="00246D90"/>
    <w:rsid w:val="00246E7F"/>
    <w:rsid w:val="00246F63"/>
    <w:rsid w:val="00246FB6"/>
    <w:rsid w:val="00247036"/>
    <w:rsid w:val="00247055"/>
    <w:rsid w:val="00247095"/>
    <w:rsid w:val="00247252"/>
    <w:rsid w:val="0024728D"/>
    <w:rsid w:val="00247434"/>
    <w:rsid w:val="00247560"/>
    <w:rsid w:val="0024783C"/>
    <w:rsid w:val="0024791F"/>
    <w:rsid w:val="002479A3"/>
    <w:rsid w:val="00247A74"/>
    <w:rsid w:val="00247CB1"/>
    <w:rsid w:val="00247ED7"/>
    <w:rsid w:val="00247EDA"/>
    <w:rsid w:val="002500CD"/>
    <w:rsid w:val="00250107"/>
    <w:rsid w:val="002501E8"/>
    <w:rsid w:val="00250279"/>
    <w:rsid w:val="002502B0"/>
    <w:rsid w:val="00250425"/>
    <w:rsid w:val="002504E7"/>
    <w:rsid w:val="0025052E"/>
    <w:rsid w:val="00250677"/>
    <w:rsid w:val="002506AE"/>
    <w:rsid w:val="0025071C"/>
    <w:rsid w:val="00250721"/>
    <w:rsid w:val="0025076A"/>
    <w:rsid w:val="0025092F"/>
    <w:rsid w:val="00250AD8"/>
    <w:rsid w:val="00250B9A"/>
    <w:rsid w:val="00250CFF"/>
    <w:rsid w:val="00250DE2"/>
    <w:rsid w:val="002511DA"/>
    <w:rsid w:val="00251329"/>
    <w:rsid w:val="00251345"/>
    <w:rsid w:val="002513B2"/>
    <w:rsid w:val="00251451"/>
    <w:rsid w:val="0025150C"/>
    <w:rsid w:val="00251511"/>
    <w:rsid w:val="002515ED"/>
    <w:rsid w:val="002515EE"/>
    <w:rsid w:val="00251641"/>
    <w:rsid w:val="00251799"/>
    <w:rsid w:val="00251888"/>
    <w:rsid w:val="00251954"/>
    <w:rsid w:val="002519EC"/>
    <w:rsid w:val="00251E78"/>
    <w:rsid w:val="002520BF"/>
    <w:rsid w:val="002521D3"/>
    <w:rsid w:val="0025232C"/>
    <w:rsid w:val="002523FC"/>
    <w:rsid w:val="00252458"/>
    <w:rsid w:val="002524CA"/>
    <w:rsid w:val="0025251E"/>
    <w:rsid w:val="0025258C"/>
    <w:rsid w:val="00252661"/>
    <w:rsid w:val="002526D9"/>
    <w:rsid w:val="00252740"/>
    <w:rsid w:val="0025281F"/>
    <w:rsid w:val="00252881"/>
    <w:rsid w:val="002528C1"/>
    <w:rsid w:val="002528F3"/>
    <w:rsid w:val="00252A47"/>
    <w:rsid w:val="00252B1B"/>
    <w:rsid w:val="00252CCA"/>
    <w:rsid w:val="00252D2B"/>
    <w:rsid w:val="00252D76"/>
    <w:rsid w:val="00252DC4"/>
    <w:rsid w:val="00252E39"/>
    <w:rsid w:val="00252EEE"/>
    <w:rsid w:val="00252FE0"/>
    <w:rsid w:val="00252FFC"/>
    <w:rsid w:val="00253034"/>
    <w:rsid w:val="00253050"/>
    <w:rsid w:val="00253184"/>
    <w:rsid w:val="00253320"/>
    <w:rsid w:val="002533C5"/>
    <w:rsid w:val="00253475"/>
    <w:rsid w:val="0025348E"/>
    <w:rsid w:val="0025353B"/>
    <w:rsid w:val="002536ED"/>
    <w:rsid w:val="002538F3"/>
    <w:rsid w:val="0025394E"/>
    <w:rsid w:val="00253968"/>
    <w:rsid w:val="002539CE"/>
    <w:rsid w:val="00253A03"/>
    <w:rsid w:val="00253A31"/>
    <w:rsid w:val="00253A58"/>
    <w:rsid w:val="00253B56"/>
    <w:rsid w:val="00253B96"/>
    <w:rsid w:val="00253C45"/>
    <w:rsid w:val="00253C58"/>
    <w:rsid w:val="00253CCC"/>
    <w:rsid w:val="00253D11"/>
    <w:rsid w:val="00253F69"/>
    <w:rsid w:val="00254010"/>
    <w:rsid w:val="00254041"/>
    <w:rsid w:val="00254155"/>
    <w:rsid w:val="00254180"/>
    <w:rsid w:val="0025432E"/>
    <w:rsid w:val="002543D8"/>
    <w:rsid w:val="0025447B"/>
    <w:rsid w:val="0025459F"/>
    <w:rsid w:val="002546D4"/>
    <w:rsid w:val="002546DF"/>
    <w:rsid w:val="00254809"/>
    <w:rsid w:val="00254854"/>
    <w:rsid w:val="0025487E"/>
    <w:rsid w:val="00254921"/>
    <w:rsid w:val="00254935"/>
    <w:rsid w:val="00254A0B"/>
    <w:rsid w:val="00254A4D"/>
    <w:rsid w:val="00254AFA"/>
    <w:rsid w:val="00254B81"/>
    <w:rsid w:val="00254BE6"/>
    <w:rsid w:val="00254CA5"/>
    <w:rsid w:val="00254D10"/>
    <w:rsid w:val="00254D99"/>
    <w:rsid w:val="00254E8C"/>
    <w:rsid w:val="00254F3D"/>
    <w:rsid w:val="00254FFE"/>
    <w:rsid w:val="00255064"/>
    <w:rsid w:val="0025508F"/>
    <w:rsid w:val="0025536D"/>
    <w:rsid w:val="002554C0"/>
    <w:rsid w:val="00255712"/>
    <w:rsid w:val="0025577E"/>
    <w:rsid w:val="00255803"/>
    <w:rsid w:val="0025580B"/>
    <w:rsid w:val="0025582E"/>
    <w:rsid w:val="0025587F"/>
    <w:rsid w:val="002558E0"/>
    <w:rsid w:val="00255A60"/>
    <w:rsid w:val="00255A7A"/>
    <w:rsid w:val="00255B07"/>
    <w:rsid w:val="00255B37"/>
    <w:rsid w:val="00255C0C"/>
    <w:rsid w:val="00255DB0"/>
    <w:rsid w:val="00255F33"/>
    <w:rsid w:val="002560B2"/>
    <w:rsid w:val="002562D1"/>
    <w:rsid w:val="002563E2"/>
    <w:rsid w:val="002564DB"/>
    <w:rsid w:val="0025652F"/>
    <w:rsid w:val="0025660A"/>
    <w:rsid w:val="002567AD"/>
    <w:rsid w:val="002567C6"/>
    <w:rsid w:val="0025699B"/>
    <w:rsid w:val="00256A65"/>
    <w:rsid w:val="00256ADF"/>
    <w:rsid w:val="00257079"/>
    <w:rsid w:val="0025737F"/>
    <w:rsid w:val="002573FE"/>
    <w:rsid w:val="00257428"/>
    <w:rsid w:val="00257461"/>
    <w:rsid w:val="0025756D"/>
    <w:rsid w:val="002575B7"/>
    <w:rsid w:val="0025761E"/>
    <w:rsid w:val="0025768C"/>
    <w:rsid w:val="00257764"/>
    <w:rsid w:val="00257859"/>
    <w:rsid w:val="002578AF"/>
    <w:rsid w:val="002578D8"/>
    <w:rsid w:val="00257B50"/>
    <w:rsid w:val="00257B67"/>
    <w:rsid w:val="00257C03"/>
    <w:rsid w:val="00257D56"/>
    <w:rsid w:val="00257D70"/>
    <w:rsid w:val="00257D79"/>
    <w:rsid w:val="00257E46"/>
    <w:rsid w:val="00257FCE"/>
    <w:rsid w:val="00257FDE"/>
    <w:rsid w:val="002601F9"/>
    <w:rsid w:val="00260243"/>
    <w:rsid w:val="002602B8"/>
    <w:rsid w:val="00260415"/>
    <w:rsid w:val="002604E6"/>
    <w:rsid w:val="00260590"/>
    <w:rsid w:val="0026083D"/>
    <w:rsid w:val="0026088A"/>
    <w:rsid w:val="00260A46"/>
    <w:rsid w:val="00260A47"/>
    <w:rsid w:val="00260A50"/>
    <w:rsid w:val="00260AA2"/>
    <w:rsid w:val="00260CD3"/>
    <w:rsid w:val="00260CEE"/>
    <w:rsid w:val="00260D8A"/>
    <w:rsid w:val="00260DB3"/>
    <w:rsid w:val="00261016"/>
    <w:rsid w:val="0026127E"/>
    <w:rsid w:val="00261327"/>
    <w:rsid w:val="002613A6"/>
    <w:rsid w:val="002613AF"/>
    <w:rsid w:val="0026144A"/>
    <w:rsid w:val="00261474"/>
    <w:rsid w:val="00261488"/>
    <w:rsid w:val="002614CF"/>
    <w:rsid w:val="002615AE"/>
    <w:rsid w:val="0026175A"/>
    <w:rsid w:val="00261766"/>
    <w:rsid w:val="00261880"/>
    <w:rsid w:val="00261928"/>
    <w:rsid w:val="002619A7"/>
    <w:rsid w:val="00261A2F"/>
    <w:rsid w:val="00261B66"/>
    <w:rsid w:val="00261D4F"/>
    <w:rsid w:val="00261D9C"/>
    <w:rsid w:val="00261DB6"/>
    <w:rsid w:val="00261E80"/>
    <w:rsid w:val="00261E9B"/>
    <w:rsid w:val="00261EE5"/>
    <w:rsid w:val="002620C7"/>
    <w:rsid w:val="00262185"/>
    <w:rsid w:val="002621B9"/>
    <w:rsid w:val="002621E2"/>
    <w:rsid w:val="00262394"/>
    <w:rsid w:val="0026265F"/>
    <w:rsid w:val="0026267C"/>
    <w:rsid w:val="002628C0"/>
    <w:rsid w:val="002628E6"/>
    <w:rsid w:val="00262A93"/>
    <w:rsid w:val="00262C82"/>
    <w:rsid w:val="00262C89"/>
    <w:rsid w:val="00262E74"/>
    <w:rsid w:val="00262E77"/>
    <w:rsid w:val="00262EC4"/>
    <w:rsid w:val="00263143"/>
    <w:rsid w:val="002631BE"/>
    <w:rsid w:val="00263305"/>
    <w:rsid w:val="00263464"/>
    <w:rsid w:val="00263539"/>
    <w:rsid w:val="002637D4"/>
    <w:rsid w:val="002638C4"/>
    <w:rsid w:val="00263936"/>
    <w:rsid w:val="00263993"/>
    <w:rsid w:val="002639C6"/>
    <w:rsid w:val="002639D8"/>
    <w:rsid w:val="00263A84"/>
    <w:rsid w:val="00263A88"/>
    <w:rsid w:val="00263B4C"/>
    <w:rsid w:val="00263B6C"/>
    <w:rsid w:val="00263B95"/>
    <w:rsid w:val="00263DB8"/>
    <w:rsid w:val="00264002"/>
    <w:rsid w:val="00264124"/>
    <w:rsid w:val="00264253"/>
    <w:rsid w:val="00264299"/>
    <w:rsid w:val="00264361"/>
    <w:rsid w:val="00264458"/>
    <w:rsid w:val="002644BA"/>
    <w:rsid w:val="0026468C"/>
    <w:rsid w:val="0026485E"/>
    <w:rsid w:val="0026486B"/>
    <w:rsid w:val="00264947"/>
    <w:rsid w:val="00264A12"/>
    <w:rsid w:val="00264AEF"/>
    <w:rsid w:val="00264B79"/>
    <w:rsid w:val="00264C49"/>
    <w:rsid w:val="00264CA4"/>
    <w:rsid w:val="00264D9F"/>
    <w:rsid w:val="002650AF"/>
    <w:rsid w:val="002651B0"/>
    <w:rsid w:val="002651E0"/>
    <w:rsid w:val="00265255"/>
    <w:rsid w:val="0026527D"/>
    <w:rsid w:val="002652ED"/>
    <w:rsid w:val="002653DD"/>
    <w:rsid w:val="0026544F"/>
    <w:rsid w:val="002655A6"/>
    <w:rsid w:val="0026565B"/>
    <w:rsid w:val="002656F1"/>
    <w:rsid w:val="002656F6"/>
    <w:rsid w:val="0026585B"/>
    <w:rsid w:val="00265913"/>
    <w:rsid w:val="0026591E"/>
    <w:rsid w:val="002659E5"/>
    <w:rsid w:val="00265A2B"/>
    <w:rsid w:val="00265ABC"/>
    <w:rsid w:val="00265B45"/>
    <w:rsid w:val="00265C24"/>
    <w:rsid w:val="00265C86"/>
    <w:rsid w:val="00265DA4"/>
    <w:rsid w:val="00265DFF"/>
    <w:rsid w:val="00265E1B"/>
    <w:rsid w:val="00265F2C"/>
    <w:rsid w:val="00265F8E"/>
    <w:rsid w:val="0026615B"/>
    <w:rsid w:val="00266199"/>
    <w:rsid w:val="002661B1"/>
    <w:rsid w:val="00266264"/>
    <w:rsid w:val="002662B0"/>
    <w:rsid w:val="002662EC"/>
    <w:rsid w:val="00266307"/>
    <w:rsid w:val="0026631C"/>
    <w:rsid w:val="00266451"/>
    <w:rsid w:val="0026646B"/>
    <w:rsid w:val="0026651E"/>
    <w:rsid w:val="00266B5C"/>
    <w:rsid w:val="00266B66"/>
    <w:rsid w:val="00266C06"/>
    <w:rsid w:val="00266D6B"/>
    <w:rsid w:val="00266E29"/>
    <w:rsid w:val="00266F02"/>
    <w:rsid w:val="00266F39"/>
    <w:rsid w:val="00267036"/>
    <w:rsid w:val="0026703A"/>
    <w:rsid w:val="002670E6"/>
    <w:rsid w:val="00267158"/>
    <w:rsid w:val="002671D7"/>
    <w:rsid w:val="002671FC"/>
    <w:rsid w:val="002673E8"/>
    <w:rsid w:val="002673FB"/>
    <w:rsid w:val="0026751C"/>
    <w:rsid w:val="00267529"/>
    <w:rsid w:val="0026766C"/>
    <w:rsid w:val="002676CB"/>
    <w:rsid w:val="002678BC"/>
    <w:rsid w:val="002678C2"/>
    <w:rsid w:val="002678EB"/>
    <w:rsid w:val="00267947"/>
    <w:rsid w:val="00267A43"/>
    <w:rsid w:val="00267BEA"/>
    <w:rsid w:val="00267C63"/>
    <w:rsid w:val="00267CA0"/>
    <w:rsid w:val="00267EF2"/>
    <w:rsid w:val="00267F84"/>
    <w:rsid w:val="00270127"/>
    <w:rsid w:val="002701A9"/>
    <w:rsid w:val="002702A6"/>
    <w:rsid w:val="00270324"/>
    <w:rsid w:val="00270455"/>
    <w:rsid w:val="002704EE"/>
    <w:rsid w:val="0027054A"/>
    <w:rsid w:val="002705F3"/>
    <w:rsid w:val="0027062E"/>
    <w:rsid w:val="0027064D"/>
    <w:rsid w:val="002706C1"/>
    <w:rsid w:val="002706C3"/>
    <w:rsid w:val="0027070B"/>
    <w:rsid w:val="00270782"/>
    <w:rsid w:val="002708FE"/>
    <w:rsid w:val="0027096A"/>
    <w:rsid w:val="00270C40"/>
    <w:rsid w:val="00270D37"/>
    <w:rsid w:val="00270F2A"/>
    <w:rsid w:val="0027116B"/>
    <w:rsid w:val="002711AA"/>
    <w:rsid w:val="002713D8"/>
    <w:rsid w:val="00271640"/>
    <w:rsid w:val="00271A0B"/>
    <w:rsid w:val="00271A12"/>
    <w:rsid w:val="00271E56"/>
    <w:rsid w:val="002720B8"/>
    <w:rsid w:val="002720F0"/>
    <w:rsid w:val="0027214E"/>
    <w:rsid w:val="002723D3"/>
    <w:rsid w:val="002724A5"/>
    <w:rsid w:val="002724CD"/>
    <w:rsid w:val="00272533"/>
    <w:rsid w:val="0027263D"/>
    <w:rsid w:val="0027266C"/>
    <w:rsid w:val="002726C5"/>
    <w:rsid w:val="0027285E"/>
    <w:rsid w:val="00272939"/>
    <w:rsid w:val="0027293C"/>
    <w:rsid w:val="002729CF"/>
    <w:rsid w:val="00272A03"/>
    <w:rsid w:val="00272AD5"/>
    <w:rsid w:val="00272BA6"/>
    <w:rsid w:val="00272BEE"/>
    <w:rsid w:val="00272D20"/>
    <w:rsid w:val="00272D43"/>
    <w:rsid w:val="00272D9E"/>
    <w:rsid w:val="00272E42"/>
    <w:rsid w:val="00272E6F"/>
    <w:rsid w:val="00272F03"/>
    <w:rsid w:val="00272F85"/>
    <w:rsid w:val="00272FF2"/>
    <w:rsid w:val="00273149"/>
    <w:rsid w:val="0027324D"/>
    <w:rsid w:val="00273264"/>
    <w:rsid w:val="0027327E"/>
    <w:rsid w:val="00273336"/>
    <w:rsid w:val="00273363"/>
    <w:rsid w:val="002733EA"/>
    <w:rsid w:val="00273469"/>
    <w:rsid w:val="00273490"/>
    <w:rsid w:val="00273703"/>
    <w:rsid w:val="002737D1"/>
    <w:rsid w:val="00273804"/>
    <w:rsid w:val="002738F8"/>
    <w:rsid w:val="0027391F"/>
    <w:rsid w:val="002739F0"/>
    <w:rsid w:val="00273A0E"/>
    <w:rsid w:val="00273A3D"/>
    <w:rsid w:val="00273A63"/>
    <w:rsid w:val="00273B21"/>
    <w:rsid w:val="00273BAB"/>
    <w:rsid w:val="00273BD0"/>
    <w:rsid w:val="00273C4D"/>
    <w:rsid w:val="00273CD7"/>
    <w:rsid w:val="00273D89"/>
    <w:rsid w:val="00273E1A"/>
    <w:rsid w:val="00273F1C"/>
    <w:rsid w:val="00274034"/>
    <w:rsid w:val="00274250"/>
    <w:rsid w:val="0027428B"/>
    <w:rsid w:val="0027437E"/>
    <w:rsid w:val="002743AA"/>
    <w:rsid w:val="0027446F"/>
    <w:rsid w:val="002745C7"/>
    <w:rsid w:val="00274BE3"/>
    <w:rsid w:val="00274C9D"/>
    <w:rsid w:val="00274CB2"/>
    <w:rsid w:val="00274CCA"/>
    <w:rsid w:val="00274F30"/>
    <w:rsid w:val="002750D5"/>
    <w:rsid w:val="002751D6"/>
    <w:rsid w:val="0027521D"/>
    <w:rsid w:val="00275235"/>
    <w:rsid w:val="00275320"/>
    <w:rsid w:val="0027548E"/>
    <w:rsid w:val="00275528"/>
    <w:rsid w:val="0027555B"/>
    <w:rsid w:val="00275576"/>
    <w:rsid w:val="002757A5"/>
    <w:rsid w:val="0027580D"/>
    <w:rsid w:val="00275830"/>
    <w:rsid w:val="0027590B"/>
    <w:rsid w:val="00275956"/>
    <w:rsid w:val="00275AFA"/>
    <w:rsid w:val="00275CBC"/>
    <w:rsid w:val="00275D87"/>
    <w:rsid w:val="00275EDA"/>
    <w:rsid w:val="0027605B"/>
    <w:rsid w:val="002760A3"/>
    <w:rsid w:val="002762EB"/>
    <w:rsid w:val="00276314"/>
    <w:rsid w:val="0027634C"/>
    <w:rsid w:val="00276493"/>
    <w:rsid w:val="002767BF"/>
    <w:rsid w:val="002767EA"/>
    <w:rsid w:val="00276893"/>
    <w:rsid w:val="00276B88"/>
    <w:rsid w:val="00276C57"/>
    <w:rsid w:val="00276F92"/>
    <w:rsid w:val="00277343"/>
    <w:rsid w:val="002773E4"/>
    <w:rsid w:val="002775A2"/>
    <w:rsid w:val="0027773C"/>
    <w:rsid w:val="002777E4"/>
    <w:rsid w:val="0027794E"/>
    <w:rsid w:val="002779B5"/>
    <w:rsid w:val="002779F7"/>
    <w:rsid w:val="00277A31"/>
    <w:rsid w:val="00277A9E"/>
    <w:rsid w:val="00277ABE"/>
    <w:rsid w:val="00277B96"/>
    <w:rsid w:val="00277BF4"/>
    <w:rsid w:val="00277DF4"/>
    <w:rsid w:val="00277F24"/>
    <w:rsid w:val="00277F2E"/>
    <w:rsid w:val="00277F8C"/>
    <w:rsid w:val="00277FEA"/>
    <w:rsid w:val="0028034D"/>
    <w:rsid w:val="0028043C"/>
    <w:rsid w:val="00280459"/>
    <w:rsid w:val="00280478"/>
    <w:rsid w:val="002804A7"/>
    <w:rsid w:val="002806B7"/>
    <w:rsid w:val="0028086C"/>
    <w:rsid w:val="002808AD"/>
    <w:rsid w:val="002808E7"/>
    <w:rsid w:val="0028092A"/>
    <w:rsid w:val="00280986"/>
    <w:rsid w:val="00280B05"/>
    <w:rsid w:val="00280B23"/>
    <w:rsid w:val="00280B75"/>
    <w:rsid w:val="00280C05"/>
    <w:rsid w:val="00280C26"/>
    <w:rsid w:val="00280C44"/>
    <w:rsid w:val="00280C6C"/>
    <w:rsid w:val="00280C6F"/>
    <w:rsid w:val="00280C86"/>
    <w:rsid w:val="00280F9E"/>
    <w:rsid w:val="002810DB"/>
    <w:rsid w:val="00281146"/>
    <w:rsid w:val="002811A3"/>
    <w:rsid w:val="0028125C"/>
    <w:rsid w:val="002813B9"/>
    <w:rsid w:val="00281478"/>
    <w:rsid w:val="002814AB"/>
    <w:rsid w:val="00281514"/>
    <w:rsid w:val="00281560"/>
    <w:rsid w:val="002815A5"/>
    <w:rsid w:val="002817EB"/>
    <w:rsid w:val="0028182B"/>
    <w:rsid w:val="00281A01"/>
    <w:rsid w:val="00281A06"/>
    <w:rsid w:val="00281A7D"/>
    <w:rsid w:val="00281B31"/>
    <w:rsid w:val="00281CCA"/>
    <w:rsid w:val="00281D4C"/>
    <w:rsid w:val="00281E96"/>
    <w:rsid w:val="00282090"/>
    <w:rsid w:val="00282134"/>
    <w:rsid w:val="00282143"/>
    <w:rsid w:val="00282291"/>
    <w:rsid w:val="002822D8"/>
    <w:rsid w:val="002823B4"/>
    <w:rsid w:val="00282528"/>
    <w:rsid w:val="00282550"/>
    <w:rsid w:val="00282560"/>
    <w:rsid w:val="00282593"/>
    <w:rsid w:val="002825C9"/>
    <w:rsid w:val="00282B40"/>
    <w:rsid w:val="00282B6B"/>
    <w:rsid w:val="00282BA8"/>
    <w:rsid w:val="00282C70"/>
    <w:rsid w:val="00282D29"/>
    <w:rsid w:val="00282DE5"/>
    <w:rsid w:val="00282DEC"/>
    <w:rsid w:val="00282F92"/>
    <w:rsid w:val="00283030"/>
    <w:rsid w:val="00283083"/>
    <w:rsid w:val="00283143"/>
    <w:rsid w:val="0028318E"/>
    <w:rsid w:val="00283302"/>
    <w:rsid w:val="00283362"/>
    <w:rsid w:val="002835AC"/>
    <w:rsid w:val="002837D0"/>
    <w:rsid w:val="00283866"/>
    <w:rsid w:val="002838E8"/>
    <w:rsid w:val="00283967"/>
    <w:rsid w:val="00283A11"/>
    <w:rsid w:val="00283A63"/>
    <w:rsid w:val="00283AE1"/>
    <w:rsid w:val="00283B02"/>
    <w:rsid w:val="00283BE3"/>
    <w:rsid w:val="00283D39"/>
    <w:rsid w:val="00283D50"/>
    <w:rsid w:val="00283E5D"/>
    <w:rsid w:val="00283EC9"/>
    <w:rsid w:val="00283F0C"/>
    <w:rsid w:val="00284046"/>
    <w:rsid w:val="0028405D"/>
    <w:rsid w:val="00284135"/>
    <w:rsid w:val="002841A5"/>
    <w:rsid w:val="002841B9"/>
    <w:rsid w:val="002845C3"/>
    <w:rsid w:val="002845EE"/>
    <w:rsid w:val="00284737"/>
    <w:rsid w:val="00284829"/>
    <w:rsid w:val="0028489D"/>
    <w:rsid w:val="00284AF8"/>
    <w:rsid w:val="00284B04"/>
    <w:rsid w:val="00284C3E"/>
    <w:rsid w:val="00284CEE"/>
    <w:rsid w:val="00284CF7"/>
    <w:rsid w:val="00284D10"/>
    <w:rsid w:val="00284D7C"/>
    <w:rsid w:val="00284E43"/>
    <w:rsid w:val="00285042"/>
    <w:rsid w:val="00285076"/>
    <w:rsid w:val="002850B2"/>
    <w:rsid w:val="002851E7"/>
    <w:rsid w:val="0028525B"/>
    <w:rsid w:val="00285280"/>
    <w:rsid w:val="00285353"/>
    <w:rsid w:val="0028544B"/>
    <w:rsid w:val="002855DC"/>
    <w:rsid w:val="002856EB"/>
    <w:rsid w:val="002857E1"/>
    <w:rsid w:val="00285811"/>
    <w:rsid w:val="0028583B"/>
    <w:rsid w:val="00285862"/>
    <w:rsid w:val="00285969"/>
    <w:rsid w:val="002859C1"/>
    <w:rsid w:val="00285A0D"/>
    <w:rsid w:val="00285ACF"/>
    <w:rsid w:val="00285B55"/>
    <w:rsid w:val="00285B8C"/>
    <w:rsid w:val="00285BCC"/>
    <w:rsid w:val="00285C5F"/>
    <w:rsid w:val="00285CAE"/>
    <w:rsid w:val="00285CDD"/>
    <w:rsid w:val="00285E9D"/>
    <w:rsid w:val="00286038"/>
    <w:rsid w:val="00286087"/>
    <w:rsid w:val="00286122"/>
    <w:rsid w:val="00286336"/>
    <w:rsid w:val="002863A5"/>
    <w:rsid w:val="002864E6"/>
    <w:rsid w:val="00286683"/>
    <w:rsid w:val="00286777"/>
    <w:rsid w:val="0028678C"/>
    <w:rsid w:val="00286798"/>
    <w:rsid w:val="00286857"/>
    <w:rsid w:val="002868DC"/>
    <w:rsid w:val="0028699E"/>
    <w:rsid w:val="00286A6F"/>
    <w:rsid w:val="00286AF0"/>
    <w:rsid w:val="00286B8E"/>
    <w:rsid w:val="00286D68"/>
    <w:rsid w:val="00286DE5"/>
    <w:rsid w:val="00286FCA"/>
    <w:rsid w:val="0028710B"/>
    <w:rsid w:val="00287147"/>
    <w:rsid w:val="00287177"/>
    <w:rsid w:val="002871B4"/>
    <w:rsid w:val="00287308"/>
    <w:rsid w:val="0028732F"/>
    <w:rsid w:val="002873B5"/>
    <w:rsid w:val="002873E4"/>
    <w:rsid w:val="002873E7"/>
    <w:rsid w:val="002875B8"/>
    <w:rsid w:val="002875CA"/>
    <w:rsid w:val="00287754"/>
    <w:rsid w:val="00287890"/>
    <w:rsid w:val="002878B4"/>
    <w:rsid w:val="00287B63"/>
    <w:rsid w:val="00287CD3"/>
    <w:rsid w:val="00287D11"/>
    <w:rsid w:val="00287E3E"/>
    <w:rsid w:val="00287EF2"/>
    <w:rsid w:val="00287F0C"/>
    <w:rsid w:val="00287F7D"/>
    <w:rsid w:val="00290096"/>
    <w:rsid w:val="002900B9"/>
    <w:rsid w:val="00290107"/>
    <w:rsid w:val="00290207"/>
    <w:rsid w:val="002907CF"/>
    <w:rsid w:val="002907DD"/>
    <w:rsid w:val="00290832"/>
    <w:rsid w:val="0029096A"/>
    <w:rsid w:val="002909A6"/>
    <w:rsid w:val="002909DD"/>
    <w:rsid w:val="00290A72"/>
    <w:rsid w:val="00290C82"/>
    <w:rsid w:val="00290DA0"/>
    <w:rsid w:val="00290E3F"/>
    <w:rsid w:val="00290F20"/>
    <w:rsid w:val="00291057"/>
    <w:rsid w:val="00291340"/>
    <w:rsid w:val="002913CD"/>
    <w:rsid w:val="00291634"/>
    <w:rsid w:val="0029167C"/>
    <w:rsid w:val="002917DA"/>
    <w:rsid w:val="00291800"/>
    <w:rsid w:val="00291826"/>
    <w:rsid w:val="002918A1"/>
    <w:rsid w:val="002918BB"/>
    <w:rsid w:val="002918EE"/>
    <w:rsid w:val="00291A9E"/>
    <w:rsid w:val="00291AA3"/>
    <w:rsid w:val="00291AE5"/>
    <w:rsid w:val="00291C23"/>
    <w:rsid w:val="00291C5A"/>
    <w:rsid w:val="00291D5E"/>
    <w:rsid w:val="00291DC8"/>
    <w:rsid w:val="00291F8D"/>
    <w:rsid w:val="00291FAB"/>
    <w:rsid w:val="00291FEF"/>
    <w:rsid w:val="00291FFA"/>
    <w:rsid w:val="0029205C"/>
    <w:rsid w:val="002920B2"/>
    <w:rsid w:val="002921D7"/>
    <w:rsid w:val="00292240"/>
    <w:rsid w:val="00292320"/>
    <w:rsid w:val="00292345"/>
    <w:rsid w:val="0029248B"/>
    <w:rsid w:val="00292698"/>
    <w:rsid w:val="0029271C"/>
    <w:rsid w:val="0029276F"/>
    <w:rsid w:val="0029298B"/>
    <w:rsid w:val="00292B1D"/>
    <w:rsid w:val="00292DAA"/>
    <w:rsid w:val="00292E5C"/>
    <w:rsid w:val="00292E87"/>
    <w:rsid w:val="00293126"/>
    <w:rsid w:val="002931D9"/>
    <w:rsid w:val="002932D9"/>
    <w:rsid w:val="002933A3"/>
    <w:rsid w:val="00293402"/>
    <w:rsid w:val="00293465"/>
    <w:rsid w:val="00293535"/>
    <w:rsid w:val="00293538"/>
    <w:rsid w:val="00293761"/>
    <w:rsid w:val="002937FD"/>
    <w:rsid w:val="002938AF"/>
    <w:rsid w:val="002939D0"/>
    <w:rsid w:val="00293B95"/>
    <w:rsid w:val="00293C7A"/>
    <w:rsid w:val="002940A6"/>
    <w:rsid w:val="00294233"/>
    <w:rsid w:val="002942B0"/>
    <w:rsid w:val="002942E4"/>
    <w:rsid w:val="00294301"/>
    <w:rsid w:val="00294400"/>
    <w:rsid w:val="002945E5"/>
    <w:rsid w:val="0029469A"/>
    <w:rsid w:val="002946C8"/>
    <w:rsid w:val="002947A6"/>
    <w:rsid w:val="00294833"/>
    <w:rsid w:val="002948AC"/>
    <w:rsid w:val="0029492B"/>
    <w:rsid w:val="00294943"/>
    <w:rsid w:val="00294958"/>
    <w:rsid w:val="00294997"/>
    <w:rsid w:val="00294AC6"/>
    <w:rsid w:val="00294ACC"/>
    <w:rsid w:val="00294BD0"/>
    <w:rsid w:val="00294C23"/>
    <w:rsid w:val="00294CA4"/>
    <w:rsid w:val="00294CCB"/>
    <w:rsid w:val="00294E91"/>
    <w:rsid w:val="00295012"/>
    <w:rsid w:val="0029501E"/>
    <w:rsid w:val="00295395"/>
    <w:rsid w:val="0029539C"/>
    <w:rsid w:val="002953F0"/>
    <w:rsid w:val="002955F3"/>
    <w:rsid w:val="002956BE"/>
    <w:rsid w:val="002957CB"/>
    <w:rsid w:val="0029582F"/>
    <w:rsid w:val="002958BE"/>
    <w:rsid w:val="002958D0"/>
    <w:rsid w:val="00295A86"/>
    <w:rsid w:val="00295B30"/>
    <w:rsid w:val="00295B5A"/>
    <w:rsid w:val="00295C17"/>
    <w:rsid w:val="00295C3B"/>
    <w:rsid w:val="00295C7D"/>
    <w:rsid w:val="00295F65"/>
    <w:rsid w:val="00295F67"/>
    <w:rsid w:val="00295F73"/>
    <w:rsid w:val="0029605B"/>
    <w:rsid w:val="002960A9"/>
    <w:rsid w:val="0029631D"/>
    <w:rsid w:val="00296383"/>
    <w:rsid w:val="00296388"/>
    <w:rsid w:val="00296396"/>
    <w:rsid w:val="002963B5"/>
    <w:rsid w:val="002963BE"/>
    <w:rsid w:val="002963EA"/>
    <w:rsid w:val="00296548"/>
    <w:rsid w:val="002965C1"/>
    <w:rsid w:val="00296666"/>
    <w:rsid w:val="002966EF"/>
    <w:rsid w:val="00296829"/>
    <w:rsid w:val="00296868"/>
    <w:rsid w:val="00296879"/>
    <w:rsid w:val="00296BB7"/>
    <w:rsid w:val="00296C14"/>
    <w:rsid w:val="00296D53"/>
    <w:rsid w:val="00296DC0"/>
    <w:rsid w:val="00296E98"/>
    <w:rsid w:val="00296F38"/>
    <w:rsid w:val="00296FC5"/>
    <w:rsid w:val="00297096"/>
    <w:rsid w:val="00297145"/>
    <w:rsid w:val="00297266"/>
    <w:rsid w:val="0029727E"/>
    <w:rsid w:val="00297389"/>
    <w:rsid w:val="00297419"/>
    <w:rsid w:val="002975EC"/>
    <w:rsid w:val="002979DD"/>
    <w:rsid w:val="00297B1D"/>
    <w:rsid w:val="00297B55"/>
    <w:rsid w:val="00297C53"/>
    <w:rsid w:val="00297CF6"/>
    <w:rsid w:val="00297D33"/>
    <w:rsid w:val="00297D3D"/>
    <w:rsid w:val="002A03E1"/>
    <w:rsid w:val="002A0559"/>
    <w:rsid w:val="002A05F8"/>
    <w:rsid w:val="002A0622"/>
    <w:rsid w:val="002A0666"/>
    <w:rsid w:val="002A0830"/>
    <w:rsid w:val="002A08C0"/>
    <w:rsid w:val="002A0CF3"/>
    <w:rsid w:val="002A0D6B"/>
    <w:rsid w:val="002A0F5D"/>
    <w:rsid w:val="002A0FBF"/>
    <w:rsid w:val="002A102C"/>
    <w:rsid w:val="002A1391"/>
    <w:rsid w:val="002A13DA"/>
    <w:rsid w:val="002A15DB"/>
    <w:rsid w:val="002A17FB"/>
    <w:rsid w:val="002A1804"/>
    <w:rsid w:val="002A1842"/>
    <w:rsid w:val="002A185D"/>
    <w:rsid w:val="002A18C6"/>
    <w:rsid w:val="002A18CF"/>
    <w:rsid w:val="002A194B"/>
    <w:rsid w:val="002A1997"/>
    <w:rsid w:val="002A1C06"/>
    <w:rsid w:val="002A1C1D"/>
    <w:rsid w:val="002A1C62"/>
    <w:rsid w:val="002A1D66"/>
    <w:rsid w:val="002A1DA4"/>
    <w:rsid w:val="002A1F83"/>
    <w:rsid w:val="002A201D"/>
    <w:rsid w:val="002A2022"/>
    <w:rsid w:val="002A20E0"/>
    <w:rsid w:val="002A20ED"/>
    <w:rsid w:val="002A21E1"/>
    <w:rsid w:val="002A23BB"/>
    <w:rsid w:val="002A24EC"/>
    <w:rsid w:val="002A2538"/>
    <w:rsid w:val="002A2605"/>
    <w:rsid w:val="002A26E0"/>
    <w:rsid w:val="002A2739"/>
    <w:rsid w:val="002A277B"/>
    <w:rsid w:val="002A27E6"/>
    <w:rsid w:val="002A2A0B"/>
    <w:rsid w:val="002A2AF6"/>
    <w:rsid w:val="002A2D69"/>
    <w:rsid w:val="002A2DF0"/>
    <w:rsid w:val="002A2E50"/>
    <w:rsid w:val="002A2F24"/>
    <w:rsid w:val="002A2F47"/>
    <w:rsid w:val="002A322E"/>
    <w:rsid w:val="002A32E4"/>
    <w:rsid w:val="002A3444"/>
    <w:rsid w:val="002A3469"/>
    <w:rsid w:val="002A34C2"/>
    <w:rsid w:val="002A354F"/>
    <w:rsid w:val="002A37BB"/>
    <w:rsid w:val="002A382E"/>
    <w:rsid w:val="002A38DA"/>
    <w:rsid w:val="002A398F"/>
    <w:rsid w:val="002A3B4F"/>
    <w:rsid w:val="002A3BD6"/>
    <w:rsid w:val="002A3C08"/>
    <w:rsid w:val="002A3CB3"/>
    <w:rsid w:val="002A3CE8"/>
    <w:rsid w:val="002A3D04"/>
    <w:rsid w:val="002A3FD1"/>
    <w:rsid w:val="002A412F"/>
    <w:rsid w:val="002A4205"/>
    <w:rsid w:val="002A4253"/>
    <w:rsid w:val="002A4479"/>
    <w:rsid w:val="002A454C"/>
    <w:rsid w:val="002A465F"/>
    <w:rsid w:val="002A4792"/>
    <w:rsid w:val="002A47C0"/>
    <w:rsid w:val="002A488F"/>
    <w:rsid w:val="002A49F5"/>
    <w:rsid w:val="002A4B43"/>
    <w:rsid w:val="002A4B81"/>
    <w:rsid w:val="002A4D45"/>
    <w:rsid w:val="002A4DA0"/>
    <w:rsid w:val="002A4DA7"/>
    <w:rsid w:val="002A4E71"/>
    <w:rsid w:val="002A4EC5"/>
    <w:rsid w:val="002A4EDC"/>
    <w:rsid w:val="002A4F40"/>
    <w:rsid w:val="002A5177"/>
    <w:rsid w:val="002A5197"/>
    <w:rsid w:val="002A51F1"/>
    <w:rsid w:val="002A5259"/>
    <w:rsid w:val="002A52AF"/>
    <w:rsid w:val="002A52BF"/>
    <w:rsid w:val="002A55C4"/>
    <w:rsid w:val="002A55CC"/>
    <w:rsid w:val="002A5725"/>
    <w:rsid w:val="002A57B9"/>
    <w:rsid w:val="002A58E7"/>
    <w:rsid w:val="002A58FB"/>
    <w:rsid w:val="002A5B90"/>
    <w:rsid w:val="002A5C35"/>
    <w:rsid w:val="002A5D37"/>
    <w:rsid w:val="002A5D6C"/>
    <w:rsid w:val="002A5DA3"/>
    <w:rsid w:val="002A5DFF"/>
    <w:rsid w:val="002A5F2C"/>
    <w:rsid w:val="002A5FDC"/>
    <w:rsid w:val="002A60B1"/>
    <w:rsid w:val="002A610F"/>
    <w:rsid w:val="002A6152"/>
    <w:rsid w:val="002A633A"/>
    <w:rsid w:val="002A6364"/>
    <w:rsid w:val="002A6420"/>
    <w:rsid w:val="002A6639"/>
    <w:rsid w:val="002A666C"/>
    <w:rsid w:val="002A6692"/>
    <w:rsid w:val="002A671D"/>
    <w:rsid w:val="002A6A0C"/>
    <w:rsid w:val="002A6A70"/>
    <w:rsid w:val="002A6AA6"/>
    <w:rsid w:val="002A6CBF"/>
    <w:rsid w:val="002A6E7B"/>
    <w:rsid w:val="002A6EA1"/>
    <w:rsid w:val="002A6ECF"/>
    <w:rsid w:val="002A6F58"/>
    <w:rsid w:val="002A7044"/>
    <w:rsid w:val="002A7071"/>
    <w:rsid w:val="002A70F6"/>
    <w:rsid w:val="002A728A"/>
    <w:rsid w:val="002A731E"/>
    <w:rsid w:val="002A73BE"/>
    <w:rsid w:val="002A73F9"/>
    <w:rsid w:val="002A74EF"/>
    <w:rsid w:val="002A76FA"/>
    <w:rsid w:val="002A76FF"/>
    <w:rsid w:val="002A77AD"/>
    <w:rsid w:val="002A77B7"/>
    <w:rsid w:val="002A77C0"/>
    <w:rsid w:val="002A7838"/>
    <w:rsid w:val="002A7839"/>
    <w:rsid w:val="002A7A31"/>
    <w:rsid w:val="002A7B1F"/>
    <w:rsid w:val="002A7B40"/>
    <w:rsid w:val="002A7B86"/>
    <w:rsid w:val="002A7C3C"/>
    <w:rsid w:val="002A7CFF"/>
    <w:rsid w:val="002A7D7A"/>
    <w:rsid w:val="002A7E25"/>
    <w:rsid w:val="002B00B9"/>
    <w:rsid w:val="002B022D"/>
    <w:rsid w:val="002B02E2"/>
    <w:rsid w:val="002B047E"/>
    <w:rsid w:val="002B0610"/>
    <w:rsid w:val="002B06A9"/>
    <w:rsid w:val="002B06FE"/>
    <w:rsid w:val="002B070B"/>
    <w:rsid w:val="002B0787"/>
    <w:rsid w:val="002B07E9"/>
    <w:rsid w:val="002B0B46"/>
    <w:rsid w:val="002B0BE2"/>
    <w:rsid w:val="002B0BFB"/>
    <w:rsid w:val="002B0C79"/>
    <w:rsid w:val="002B0E03"/>
    <w:rsid w:val="002B0E74"/>
    <w:rsid w:val="002B0FA6"/>
    <w:rsid w:val="002B10BE"/>
    <w:rsid w:val="002B1120"/>
    <w:rsid w:val="002B115D"/>
    <w:rsid w:val="002B12BB"/>
    <w:rsid w:val="002B12BC"/>
    <w:rsid w:val="002B134E"/>
    <w:rsid w:val="002B1402"/>
    <w:rsid w:val="002B1435"/>
    <w:rsid w:val="002B144E"/>
    <w:rsid w:val="002B1567"/>
    <w:rsid w:val="002B15D8"/>
    <w:rsid w:val="002B16A7"/>
    <w:rsid w:val="002B175F"/>
    <w:rsid w:val="002B184C"/>
    <w:rsid w:val="002B1942"/>
    <w:rsid w:val="002B1A4C"/>
    <w:rsid w:val="002B1A6D"/>
    <w:rsid w:val="002B1A78"/>
    <w:rsid w:val="002B1B15"/>
    <w:rsid w:val="002B1B25"/>
    <w:rsid w:val="002B1BC4"/>
    <w:rsid w:val="002B1C21"/>
    <w:rsid w:val="002B1E2D"/>
    <w:rsid w:val="002B1EC3"/>
    <w:rsid w:val="002B1ED1"/>
    <w:rsid w:val="002B1FBF"/>
    <w:rsid w:val="002B2030"/>
    <w:rsid w:val="002B205F"/>
    <w:rsid w:val="002B2310"/>
    <w:rsid w:val="002B268B"/>
    <w:rsid w:val="002B26B2"/>
    <w:rsid w:val="002B26FC"/>
    <w:rsid w:val="002B2727"/>
    <w:rsid w:val="002B273D"/>
    <w:rsid w:val="002B2768"/>
    <w:rsid w:val="002B2830"/>
    <w:rsid w:val="002B289D"/>
    <w:rsid w:val="002B294D"/>
    <w:rsid w:val="002B2B6D"/>
    <w:rsid w:val="002B2EF8"/>
    <w:rsid w:val="002B2F14"/>
    <w:rsid w:val="002B3000"/>
    <w:rsid w:val="002B300A"/>
    <w:rsid w:val="002B30B8"/>
    <w:rsid w:val="002B30B9"/>
    <w:rsid w:val="002B326D"/>
    <w:rsid w:val="002B32EE"/>
    <w:rsid w:val="002B331D"/>
    <w:rsid w:val="002B345A"/>
    <w:rsid w:val="002B359F"/>
    <w:rsid w:val="002B35C8"/>
    <w:rsid w:val="002B35FB"/>
    <w:rsid w:val="002B3613"/>
    <w:rsid w:val="002B36F4"/>
    <w:rsid w:val="002B3727"/>
    <w:rsid w:val="002B3829"/>
    <w:rsid w:val="002B386B"/>
    <w:rsid w:val="002B3951"/>
    <w:rsid w:val="002B3959"/>
    <w:rsid w:val="002B3C6B"/>
    <w:rsid w:val="002B3CA7"/>
    <w:rsid w:val="002B3DCA"/>
    <w:rsid w:val="002B3E3D"/>
    <w:rsid w:val="002B3F8B"/>
    <w:rsid w:val="002B4094"/>
    <w:rsid w:val="002B40A6"/>
    <w:rsid w:val="002B40F8"/>
    <w:rsid w:val="002B415F"/>
    <w:rsid w:val="002B4162"/>
    <w:rsid w:val="002B41EA"/>
    <w:rsid w:val="002B4232"/>
    <w:rsid w:val="002B42C6"/>
    <w:rsid w:val="002B43CC"/>
    <w:rsid w:val="002B44E1"/>
    <w:rsid w:val="002B475A"/>
    <w:rsid w:val="002B479C"/>
    <w:rsid w:val="002B47AD"/>
    <w:rsid w:val="002B486B"/>
    <w:rsid w:val="002B498C"/>
    <w:rsid w:val="002B4ACA"/>
    <w:rsid w:val="002B4AF4"/>
    <w:rsid w:val="002B4B02"/>
    <w:rsid w:val="002B4C1B"/>
    <w:rsid w:val="002B4CA5"/>
    <w:rsid w:val="002B4F2A"/>
    <w:rsid w:val="002B4F8A"/>
    <w:rsid w:val="002B4F8D"/>
    <w:rsid w:val="002B5223"/>
    <w:rsid w:val="002B5225"/>
    <w:rsid w:val="002B5319"/>
    <w:rsid w:val="002B5401"/>
    <w:rsid w:val="002B545C"/>
    <w:rsid w:val="002B5566"/>
    <w:rsid w:val="002B5622"/>
    <w:rsid w:val="002B5628"/>
    <w:rsid w:val="002B5641"/>
    <w:rsid w:val="002B5646"/>
    <w:rsid w:val="002B5748"/>
    <w:rsid w:val="002B577D"/>
    <w:rsid w:val="002B58C3"/>
    <w:rsid w:val="002B59A4"/>
    <w:rsid w:val="002B5A7D"/>
    <w:rsid w:val="002B5B34"/>
    <w:rsid w:val="002B5BD3"/>
    <w:rsid w:val="002B5CCC"/>
    <w:rsid w:val="002B5D27"/>
    <w:rsid w:val="002B5DA8"/>
    <w:rsid w:val="002B5E20"/>
    <w:rsid w:val="002B5FD4"/>
    <w:rsid w:val="002B6022"/>
    <w:rsid w:val="002B6264"/>
    <w:rsid w:val="002B6271"/>
    <w:rsid w:val="002B62E7"/>
    <w:rsid w:val="002B6349"/>
    <w:rsid w:val="002B669F"/>
    <w:rsid w:val="002B676F"/>
    <w:rsid w:val="002B6886"/>
    <w:rsid w:val="002B6946"/>
    <w:rsid w:val="002B69F9"/>
    <w:rsid w:val="002B6A17"/>
    <w:rsid w:val="002B6AF0"/>
    <w:rsid w:val="002B6B9F"/>
    <w:rsid w:val="002B6CF0"/>
    <w:rsid w:val="002B6D41"/>
    <w:rsid w:val="002B6DFD"/>
    <w:rsid w:val="002B6E07"/>
    <w:rsid w:val="002B6E5F"/>
    <w:rsid w:val="002B70F4"/>
    <w:rsid w:val="002B7339"/>
    <w:rsid w:val="002B733C"/>
    <w:rsid w:val="002B755E"/>
    <w:rsid w:val="002B763D"/>
    <w:rsid w:val="002B7AD0"/>
    <w:rsid w:val="002B7B34"/>
    <w:rsid w:val="002B7B41"/>
    <w:rsid w:val="002B7B83"/>
    <w:rsid w:val="002B7C39"/>
    <w:rsid w:val="002B7D18"/>
    <w:rsid w:val="002B7DA3"/>
    <w:rsid w:val="002B7F21"/>
    <w:rsid w:val="002B7F60"/>
    <w:rsid w:val="002C00BD"/>
    <w:rsid w:val="002C0278"/>
    <w:rsid w:val="002C02F3"/>
    <w:rsid w:val="002C0342"/>
    <w:rsid w:val="002C0447"/>
    <w:rsid w:val="002C060C"/>
    <w:rsid w:val="002C0662"/>
    <w:rsid w:val="002C07CE"/>
    <w:rsid w:val="002C08BB"/>
    <w:rsid w:val="002C09E3"/>
    <w:rsid w:val="002C0AFE"/>
    <w:rsid w:val="002C0B0A"/>
    <w:rsid w:val="002C0CA7"/>
    <w:rsid w:val="002C0D4F"/>
    <w:rsid w:val="002C0DA0"/>
    <w:rsid w:val="002C0EBB"/>
    <w:rsid w:val="002C0EF8"/>
    <w:rsid w:val="002C111C"/>
    <w:rsid w:val="002C1166"/>
    <w:rsid w:val="002C1250"/>
    <w:rsid w:val="002C1269"/>
    <w:rsid w:val="002C1328"/>
    <w:rsid w:val="002C1528"/>
    <w:rsid w:val="002C159E"/>
    <w:rsid w:val="002C167F"/>
    <w:rsid w:val="002C16DC"/>
    <w:rsid w:val="002C16E8"/>
    <w:rsid w:val="002C1748"/>
    <w:rsid w:val="002C176B"/>
    <w:rsid w:val="002C1969"/>
    <w:rsid w:val="002C1A82"/>
    <w:rsid w:val="002C1B8C"/>
    <w:rsid w:val="002C1C13"/>
    <w:rsid w:val="002C1C2A"/>
    <w:rsid w:val="002C1C98"/>
    <w:rsid w:val="002C1CC2"/>
    <w:rsid w:val="002C1CFD"/>
    <w:rsid w:val="002C1D85"/>
    <w:rsid w:val="002C1F7F"/>
    <w:rsid w:val="002C2024"/>
    <w:rsid w:val="002C2049"/>
    <w:rsid w:val="002C20BA"/>
    <w:rsid w:val="002C20D8"/>
    <w:rsid w:val="002C20F9"/>
    <w:rsid w:val="002C21B7"/>
    <w:rsid w:val="002C227D"/>
    <w:rsid w:val="002C22EF"/>
    <w:rsid w:val="002C232C"/>
    <w:rsid w:val="002C23D0"/>
    <w:rsid w:val="002C242C"/>
    <w:rsid w:val="002C25F4"/>
    <w:rsid w:val="002C263C"/>
    <w:rsid w:val="002C274C"/>
    <w:rsid w:val="002C27C6"/>
    <w:rsid w:val="002C2840"/>
    <w:rsid w:val="002C285D"/>
    <w:rsid w:val="002C28AF"/>
    <w:rsid w:val="002C291E"/>
    <w:rsid w:val="002C2991"/>
    <w:rsid w:val="002C2AFE"/>
    <w:rsid w:val="002C2B62"/>
    <w:rsid w:val="002C2BFE"/>
    <w:rsid w:val="002C2EA1"/>
    <w:rsid w:val="002C301A"/>
    <w:rsid w:val="002C3029"/>
    <w:rsid w:val="002C3038"/>
    <w:rsid w:val="002C30B5"/>
    <w:rsid w:val="002C32ED"/>
    <w:rsid w:val="002C3318"/>
    <w:rsid w:val="002C3537"/>
    <w:rsid w:val="002C356A"/>
    <w:rsid w:val="002C3687"/>
    <w:rsid w:val="002C3772"/>
    <w:rsid w:val="002C37F9"/>
    <w:rsid w:val="002C388B"/>
    <w:rsid w:val="002C39AF"/>
    <w:rsid w:val="002C39C7"/>
    <w:rsid w:val="002C39D4"/>
    <w:rsid w:val="002C3C2C"/>
    <w:rsid w:val="002C3DBF"/>
    <w:rsid w:val="002C3E9B"/>
    <w:rsid w:val="002C3F2B"/>
    <w:rsid w:val="002C3F8C"/>
    <w:rsid w:val="002C3FB8"/>
    <w:rsid w:val="002C4007"/>
    <w:rsid w:val="002C4043"/>
    <w:rsid w:val="002C4053"/>
    <w:rsid w:val="002C4133"/>
    <w:rsid w:val="002C422F"/>
    <w:rsid w:val="002C43C4"/>
    <w:rsid w:val="002C4413"/>
    <w:rsid w:val="002C44CA"/>
    <w:rsid w:val="002C468B"/>
    <w:rsid w:val="002C46BA"/>
    <w:rsid w:val="002C4A00"/>
    <w:rsid w:val="002C4A06"/>
    <w:rsid w:val="002C4A9F"/>
    <w:rsid w:val="002C4B55"/>
    <w:rsid w:val="002C4BBE"/>
    <w:rsid w:val="002C4E40"/>
    <w:rsid w:val="002C50D8"/>
    <w:rsid w:val="002C51F5"/>
    <w:rsid w:val="002C523B"/>
    <w:rsid w:val="002C535E"/>
    <w:rsid w:val="002C5385"/>
    <w:rsid w:val="002C5408"/>
    <w:rsid w:val="002C55A8"/>
    <w:rsid w:val="002C569D"/>
    <w:rsid w:val="002C57FC"/>
    <w:rsid w:val="002C5AD8"/>
    <w:rsid w:val="002C5B79"/>
    <w:rsid w:val="002C5BC7"/>
    <w:rsid w:val="002C5D85"/>
    <w:rsid w:val="002C5ED7"/>
    <w:rsid w:val="002C5EEB"/>
    <w:rsid w:val="002C5F16"/>
    <w:rsid w:val="002C62AD"/>
    <w:rsid w:val="002C62DD"/>
    <w:rsid w:val="002C6440"/>
    <w:rsid w:val="002C651C"/>
    <w:rsid w:val="002C657B"/>
    <w:rsid w:val="002C65BF"/>
    <w:rsid w:val="002C6745"/>
    <w:rsid w:val="002C679D"/>
    <w:rsid w:val="002C6ACD"/>
    <w:rsid w:val="002C6BA0"/>
    <w:rsid w:val="002C6CA9"/>
    <w:rsid w:val="002C6DE0"/>
    <w:rsid w:val="002C6E52"/>
    <w:rsid w:val="002C6E8B"/>
    <w:rsid w:val="002C6EAD"/>
    <w:rsid w:val="002C6EB5"/>
    <w:rsid w:val="002C6ED8"/>
    <w:rsid w:val="002C6FA5"/>
    <w:rsid w:val="002C716D"/>
    <w:rsid w:val="002C725D"/>
    <w:rsid w:val="002C7379"/>
    <w:rsid w:val="002C73C8"/>
    <w:rsid w:val="002C7482"/>
    <w:rsid w:val="002C77C2"/>
    <w:rsid w:val="002C7886"/>
    <w:rsid w:val="002C78E0"/>
    <w:rsid w:val="002C7928"/>
    <w:rsid w:val="002C7980"/>
    <w:rsid w:val="002C7A11"/>
    <w:rsid w:val="002C7A46"/>
    <w:rsid w:val="002C7AD4"/>
    <w:rsid w:val="002C7C5F"/>
    <w:rsid w:val="002C7CBA"/>
    <w:rsid w:val="002C7E73"/>
    <w:rsid w:val="002C7E90"/>
    <w:rsid w:val="002C7EF3"/>
    <w:rsid w:val="002C7F89"/>
    <w:rsid w:val="002D0020"/>
    <w:rsid w:val="002D00A7"/>
    <w:rsid w:val="002D010E"/>
    <w:rsid w:val="002D028D"/>
    <w:rsid w:val="002D02D3"/>
    <w:rsid w:val="002D02ED"/>
    <w:rsid w:val="002D0326"/>
    <w:rsid w:val="002D0390"/>
    <w:rsid w:val="002D04D8"/>
    <w:rsid w:val="002D0571"/>
    <w:rsid w:val="002D07B8"/>
    <w:rsid w:val="002D0897"/>
    <w:rsid w:val="002D0985"/>
    <w:rsid w:val="002D09B2"/>
    <w:rsid w:val="002D0AB5"/>
    <w:rsid w:val="002D0C11"/>
    <w:rsid w:val="002D0E9D"/>
    <w:rsid w:val="002D0EC2"/>
    <w:rsid w:val="002D119E"/>
    <w:rsid w:val="002D11C3"/>
    <w:rsid w:val="002D1208"/>
    <w:rsid w:val="002D1350"/>
    <w:rsid w:val="002D14DC"/>
    <w:rsid w:val="002D1509"/>
    <w:rsid w:val="002D162B"/>
    <w:rsid w:val="002D16F1"/>
    <w:rsid w:val="002D16F3"/>
    <w:rsid w:val="002D19D8"/>
    <w:rsid w:val="002D1B03"/>
    <w:rsid w:val="002D1DAA"/>
    <w:rsid w:val="002D1F64"/>
    <w:rsid w:val="002D2090"/>
    <w:rsid w:val="002D215D"/>
    <w:rsid w:val="002D221C"/>
    <w:rsid w:val="002D2252"/>
    <w:rsid w:val="002D2297"/>
    <w:rsid w:val="002D2357"/>
    <w:rsid w:val="002D249D"/>
    <w:rsid w:val="002D24A1"/>
    <w:rsid w:val="002D26FD"/>
    <w:rsid w:val="002D2988"/>
    <w:rsid w:val="002D29F9"/>
    <w:rsid w:val="002D2AB8"/>
    <w:rsid w:val="002D2ACE"/>
    <w:rsid w:val="002D2B1B"/>
    <w:rsid w:val="002D2B3E"/>
    <w:rsid w:val="002D2C6D"/>
    <w:rsid w:val="002D2CD2"/>
    <w:rsid w:val="002D2D6A"/>
    <w:rsid w:val="002D2EA5"/>
    <w:rsid w:val="002D2F44"/>
    <w:rsid w:val="002D3075"/>
    <w:rsid w:val="002D30AC"/>
    <w:rsid w:val="002D3118"/>
    <w:rsid w:val="002D3154"/>
    <w:rsid w:val="002D31EE"/>
    <w:rsid w:val="002D31F1"/>
    <w:rsid w:val="002D3252"/>
    <w:rsid w:val="002D33A7"/>
    <w:rsid w:val="002D340B"/>
    <w:rsid w:val="002D342A"/>
    <w:rsid w:val="002D349D"/>
    <w:rsid w:val="002D397F"/>
    <w:rsid w:val="002D39EB"/>
    <w:rsid w:val="002D3A2D"/>
    <w:rsid w:val="002D3AE3"/>
    <w:rsid w:val="002D3CC2"/>
    <w:rsid w:val="002D3D04"/>
    <w:rsid w:val="002D3EAF"/>
    <w:rsid w:val="002D3FD4"/>
    <w:rsid w:val="002D4013"/>
    <w:rsid w:val="002D4113"/>
    <w:rsid w:val="002D41BF"/>
    <w:rsid w:val="002D4288"/>
    <w:rsid w:val="002D42C6"/>
    <w:rsid w:val="002D42D3"/>
    <w:rsid w:val="002D4334"/>
    <w:rsid w:val="002D4369"/>
    <w:rsid w:val="002D43E5"/>
    <w:rsid w:val="002D4469"/>
    <w:rsid w:val="002D4786"/>
    <w:rsid w:val="002D495F"/>
    <w:rsid w:val="002D4B03"/>
    <w:rsid w:val="002D4C07"/>
    <w:rsid w:val="002D4C58"/>
    <w:rsid w:val="002D4EA2"/>
    <w:rsid w:val="002D4EE2"/>
    <w:rsid w:val="002D5079"/>
    <w:rsid w:val="002D52D7"/>
    <w:rsid w:val="002D5318"/>
    <w:rsid w:val="002D53A6"/>
    <w:rsid w:val="002D56B0"/>
    <w:rsid w:val="002D579D"/>
    <w:rsid w:val="002D58B6"/>
    <w:rsid w:val="002D59D4"/>
    <w:rsid w:val="002D59DD"/>
    <w:rsid w:val="002D5A05"/>
    <w:rsid w:val="002D5A4E"/>
    <w:rsid w:val="002D5CFD"/>
    <w:rsid w:val="002D5E4C"/>
    <w:rsid w:val="002D5E72"/>
    <w:rsid w:val="002D5E7C"/>
    <w:rsid w:val="002D5F87"/>
    <w:rsid w:val="002D6215"/>
    <w:rsid w:val="002D6255"/>
    <w:rsid w:val="002D633D"/>
    <w:rsid w:val="002D6365"/>
    <w:rsid w:val="002D6367"/>
    <w:rsid w:val="002D659F"/>
    <w:rsid w:val="002D66DC"/>
    <w:rsid w:val="002D6759"/>
    <w:rsid w:val="002D6A11"/>
    <w:rsid w:val="002D6B91"/>
    <w:rsid w:val="002D6C81"/>
    <w:rsid w:val="002D6D1E"/>
    <w:rsid w:val="002D6D4D"/>
    <w:rsid w:val="002D6DB5"/>
    <w:rsid w:val="002D6EE2"/>
    <w:rsid w:val="002D6F77"/>
    <w:rsid w:val="002D72B3"/>
    <w:rsid w:val="002D72EF"/>
    <w:rsid w:val="002D74CA"/>
    <w:rsid w:val="002D75C8"/>
    <w:rsid w:val="002D76D8"/>
    <w:rsid w:val="002D76F4"/>
    <w:rsid w:val="002D7735"/>
    <w:rsid w:val="002D77D7"/>
    <w:rsid w:val="002D7947"/>
    <w:rsid w:val="002D79CE"/>
    <w:rsid w:val="002D7A28"/>
    <w:rsid w:val="002D7AB2"/>
    <w:rsid w:val="002D7B47"/>
    <w:rsid w:val="002D7BBA"/>
    <w:rsid w:val="002D7BF8"/>
    <w:rsid w:val="002D7C5B"/>
    <w:rsid w:val="002D7EF2"/>
    <w:rsid w:val="002D7F3E"/>
    <w:rsid w:val="002E0001"/>
    <w:rsid w:val="002E013F"/>
    <w:rsid w:val="002E01F0"/>
    <w:rsid w:val="002E0217"/>
    <w:rsid w:val="002E030A"/>
    <w:rsid w:val="002E04F0"/>
    <w:rsid w:val="002E054C"/>
    <w:rsid w:val="002E0550"/>
    <w:rsid w:val="002E0758"/>
    <w:rsid w:val="002E098A"/>
    <w:rsid w:val="002E0A6C"/>
    <w:rsid w:val="002E0BE7"/>
    <w:rsid w:val="002E0CAA"/>
    <w:rsid w:val="002E0DFF"/>
    <w:rsid w:val="002E0EC9"/>
    <w:rsid w:val="002E0F36"/>
    <w:rsid w:val="002E1110"/>
    <w:rsid w:val="002E136B"/>
    <w:rsid w:val="002E148F"/>
    <w:rsid w:val="002E1629"/>
    <w:rsid w:val="002E16EE"/>
    <w:rsid w:val="002E1752"/>
    <w:rsid w:val="002E17D8"/>
    <w:rsid w:val="002E18E8"/>
    <w:rsid w:val="002E194B"/>
    <w:rsid w:val="002E1989"/>
    <w:rsid w:val="002E19AD"/>
    <w:rsid w:val="002E1CCF"/>
    <w:rsid w:val="002E1D19"/>
    <w:rsid w:val="002E1D24"/>
    <w:rsid w:val="002E1DB7"/>
    <w:rsid w:val="002E1EFD"/>
    <w:rsid w:val="002E1FB6"/>
    <w:rsid w:val="002E2017"/>
    <w:rsid w:val="002E20CF"/>
    <w:rsid w:val="002E20E6"/>
    <w:rsid w:val="002E22C7"/>
    <w:rsid w:val="002E22E6"/>
    <w:rsid w:val="002E23B8"/>
    <w:rsid w:val="002E2425"/>
    <w:rsid w:val="002E245F"/>
    <w:rsid w:val="002E24B3"/>
    <w:rsid w:val="002E24C4"/>
    <w:rsid w:val="002E2552"/>
    <w:rsid w:val="002E25FA"/>
    <w:rsid w:val="002E2604"/>
    <w:rsid w:val="002E26F3"/>
    <w:rsid w:val="002E28BF"/>
    <w:rsid w:val="002E28D3"/>
    <w:rsid w:val="002E2B8D"/>
    <w:rsid w:val="002E2C11"/>
    <w:rsid w:val="002E2C42"/>
    <w:rsid w:val="002E2C48"/>
    <w:rsid w:val="002E2CBE"/>
    <w:rsid w:val="002E2D93"/>
    <w:rsid w:val="002E30CE"/>
    <w:rsid w:val="002E3197"/>
    <w:rsid w:val="002E31C4"/>
    <w:rsid w:val="002E336E"/>
    <w:rsid w:val="002E34A9"/>
    <w:rsid w:val="002E377C"/>
    <w:rsid w:val="002E38A3"/>
    <w:rsid w:val="002E38DC"/>
    <w:rsid w:val="002E3B19"/>
    <w:rsid w:val="002E3B65"/>
    <w:rsid w:val="002E3D5B"/>
    <w:rsid w:val="002E3E37"/>
    <w:rsid w:val="002E411C"/>
    <w:rsid w:val="002E4212"/>
    <w:rsid w:val="002E424B"/>
    <w:rsid w:val="002E42EC"/>
    <w:rsid w:val="002E4317"/>
    <w:rsid w:val="002E4398"/>
    <w:rsid w:val="002E43A9"/>
    <w:rsid w:val="002E44A3"/>
    <w:rsid w:val="002E44B2"/>
    <w:rsid w:val="002E4531"/>
    <w:rsid w:val="002E454C"/>
    <w:rsid w:val="002E45F5"/>
    <w:rsid w:val="002E484E"/>
    <w:rsid w:val="002E4867"/>
    <w:rsid w:val="002E4870"/>
    <w:rsid w:val="002E4934"/>
    <w:rsid w:val="002E5050"/>
    <w:rsid w:val="002E5219"/>
    <w:rsid w:val="002E52AE"/>
    <w:rsid w:val="002E52B2"/>
    <w:rsid w:val="002E5416"/>
    <w:rsid w:val="002E54A9"/>
    <w:rsid w:val="002E54DD"/>
    <w:rsid w:val="002E55DF"/>
    <w:rsid w:val="002E57F1"/>
    <w:rsid w:val="002E588B"/>
    <w:rsid w:val="002E594C"/>
    <w:rsid w:val="002E597A"/>
    <w:rsid w:val="002E5AC6"/>
    <w:rsid w:val="002E5AE6"/>
    <w:rsid w:val="002E5B68"/>
    <w:rsid w:val="002E5BF1"/>
    <w:rsid w:val="002E5C5A"/>
    <w:rsid w:val="002E5C74"/>
    <w:rsid w:val="002E5CDE"/>
    <w:rsid w:val="002E5EA5"/>
    <w:rsid w:val="002E5FD0"/>
    <w:rsid w:val="002E6036"/>
    <w:rsid w:val="002E60E0"/>
    <w:rsid w:val="002E610F"/>
    <w:rsid w:val="002E6357"/>
    <w:rsid w:val="002E639E"/>
    <w:rsid w:val="002E654D"/>
    <w:rsid w:val="002E6621"/>
    <w:rsid w:val="002E6624"/>
    <w:rsid w:val="002E662F"/>
    <w:rsid w:val="002E6795"/>
    <w:rsid w:val="002E683C"/>
    <w:rsid w:val="002E68AD"/>
    <w:rsid w:val="002E69C0"/>
    <w:rsid w:val="002E6A59"/>
    <w:rsid w:val="002E6B1C"/>
    <w:rsid w:val="002E6B3B"/>
    <w:rsid w:val="002E6B7C"/>
    <w:rsid w:val="002E6CEC"/>
    <w:rsid w:val="002E6DD2"/>
    <w:rsid w:val="002E6E2E"/>
    <w:rsid w:val="002E6EFA"/>
    <w:rsid w:val="002E6F22"/>
    <w:rsid w:val="002E702A"/>
    <w:rsid w:val="002E703D"/>
    <w:rsid w:val="002E70A3"/>
    <w:rsid w:val="002E7142"/>
    <w:rsid w:val="002E722A"/>
    <w:rsid w:val="002E733E"/>
    <w:rsid w:val="002E7350"/>
    <w:rsid w:val="002E75B8"/>
    <w:rsid w:val="002E7647"/>
    <w:rsid w:val="002E764C"/>
    <w:rsid w:val="002E783C"/>
    <w:rsid w:val="002E7AEE"/>
    <w:rsid w:val="002E7B40"/>
    <w:rsid w:val="002E7C42"/>
    <w:rsid w:val="002E7D4B"/>
    <w:rsid w:val="002E7E8B"/>
    <w:rsid w:val="002E7F85"/>
    <w:rsid w:val="002E7FA4"/>
    <w:rsid w:val="002F0086"/>
    <w:rsid w:val="002F00BD"/>
    <w:rsid w:val="002F02EF"/>
    <w:rsid w:val="002F036F"/>
    <w:rsid w:val="002F03BF"/>
    <w:rsid w:val="002F0441"/>
    <w:rsid w:val="002F0528"/>
    <w:rsid w:val="002F05F0"/>
    <w:rsid w:val="002F0676"/>
    <w:rsid w:val="002F06D5"/>
    <w:rsid w:val="002F085B"/>
    <w:rsid w:val="002F0A89"/>
    <w:rsid w:val="002F0AEA"/>
    <w:rsid w:val="002F0B4E"/>
    <w:rsid w:val="002F0BDD"/>
    <w:rsid w:val="002F0C07"/>
    <w:rsid w:val="002F0CAE"/>
    <w:rsid w:val="002F0DFD"/>
    <w:rsid w:val="002F0E1E"/>
    <w:rsid w:val="002F0E31"/>
    <w:rsid w:val="002F0FF4"/>
    <w:rsid w:val="002F1700"/>
    <w:rsid w:val="002F1788"/>
    <w:rsid w:val="002F17C7"/>
    <w:rsid w:val="002F1A4E"/>
    <w:rsid w:val="002F1B50"/>
    <w:rsid w:val="002F1CF3"/>
    <w:rsid w:val="002F1E4A"/>
    <w:rsid w:val="002F2004"/>
    <w:rsid w:val="002F200E"/>
    <w:rsid w:val="002F2082"/>
    <w:rsid w:val="002F20C5"/>
    <w:rsid w:val="002F219B"/>
    <w:rsid w:val="002F240B"/>
    <w:rsid w:val="002F25A2"/>
    <w:rsid w:val="002F2607"/>
    <w:rsid w:val="002F261A"/>
    <w:rsid w:val="002F2879"/>
    <w:rsid w:val="002F28FF"/>
    <w:rsid w:val="002F29B8"/>
    <w:rsid w:val="002F29EA"/>
    <w:rsid w:val="002F2A43"/>
    <w:rsid w:val="002F2AEB"/>
    <w:rsid w:val="002F2BEE"/>
    <w:rsid w:val="002F2CF2"/>
    <w:rsid w:val="002F2ED7"/>
    <w:rsid w:val="002F3085"/>
    <w:rsid w:val="002F3151"/>
    <w:rsid w:val="002F3187"/>
    <w:rsid w:val="002F33FA"/>
    <w:rsid w:val="002F345E"/>
    <w:rsid w:val="002F3470"/>
    <w:rsid w:val="002F34EE"/>
    <w:rsid w:val="002F350C"/>
    <w:rsid w:val="002F350F"/>
    <w:rsid w:val="002F3630"/>
    <w:rsid w:val="002F36BC"/>
    <w:rsid w:val="002F36EB"/>
    <w:rsid w:val="002F38FE"/>
    <w:rsid w:val="002F393E"/>
    <w:rsid w:val="002F39C8"/>
    <w:rsid w:val="002F3D03"/>
    <w:rsid w:val="002F3E65"/>
    <w:rsid w:val="002F3E7A"/>
    <w:rsid w:val="002F3FBA"/>
    <w:rsid w:val="002F3FF0"/>
    <w:rsid w:val="002F40D6"/>
    <w:rsid w:val="002F421A"/>
    <w:rsid w:val="002F44E1"/>
    <w:rsid w:val="002F4542"/>
    <w:rsid w:val="002F460D"/>
    <w:rsid w:val="002F46C3"/>
    <w:rsid w:val="002F48F6"/>
    <w:rsid w:val="002F4910"/>
    <w:rsid w:val="002F4ACF"/>
    <w:rsid w:val="002F4C16"/>
    <w:rsid w:val="002F4C2D"/>
    <w:rsid w:val="002F4C60"/>
    <w:rsid w:val="002F4CC2"/>
    <w:rsid w:val="002F4E5E"/>
    <w:rsid w:val="002F4F20"/>
    <w:rsid w:val="002F50A2"/>
    <w:rsid w:val="002F50DA"/>
    <w:rsid w:val="002F526E"/>
    <w:rsid w:val="002F52C1"/>
    <w:rsid w:val="002F5392"/>
    <w:rsid w:val="002F53F9"/>
    <w:rsid w:val="002F5444"/>
    <w:rsid w:val="002F57B0"/>
    <w:rsid w:val="002F57B9"/>
    <w:rsid w:val="002F57BF"/>
    <w:rsid w:val="002F57D7"/>
    <w:rsid w:val="002F57ED"/>
    <w:rsid w:val="002F5814"/>
    <w:rsid w:val="002F58A2"/>
    <w:rsid w:val="002F58D9"/>
    <w:rsid w:val="002F591C"/>
    <w:rsid w:val="002F5962"/>
    <w:rsid w:val="002F59E0"/>
    <w:rsid w:val="002F5A22"/>
    <w:rsid w:val="002F5ADB"/>
    <w:rsid w:val="002F5C3E"/>
    <w:rsid w:val="002F5DE3"/>
    <w:rsid w:val="002F5E2B"/>
    <w:rsid w:val="002F5E3A"/>
    <w:rsid w:val="002F5F04"/>
    <w:rsid w:val="002F5F39"/>
    <w:rsid w:val="002F617F"/>
    <w:rsid w:val="002F649C"/>
    <w:rsid w:val="002F64B0"/>
    <w:rsid w:val="002F650E"/>
    <w:rsid w:val="002F653A"/>
    <w:rsid w:val="002F6583"/>
    <w:rsid w:val="002F65A9"/>
    <w:rsid w:val="002F6610"/>
    <w:rsid w:val="002F6661"/>
    <w:rsid w:val="002F6688"/>
    <w:rsid w:val="002F671E"/>
    <w:rsid w:val="002F6871"/>
    <w:rsid w:val="002F6952"/>
    <w:rsid w:val="002F6BC9"/>
    <w:rsid w:val="002F6C0F"/>
    <w:rsid w:val="002F6D0E"/>
    <w:rsid w:val="002F6E17"/>
    <w:rsid w:val="002F6F81"/>
    <w:rsid w:val="002F70B8"/>
    <w:rsid w:val="002F70F6"/>
    <w:rsid w:val="002F72BC"/>
    <w:rsid w:val="002F7370"/>
    <w:rsid w:val="002F74C1"/>
    <w:rsid w:val="002F752C"/>
    <w:rsid w:val="002F76BA"/>
    <w:rsid w:val="002F76C3"/>
    <w:rsid w:val="002F7705"/>
    <w:rsid w:val="002F7799"/>
    <w:rsid w:val="002F77E7"/>
    <w:rsid w:val="002F78C3"/>
    <w:rsid w:val="002F7A14"/>
    <w:rsid w:val="002F7C4F"/>
    <w:rsid w:val="002F7EFB"/>
    <w:rsid w:val="002F7F65"/>
    <w:rsid w:val="00300109"/>
    <w:rsid w:val="0030023E"/>
    <w:rsid w:val="003006FD"/>
    <w:rsid w:val="003007B5"/>
    <w:rsid w:val="003008A4"/>
    <w:rsid w:val="0030097E"/>
    <w:rsid w:val="00300B94"/>
    <w:rsid w:val="00300C36"/>
    <w:rsid w:val="00300C8D"/>
    <w:rsid w:val="00300F41"/>
    <w:rsid w:val="00300F65"/>
    <w:rsid w:val="00300F84"/>
    <w:rsid w:val="00301025"/>
    <w:rsid w:val="00301071"/>
    <w:rsid w:val="00301190"/>
    <w:rsid w:val="00301214"/>
    <w:rsid w:val="003014D8"/>
    <w:rsid w:val="0030158F"/>
    <w:rsid w:val="003015AB"/>
    <w:rsid w:val="003015EB"/>
    <w:rsid w:val="00301755"/>
    <w:rsid w:val="00301895"/>
    <w:rsid w:val="0030192D"/>
    <w:rsid w:val="00301A91"/>
    <w:rsid w:val="00301DD3"/>
    <w:rsid w:val="00301F63"/>
    <w:rsid w:val="00301FF0"/>
    <w:rsid w:val="003020C0"/>
    <w:rsid w:val="0030210E"/>
    <w:rsid w:val="00302116"/>
    <w:rsid w:val="003021D0"/>
    <w:rsid w:val="0030229B"/>
    <w:rsid w:val="003024A4"/>
    <w:rsid w:val="0030257B"/>
    <w:rsid w:val="003026BB"/>
    <w:rsid w:val="003028D4"/>
    <w:rsid w:val="00302AD1"/>
    <w:rsid w:val="00302C0B"/>
    <w:rsid w:val="00302C7B"/>
    <w:rsid w:val="00302CE9"/>
    <w:rsid w:val="00302D05"/>
    <w:rsid w:val="00302D43"/>
    <w:rsid w:val="00302E1E"/>
    <w:rsid w:val="00302E21"/>
    <w:rsid w:val="00302E90"/>
    <w:rsid w:val="00302EA8"/>
    <w:rsid w:val="00302F0D"/>
    <w:rsid w:val="00302F2C"/>
    <w:rsid w:val="00302F2D"/>
    <w:rsid w:val="00303002"/>
    <w:rsid w:val="0030318D"/>
    <w:rsid w:val="003031DA"/>
    <w:rsid w:val="0030347C"/>
    <w:rsid w:val="0030369B"/>
    <w:rsid w:val="003037C5"/>
    <w:rsid w:val="003038CE"/>
    <w:rsid w:val="00303913"/>
    <w:rsid w:val="003039AA"/>
    <w:rsid w:val="00303AB0"/>
    <w:rsid w:val="00303B2D"/>
    <w:rsid w:val="00303BD6"/>
    <w:rsid w:val="00303C0B"/>
    <w:rsid w:val="00303C4D"/>
    <w:rsid w:val="003040FD"/>
    <w:rsid w:val="0030413F"/>
    <w:rsid w:val="00304287"/>
    <w:rsid w:val="003042CD"/>
    <w:rsid w:val="00304574"/>
    <w:rsid w:val="003045AE"/>
    <w:rsid w:val="00304607"/>
    <w:rsid w:val="00304611"/>
    <w:rsid w:val="0030463D"/>
    <w:rsid w:val="00304946"/>
    <w:rsid w:val="0030495F"/>
    <w:rsid w:val="003049B2"/>
    <w:rsid w:val="00304A3A"/>
    <w:rsid w:val="00304A8D"/>
    <w:rsid w:val="00304BA7"/>
    <w:rsid w:val="00304C1D"/>
    <w:rsid w:val="00304DA9"/>
    <w:rsid w:val="00304E25"/>
    <w:rsid w:val="00304E52"/>
    <w:rsid w:val="00304F63"/>
    <w:rsid w:val="003050B6"/>
    <w:rsid w:val="00305202"/>
    <w:rsid w:val="00305225"/>
    <w:rsid w:val="003054A4"/>
    <w:rsid w:val="003055DA"/>
    <w:rsid w:val="00305647"/>
    <w:rsid w:val="00305658"/>
    <w:rsid w:val="00305701"/>
    <w:rsid w:val="00305903"/>
    <w:rsid w:val="0030592D"/>
    <w:rsid w:val="0030594B"/>
    <w:rsid w:val="00305A7C"/>
    <w:rsid w:val="00305B36"/>
    <w:rsid w:val="00305C74"/>
    <w:rsid w:val="00305D34"/>
    <w:rsid w:val="00305D51"/>
    <w:rsid w:val="00305DAF"/>
    <w:rsid w:val="00305E8B"/>
    <w:rsid w:val="00305FA5"/>
    <w:rsid w:val="003060D0"/>
    <w:rsid w:val="00306370"/>
    <w:rsid w:val="003063A9"/>
    <w:rsid w:val="0030658C"/>
    <w:rsid w:val="0030665E"/>
    <w:rsid w:val="003066AB"/>
    <w:rsid w:val="0030671A"/>
    <w:rsid w:val="00306744"/>
    <w:rsid w:val="00306853"/>
    <w:rsid w:val="00306894"/>
    <w:rsid w:val="003068E1"/>
    <w:rsid w:val="00306A86"/>
    <w:rsid w:val="00306AAB"/>
    <w:rsid w:val="00306C05"/>
    <w:rsid w:val="00306C31"/>
    <w:rsid w:val="00306DB0"/>
    <w:rsid w:val="00306E00"/>
    <w:rsid w:val="00306F2F"/>
    <w:rsid w:val="003070C7"/>
    <w:rsid w:val="003070F6"/>
    <w:rsid w:val="00307166"/>
    <w:rsid w:val="003071A6"/>
    <w:rsid w:val="0030778E"/>
    <w:rsid w:val="00307ACC"/>
    <w:rsid w:val="00307C1F"/>
    <w:rsid w:val="00307CD2"/>
    <w:rsid w:val="00307DC5"/>
    <w:rsid w:val="00310003"/>
    <w:rsid w:val="00310029"/>
    <w:rsid w:val="003101D4"/>
    <w:rsid w:val="0031026D"/>
    <w:rsid w:val="00310673"/>
    <w:rsid w:val="0031091E"/>
    <w:rsid w:val="00310942"/>
    <w:rsid w:val="00310C3A"/>
    <w:rsid w:val="00310FCE"/>
    <w:rsid w:val="00311039"/>
    <w:rsid w:val="00311048"/>
    <w:rsid w:val="003110B3"/>
    <w:rsid w:val="0031117A"/>
    <w:rsid w:val="0031126E"/>
    <w:rsid w:val="0031143C"/>
    <w:rsid w:val="0031152C"/>
    <w:rsid w:val="00311773"/>
    <w:rsid w:val="0031185D"/>
    <w:rsid w:val="00311860"/>
    <w:rsid w:val="003118AB"/>
    <w:rsid w:val="00311943"/>
    <w:rsid w:val="00311C6E"/>
    <w:rsid w:val="00311C96"/>
    <w:rsid w:val="00311D2E"/>
    <w:rsid w:val="00311DC3"/>
    <w:rsid w:val="00311E3E"/>
    <w:rsid w:val="003120C0"/>
    <w:rsid w:val="00312127"/>
    <w:rsid w:val="00312153"/>
    <w:rsid w:val="003121FD"/>
    <w:rsid w:val="00312297"/>
    <w:rsid w:val="003122F4"/>
    <w:rsid w:val="00312314"/>
    <w:rsid w:val="00312315"/>
    <w:rsid w:val="0031232D"/>
    <w:rsid w:val="003123D9"/>
    <w:rsid w:val="0031248D"/>
    <w:rsid w:val="0031253B"/>
    <w:rsid w:val="0031254B"/>
    <w:rsid w:val="0031282D"/>
    <w:rsid w:val="00312841"/>
    <w:rsid w:val="003128DE"/>
    <w:rsid w:val="0031290D"/>
    <w:rsid w:val="00312AD9"/>
    <w:rsid w:val="00312BD2"/>
    <w:rsid w:val="00312CB1"/>
    <w:rsid w:val="00312D5B"/>
    <w:rsid w:val="0031301A"/>
    <w:rsid w:val="00313120"/>
    <w:rsid w:val="003131BD"/>
    <w:rsid w:val="003131C6"/>
    <w:rsid w:val="00313314"/>
    <w:rsid w:val="003133EE"/>
    <w:rsid w:val="00313446"/>
    <w:rsid w:val="003135F6"/>
    <w:rsid w:val="00313639"/>
    <w:rsid w:val="0031367F"/>
    <w:rsid w:val="003136CB"/>
    <w:rsid w:val="00313724"/>
    <w:rsid w:val="0031388C"/>
    <w:rsid w:val="00313AEA"/>
    <w:rsid w:val="00313D3C"/>
    <w:rsid w:val="00313DDF"/>
    <w:rsid w:val="00313E61"/>
    <w:rsid w:val="00313EE6"/>
    <w:rsid w:val="00314004"/>
    <w:rsid w:val="00314013"/>
    <w:rsid w:val="00314036"/>
    <w:rsid w:val="00314046"/>
    <w:rsid w:val="003140E7"/>
    <w:rsid w:val="00314272"/>
    <w:rsid w:val="003142C6"/>
    <w:rsid w:val="0031430E"/>
    <w:rsid w:val="0031433F"/>
    <w:rsid w:val="00314367"/>
    <w:rsid w:val="00314370"/>
    <w:rsid w:val="003144A0"/>
    <w:rsid w:val="00314522"/>
    <w:rsid w:val="0031477A"/>
    <w:rsid w:val="0031477B"/>
    <w:rsid w:val="0031485E"/>
    <w:rsid w:val="003149D8"/>
    <w:rsid w:val="00314B93"/>
    <w:rsid w:val="00314BA2"/>
    <w:rsid w:val="00314BB5"/>
    <w:rsid w:val="00314C73"/>
    <w:rsid w:val="00314CA3"/>
    <w:rsid w:val="00314D78"/>
    <w:rsid w:val="00314DAC"/>
    <w:rsid w:val="00314EAF"/>
    <w:rsid w:val="00314EDF"/>
    <w:rsid w:val="00314F17"/>
    <w:rsid w:val="00314F7D"/>
    <w:rsid w:val="00314F9E"/>
    <w:rsid w:val="0031502B"/>
    <w:rsid w:val="003151B0"/>
    <w:rsid w:val="003151D5"/>
    <w:rsid w:val="0031551B"/>
    <w:rsid w:val="00315687"/>
    <w:rsid w:val="003156AA"/>
    <w:rsid w:val="003157A8"/>
    <w:rsid w:val="003157C0"/>
    <w:rsid w:val="00315863"/>
    <w:rsid w:val="003158CE"/>
    <w:rsid w:val="003158FE"/>
    <w:rsid w:val="003159D2"/>
    <w:rsid w:val="00315B07"/>
    <w:rsid w:val="00315BBD"/>
    <w:rsid w:val="00315DC1"/>
    <w:rsid w:val="00315DEB"/>
    <w:rsid w:val="00315F2A"/>
    <w:rsid w:val="00316071"/>
    <w:rsid w:val="00316184"/>
    <w:rsid w:val="00316190"/>
    <w:rsid w:val="003162C3"/>
    <w:rsid w:val="00316374"/>
    <w:rsid w:val="0031637E"/>
    <w:rsid w:val="0031659C"/>
    <w:rsid w:val="003167E9"/>
    <w:rsid w:val="00316945"/>
    <w:rsid w:val="00316947"/>
    <w:rsid w:val="00316A2F"/>
    <w:rsid w:val="00316C15"/>
    <w:rsid w:val="00316C4C"/>
    <w:rsid w:val="00316C54"/>
    <w:rsid w:val="00316E22"/>
    <w:rsid w:val="00316ED8"/>
    <w:rsid w:val="00316F8B"/>
    <w:rsid w:val="00317027"/>
    <w:rsid w:val="0031702A"/>
    <w:rsid w:val="00317091"/>
    <w:rsid w:val="003172A4"/>
    <w:rsid w:val="0031750A"/>
    <w:rsid w:val="003175BF"/>
    <w:rsid w:val="003175C4"/>
    <w:rsid w:val="003176B5"/>
    <w:rsid w:val="0031770B"/>
    <w:rsid w:val="00317730"/>
    <w:rsid w:val="003177A1"/>
    <w:rsid w:val="00317999"/>
    <w:rsid w:val="00317AFB"/>
    <w:rsid w:val="00317C0C"/>
    <w:rsid w:val="00317C21"/>
    <w:rsid w:val="00317CB5"/>
    <w:rsid w:val="00317D1A"/>
    <w:rsid w:val="00317DA7"/>
    <w:rsid w:val="00317EFD"/>
    <w:rsid w:val="0032006C"/>
    <w:rsid w:val="00320155"/>
    <w:rsid w:val="00320251"/>
    <w:rsid w:val="00320255"/>
    <w:rsid w:val="00320274"/>
    <w:rsid w:val="0032028E"/>
    <w:rsid w:val="003202B0"/>
    <w:rsid w:val="00320575"/>
    <w:rsid w:val="0032066E"/>
    <w:rsid w:val="003206F6"/>
    <w:rsid w:val="0032087E"/>
    <w:rsid w:val="003208B8"/>
    <w:rsid w:val="003208FF"/>
    <w:rsid w:val="00320ACA"/>
    <w:rsid w:val="00320B93"/>
    <w:rsid w:val="00320C16"/>
    <w:rsid w:val="00320D0A"/>
    <w:rsid w:val="00320E44"/>
    <w:rsid w:val="00320E63"/>
    <w:rsid w:val="00320E76"/>
    <w:rsid w:val="00320ED6"/>
    <w:rsid w:val="00320EF1"/>
    <w:rsid w:val="00321195"/>
    <w:rsid w:val="003211F0"/>
    <w:rsid w:val="00321291"/>
    <w:rsid w:val="003213A4"/>
    <w:rsid w:val="003214DD"/>
    <w:rsid w:val="0032150E"/>
    <w:rsid w:val="00321635"/>
    <w:rsid w:val="003217E4"/>
    <w:rsid w:val="00321848"/>
    <w:rsid w:val="00321A14"/>
    <w:rsid w:val="00321BA9"/>
    <w:rsid w:val="00321BED"/>
    <w:rsid w:val="00321C49"/>
    <w:rsid w:val="00321DD8"/>
    <w:rsid w:val="00321F2A"/>
    <w:rsid w:val="00322128"/>
    <w:rsid w:val="0032218F"/>
    <w:rsid w:val="003221B7"/>
    <w:rsid w:val="00322216"/>
    <w:rsid w:val="00322375"/>
    <w:rsid w:val="003223EA"/>
    <w:rsid w:val="00322500"/>
    <w:rsid w:val="00322589"/>
    <w:rsid w:val="00322596"/>
    <w:rsid w:val="003225DC"/>
    <w:rsid w:val="003226C0"/>
    <w:rsid w:val="003228E9"/>
    <w:rsid w:val="00322995"/>
    <w:rsid w:val="003229C0"/>
    <w:rsid w:val="00322C71"/>
    <w:rsid w:val="00322D3C"/>
    <w:rsid w:val="00322D64"/>
    <w:rsid w:val="00322E4F"/>
    <w:rsid w:val="00322F17"/>
    <w:rsid w:val="00323066"/>
    <w:rsid w:val="003230E9"/>
    <w:rsid w:val="003232BA"/>
    <w:rsid w:val="003233BA"/>
    <w:rsid w:val="003233EC"/>
    <w:rsid w:val="0032343F"/>
    <w:rsid w:val="00323577"/>
    <w:rsid w:val="0032373C"/>
    <w:rsid w:val="00323770"/>
    <w:rsid w:val="003237B1"/>
    <w:rsid w:val="003237DF"/>
    <w:rsid w:val="0032384C"/>
    <w:rsid w:val="0032389C"/>
    <w:rsid w:val="003238D7"/>
    <w:rsid w:val="003239D5"/>
    <w:rsid w:val="00323B4A"/>
    <w:rsid w:val="00323EDE"/>
    <w:rsid w:val="00323F73"/>
    <w:rsid w:val="00324103"/>
    <w:rsid w:val="00324227"/>
    <w:rsid w:val="003243FC"/>
    <w:rsid w:val="0032471D"/>
    <w:rsid w:val="00324B0E"/>
    <w:rsid w:val="00324C73"/>
    <w:rsid w:val="00324FF1"/>
    <w:rsid w:val="0032508E"/>
    <w:rsid w:val="00325124"/>
    <w:rsid w:val="003252C4"/>
    <w:rsid w:val="00325386"/>
    <w:rsid w:val="00325428"/>
    <w:rsid w:val="00325465"/>
    <w:rsid w:val="00325470"/>
    <w:rsid w:val="003254EE"/>
    <w:rsid w:val="00325630"/>
    <w:rsid w:val="00325759"/>
    <w:rsid w:val="00325950"/>
    <w:rsid w:val="00325954"/>
    <w:rsid w:val="0032597A"/>
    <w:rsid w:val="00325A05"/>
    <w:rsid w:val="00325B0D"/>
    <w:rsid w:val="00325B1B"/>
    <w:rsid w:val="00325C45"/>
    <w:rsid w:val="00325CC2"/>
    <w:rsid w:val="00325EB4"/>
    <w:rsid w:val="00325FC2"/>
    <w:rsid w:val="00326085"/>
    <w:rsid w:val="0032615D"/>
    <w:rsid w:val="00326239"/>
    <w:rsid w:val="003263A0"/>
    <w:rsid w:val="00326409"/>
    <w:rsid w:val="00326646"/>
    <w:rsid w:val="003267BB"/>
    <w:rsid w:val="0032683E"/>
    <w:rsid w:val="003268D5"/>
    <w:rsid w:val="00326944"/>
    <w:rsid w:val="00326996"/>
    <w:rsid w:val="00326A4E"/>
    <w:rsid w:val="00326B28"/>
    <w:rsid w:val="00326C06"/>
    <w:rsid w:val="00326C64"/>
    <w:rsid w:val="00326ED8"/>
    <w:rsid w:val="00326EF4"/>
    <w:rsid w:val="00327167"/>
    <w:rsid w:val="0032719C"/>
    <w:rsid w:val="003271CA"/>
    <w:rsid w:val="003272D6"/>
    <w:rsid w:val="00327435"/>
    <w:rsid w:val="0032746A"/>
    <w:rsid w:val="0032773F"/>
    <w:rsid w:val="00327800"/>
    <w:rsid w:val="0032785C"/>
    <w:rsid w:val="003278EC"/>
    <w:rsid w:val="00327B34"/>
    <w:rsid w:val="00327B94"/>
    <w:rsid w:val="00327B98"/>
    <w:rsid w:val="00327E25"/>
    <w:rsid w:val="00327EC5"/>
    <w:rsid w:val="00327FBE"/>
    <w:rsid w:val="0033006F"/>
    <w:rsid w:val="003300CC"/>
    <w:rsid w:val="0033022C"/>
    <w:rsid w:val="00330412"/>
    <w:rsid w:val="00330465"/>
    <w:rsid w:val="003304B5"/>
    <w:rsid w:val="0033056A"/>
    <w:rsid w:val="003305D8"/>
    <w:rsid w:val="003306B7"/>
    <w:rsid w:val="00330702"/>
    <w:rsid w:val="00330737"/>
    <w:rsid w:val="00330827"/>
    <w:rsid w:val="00330837"/>
    <w:rsid w:val="00330AF5"/>
    <w:rsid w:val="00330DA6"/>
    <w:rsid w:val="00330DB2"/>
    <w:rsid w:val="00330E03"/>
    <w:rsid w:val="00330F18"/>
    <w:rsid w:val="0033100E"/>
    <w:rsid w:val="003310E7"/>
    <w:rsid w:val="003310FF"/>
    <w:rsid w:val="00331235"/>
    <w:rsid w:val="00331276"/>
    <w:rsid w:val="00331382"/>
    <w:rsid w:val="00331386"/>
    <w:rsid w:val="003313A7"/>
    <w:rsid w:val="003313D2"/>
    <w:rsid w:val="0033144F"/>
    <w:rsid w:val="003314B3"/>
    <w:rsid w:val="003314D3"/>
    <w:rsid w:val="00331609"/>
    <w:rsid w:val="003316BE"/>
    <w:rsid w:val="00331751"/>
    <w:rsid w:val="0033176A"/>
    <w:rsid w:val="0033178B"/>
    <w:rsid w:val="003319B3"/>
    <w:rsid w:val="00331A10"/>
    <w:rsid w:val="00331A1D"/>
    <w:rsid w:val="00331A45"/>
    <w:rsid w:val="00331AEB"/>
    <w:rsid w:val="00331B43"/>
    <w:rsid w:val="00331BF8"/>
    <w:rsid w:val="00331CF5"/>
    <w:rsid w:val="00331EF6"/>
    <w:rsid w:val="00331FEC"/>
    <w:rsid w:val="00332017"/>
    <w:rsid w:val="003321E9"/>
    <w:rsid w:val="003323C8"/>
    <w:rsid w:val="003324C5"/>
    <w:rsid w:val="003324F4"/>
    <w:rsid w:val="003326A4"/>
    <w:rsid w:val="003326D4"/>
    <w:rsid w:val="0033278B"/>
    <w:rsid w:val="0033289E"/>
    <w:rsid w:val="00332928"/>
    <w:rsid w:val="00332A26"/>
    <w:rsid w:val="00332ABF"/>
    <w:rsid w:val="00332B0E"/>
    <w:rsid w:val="00332C40"/>
    <w:rsid w:val="00332C41"/>
    <w:rsid w:val="00332E9A"/>
    <w:rsid w:val="00332F2E"/>
    <w:rsid w:val="00332F5B"/>
    <w:rsid w:val="00332FD6"/>
    <w:rsid w:val="00333039"/>
    <w:rsid w:val="0033310E"/>
    <w:rsid w:val="00333189"/>
    <w:rsid w:val="00333229"/>
    <w:rsid w:val="003332B0"/>
    <w:rsid w:val="00333355"/>
    <w:rsid w:val="003333BD"/>
    <w:rsid w:val="003334E4"/>
    <w:rsid w:val="00333521"/>
    <w:rsid w:val="00333804"/>
    <w:rsid w:val="0033384A"/>
    <w:rsid w:val="00333876"/>
    <w:rsid w:val="00333897"/>
    <w:rsid w:val="003338A2"/>
    <w:rsid w:val="00333A1B"/>
    <w:rsid w:val="00333B73"/>
    <w:rsid w:val="00333C95"/>
    <w:rsid w:val="00333D7C"/>
    <w:rsid w:val="00333E1A"/>
    <w:rsid w:val="00333E82"/>
    <w:rsid w:val="00334018"/>
    <w:rsid w:val="00334047"/>
    <w:rsid w:val="00334096"/>
    <w:rsid w:val="003343F0"/>
    <w:rsid w:val="0033442E"/>
    <w:rsid w:val="0033452F"/>
    <w:rsid w:val="0033459B"/>
    <w:rsid w:val="00334691"/>
    <w:rsid w:val="00334889"/>
    <w:rsid w:val="00334A12"/>
    <w:rsid w:val="00334A98"/>
    <w:rsid w:val="00334B68"/>
    <w:rsid w:val="00334BA6"/>
    <w:rsid w:val="00334D05"/>
    <w:rsid w:val="00334D06"/>
    <w:rsid w:val="00334D41"/>
    <w:rsid w:val="00334FCB"/>
    <w:rsid w:val="003350D3"/>
    <w:rsid w:val="00335260"/>
    <w:rsid w:val="003352CF"/>
    <w:rsid w:val="003353E1"/>
    <w:rsid w:val="003354AB"/>
    <w:rsid w:val="0033552E"/>
    <w:rsid w:val="00335574"/>
    <w:rsid w:val="00335781"/>
    <w:rsid w:val="0033598D"/>
    <w:rsid w:val="00335995"/>
    <w:rsid w:val="00335A66"/>
    <w:rsid w:val="00335ADE"/>
    <w:rsid w:val="00335B11"/>
    <w:rsid w:val="00335D9C"/>
    <w:rsid w:val="00335DC1"/>
    <w:rsid w:val="00335DF5"/>
    <w:rsid w:val="00335F4C"/>
    <w:rsid w:val="00335FAC"/>
    <w:rsid w:val="00335FAF"/>
    <w:rsid w:val="00335FEC"/>
    <w:rsid w:val="00336030"/>
    <w:rsid w:val="003360A7"/>
    <w:rsid w:val="003360A8"/>
    <w:rsid w:val="003360C1"/>
    <w:rsid w:val="003361E0"/>
    <w:rsid w:val="0033628A"/>
    <w:rsid w:val="00336393"/>
    <w:rsid w:val="00336413"/>
    <w:rsid w:val="003367C6"/>
    <w:rsid w:val="0033684C"/>
    <w:rsid w:val="00336890"/>
    <w:rsid w:val="003368A5"/>
    <w:rsid w:val="003368C7"/>
    <w:rsid w:val="00336961"/>
    <w:rsid w:val="0033696B"/>
    <w:rsid w:val="00336AEF"/>
    <w:rsid w:val="00336D09"/>
    <w:rsid w:val="00336EDF"/>
    <w:rsid w:val="00337120"/>
    <w:rsid w:val="00337258"/>
    <w:rsid w:val="003372DA"/>
    <w:rsid w:val="00337300"/>
    <w:rsid w:val="0033735C"/>
    <w:rsid w:val="0033751B"/>
    <w:rsid w:val="0033755F"/>
    <w:rsid w:val="003376CC"/>
    <w:rsid w:val="00337846"/>
    <w:rsid w:val="0033785F"/>
    <w:rsid w:val="00337B62"/>
    <w:rsid w:val="00337CDF"/>
    <w:rsid w:val="00337DA0"/>
    <w:rsid w:val="00337EDE"/>
    <w:rsid w:val="00337FE2"/>
    <w:rsid w:val="00340250"/>
    <w:rsid w:val="00340322"/>
    <w:rsid w:val="0034037C"/>
    <w:rsid w:val="003403E9"/>
    <w:rsid w:val="00340476"/>
    <w:rsid w:val="0034048E"/>
    <w:rsid w:val="003404BB"/>
    <w:rsid w:val="003404ED"/>
    <w:rsid w:val="00340539"/>
    <w:rsid w:val="00340744"/>
    <w:rsid w:val="00340772"/>
    <w:rsid w:val="003407F4"/>
    <w:rsid w:val="003408AD"/>
    <w:rsid w:val="00340A68"/>
    <w:rsid w:val="00340B0D"/>
    <w:rsid w:val="00340BF2"/>
    <w:rsid w:val="00340BF8"/>
    <w:rsid w:val="00340C71"/>
    <w:rsid w:val="00340CFC"/>
    <w:rsid w:val="00340DCC"/>
    <w:rsid w:val="00340E4A"/>
    <w:rsid w:val="00340ECD"/>
    <w:rsid w:val="00340F7B"/>
    <w:rsid w:val="00340F8D"/>
    <w:rsid w:val="0034107A"/>
    <w:rsid w:val="00341235"/>
    <w:rsid w:val="00341242"/>
    <w:rsid w:val="00341256"/>
    <w:rsid w:val="00341267"/>
    <w:rsid w:val="00341275"/>
    <w:rsid w:val="003412D1"/>
    <w:rsid w:val="0034151A"/>
    <w:rsid w:val="00341752"/>
    <w:rsid w:val="00341A6E"/>
    <w:rsid w:val="00341A70"/>
    <w:rsid w:val="00341B3F"/>
    <w:rsid w:val="00341BE3"/>
    <w:rsid w:val="00341E15"/>
    <w:rsid w:val="00341F39"/>
    <w:rsid w:val="00341FEB"/>
    <w:rsid w:val="00342072"/>
    <w:rsid w:val="003420E3"/>
    <w:rsid w:val="00342141"/>
    <w:rsid w:val="003421FD"/>
    <w:rsid w:val="00342230"/>
    <w:rsid w:val="0034232F"/>
    <w:rsid w:val="003424F0"/>
    <w:rsid w:val="00342595"/>
    <w:rsid w:val="0034259E"/>
    <w:rsid w:val="0034291C"/>
    <w:rsid w:val="003429B4"/>
    <w:rsid w:val="00342B5E"/>
    <w:rsid w:val="00342BE6"/>
    <w:rsid w:val="00342CAA"/>
    <w:rsid w:val="00342D0C"/>
    <w:rsid w:val="00342DF0"/>
    <w:rsid w:val="00342E7E"/>
    <w:rsid w:val="00342F02"/>
    <w:rsid w:val="00342F1C"/>
    <w:rsid w:val="00342F28"/>
    <w:rsid w:val="00342FC4"/>
    <w:rsid w:val="00343001"/>
    <w:rsid w:val="00343156"/>
    <w:rsid w:val="00343337"/>
    <w:rsid w:val="003433E2"/>
    <w:rsid w:val="00343529"/>
    <w:rsid w:val="00343584"/>
    <w:rsid w:val="003436F7"/>
    <w:rsid w:val="00343720"/>
    <w:rsid w:val="0034378A"/>
    <w:rsid w:val="00343A8F"/>
    <w:rsid w:val="00343AFD"/>
    <w:rsid w:val="00343BAD"/>
    <w:rsid w:val="00343CBE"/>
    <w:rsid w:val="00343D57"/>
    <w:rsid w:val="00343D61"/>
    <w:rsid w:val="00343DD7"/>
    <w:rsid w:val="00343E58"/>
    <w:rsid w:val="00343E70"/>
    <w:rsid w:val="00344093"/>
    <w:rsid w:val="00344110"/>
    <w:rsid w:val="00344147"/>
    <w:rsid w:val="00344345"/>
    <w:rsid w:val="0034456C"/>
    <w:rsid w:val="00344644"/>
    <w:rsid w:val="00344739"/>
    <w:rsid w:val="003447A4"/>
    <w:rsid w:val="003448F6"/>
    <w:rsid w:val="00344910"/>
    <w:rsid w:val="00344985"/>
    <w:rsid w:val="00344999"/>
    <w:rsid w:val="00344A0D"/>
    <w:rsid w:val="00344AED"/>
    <w:rsid w:val="00344BF1"/>
    <w:rsid w:val="00344D4C"/>
    <w:rsid w:val="00344E31"/>
    <w:rsid w:val="00344E9C"/>
    <w:rsid w:val="00344F4B"/>
    <w:rsid w:val="00345046"/>
    <w:rsid w:val="003450D0"/>
    <w:rsid w:val="0034516C"/>
    <w:rsid w:val="0034519F"/>
    <w:rsid w:val="003451CF"/>
    <w:rsid w:val="003451EF"/>
    <w:rsid w:val="003452D3"/>
    <w:rsid w:val="0034548A"/>
    <w:rsid w:val="00345637"/>
    <w:rsid w:val="0034567B"/>
    <w:rsid w:val="0034581D"/>
    <w:rsid w:val="00345826"/>
    <w:rsid w:val="00345862"/>
    <w:rsid w:val="00345A6E"/>
    <w:rsid w:val="00345B31"/>
    <w:rsid w:val="00345BC3"/>
    <w:rsid w:val="00345BD5"/>
    <w:rsid w:val="00345C22"/>
    <w:rsid w:val="00345F39"/>
    <w:rsid w:val="00345FF3"/>
    <w:rsid w:val="0034601F"/>
    <w:rsid w:val="003460FE"/>
    <w:rsid w:val="0034616A"/>
    <w:rsid w:val="00346258"/>
    <w:rsid w:val="003462A0"/>
    <w:rsid w:val="003462D8"/>
    <w:rsid w:val="00346378"/>
    <w:rsid w:val="003465F9"/>
    <w:rsid w:val="00346638"/>
    <w:rsid w:val="00346644"/>
    <w:rsid w:val="00346704"/>
    <w:rsid w:val="0034685F"/>
    <w:rsid w:val="00346958"/>
    <w:rsid w:val="00346A6A"/>
    <w:rsid w:val="00346AE7"/>
    <w:rsid w:val="00346B2A"/>
    <w:rsid w:val="00346BE1"/>
    <w:rsid w:val="00346C19"/>
    <w:rsid w:val="00346EEC"/>
    <w:rsid w:val="00346F20"/>
    <w:rsid w:val="00346FBE"/>
    <w:rsid w:val="00347079"/>
    <w:rsid w:val="00347221"/>
    <w:rsid w:val="00347288"/>
    <w:rsid w:val="0034736C"/>
    <w:rsid w:val="003473BA"/>
    <w:rsid w:val="00347550"/>
    <w:rsid w:val="003475E6"/>
    <w:rsid w:val="0034764C"/>
    <w:rsid w:val="0034766C"/>
    <w:rsid w:val="00347769"/>
    <w:rsid w:val="00347809"/>
    <w:rsid w:val="00347865"/>
    <w:rsid w:val="003478C3"/>
    <w:rsid w:val="003478FF"/>
    <w:rsid w:val="00347AA0"/>
    <w:rsid w:val="00347DB3"/>
    <w:rsid w:val="00350037"/>
    <w:rsid w:val="003500CD"/>
    <w:rsid w:val="00350124"/>
    <w:rsid w:val="003501B1"/>
    <w:rsid w:val="00350318"/>
    <w:rsid w:val="0035033D"/>
    <w:rsid w:val="0035039D"/>
    <w:rsid w:val="0035047F"/>
    <w:rsid w:val="00350699"/>
    <w:rsid w:val="00350726"/>
    <w:rsid w:val="00350759"/>
    <w:rsid w:val="00350856"/>
    <w:rsid w:val="00350988"/>
    <w:rsid w:val="003509C8"/>
    <w:rsid w:val="00350A0A"/>
    <w:rsid w:val="00350A68"/>
    <w:rsid w:val="00350AA4"/>
    <w:rsid w:val="00350C3E"/>
    <w:rsid w:val="00350C83"/>
    <w:rsid w:val="00350D06"/>
    <w:rsid w:val="00350D55"/>
    <w:rsid w:val="00350E0B"/>
    <w:rsid w:val="00350F61"/>
    <w:rsid w:val="003510DB"/>
    <w:rsid w:val="003511CB"/>
    <w:rsid w:val="0035123A"/>
    <w:rsid w:val="00351302"/>
    <w:rsid w:val="00351303"/>
    <w:rsid w:val="00351687"/>
    <w:rsid w:val="00351710"/>
    <w:rsid w:val="003519C4"/>
    <w:rsid w:val="003519D7"/>
    <w:rsid w:val="003519DD"/>
    <w:rsid w:val="00351A39"/>
    <w:rsid w:val="00351D49"/>
    <w:rsid w:val="00351DA2"/>
    <w:rsid w:val="00351DA5"/>
    <w:rsid w:val="00351E78"/>
    <w:rsid w:val="00351FCB"/>
    <w:rsid w:val="00352011"/>
    <w:rsid w:val="003520D3"/>
    <w:rsid w:val="0035221A"/>
    <w:rsid w:val="0035221C"/>
    <w:rsid w:val="00352276"/>
    <w:rsid w:val="003522A9"/>
    <w:rsid w:val="0035234B"/>
    <w:rsid w:val="0035243D"/>
    <w:rsid w:val="00352571"/>
    <w:rsid w:val="00352572"/>
    <w:rsid w:val="003525A0"/>
    <w:rsid w:val="003525E4"/>
    <w:rsid w:val="0035295F"/>
    <w:rsid w:val="00352CAF"/>
    <w:rsid w:val="00352D73"/>
    <w:rsid w:val="00352DE0"/>
    <w:rsid w:val="00352E4D"/>
    <w:rsid w:val="00352ECE"/>
    <w:rsid w:val="0035301B"/>
    <w:rsid w:val="003531F3"/>
    <w:rsid w:val="003532D4"/>
    <w:rsid w:val="0035349B"/>
    <w:rsid w:val="00353531"/>
    <w:rsid w:val="003535AF"/>
    <w:rsid w:val="003535D4"/>
    <w:rsid w:val="00353753"/>
    <w:rsid w:val="00353A8E"/>
    <w:rsid w:val="00353AAC"/>
    <w:rsid w:val="00353C63"/>
    <w:rsid w:val="00353CE9"/>
    <w:rsid w:val="00353EC0"/>
    <w:rsid w:val="00353F8D"/>
    <w:rsid w:val="00353FF9"/>
    <w:rsid w:val="00354099"/>
    <w:rsid w:val="0035410B"/>
    <w:rsid w:val="00354204"/>
    <w:rsid w:val="003542CE"/>
    <w:rsid w:val="0035436C"/>
    <w:rsid w:val="0035472D"/>
    <w:rsid w:val="0035477B"/>
    <w:rsid w:val="003548D6"/>
    <w:rsid w:val="003548FC"/>
    <w:rsid w:val="00354962"/>
    <w:rsid w:val="00354963"/>
    <w:rsid w:val="003549B9"/>
    <w:rsid w:val="00354A52"/>
    <w:rsid w:val="00354D24"/>
    <w:rsid w:val="00354D27"/>
    <w:rsid w:val="00354D53"/>
    <w:rsid w:val="00354E49"/>
    <w:rsid w:val="00354EC3"/>
    <w:rsid w:val="00355336"/>
    <w:rsid w:val="00355361"/>
    <w:rsid w:val="00355364"/>
    <w:rsid w:val="003553E9"/>
    <w:rsid w:val="003554C5"/>
    <w:rsid w:val="00355565"/>
    <w:rsid w:val="0035557E"/>
    <w:rsid w:val="00355751"/>
    <w:rsid w:val="003558D3"/>
    <w:rsid w:val="00355914"/>
    <w:rsid w:val="00355B4D"/>
    <w:rsid w:val="00355C23"/>
    <w:rsid w:val="00355D2C"/>
    <w:rsid w:val="00355D3A"/>
    <w:rsid w:val="00355D9A"/>
    <w:rsid w:val="00355DC8"/>
    <w:rsid w:val="00355EA3"/>
    <w:rsid w:val="00355FC9"/>
    <w:rsid w:val="00356106"/>
    <w:rsid w:val="0035612B"/>
    <w:rsid w:val="003561D1"/>
    <w:rsid w:val="0035627B"/>
    <w:rsid w:val="00356280"/>
    <w:rsid w:val="00356389"/>
    <w:rsid w:val="003563F7"/>
    <w:rsid w:val="003564BA"/>
    <w:rsid w:val="0035654D"/>
    <w:rsid w:val="0035662F"/>
    <w:rsid w:val="0035679C"/>
    <w:rsid w:val="003567B2"/>
    <w:rsid w:val="003567D2"/>
    <w:rsid w:val="0035699E"/>
    <w:rsid w:val="003569B7"/>
    <w:rsid w:val="003569BE"/>
    <w:rsid w:val="00356AEB"/>
    <w:rsid w:val="00356AFB"/>
    <w:rsid w:val="00356B35"/>
    <w:rsid w:val="00356C0D"/>
    <w:rsid w:val="00356C9B"/>
    <w:rsid w:val="00356D2F"/>
    <w:rsid w:val="00356E58"/>
    <w:rsid w:val="00357344"/>
    <w:rsid w:val="00357372"/>
    <w:rsid w:val="0035738A"/>
    <w:rsid w:val="003573D5"/>
    <w:rsid w:val="003573FA"/>
    <w:rsid w:val="003574D8"/>
    <w:rsid w:val="003575D2"/>
    <w:rsid w:val="00357784"/>
    <w:rsid w:val="003577C6"/>
    <w:rsid w:val="00357992"/>
    <w:rsid w:val="00357AD1"/>
    <w:rsid w:val="00357ADB"/>
    <w:rsid w:val="00357BCF"/>
    <w:rsid w:val="00357C31"/>
    <w:rsid w:val="00357C85"/>
    <w:rsid w:val="00357EE8"/>
    <w:rsid w:val="00360045"/>
    <w:rsid w:val="00360179"/>
    <w:rsid w:val="003601E0"/>
    <w:rsid w:val="003602CA"/>
    <w:rsid w:val="003602D0"/>
    <w:rsid w:val="003603B6"/>
    <w:rsid w:val="003603DC"/>
    <w:rsid w:val="003605DC"/>
    <w:rsid w:val="00360687"/>
    <w:rsid w:val="0036068D"/>
    <w:rsid w:val="003606D7"/>
    <w:rsid w:val="0036071B"/>
    <w:rsid w:val="00360966"/>
    <w:rsid w:val="00360A6F"/>
    <w:rsid w:val="00360D5B"/>
    <w:rsid w:val="00360D6C"/>
    <w:rsid w:val="00360EC5"/>
    <w:rsid w:val="0036100D"/>
    <w:rsid w:val="00361031"/>
    <w:rsid w:val="00361159"/>
    <w:rsid w:val="00361180"/>
    <w:rsid w:val="0036119E"/>
    <w:rsid w:val="003612CB"/>
    <w:rsid w:val="003614C1"/>
    <w:rsid w:val="003615AB"/>
    <w:rsid w:val="00361623"/>
    <w:rsid w:val="003616DC"/>
    <w:rsid w:val="00361780"/>
    <w:rsid w:val="00361811"/>
    <w:rsid w:val="0036181C"/>
    <w:rsid w:val="003618E8"/>
    <w:rsid w:val="00361A0E"/>
    <w:rsid w:val="00361A9C"/>
    <w:rsid w:val="00361ACC"/>
    <w:rsid w:val="00361B8E"/>
    <w:rsid w:val="00361BF0"/>
    <w:rsid w:val="00361C21"/>
    <w:rsid w:val="00361C46"/>
    <w:rsid w:val="00361C95"/>
    <w:rsid w:val="00361D3A"/>
    <w:rsid w:val="00361D72"/>
    <w:rsid w:val="00361D99"/>
    <w:rsid w:val="00361E47"/>
    <w:rsid w:val="0036219E"/>
    <w:rsid w:val="003621B9"/>
    <w:rsid w:val="003621D6"/>
    <w:rsid w:val="00362231"/>
    <w:rsid w:val="0036231F"/>
    <w:rsid w:val="00362324"/>
    <w:rsid w:val="00362370"/>
    <w:rsid w:val="0036239B"/>
    <w:rsid w:val="0036240B"/>
    <w:rsid w:val="003624FB"/>
    <w:rsid w:val="0036267B"/>
    <w:rsid w:val="003627AC"/>
    <w:rsid w:val="00362993"/>
    <w:rsid w:val="003629B9"/>
    <w:rsid w:val="00362A51"/>
    <w:rsid w:val="00362E5E"/>
    <w:rsid w:val="00362E6E"/>
    <w:rsid w:val="0036302B"/>
    <w:rsid w:val="0036319D"/>
    <w:rsid w:val="003631F6"/>
    <w:rsid w:val="0036320F"/>
    <w:rsid w:val="00363261"/>
    <w:rsid w:val="00363426"/>
    <w:rsid w:val="0036359C"/>
    <w:rsid w:val="00363676"/>
    <w:rsid w:val="00363697"/>
    <w:rsid w:val="003636EF"/>
    <w:rsid w:val="003636FF"/>
    <w:rsid w:val="003637A1"/>
    <w:rsid w:val="00363945"/>
    <w:rsid w:val="003639B2"/>
    <w:rsid w:val="00363A70"/>
    <w:rsid w:val="00363B8B"/>
    <w:rsid w:val="00363BAD"/>
    <w:rsid w:val="00363BE8"/>
    <w:rsid w:val="00363C98"/>
    <w:rsid w:val="00363CFF"/>
    <w:rsid w:val="00364091"/>
    <w:rsid w:val="003640CC"/>
    <w:rsid w:val="0036425E"/>
    <w:rsid w:val="00364275"/>
    <w:rsid w:val="00364403"/>
    <w:rsid w:val="0036455A"/>
    <w:rsid w:val="003646A8"/>
    <w:rsid w:val="0036475A"/>
    <w:rsid w:val="003647CA"/>
    <w:rsid w:val="00364A13"/>
    <w:rsid w:val="00364BBA"/>
    <w:rsid w:val="00364BCB"/>
    <w:rsid w:val="00364C44"/>
    <w:rsid w:val="00364C71"/>
    <w:rsid w:val="00364D04"/>
    <w:rsid w:val="003653B4"/>
    <w:rsid w:val="003655E4"/>
    <w:rsid w:val="00365797"/>
    <w:rsid w:val="003657DD"/>
    <w:rsid w:val="00365977"/>
    <w:rsid w:val="003659B2"/>
    <w:rsid w:val="00365A5C"/>
    <w:rsid w:val="00365AA1"/>
    <w:rsid w:val="00365AD0"/>
    <w:rsid w:val="00365B66"/>
    <w:rsid w:val="00365C1C"/>
    <w:rsid w:val="00365D5F"/>
    <w:rsid w:val="00365D62"/>
    <w:rsid w:val="00365E9A"/>
    <w:rsid w:val="00365F0A"/>
    <w:rsid w:val="00365F32"/>
    <w:rsid w:val="00366185"/>
    <w:rsid w:val="003662FD"/>
    <w:rsid w:val="00366338"/>
    <w:rsid w:val="003663CD"/>
    <w:rsid w:val="00366666"/>
    <w:rsid w:val="00366669"/>
    <w:rsid w:val="003666E6"/>
    <w:rsid w:val="00366808"/>
    <w:rsid w:val="003668CD"/>
    <w:rsid w:val="00366A31"/>
    <w:rsid w:val="00366A5C"/>
    <w:rsid w:val="00366BE7"/>
    <w:rsid w:val="00366EA6"/>
    <w:rsid w:val="00366F3C"/>
    <w:rsid w:val="00367232"/>
    <w:rsid w:val="003672B1"/>
    <w:rsid w:val="003672F2"/>
    <w:rsid w:val="003672FB"/>
    <w:rsid w:val="0036755F"/>
    <w:rsid w:val="003675D4"/>
    <w:rsid w:val="00367637"/>
    <w:rsid w:val="00367676"/>
    <w:rsid w:val="003676B2"/>
    <w:rsid w:val="00367A5F"/>
    <w:rsid w:val="00367B66"/>
    <w:rsid w:val="00367B7A"/>
    <w:rsid w:val="00367B8D"/>
    <w:rsid w:val="003700B4"/>
    <w:rsid w:val="00370149"/>
    <w:rsid w:val="00370605"/>
    <w:rsid w:val="003706C0"/>
    <w:rsid w:val="003707BE"/>
    <w:rsid w:val="003707C6"/>
    <w:rsid w:val="00370853"/>
    <w:rsid w:val="003708A0"/>
    <w:rsid w:val="00370978"/>
    <w:rsid w:val="003709B2"/>
    <w:rsid w:val="00370A76"/>
    <w:rsid w:val="00370AAC"/>
    <w:rsid w:val="00370AD5"/>
    <w:rsid w:val="00370AEF"/>
    <w:rsid w:val="00370B1B"/>
    <w:rsid w:val="00370CEE"/>
    <w:rsid w:val="00370D55"/>
    <w:rsid w:val="00370D70"/>
    <w:rsid w:val="00370D9B"/>
    <w:rsid w:val="00370E51"/>
    <w:rsid w:val="00370F7A"/>
    <w:rsid w:val="00371071"/>
    <w:rsid w:val="0037114B"/>
    <w:rsid w:val="003712D6"/>
    <w:rsid w:val="00371433"/>
    <w:rsid w:val="0037150B"/>
    <w:rsid w:val="00371839"/>
    <w:rsid w:val="003718C4"/>
    <w:rsid w:val="00371986"/>
    <w:rsid w:val="00371988"/>
    <w:rsid w:val="003719D1"/>
    <w:rsid w:val="00371B82"/>
    <w:rsid w:val="00371B9E"/>
    <w:rsid w:val="00371BEB"/>
    <w:rsid w:val="00371C49"/>
    <w:rsid w:val="00371DAF"/>
    <w:rsid w:val="00371FAD"/>
    <w:rsid w:val="00371FDC"/>
    <w:rsid w:val="003720B9"/>
    <w:rsid w:val="0037213B"/>
    <w:rsid w:val="00372350"/>
    <w:rsid w:val="003723EB"/>
    <w:rsid w:val="00372492"/>
    <w:rsid w:val="00372538"/>
    <w:rsid w:val="00372602"/>
    <w:rsid w:val="0037269D"/>
    <w:rsid w:val="003726FC"/>
    <w:rsid w:val="003727CD"/>
    <w:rsid w:val="00372810"/>
    <w:rsid w:val="00372AB7"/>
    <w:rsid w:val="00372C7A"/>
    <w:rsid w:val="00372C92"/>
    <w:rsid w:val="00372D4E"/>
    <w:rsid w:val="00372D77"/>
    <w:rsid w:val="00372DBB"/>
    <w:rsid w:val="00372DC6"/>
    <w:rsid w:val="00372F64"/>
    <w:rsid w:val="00372FFC"/>
    <w:rsid w:val="00373106"/>
    <w:rsid w:val="00373451"/>
    <w:rsid w:val="003737E1"/>
    <w:rsid w:val="0037381B"/>
    <w:rsid w:val="0037386B"/>
    <w:rsid w:val="00373AC0"/>
    <w:rsid w:val="00373AF0"/>
    <w:rsid w:val="00373B05"/>
    <w:rsid w:val="00373CD0"/>
    <w:rsid w:val="00373EC1"/>
    <w:rsid w:val="00373EFF"/>
    <w:rsid w:val="00373F76"/>
    <w:rsid w:val="00374137"/>
    <w:rsid w:val="0037415F"/>
    <w:rsid w:val="003743E0"/>
    <w:rsid w:val="0037446D"/>
    <w:rsid w:val="0037454A"/>
    <w:rsid w:val="00374653"/>
    <w:rsid w:val="003746A0"/>
    <w:rsid w:val="003746D0"/>
    <w:rsid w:val="003747FC"/>
    <w:rsid w:val="00374994"/>
    <w:rsid w:val="00374A58"/>
    <w:rsid w:val="00374A6F"/>
    <w:rsid w:val="00374B45"/>
    <w:rsid w:val="00374BAD"/>
    <w:rsid w:val="00374C3E"/>
    <w:rsid w:val="00374D41"/>
    <w:rsid w:val="00374DA0"/>
    <w:rsid w:val="00374E0F"/>
    <w:rsid w:val="00374F19"/>
    <w:rsid w:val="00374F37"/>
    <w:rsid w:val="00375049"/>
    <w:rsid w:val="00375060"/>
    <w:rsid w:val="003750CA"/>
    <w:rsid w:val="003751AA"/>
    <w:rsid w:val="003752AA"/>
    <w:rsid w:val="00375303"/>
    <w:rsid w:val="00375311"/>
    <w:rsid w:val="0037534F"/>
    <w:rsid w:val="00375489"/>
    <w:rsid w:val="00375515"/>
    <w:rsid w:val="0037552E"/>
    <w:rsid w:val="0037559B"/>
    <w:rsid w:val="003755C0"/>
    <w:rsid w:val="00375655"/>
    <w:rsid w:val="00375671"/>
    <w:rsid w:val="003756D8"/>
    <w:rsid w:val="00375772"/>
    <w:rsid w:val="0037579F"/>
    <w:rsid w:val="00375905"/>
    <w:rsid w:val="003759D1"/>
    <w:rsid w:val="00375A24"/>
    <w:rsid w:val="00375C9F"/>
    <w:rsid w:val="00375CD9"/>
    <w:rsid w:val="00375D15"/>
    <w:rsid w:val="00375D68"/>
    <w:rsid w:val="00375E2A"/>
    <w:rsid w:val="00375E9C"/>
    <w:rsid w:val="00375ECF"/>
    <w:rsid w:val="00375F24"/>
    <w:rsid w:val="0037603C"/>
    <w:rsid w:val="00376054"/>
    <w:rsid w:val="0037605E"/>
    <w:rsid w:val="003760E0"/>
    <w:rsid w:val="00376161"/>
    <w:rsid w:val="00376179"/>
    <w:rsid w:val="0037621C"/>
    <w:rsid w:val="003762E8"/>
    <w:rsid w:val="003762EA"/>
    <w:rsid w:val="00376773"/>
    <w:rsid w:val="003767A5"/>
    <w:rsid w:val="00376863"/>
    <w:rsid w:val="003768C7"/>
    <w:rsid w:val="00376901"/>
    <w:rsid w:val="00376B97"/>
    <w:rsid w:val="00376BBA"/>
    <w:rsid w:val="00376EF8"/>
    <w:rsid w:val="0037701B"/>
    <w:rsid w:val="0037702A"/>
    <w:rsid w:val="003771BF"/>
    <w:rsid w:val="00377380"/>
    <w:rsid w:val="003773FE"/>
    <w:rsid w:val="00377425"/>
    <w:rsid w:val="003774AB"/>
    <w:rsid w:val="00377571"/>
    <w:rsid w:val="00377585"/>
    <w:rsid w:val="003778B0"/>
    <w:rsid w:val="00377ACA"/>
    <w:rsid w:val="00377B26"/>
    <w:rsid w:val="00377B56"/>
    <w:rsid w:val="00377CF9"/>
    <w:rsid w:val="00377D13"/>
    <w:rsid w:val="00377D6B"/>
    <w:rsid w:val="00377D6E"/>
    <w:rsid w:val="00377E82"/>
    <w:rsid w:val="00377EA8"/>
    <w:rsid w:val="00377EB8"/>
    <w:rsid w:val="00377EBF"/>
    <w:rsid w:val="00377F99"/>
    <w:rsid w:val="00377FFC"/>
    <w:rsid w:val="003800E2"/>
    <w:rsid w:val="00380338"/>
    <w:rsid w:val="00380369"/>
    <w:rsid w:val="00380479"/>
    <w:rsid w:val="0038070D"/>
    <w:rsid w:val="0038082C"/>
    <w:rsid w:val="00380881"/>
    <w:rsid w:val="003808E7"/>
    <w:rsid w:val="00380AF3"/>
    <w:rsid w:val="00380B86"/>
    <w:rsid w:val="00380B8A"/>
    <w:rsid w:val="00380CA8"/>
    <w:rsid w:val="00380E41"/>
    <w:rsid w:val="00380E43"/>
    <w:rsid w:val="00380E97"/>
    <w:rsid w:val="00380F34"/>
    <w:rsid w:val="00381057"/>
    <w:rsid w:val="003812A1"/>
    <w:rsid w:val="0038150C"/>
    <w:rsid w:val="00381570"/>
    <w:rsid w:val="0038164C"/>
    <w:rsid w:val="0038164D"/>
    <w:rsid w:val="0038169D"/>
    <w:rsid w:val="00381795"/>
    <w:rsid w:val="003817FD"/>
    <w:rsid w:val="00381862"/>
    <w:rsid w:val="00381977"/>
    <w:rsid w:val="003819B7"/>
    <w:rsid w:val="00381A1F"/>
    <w:rsid w:val="00381AD5"/>
    <w:rsid w:val="00381B0F"/>
    <w:rsid w:val="00381B34"/>
    <w:rsid w:val="00381B51"/>
    <w:rsid w:val="00381C8F"/>
    <w:rsid w:val="00381CA9"/>
    <w:rsid w:val="00381D1C"/>
    <w:rsid w:val="00381DBA"/>
    <w:rsid w:val="00381E30"/>
    <w:rsid w:val="00382449"/>
    <w:rsid w:val="0038257A"/>
    <w:rsid w:val="003825B2"/>
    <w:rsid w:val="00382781"/>
    <w:rsid w:val="0038281A"/>
    <w:rsid w:val="003828F5"/>
    <w:rsid w:val="00382B5F"/>
    <w:rsid w:val="00382B99"/>
    <w:rsid w:val="00382C85"/>
    <w:rsid w:val="00382DF5"/>
    <w:rsid w:val="00382E21"/>
    <w:rsid w:val="00383012"/>
    <w:rsid w:val="00383459"/>
    <w:rsid w:val="003835C0"/>
    <w:rsid w:val="003835D4"/>
    <w:rsid w:val="0038361E"/>
    <w:rsid w:val="003836DA"/>
    <w:rsid w:val="00383809"/>
    <w:rsid w:val="00383AF0"/>
    <w:rsid w:val="00383BEA"/>
    <w:rsid w:val="00383D04"/>
    <w:rsid w:val="00383DB2"/>
    <w:rsid w:val="00383E02"/>
    <w:rsid w:val="00383ECF"/>
    <w:rsid w:val="00383FA6"/>
    <w:rsid w:val="003842AA"/>
    <w:rsid w:val="0038435B"/>
    <w:rsid w:val="003843DA"/>
    <w:rsid w:val="003844D0"/>
    <w:rsid w:val="00384593"/>
    <w:rsid w:val="003846B1"/>
    <w:rsid w:val="003847A9"/>
    <w:rsid w:val="003849BD"/>
    <w:rsid w:val="00384AAC"/>
    <w:rsid w:val="00384DD8"/>
    <w:rsid w:val="00384DF3"/>
    <w:rsid w:val="00384FF6"/>
    <w:rsid w:val="00385073"/>
    <w:rsid w:val="003850BC"/>
    <w:rsid w:val="003850F4"/>
    <w:rsid w:val="00385159"/>
    <w:rsid w:val="003852AC"/>
    <w:rsid w:val="00385377"/>
    <w:rsid w:val="003855DD"/>
    <w:rsid w:val="00385892"/>
    <w:rsid w:val="003858A6"/>
    <w:rsid w:val="00385985"/>
    <w:rsid w:val="00385990"/>
    <w:rsid w:val="003859AA"/>
    <w:rsid w:val="00385ADB"/>
    <w:rsid w:val="00385B49"/>
    <w:rsid w:val="00385BC5"/>
    <w:rsid w:val="00385BE1"/>
    <w:rsid w:val="00385BF3"/>
    <w:rsid w:val="00385BFD"/>
    <w:rsid w:val="00385C6D"/>
    <w:rsid w:val="00385D0A"/>
    <w:rsid w:val="00385D38"/>
    <w:rsid w:val="00385E02"/>
    <w:rsid w:val="00385E80"/>
    <w:rsid w:val="00385F6F"/>
    <w:rsid w:val="0038607E"/>
    <w:rsid w:val="003860F7"/>
    <w:rsid w:val="003861FF"/>
    <w:rsid w:val="0038621E"/>
    <w:rsid w:val="0038629E"/>
    <w:rsid w:val="0038632F"/>
    <w:rsid w:val="00386455"/>
    <w:rsid w:val="0038649C"/>
    <w:rsid w:val="003864ED"/>
    <w:rsid w:val="00386503"/>
    <w:rsid w:val="0038660E"/>
    <w:rsid w:val="00386707"/>
    <w:rsid w:val="00386773"/>
    <w:rsid w:val="0038681D"/>
    <w:rsid w:val="00386A4B"/>
    <w:rsid w:val="00386AD1"/>
    <w:rsid w:val="00386EC2"/>
    <w:rsid w:val="00386EE5"/>
    <w:rsid w:val="00386EF1"/>
    <w:rsid w:val="00386FC3"/>
    <w:rsid w:val="00387117"/>
    <w:rsid w:val="00387120"/>
    <w:rsid w:val="00387518"/>
    <w:rsid w:val="00387575"/>
    <w:rsid w:val="003875E6"/>
    <w:rsid w:val="003875F4"/>
    <w:rsid w:val="003878C0"/>
    <w:rsid w:val="003879F3"/>
    <w:rsid w:val="00387A15"/>
    <w:rsid w:val="00387C3F"/>
    <w:rsid w:val="00387CBE"/>
    <w:rsid w:val="00387D78"/>
    <w:rsid w:val="00387EE1"/>
    <w:rsid w:val="00387EF7"/>
    <w:rsid w:val="00387F2B"/>
    <w:rsid w:val="00387FEC"/>
    <w:rsid w:val="00390005"/>
    <w:rsid w:val="00390183"/>
    <w:rsid w:val="003902C7"/>
    <w:rsid w:val="0039039E"/>
    <w:rsid w:val="003904C3"/>
    <w:rsid w:val="00390506"/>
    <w:rsid w:val="00390533"/>
    <w:rsid w:val="003905C2"/>
    <w:rsid w:val="00390624"/>
    <w:rsid w:val="00390638"/>
    <w:rsid w:val="003907B8"/>
    <w:rsid w:val="0039083B"/>
    <w:rsid w:val="00390884"/>
    <w:rsid w:val="0039089D"/>
    <w:rsid w:val="003908AB"/>
    <w:rsid w:val="00390989"/>
    <w:rsid w:val="00390A72"/>
    <w:rsid w:val="00390AF4"/>
    <w:rsid w:val="00390AFB"/>
    <w:rsid w:val="00390B72"/>
    <w:rsid w:val="00390C9B"/>
    <w:rsid w:val="00390CCC"/>
    <w:rsid w:val="00390CFF"/>
    <w:rsid w:val="00390D09"/>
    <w:rsid w:val="00390D9C"/>
    <w:rsid w:val="00390DD3"/>
    <w:rsid w:val="00390F4D"/>
    <w:rsid w:val="00391078"/>
    <w:rsid w:val="0039128B"/>
    <w:rsid w:val="00391446"/>
    <w:rsid w:val="003914CD"/>
    <w:rsid w:val="00391560"/>
    <w:rsid w:val="003916A6"/>
    <w:rsid w:val="003917D0"/>
    <w:rsid w:val="003918B7"/>
    <w:rsid w:val="00391AD7"/>
    <w:rsid w:val="00391B7E"/>
    <w:rsid w:val="00391C4A"/>
    <w:rsid w:val="00391E1C"/>
    <w:rsid w:val="00391EF3"/>
    <w:rsid w:val="00391F83"/>
    <w:rsid w:val="00392140"/>
    <w:rsid w:val="00392143"/>
    <w:rsid w:val="00392187"/>
    <w:rsid w:val="003921FD"/>
    <w:rsid w:val="00392218"/>
    <w:rsid w:val="0039223B"/>
    <w:rsid w:val="0039234E"/>
    <w:rsid w:val="003923D3"/>
    <w:rsid w:val="003924B0"/>
    <w:rsid w:val="003926C8"/>
    <w:rsid w:val="00392722"/>
    <w:rsid w:val="00392777"/>
    <w:rsid w:val="003927BD"/>
    <w:rsid w:val="00392AD2"/>
    <w:rsid w:val="00392AF8"/>
    <w:rsid w:val="00392B9D"/>
    <w:rsid w:val="00392BF4"/>
    <w:rsid w:val="00392CB8"/>
    <w:rsid w:val="00392D53"/>
    <w:rsid w:val="00392DCC"/>
    <w:rsid w:val="00392E75"/>
    <w:rsid w:val="00392FD1"/>
    <w:rsid w:val="0039315A"/>
    <w:rsid w:val="0039318A"/>
    <w:rsid w:val="003932A0"/>
    <w:rsid w:val="003932A1"/>
    <w:rsid w:val="003933B2"/>
    <w:rsid w:val="0039346B"/>
    <w:rsid w:val="00393579"/>
    <w:rsid w:val="00393797"/>
    <w:rsid w:val="003937B1"/>
    <w:rsid w:val="003937B9"/>
    <w:rsid w:val="003937DA"/>
    <w:rsid w:val="00393886"/>
    <w:rsid w:val="003938E3"/>
    <w:rsid w:val="00393B96"/>
    <w:rsid w:val="00393BDA"/>
    <w:rsid w:val="00393D05"/>
    <w:rsid w:val="00393D0B"/>
    <w:rsid w:val="00393D24"/>
    <w:rsid w:val="00393DC0"/>
    <w:rsid w:val="00393E32"/>
    <w:rsid w:val="00393F2A"/>
    <w:rsid w:val="00393FC8"/>
    <w:rsid w:val="0039414C"/>
    <w:rsid w:val="00394527"/>
    <w:rsid w:val="00394836"/>
    <w:rsid w:val="003948E4"/>
    <w:rsid w:val="003949F9"/>
    <w:rsid w:val="00394A1C"/>
    <w:rsid w:val="00394AD4"/>
    <w:rsid w:val="00394B31"/>
    <w:rsid w:val="00394B63"/>
    <w:rsid w:val="00394BB1"/>
    <w:rsid w:val="00394BB8"/>
    <w:rsid w:val="00394CCD"/>
    <w:rsid w:val="00394F32"/>
    <w:rsid w:val="00394F7E"/>
    <w:rsid w:val="0039509A"/>
    <w:rsid w:val="0039530D"/>
    <w:rsid w:val="00395349"/>
    <w:rsid w:val="0039535C"/>
    <w:rsid w:val="0039542A"/>
    <w:rsid w:val="00395471"/>
    <w:rsid w:val="003954E0"/>
    <w:rsid w:val="00395600"/>
    <w:rsid w:val="003956DA"/>
    <w:rsid w:val="00395893"/>
    <w:rsid w:val="003958A3"/>
    <w:rsid w:val="00395A18"/>
    <w:rsid w:val="00395B2A"/>
    <w:rsid w:val="00395B83"/>
    <w:rsid w:val="00395B94"/>
    <w:rsid w:val="00395DA2"/>
    <w:rsid w:val="00395F26"/>
    <w:rsid w:val="00396025"/>
    <w:rsid w:val="0039605C"/>
    <w:rsid w:val="00396081"/>
    <w:rsid w:val="003961AF"/>
    <w:rsid w:val="00396244"/>
    <w:rsid w:val="0039624F"/>
    <w:rsid w:val="0039631F"/>
    <w:rsid w:val="00396396"/>
    <w:rsid w:val="0039641A"/>
    <w:rsid w:val="0039697D"/>
    <w:rsid w:val="003969AA"/>
    <w:rsid w:val="00396A84"/>
    <w:rsid w:val="00396BE7"/>
    <w:rsid w:val="00396C63"/>
    <w:rsid w:val="00396C64"/>
    <w:rsid w:val="00396CE8"/>
    <w:rsid w:val="00396E0F"/>
    <w:rsid w:val="00396F8B"/>
    <w:rsid w:val="00396FCD"/>
    <w:rsid w:val="00397099"/>
    <w:rsid w:val="0039710B"/>
    <w:rsid w:val="00397186"/>
    <w:rsid w:val="00397207"/>
    <w:rsid w:val="00397248"/>
    <w:rsid w:val="00397366"/>
    <w:rsid w:val="0039751F"/>
    <w:rsid w:val="00397525"/>
    <w:rsid w:val="0039753D"/>
    <w:rsid w:val="0039753F"/>
    <w:rsid w:val="003975D7"/>
    <w:rsid w:val="00397672"/>
    <w:rsid w:val="00397825"/>
    <w:rsid w:val="0039793B"/>
    <w:rsid w:val="00397B75"/>
    <w:rsid w:val="00397BB5"/>
    <w:rsid w:val="00397BC5"/>
    <w:rsid w:val="00397D48"/>
    <w:rsid w:val="00397DFC"/>
    <w:rsid w:val="00397FEC"/>
    <w:rsid w:val="003A01C4"/>
    <w:rsid w:val="003A0388"/>
    <w:rsid w:val="003A0401"/>
    <w:rsid w:val="003A0506"/>
    <w:rsid w:val="003A0516"/>
    <w:rsid w:val="003A0585"/>
    <w:rsid w:val="003A059E"/>
    <w:rsid w:val="003A072D"/>
    <w:rsid w:val="003A0769"/>
    <w:rsid w:val="003A092E"/>
    <w:rsid w:val="003A0A03"/>
    <w:rsid w:val="003A0B25"/>
    <w:rsid w:val="003A0CDE"/>
    <w:rsid w:val="003A0D41"/>
    <w:rsid w:val="003A0F5C"/>
    <w:rsid w:val="003A0FCE"/>
    <w:rsid w:val="003A1046"/>
    <w:rsid w:val="003A10B2"/>
    <w:rsid w:val="003A11D3"/>
    <w:rsid w:val="003A121B"/>
    <w:rsid w:val="003A1394"/>
    <w:rsid w:val="003A1430"/>
    <w:rsid w:val="003A14FF"/>
    <w:rsid w:val="003A16DE"/>
    <w:rsid w:val="003A17F6"/>
    <w:rsid w:val="003A1946"/>
    <w:rsid w:val="003A1984"/>
    <w:rsid w:val="003A1A62"/>
    <w:rsid w:val="003A1B98"/>
    <w:rsid w:val="003A1B9C"/>
    <w:rsid w:val="003A1BF4"/>
    <w:rsid w:val="003A1DE1"/>
    <w:rsid w:val="003A1E7B"/>
    <w:rsid w:val="003A20A4"/>
    <w:rsid w:val="003A20CE"/>
    <w:rsid w:val="003A2301"/>
    <w:rsid w:val="003A24AF"/>
    <w:rsid w:val="003A2528"/>
    <w:rsid w:val="003A257A"/>
    <w:rsid w:val="003A25D3"/>
    <w:rsid w:val="003A25E3"/>
    <w:rsid w:val="003A269A"/>
    <w:rsid w:val="003A273B"/>
    <w:rsid w:val="003A277E"/>
    <w:rsid w:val="003A27A0"/>
    <w:rsid w:val="003A28CB"/>
    <w:rsid w:val="003A2ABB"/>
    <w:rsid w:val="003A2C04"/>
    <w:rsid w:val="003A2D1E"/>
    <w:rsid w:val="003A3109"/>
    <w:rsid w:val="003A3144"/>
    <w:rsid w:val="003A3377"/>
    <w:rsid w:val="003A33F6"/>
    <w:rsid w:val="003A34CC"/>
    <w:rsid w:val="003A3532"/>
    <w:rsid w:val="003A3578"/>
    <w:rsid w:val="003A35EE"/>
    <w:rsid w:val="003A365D"/>
    <w:rsid w:val="003A37CB"/>
    <w:rsid w:val="003A38DF"/>
    <w:rsid w:val="003A39F5"/>
    <w:rsid w:val="003A3B64"/>
    <w:rsid w:val="003A3D0C"/>
    <w:rsid w:val="003A3D9A"/>
    <w:rsid w:val="003A3E5C"/>
    <w:rsid w:val="003A401B"/>
    <w:rsid w:val="003A4195"/>
    <w:rsid w:val="003A431E"/>
    <w:rsid w:val="003A4396"/>
    <w:rsid w:val="003A4437"/>
    <w:rsid w:val="003A453B"/>
    <w:rsid w:val="003A45C8"/>
    <w:rsid w:val="003A476B"/>
    <w:rsid w:val="003A47BD"/>
    <w:rsid w:val="003A4832"/>
    <w:rsid w:val="003A496B"/>
    <w:rsid w:val="003A4A9B"/>
    <w:rsid w:val="003A4B49"/>
    <w:rsid w:val="003A4D3D"/>
    <w:rsid w:val="003A4DC1"/>
    <w:rsid w:val="003A4E6E"/>
    <w:rsid w:val="003A4FBA"/>
    <w:rsid w:val="003A51D0"/>
    <w:rsid w:val="003A5201"/>
    <w:rsid w:val="003A546C"/>
    <w:rsid w:val="003A54FF"/>
    <w:rsid w:val="003A5562"/>
    <w:rsid w:val="003A5572"/>
    <w:rsid w:val="003A58B2"/>
    <w:rsid w:val="003A58DF"/>
    <w:rsid w:val="003A58E5"/>
    <w:rsid w:val="003A5A52"/>
    <w:rsid w:val="003A5A67"/>
    <w:rsid w:val="003A5B36"/>
    <w:rsid w:val="003A5C1D"/>
    <w:rsid w:val="003A5EF6"/>
    <w:rsid w:val="003A5F0D"/>
    <w:rsid w:val="003A5F44"/>
    <w:rsid w:val="003A5F59"/>
    <w:rsid w:val="003A60A6"/>
    <w:rsid w:val="003A61D3"/>
    <w:rsid w:val="003A62CF"/>
    <w:rsid w:val="003A6433"/>
    <w:rsid w:val="003A6463"/>
    <w:rsid w:val="003A662E"/>
    <w:rsid w:val="003A667A"/>
    <w:rsid w:val="003A6833"/>
    <w:rsid w:val="003A6B12"/>
    <w:rsid w:val="003A6BED"/>
    <w:rsid w:val="003A6C3F"/>
    <w:rsid w:val="003A6F15"/>
    <w:rsid w:val="003A6F6A"/>
    <w:rsid w:val="003A70EF"/>
    <w:rsid w:val="003A71A1"/>
    <w:rsid w:val="003A721E"/>
    <w:rsid w:val="003A748B"/>
    <w:rsid w:val="003A7552"/>
    <w:rsid w:val="003A7564"/>
    <w:rsid w:val="003A757C"/>
    <w:rsid w:val="003A7677"/>
    <w:rsid w:val="003A7696"/>
    <w:rsid w:val="003A773F"/>
    <w:rsid w:val="003A7792"/>
    <w:rsid w:val="003A781F"/>
    <w:rsid w:val="003A79AB"/>
    <w:rsid w:val="003A79FC"/>
    <w:rsid w:val="003A7C4D"/>
    <w:rsid w:val="003A7CA5"/>
    <w:rsid w:val="003A7D42"/>
    <w:rsid w:val="003A7D90"/>
    <w:rsid w:val="003A7FD4"/>
    <w:rsid w:val="003B001D"/>
    <w:rsid w:val="003B0136"/>
    <w:rsid w:val="003B0150"/>
    <w:rsid w:val="003B0181"/>
    <w:rsid w:val="003B0201"/>
    <w:rsid w:val="003B032C"/>
    <w:rsid w:val="003B034A"/>
    <w:rsid w:val="003B04F3"/>
    <w:rsid w:val="003B0570"/>
    <w:rsid w:val="003B0662"/>
    <w:rsid w:val="003B0762"/>
    <w:rsid w:val="003B0773"/>
    <w:rsid w:val="003B08C2"/>
    <w:rsid w:val="003B09F9"/>
    <w:rsid w:val="003B0AE8"/>
    <w:rsid w:val="003B0C51"/>
    <w:rsid w:val="003B0D89"/>
    <w:rsid w:val="003B0EC7"/>
    <w:rsid w:val="003B0F94"/>
    <w:rsid w:val="003B1013"/>
    <w:rsid w:val="003B11CB"/>
    <w:rsid w:val="003B1372"/>
    <w:rsid w:val="003B1384"/>
    <w:rsid w:val="003B13CC"/>
    <w:rsid w:val="003B13F6"/>
    <w:rsid w:val="003B144B"/>
    <w:rsid w:val="003B1596"/>
    <w:rsid w:val="003B16C0"/>
    <w:rsid w:val="003B1754"/>
    <w:rsid w:val="003B18C7"/>
    <w:rsid w:val="003B19A7"/>
    <w:rsid w:val="003B1D16"/>
    <w:rsid w:val="003B1DAB"/>
    <w:rsid w:val="003B1E65"/>
    <w:rsid w:val="003B1FE3"/>
    <w:rsid w:val="003B20AB"/>
    <w:rsid w:val="003B22DF"/>
    <w:rsid w:val="003B2342"/>
    <w:rsid w:val="003B27DA"/>
    <w:rsid w:val="003B2866"/>
    <w:rsid w:val="003B296A"/>
    <w:rsid w:val="003B2C1B"/>
    <w:rsid w:val="003B2D08"/>
    <w:rsid w:val="003B2D55"/>
    <w:rsid w:val="003B2E16"/>
    <w:rsid w:val="003B312C"/>
    <w:rsid w:val="003B314C"/>
    <w:rsid w:val="003B3155"/>
    <w:rsid w:val="003B33A9"/>
    <w:rsid w:val="003B35D6"/>
    <w:rsid w:val="003B373B"/>
    <w:rsid w:val="003B3744"/>
    <w:rsid w:val="003B39CC"/>
    <w:rsid w:val="003B3B2F"/>
    <w:rsid w:val="003B3C2C"/>
    <w:rsid w:val="003B3CA1"/>
    <w:rsid w:val="003B3CDB"/>
    <w:rsid w:val="003B3D36"/>
    <w:rsid w:val="003B3D3B"/>
    <w:rsid w:val="003B3D9D"/>
    <w:rsid w:val="003B407C"/>
    <w:rsid w:val="003B40BE"/>
    <w:rsid w:val="003B40FE"/>
    <w:rsid w:val="003B41C7"/>
    <w:rsid w:val="003B4279"/>
    <w:rsid w:val="003B43BD"/>
    <w:rsid w:val="003B4556"/>
    <w:rsid w:val="003B45F6"/>
    <w:rsid w:val="003B4624"/>
    <w:rsid w:val="003B46BF"/>
    <w:rsid w:val="003B46CC"/>
    <w:rsid w:val="003B46DD"/>
    <w:rsid w:val="003B46E1"/>
    <w:rsid w:val="003B4703"/>
    <w:rsid w:val="003B472C"/>
    <w:rsid w:val="003B48CE"/>
    <w:rsid w:val="003B4920"/>
    <w:rsid w:val="003B49BC"/>
    <w:rsid w:val="003B4B0C"/>
    <w:rsid w:val="003B4C0D"/>
    <w:rsid w:val="003B4C99"/>
    <w:rsid w:val="003B4DD6"/>
    <w:rsid w:val="003B4E35"/>
    <w:rsid w:val="003B4F76"/>
    <w:rsid w:val="003B5010"/>
    <w:rsid w:val="003B5078"/>
    <w:rsid w:val="003B5097"/>
    <w:rsid w:val="003B528D"/>
    <w:rsid w:val="003B52B9"/>
    <w:rsid w:val="003B5422"/>
    <w:rsid w:val="003B5452"/>
    <w:rsid w:val="003B55C5"/>
    <w:rsid w:val="003B5633"/>
    <w:rsid w:val="003B56A7"/>
    <w:rsid w:val="003B577B"/>
    <w:rsid w:val="003B598B"/>
    <w:rsid w:val="003B59EE"/>
    <w:rsid w:val="003B5AC2"/>
    <w:rsid w:val="003B5C0D"/>
    <w:rsid w:val="003B5EEF"/>
    <w:rsid w:val="003B6149"/>
    <w:rsid w:val="003B6159"/>
    <w:rsid w:val="003B629D"/>
    <w:rsid w:val="003B62D3"/>
    <w:rsid w:val="003B6327"/>
    <w:rsid w:val="003B64A3"/>
    <w:rsid w:val="003B6538"/>
    <w:rsid w:val="003B657B"/>
    <w:rsid w:val="003B6617"/>
    <w:rsid w:val="003B6651"/>
    <w:rsid w:val="003B6657"/>
    <w:rsid w:val="003B66E5"/>
    <w:rsid w:val="003B6712"/>
    <w:rsid w:val="003B6794"/>
    <w:rsid w:val="003B67EF"/>
    <w:rsid w:val="003B6997"/>
    <w:rsid w:val="003B6A2E"/>
    <w:rsid w:val="003B6AE6"/>
    <w:rsid w:val="003B6B50"/>
    <w:rsid w:val="003B6B85"/>
    <w:rsid w:val="003B6C03"/>
    <w:rsid w:val="003B6C6D"/>
    <w:rsid w:val="003B6CC2"/>
    <w:rsid w:val="003B6CD6"/>
    <w:rsid w:val="003B7012"/>
    <w:rsid w:val="003B702F"/>
    <w:rsid w:val="003B705D"/>
    <w:rsid w:val="003B7192"/>
    <w:rsid w:val="003B72F1"/>
    <w:rsid w:val="003B739D"/>
    <w:rsid w:val="003B742F"/>
    <w:rsid w:val="003B771A"/>
    <w:rsid w:val="003B77CF"/>
    <w:rsid w:val="003B7868"/>
    <w:rsid w:val="003B79A7"/>
    <w:rsid w:val="003B79B0"/>
    <w:rsid w:val="003B79DF"/>
    <w:rsid w:val="003B79E7"/>
    <w:rsid w:val="003B7B08"/>
    <w:rsid w:val="003B7C6B"/>
    <w:rsid w:val="003B7D10"/>
    <w:rsid w:val="003B7D5C"/>
    <w:rsid w:val="003C0071"/>
    <w:rsid w:val="003C00BB"/>
    <w:rsid w:val="003C01F3"/>
    <w:rsid w:val="003C020A"/>
    <w:rsid w:val="003C024B"/>
    <w:rsid w:val="003C027F"/>
    <w:rsid w:val="003C02F6"/>
    <w:rsid w:val="003C03FC"/>
    <w:rsid w:val="003C0405"/>
    <w:rsid w:val="003C042B"/>
    <w:rsid w:val="003C0442"/>
    <w:rsid w:val="003C04F7"/>
    <w:rsid w:val="003C0737"/>
    <w:rsid w:val="003C0779"/>
    <w:rsid w:val="003C081F"/>
    <w:rsid w:val="003C0837"/>
    <w:rsid w:val="003C0890"/>
    <w:rsid w:val="003C08CA"/>
    <w:rsid w:val="003C0A65"/>
    <w:rsid w:val="003C0EE9"/>
    <w:rsid w:val="003C101A"/>
    <w:rsid w:val="003C1067"/>
    <w:rsid w:val="003C10F3"/>
    <w:rsid w:val="003C1229"/>
    <w:rsid w:val="003C1408"/>
    <w:rsid w:val="003C1458"/>
    <w:rsid w:val="003C1477"/>
    <w:rsid w:val="003C14E1"/>
    <w:rsid w:val="003C151B"/>
    <w:rsid w:val="003C1541"/>
    <w:rsid w:val="003C1587"/>
    <w:rsid w:val="003C15F1"/>
    <w:rsid w:val="003C1897"/>
    <w:rsid w:val="003C189D"/>
    <w:rsid w:val="003C189F"/>
    <w:rsid w:val="003C18CE"/>
    <w:rsid w:val="003C18FC"/>
    <w:rsid w:val="003C1CAC"/>
    <w:rsid w:val="003C1CCC"/>
    <w:rsid w:val="003C1DDC"/>
    <w:rsid w:val="003C1EF5"/>
    <w:rsid w:val="003C2097"/>
    <w:rsid w:val="003C20D9"/>
    <w:rsid w:val="003C224A"/>
    <w:rsid w:val="003C22BB"/>
    <w:rsid w:val="003C23B6"/>
    <w:rsid w:val="003C23E7"/>
    <w:rsid w:val="003C24B4"/>
    <w:rsid w:val="003C2703"/>
    <w:rsid w:val="003C2930"/>
    <w:rsid w:val="003C2938"/>
    <w:rsid w:val="003C29DB"/>
    <w:rsid w:val="003C29FF"/>
    <w:rsid w:val="003C2C44"/>
    <w:rsid w:val="003C2C71"/>
    <w:rsid w:val="003C2CC5"/>
    <w:rsid w:val="003C2DD6"/>
    <w:rsid w:val="003C2EEA"/>
    <w:rsid w:val="003C306A"/>
    <w:rsid w:val="003C314F"/>
    <w:rsid w:val="003C3235"/>
    <w:rsid w:val="003C32D5"/>
    <w:rsid w:val="003C33BD"/>
    <w:rsid w:val="003C33FE"/>
    <w:rsid w:val="003C344A"/>
    <w:rsid w:val="003C35D6"/>
    <w:rsid w:val="003C381E"/>
    <w:rsid w:val="003C3AE2"/>
    <w:rsid w:val="003C3CA2"/>
    <w:rsid w:val="003C3DA4"/>
    <w:rsid w:val="003C3DB0"/>
    <w:rsid w:val="003C3EFD"/>
    <w:rsid w:val="003C4177"/>
    <w:rsid w:val="003C41AA"/>
    <w:rsid w:val="003C42D4"/>
    <w:rsid w:val="003C432E"/>
    <w:rsid w:val="003C43EB"/>
    <w:rsid w:val="003C4413"/>
    <w:rsid w:val="003C441E"/>
    <w:rsid w:val="003C4442"/>
    <w:rsid w:val="003C444E"/>
    <w:rsid w:val="003C44FD"/>
    <w:rsid w:val="003C4520"/>
    <w:rsid w:val="003C4596"/>
    <w:rsid w:val="003C470E"/>
    <w:rsid w:val="003C474E"/>
    <w:rsid w:val="003C47EC"/>
    <w:rsid w:val="003C4801"/>
    <w:rsid w:val="003C4854"/>
    <w:rsid w:val="003C495E"/>
    <w:rsid w:val="003C497A"/>
    <w:rsid w:val="003C4A81"/>
    <w:rsid w:val="003C4D5F"/>
    <w:rsid w:val="003C4E3C"/>
    <w:rsid w:val="003C4E53"/>
    <w:rsid w:val="003C4F02"/>
    <w:rsid w:val="003C50A2"/>
    <w:rsid w:val="003C50EF"/>
    <w:rsid w:val="003C510D"/>
    <w:rsid w:val="003C5127"/>
    <w:rsid w:val="003C5141"/>
    <w:rsid w:val="003C52EB"/>
    <w:rsid w:val="003C5405"/>
    <w:rsid w:val="003C555F"/>
    <w:rsid w:val="003C564C"/>
    <w:rsid w:val="003C569F"/>
    <w:rsid w:val="003C57A1"/>
    <w:rsid w:val="003C57C1"/>
    <w:rsid w:val="003C57E0"/>
    <w:rsid w:val="003C58A7"/>
    <w:rsid w:val="003C58FD"/>
    <w:rsid w:val="003C5BA7"/>
    <w:rsid w:val="003C5CE9"/>
    <w:rsid w:val="003C5EAE"/>
    <w:rsid w:val="003C5F1B"/>
    <w:rsid w:val="003C5F2E"/>
    <w:rsid w:val="003C5F49"/>
    <w:rsid w:val="003C5F4E"/>
    <w:rsid w:val="003C6123"/>
    <w:rsid w:val="003C61BF"/>
    <w:rsid w:val="003C61EE"/>
    <w:rsid w:val="003C621C"/>
    <w:rsid w:val="003C63A5"/>
    <w:rsid w:val="003C63B2"/>
    <w:rsid w:val="003C6695"/>
    <w:rsid w:val="003C66C2"/>
    <w:rsid w:val="003C67E8"/>
    <w:rsid w:val="003C6868"/>
    <w:rsid w:val="003C6982"/>
    <w:rsid w:val="003C6986"/>
    <w:rsid w:val="003C69B4"/>
    <w:rsid w:val="003C69D9"/>
    <w:rsid w:val="003C6BC0"/>
    <w:rsid w:val="003C6CBF"/>
    <w:rsid w:val="003C6EFF"/>
    <w:rsid w:val="003C6FDE"/>
    <w:rsid w:val="003C70AC"/>
    <w:rsid w:val="003C71A5"/>
    <w:rsid w:val="003C7201"/>
    <w:rsid w:val="003C7320"/>
    <w:rsid w:val="003C7370"/>
    <w:rsid w:val="003C7535"/>
    <w:rsid w:val="003C772A"/>
    <w:rsid w:val="003C77A6"/>
    <w:rsid w:val="003C77CA"/>
    <w:rsid w:val="003C7906"/>
    <w:rsid w:val="003C7AC4"/>
    <w:rsid w:val="003C7AC6"/>
    <w:rsid w:val="003C7BD3"/>
    <w:rsid w:val="003C7C52"/>
    <w:rsid w:val="003C7C94"/>
    <w:rsid w:val="003C7CB1"/>
    <w:rsid w:val="003C7E15"/>
    <w:rsid w:val="003C7EAB"/>
    <w:rsid w:val="003D0066"/>
    <w:rsid w:val="003D01BF"/>
    <w:rsid w:val="003D029A"/>
    <w:rsid w:val="003D02EC"/>
    <w:rsid w:val="003D0340"/>
    <w:rsid w:val="003D0385"/>
    <w:rsid w:val="003D0437"/>
    <w:rsid w:val="003D044B"/>
    <w:rsid w:val="003D04E9"/>
    <w:rsid w:val="003D0597"/>
    <w:rsid w:val="003D05A0"/>
    <w:rsid w:val="003D06D6"/>
    <w:rsid w:val="003D0761"/>
    <w:rsid w:val="003D076C"/>
    <w:rsid w:val="003D0865"/>
    <w:rsid w:val="003D087E"/>
    <w:rsid w:val="003D0985"/>
    <w:rsid w:val="003D09D3"/>
    <w:rsid w:val="003D09E0"/>
    <w:rsid w:val="003D0A01"/>
    <w:rsid w:val="003D1012"/>
    <w:rsid w:val="003D1019"/>
    <w:rsid w:val="003D104E"/>
    <w:rsid w:val="003D1088"/>
    <w:rsid w:val="003D10AC"/>
    <w:rsid w:val="003D10D0"/>
    <w:rsid w:val="003D1331"/>
    <w:rsid w:val="003D1378"/>
    <w:rsid w:val="003D1385"/>
    <w:rsid w:val="003D142D"/>
    <w:rsid w:val="003D15F9"/>
    <w:rsid w:val="003D1617"/>
    <w:rsid w:val="003D1743"/>
    <w:rsid w:val="003D1765"/>
    <w:rsid w:val="003D192B"/>
    <w:rsid w:val="003D194C"/>
    <w:rsid w:val="003D1956"/>
    <w:rsid w:val="003D19BE"/>
    <w:rsid w:val="003D1BF0"/>
    <w:rsid w:val="003D1BF2"/>
    <w:rsid w:val="003D1D33"/>
    <w:rsid w:val="003D1DFD"/>
    <w:rsid w:val="003D1ED7"/>
    <w:rsid w:val="003D1F52"/>
    <w:rsid w:val="003D1F5C"/>
    <w:rsid w:val="003D21AA"/>
    <w:rsid w:val="003D2364"/>
    <w:rsid w:val="003D23DD"/>
    <w:rsid w:val="003D23EE"/>
    <w:rsid w:val="003D2510"/>
    <w:rsid w:val="003D260D"/>
    <w:rsid w:val="003D276D"/>
    <w:rsid w:val="003D2797"/>
    <w:rsid w:val="003D2A46"/>
    <w:rsid w:val="003D2B4F"/>
    <w:rsid w:val="003D2BA5"/>
    <w:rsid w:val="003D2BE5"/>
    <w:rsid w:val="003D2CB7"/>
    <w:rsid w:val="003D2F38"/>
    <w:rsid w:val="003D2F5E"/>
    <w:rsid w:val="003D311F"/>
    <w:rsid w:val="003D3270"/>
    <w:rsid w:val="003D349A"/>
    <w:rsid w:val="003D3614"/>
    <w:rsid w:val="003D38FE"/>
    <w:rsid w:val="003D393A"/>
    <w:rsid w:val="003D3A40"/>
    <w:rsid w:val="003D3A89"/>
    <w:rsid w:val="003D3AAE"/>
    <w:rsid w:val="003D3AC5"/>
    <w:rsid w:val="003D3B41"/>
    <w:rsid w:val="003D3B6D"/>
    <w:rsid w:val="003D3C57"/>
    <w:rsid w:val="003D3C9D"/>
    <w:rsid w:val="003D3D2A"/>
    <w:rsid w:val="003D3D6B"/>
    <w:rsid w:val="003D3E6F"/>
    <w:rsid w:val="003D3F11"/>
    <w:rsid w:val="003D4176"/>
    <w:rsid w:val="003D4184"/>
    <w:rsid w:val="003D4258"/>
    <w:rsid w:val="003D4267"/>
    <w:rsid w:val="003D4277"/>
    <w:rsid w:val="003D4377"/>
    <w:rsid w:val="003D44EC"/>
    <w:rsid w:val="003D45C1"/>
    <w:rsid w:val="003D4614"/>
    <w:rsid w:val="003D4888"/>
    <w:rsid w:val="003D4A1E"/>
    <w:rsid w:val="003D4B6B"/>
    <w:rsid w:val="003D4DF5"/>
    <w:rsid w:val="003D5068"/>
    <w:rsid w:val="003D50E6"/>
    <w:rsid w:val="003D518D"/>
    <w:rsid w:val="003D5205"/>
    <w:rsid w:val="003D5209"/>
    <w:rsid w:val="003D542C"/>
    <w:rsid w:val="003D54FA"/>
    <w:rsid w:val="003D5699"/>
    <w:rsid w:val="003D5734"/>
    <w:rsid w:val="003D5785"/>
    <w:rsid w:val="003D57FD"/>
    <w:rsid w:val="003D5804"/>
    <w:rsid w:val="003D5807"/>
    <w:rsid w:val="003D5846"/>
    <w:rsid w:val="003D5958"/>
    <w:rsid w:val="003D5A68"/>
    <w:rsid w:val="003D5B92"/>
    <w:rsid w:val="003D5BCA"/>
    <w:rsid w:val="003D5C72"/>
    <w:rsid w:val="003D5DB6"/>
    <w:rsid w:val="003D5ED1"/>
    <w:rsid w:val="003D611D"/>
    <w:rsid w:val="003D6125"/>
    <w:rsid w:val="003D618A"/>
    <w:rsid w:val="003D61B4"/>
    <w:rsid w:val="003D61F6"/>
    <w:rsid w:val="003D61FC"/>
    <w:rsid w:val="003D6298"/>
    <w:rsid w:val="003D62FF"/>
    <w:rsid w:val="003D65A0"/>
    <w:rsid w:val="003D65AB"/>
    <w:rsid w:val="003D6616"/>
    <w:rsid w:val="003D6859"/>
    <w:rsid w:val="003D68FC"/>
    <w:rsid w:val="003D6900"/>
    <w:rsid w:val="003D69FB"/>
    <w:rsid w:val="003D6A51"/>
    <w:rsid w:val="003D6A8B"/>
    <w:rsid w:val="003D6B6F"/>
    <w:rsid w:val="003D6B7C"/>
    <w:rsid w:val="003D6BDE"/>
    <w:rsid w:val="003D6EA9"/>
    <w:rsid w:val="003D6F36"/>
    <w:rsid w:val="003D7015"/>
    <w:rsid w:val="003D719F"/>
    <w:rsid w:val="003D7233"/>
    <w:rsid w:val="003D72FF"/>
    <w:rsid w:val="003D730E"/>
    <w:rsid w:val="003D740F"/>
    <w:rsid w:val="003D741C"/>
    <w:rsid w:val="003D744B"/>
    <w:rsid w:val="003D76AE"/>
    <w:rsid w:val="003D76F9"/>
    <w:rsid w:val="003D7817"/>
    <w:rsid w:val="003D7846"/>
    <w:rsid w:val="003D789F"/>
    <w:rsid w:val="003D78E2"/>
    <w:rsid w:val="003D79C5"/>
    <w:rsid w:val="003D7A6F"/>
    <w:rsid w:val="003D7A8E"/>
    <w:rsid w:val="003D7A9E"/>
    <w:rsid w:val="003D7AFA"/>
    <w:rsid w:val="003D7D25"/>
    <w:rsid w:val="003D7D6E"/>
    <w:rsid w:val="003D7E6B"/>
    <w:rsid w:val="003D7FB6"/>
    <w:rsid w:val="003D7FBD"/>
    <w:rsid w:val="003E0017"/>
    <w:rsid w:val="003E0097"/>
    <w:rsid w:val="003E01A0"/>
    <w:rsid w:val="003E026F"/>
    <w:rsid w:val="003E03A6"/>
    <w:rsid w:val="003E04D5"/>
    <w:rsid w:val="003E0586"/>
    <w:rsid w:val="003E0633"/>
    <w:rsid w:val="003E083F"/>
    <w:rsid w:val="003E091B"/>
    <w:rsid w:val="003E09F2"/>
    <w:rsid w:val="003E0A79"/>
    <w:rsid w:val="003E0AA9"/>
    <w:rsid w:val="003E0BF3"/>
    <w:rsid w:val="003E0C82"/>
    <w:rsid w:val="003E0FA0"/>
    <w:rsid w:val="003E105C"/>
    <w:rsid w:val="003E1071"/>
    <w:rsid w:val="003E10A8"/>
    <w:rsid w:val="003E10E2"/>
    <w:rsid w:val="003E113D"/>
    <w:rsid w:val="003E121D"/>
    <w:rsid w:val="003E146E"/>
    <w:rsid w:val="003E14CB"/>
    <w:rsid w:val="003E156E"/>
    <w:rsid w:val="003E15FD"/>
    <w:rsid w:val="003E16B0"/>
    <w:rsid w:val="003E16F3"/>
    <w:rsid w:val="003E1760"/>
    <w:rsid w:val="003E18B5"/>
    <w:rsid w:val="003E18D8"/>
    <w:rsid w:val="003E1967"/>
    <w:rsid w:val="003E1C00"/>
    <w:rsid w:val="003E1E4B"/>
    <w:rsid w:val="003E1EB4"/>
    <w:rsid w:val="003E1F6C"/>
    <w:rsid w:val="003E1F9E"/>
    <w:rsid w:val="003E206B"/>
    <w:rsid w:val="003E20D6"/>
    <w:rsid w:val="003E21E7"/>
    <w:rsid w:val="003E222D"/>
    <w:rsid w:val="003E23A8"/>
    <w:rsid w:val="003E255A"/>
    <w:rsid w:val="003E260E"/>
    <w:rsid w:val="003E2719"/>
    <w:rsid w:val="003E27B4"/>
    <w:rsid w:val="003E2A1D"/>
    <w:rsid w:val="003E2B0C"/>
    <w:rsid w:val="003E2C6B"/>
    <w:rsid w:val="003E2D2F"/>
    <w:rsid w:val="003E2F16"/>
    <w:rsid w:val="003E311C"/>
    <w:rsid w:val="003E3256"/>
    <w:rsid w:val="003E343B"/>
    <w:rsid w:val="003E34F9"/>
    <w:rsid w:val="003E3521"/>
    <w:rsid w:val="003E3788"/>
    <w:rsid w:val="003E380F"/>
    <w:rsid w:val="003E3955"/>
    <w:rsid w:val="003E39E4"/>
    <w:rsid w:val="003E3C10"/>
    <w:rsid w:val="003E3D81"/>
    <w:rsid w:val="003E4069"/>
    <w:rsid w:val="003E4356"/>
    <w:rsid w:val="003E4495"/>
    <w:rsid w:val="003E44BE"/>
    <w:rsid w:val="003E4516"/>
    <w:rsid w:val="003E45C2"/>
    <w:rsid w:val="003E4D87"/>
    <w:rsid w:val="003E4D89"/>
    <w:rsid w:val="003E4D8F"/>
    <w:rsid w:val="003E4DA0"/>
    <w:rsid w:val="003E4DB0"/>
    <w:rsid w:val="003E5012"/>
    <w:rsid w:val="003E5015"/>
    <w:rsid w:val="003E50AA"/>
    <w:rsid w:val="003E5176"/>
    <w:rsid w:val="003E531D"/>
    <w:rsid w:val="003E542F"/>
    <w:rsid w:val="003E5475"/>
    <w:rsid w:val="003E54F0"/>
    <w:rsid w:val="003E55B9"/>
    <w:rsid w:val="003E55C1"/>
    <w:rsid w:val="003E5688"/>
    <w:rsid w:val="003E56DE"/>
    <w:rsid w:val="003E579C"/>
    <w:rsid w:val="003E5850"/>
    <w:rsid w:val="003E58D9"/>
    <w:rsid w:val="003E5A0C"/>
    <w:rsid w:val="003E5A7D"/>
    <w:rsid w:val="003E5B0F"/>
    <w:rsid w:val="003E5BB2"/>
    <w:rsid w:val="003E5BD4"/>
    <w:rsid w:val="003E5BFC"/>
    <w:rsid w:val="003E5DC5"/>
    <w:rsid w:val="003E5E06"/>
    <w:rsid w:val="003E5E8F"/>
    <w:rsid w:val="003E5F44"/>
    <w:rsid w:val="003E6001"/>
    <w:rsid w:val="003E611F"/>
    <w:rsid w:val="003E63E4"/>
    <w:rsid w:val="003E6570"/>
    <w:rsid w:val="003E6890"/>
    <w:rsid w:val="003E68C5"/>
    <w:rsid w:val="003E6948"/>
    <w:rsid w:val="003E69A0"/>
    <w:rsid w:val="003E6A2B"/>
    <w:rsid w:val="003E6DD6"/>
    <w:rsid w:val="003E6E2F"/>
    <w:rsid w:val="003E6E56"/>
    <w:rsid w:val="003E6EB2"/>
    <w:rsid w:val="003E7175"/>
    <w:rsid w:val="003E7339"/>
    <w:rsid w:val="003E75A5"/>
    <w:rsid w:val="003E77E5"/>
    <w:rsid w:val="003E7A74"/>
    <w:rsid w:val="003E7A95"/>
    <w:rsid w:val="003E7AAD"/>
    <w:rsid w:val="003E7B09"/>
    <w:rsid w:val="003E7B51"/>
    <w:rsid w:val="003E7B63"/>
    <w:rsid w:val="003E7E90"/>
    <w:rsid w:val="003E7EB8"/>
    <w:rsid w:val="003E7F63"/>
    <w:rsid w:val="003F0078"/>
    <w:rsid w:val="003F014F"/>
    <w:rsid w:val="003F01A2"/>
    <w:rsid w:val="003F01C5"/>
    <w:rsid w:val="003F0217"/>
    <w:rsid w:val="003F03F9"/>
    <w:rsid w:val="003F043F"/>
    <w:rsid w:val="003F06A7"/>
    <w:rsid w:val="003F0756"/>
    <w:rsid w:val="003F07E3"/>
    <w:rsid w:val="003F08D2"/>
    <w:rsid w:val="003F0901"/>
    <w:rsid w:val="003F09E1"/>
    <w:rsid w:val="003F0AC6"/>
    <w:rsid w:val="003F0BB0"/>
    <w:rsid w:val="003F0BFA"/>
    <w:rsid w:val="003F0C00"/>
    <w:rsid w:val="003F0D16"/>
    <w:rsid w:val="003F0DB2"/>
    <w:rsid w:val="003F0DC8"/>
    <w:rsid w:val="003F1028"/>
    <w:rsid w:val="003F1291"/>
    <w:rsid w:val="003F132A"/>
    <w:rsid w:val="003F1450"/>
    <w:rsid w:val="003F1531"/>
    <w:rsid w:val="003F15CB"/>
    <w:rsid w:val="003F1646"/>
    <w:rsid w:val="003F16E3"/>
    <w:rsid w:val="003F1959"/>
    <w:rsid w:val="003F1986"/>
    <w:rsid w:val="003F1A30"/>
    <w:rsid w:val="003F1C6F"/>
    <w:rsid w:val="003F1D25"/>
    <w:rsid w:val="003F1D2C"/>
    <w:rsid w:val="003F1F07"/>
    <w:rsid w:val="003F1F75"/>
    <w:rsid w:val="003F1FCB"/>
    <w:rsid w:val="003F21C3"/>
    <w:rsid w:val="003F2255"/>
    <w:rsid w:val="003F256B"/>
    <w:rsid w:val="003F2576"/>
    <w:rsid w:val="003F263C"/>
    <w:rsid w:val="003F28CC"/>
    <w:rsid w:val="003F2A84"/>
    <w:rsid w:val="003F2A89"/>
    <w:rsid w:val="003F2A8A"/>
    <w:rsid w:val="003F2AE4"/>
    <w:rsid w:val="003F2B35"/>
    <w:rsid w:val="003F2C90"/>
    <w:rsid w:val="003F2F71"/>
    <w:rsid w:val="003F309D"/>
    <w:rsid w:val="003F3134"/>
    <w:rsid w:val="003F3183"/>
    <w:rsid w:val="003F3452"/>
    <w:rsid w:val="003F34F3"/>
    <w:rsid w:val="003F3550"/>
    <w:rsid w:val="003F35F9"/>
    <w:rsid w:val="003F3603"/>
    <w:rsid w:val="003F37F6"/>
    <w:rsid w:val="003F3A60"/>
    <w:rsid w:val="003F3B5D"/>
    <w:rsid w:val="003F3C5D"/>
    <w:rsid w:val="003F3E2C"/>
    <w:rsid w:val="003F3E57"/>
    <w:rsid w:val="003F3E94"/>
    <w:rsid w:val="003F3EF8"/>
    <w:rsid w:val="003F3F86"/>
    <w:rsid w:val="003F3F91"/>
    <w:rsid w:val="003F40BE"/>
    <w:rsid w:val="003F40E6"/>
    <w:rsid w:val="003F4148"/>
    <w:rsid w:val="003F42B8"/>
    <w:rsid w:val="003F4562"/>
    <w:rsid w:val="003F4574"/>
    <w:rsid w:val="003F4759"/>
    <w:rsid w:val="003F4763"/>
    <w:rsid w:val="003F4818"/>
    <w:rsid w:val="003F48E4"/>
    <w:rsid w:val="003F4A3E"/>
    <w:rsid w:val="003F4A50"/>
    <w:rsid w:val="003F4E5D"/>
    <w:rsid w:val="003F4FDC"/>
    <w:rsid w:val="003F5052"/>
    <w:rsid w:val="003F51DA"/>
    <w:rsid w:val="003F5237"/>
    <w:rsid w:val="003F52F5"/>
    <w:rsid w:val="003F538B"/>
    <w:rsid w:val="003F5514"/>
    <w:rsid w:val="003F56BC"/>
    <w:rsid w:val="003F5A4D"/>
    <w:rsid w:val="003F5D49"/>
    <w:rsid w:val="003F5E07"/>
    <w:rsid w:val="003F5E20"/>
    <w:rsid w:val="003F601F"/>
    <w:rsid w:val="003F61DA"/>
    <w:rsid w:val="003F6220"/>
    <w:rsid w:val="003F628D"/>
    <w:rsid w:val="003F6444"/>
    <w:rsid w:val="003F68F5"/>
    <w:rsid w:val="003F6936"/>
    <w:rsid w:val="003F6957"/>
    <w:rsid w:val="003F69A0"/>
    <w:rsid w:val="003F69AE"/>
    <w:rsid w:val="003F6B3F"/>
    <w:rsid w:val="003F6C7B"/>
    <w:rsid w:val="003F6C9D"/>
    <w:rsid w:val="003F6CCA"/>
    <w:rsid w:val="003F6D76"/>
    <w:rsid w:val="003F6DD8"/>
    <w:rsid w:val="003F6E88"/>
    <w:rsid w:val="003F6EE8"/>
    <w:rsid w:val="003F6F15"/>
    <w:rsid w:val="003F6F62"/>
    <w:rsid w:val="003F709E"/>
    <w:rsid w:val="003F7176"/>
    <w:rsid w:val="003F71F9"/>
    <w:rsid w:val="003F7217"/>
    <w:rsid w:val="003F724D"/>
    <w:rsid w:val="003F7516"/>
    <w:rsid w:val="003F7520"/>
    <w:rsid w:val="003F7546"/>
    <w:rsid w:val="003F75B8"/>
    <w:rsid w:val="003F7821"/>
    <w:rsid w:val="003F7941"/>
    <w:rsid w:val="003F7976"/>
    <w:rsid w:val="003F7AC6"/>
    <w:rsid w:val="003F7AED"/>
    <w:rsid w:val="003F7B34"/>
    <w:rsid w:val="003F7BCC"/>
    <w:rsid w:val="003F7D7A"/>
    <w:rsid w:val="003F7F06"/>
    <w:rsid w:val="003F7F0C"/>
    <w:rsid w:val="003F7F50"/>
    <w:rsid w:val="003F7F64"/>
    <w:rsid w:val="003F7FA2"/>
    <w:rsid w:val="003F7FCB"/>
    <w:rsid w:val="0040003D"/>
    <w:rsid w:val="00400372"/>
    <w:rsid w:val="004005F7"/>
    <w:rsid w:val="00400792"/>
    <w:rsid w:val="004007AB"/>
    <w:rsid w:val="004007E3"/>
    <w:rsid w:val="00400947"/>
    <w:rsid w:val="004009BA"/>
    <w:rsid w:val="00400A87"/>
    <w:rsid w:val="00400BE2"/>
    <w:rsid w:val="00400C18"/>
    <w:rsid w:val="00400D02"/>
    <w:rsid w:val="00400D8D"/>
    <w:rsid w:val="00400D9B"/>
    <w:rsid w:val="00400F7E"/>
    <w:rsid w:val="00401082"/>
    <w:rsid w:val="0040118F"/>
    <w:rsid w:val="00401362"/>
    <w:rsid w:val="004013AB"/>
    <w:rsid w:val="00401679"/>
    <w:rsid w:val="00401790"/>
    <w:rsid w:val="004018C7"/>
    <w:rsid w:val="00401919"/>
    <w:rsid w:val="00401977"/>
    <w:rsid w:val="00401C55"/>
    <w:rsid w:val="00401D6A"/>
    <w:rsid w:val="00401E60"/>
    <w:rsid w:val="00402097"/>
    <w:rsid w:val="004020F7"/>
    <w:rsid w:val="0040217A"/>
    <w:rsid w:val="004021DD"/>
    <w:rsid w:val="004021DF"/>
    <w:rsid w:val="00402264"/>
    <w:rsid w:val="004024FB"/>
    <w:rsid w:val="0040250E"/>
    <w:rsid w:val="0040260C"/>
    <w:rsid w:val="004026A4"/>
    <w:rsid w:val="004026C6"/>
    <w:rsid w:val="004027D6"/>
    <w:rsid w:val="00402868"/>
    <w:rsid w:val="0040299B"/>
    <w:rsid w:val="00402CF1"/>
    <w:rsid w:val="00402E14"/>
    <w:rsid w:val="00402F1A"/>
    <w:rsid w:val="00403055"/>
    <w:rsid w:val="0040344C"/>
    <w:rsid w:val="00403478"/>
    <w:rsid w:val="004034CE"/>
    <w:rsid w:val="0040356B"/>
    <w:rsid w:val="004036D6"/>
    <w:rsid w:val="004037BD"/>
    <w:rsid w:val="004037E7"/>
    <w:rsid w:val="00403AF4"/>
    <w:rsid w:val="00403B17"/>
    <w:rsid w:val="00403C0F"/>
    <w:rsid w:val="00403C74"/>
    <w:rsid w:val="00403E00"/>
    <w:rsid w:val="00403E15"/>
    <w:rsid w:val="00403E4D"/>
    <w:rsid w:val="00403E5F"/>
    <w:rsid w:val="00403EF8"/>
    <w:rsid w:val="0040402A"/>
    <w:rsid w:val="0040405A"/>
    <w:rsid w:val="004040BB"/>
    <w:rsid w:val="0040415A"/>
    <w:rsid w:val="004042BB"/>
    <w:rsid w:val="004043C2"/>
    <w:rsid w:val="00404435"/>
    <w:rsid w:val="00404490"/>
    <w:rsid w:val="00404534"/>
    <w:rsid w:val="00404537"/>
    <w:rsid w:val="004046DE"/>
    <w:rsid w:val="00404761"/>
    <w:rsid w:val="004048A9"/>
    <w:rsid w:val="004048B9"/>
    <w:rsid w:val="004048C3"/>
    <w:rsid w:val="00404B82"/>
    <w:rsid w:val="00404BBD"/>
    <w:rsid w:val="00404D81"/>
    <w:rsid w:val="00404D99"/>
    <w:rsid w:val="00404DA2"/>
    <w:rsid w:val="00404E29"/>
    <w:rsid w:val="00404E88"/>
    <w:rsid w:val="00404ED0"/>
    <w:rsid w:val="00404EF1"/>
    <w:rsid w:val="00404F15"/>
    <w:rsid w:val="00404F56"/>
    <w:rsid w:val="00405173"/>
    <w:rsid w:val="004051A0"/>
    <w:rsid w:val="004051E9"/>
    <w:rsid w:val="00405208"/>
    <w:rsid w:val="00405219"/>
    <w:rsid w:val="004052B7"/>
    <w:rsid w:val="004054F3"/>
    <w:rsid w:val="0040552E"/>
    <w:rsid w:val="004055A5"/>
    <w:rsid w:val="00405724"/>
    <w:rsid w:val="004059DF"/>
    <w:rsid w:val="00405BEA"/>
    <w:rsid w:val="00405D51"/>
    <w:rsid w:val="00405D91"/>
    <w:rsid w:val="00405F8C"/>
    <w:rsid w:val="00405FF2"/>
    <w:rsid w:val="0040604A"/>
    <w:rsid w:val="004065AF"/>
    <w:rsid w:val="004065FA"/>
    <w:rsid w:val="00406612"/>
    <w:rsid w:val="00406D3D"/>
    <w:rsid w:val="00406DB7"/>
    <w:rsid w:val="00406FFE"/>
    <w:rsid w:val="004071B7"/>
    <w:rsid w:val="004072A6"/>
    <w:rsid w:val="004072C6"/>
    <w:rsid w:val="00407339"/>
    <w:rsid w:val="00407445"/>
    <w:rsid w:val="00407454"/>
    <w:rsid w:val="004074E4"/>
    <w:rsid w:val="00407661"/>
    <w:rsid w:val="0040767B"/>
    <w:rsid w:val="0040769C"/>
    <w:rsid w:val="004076AE"/>
    <w:rsid w:val="00407709"/>
    <w:rsid w:val="00407B16"/>
    <w:rsid w:val="00407B64"/>
    <w:rsid w:val="00407B79"/>
    <w:rsid w:val="00407D31"/>
    <w:rsid w:val="00407F76"/>
    <w:rsid w:val="00407FA9"/>
    <w:rsid w:val="004100C5"/>
    <w:rsid w:val="004101C2"/>
    <w:rsid w:val="00410367"/>
    <w:rsid w:val="0041043A"/>
    <w:rsid w:val="004105C1"/>
    <w:rsid w:val="0041067A"/>
    <w:rsid w:val="00410700"/>
    <w:rsid w:val="00410710"/>
    <w:rsid w:val="00410718"/>
    <w:rsid w:val="00410819"/>
    <w:rsid w:val="00410978"/>
    <w:rsid w:val="00410A57"/>
    <w:rsid w:val="00410C84"/>
    <w:rsid w:val="00410D1F"/>
    <w:rsid w:val="00410E5A"/>
    <w:rsid w:val="00410ED8"/>
    <w:rsid w:val="00410EEB"/>
    <w:rsid w:val="00410F26"/>
    <w:rsid w:val="00411044"/>
    <w:rsid w:val="004110B4"/>
    <w:rsid w:val="00411481"/>
    <w:rsid w:val="0041156A"/>
    <w:rsid w:val="00411590"/>
    <w:rsid w:val="0041159A"/>
    <w:rsid w:val="00411620"/>
    <w:rsid w:val="004116FF"/>
    <w:rsid w:val="004118FD"/>
    <w:rsid w:val="00411ADD"/>
    <w:rsid w:val="00411B50"/>
    <w:rsid w:val="00411B6E"/>
    <w:rsid w:val="00411C3F"/>
    <w:rsid w:val="00411CCF"/>
    <w:rsid w:val="00411D02"/>
    <w:rsid w:val="00411EA5"/>
    <w:rsid w:val="00411FE2"/>
    <w:rsid w:val="00412012"/>
    <w:rsid w:val="0041218A"/>
    <w:rsid w:val="00412202"/>
    <w:rsid w:val="00412399"/>
    <w:rsid w:val="004123D1"/>
    <w:rsid w:val="004125EB"/>
    <w:rsid w:val="004126D6"/>
    <w:rsid w:val="00412940"/>
    <w:rsid w:val="00412964"/>
    <w:rsid w:val="00412B20"/>
    <w:rsid w:val="00412BD8"/>
    <w:rsid w:val="00412C86"/>
    <w:rsid w:val="00412C8B"/>
    <w:rsid w:val="00412D81"/>
    <w:rsid w:val="00412DA5"/>
    <w:rsid w:val="00413018"/>
    <w:rsid w:val="004130F0"/>
    <w:rsid w:val="004131C8"/>
    <w:rsid w:val="004131DA"/>
    <w:rsid w:val="0041323C"/>
    <w:rsid w:val="0041348E"/>
    <w:rsid w:val="0041349F"/>
    <w:rsid w:val="0041350D"/>
    <w:rsid w:val="004135CB"/>
    <w:rsid w:val="004136C4"/>
    <w:rsid w:val="004136C6"/>
    <w:rsid w:val="004137A6"/>
    <w:rsid w:val="00413A77"/>
    <w:rsid w:val="00413B46"/>
    <w:rsid w:val="00413F09"/>
    <w:rsid w:val="00413F9B"/>
    <w:rsid w:val="00414063"/>
    <w:rsid w:val="0041410C"/>
    <w:rsid w:val="004141F8"/>
    <w:rsid w:val="00414320"/>
    <w:rsid w:val="00414437"/>
    <w:rsid w:val="00414451"/>
    <w:rsid w:val="004144EC"/>
    <w:rsid w:val="00414508"/>
    <w:rsid w:val="0041457E"/>
    <w:rsid w:val="00414661"/>
    <w:rsid w:val="00414754"/>
    <w:rsid w:val="0041488A"/>
    <w:rsid w:val="0041491B"/>
    <w:rsid w:val="00414A0E"/>
    <w:rsid w:val="00414A1F"/>
    <w:rsid w:val="00414B28"/>
    <w:rsid w:val="00414F8D"/>
    <w:rsid w:val="00415177"/>
    <w:rsid w:val="00415253"/>
    <w:rsid w:val="004152CE"/>
    <w:rsid w:val="004154D4"/>
    <w:rsid w:val="004154F5"/>
    <w:rsid w:val="00415599"/>
    <w:rsid w:val="0041568A"/>
    <w:rsid w:val="004156A6"/>
    <w:rsid w:val="00415856"/>
    <w:rsid w:val="004158C7"/>
    <w:rsid w:val="00415A5B"/>
    <w:rsid w:val="00415AA2"/>
    <w:rsid w:val="00415E04"/>
    <w:rsid w:val="00415E3F"/>
    <w:rsid w:val="00415EBF"/>
    <w:rsid w:val="00415EEF"/>
    <w:rsid w:val="00415FF5"/>
    <w:rsid w:val="004160CF"/>
    <w:rsid w:val="004161CF"/>
    <w:rsid w:val="004161D3"/>
    <w:rsid w:val="00416219"/>
    <w:rsid w:val="00416234"/>
    <w:rsid w:val="004163D6"/>
    <w:rsid w:val="00416538"/>
    <w:rsid w:val="004165C3"/>
    <w:rsid w:val="00416712"/>
    <w:rsid w:val="00416762"/>
    <w:rsid w:val="00416797"/>
    <w:rsid w:val="004167C6"/>
    <w:rsid w:val="00416805"/>
    <w:rsid w:val="00416AC5"/>
    <w:rsid w:val="00416C09"/>
    <w:rsid w:val="00416C50"/>
    <w:rsid w:val="00416C76"/>
    <w:rsid w:val="00416E55"/>
    <w:rsid w:val="00416F9C"/>
    <w:rsid w:val="00416FD4"/>
    <w:rsid w:val="00417061"/>
    <w:rsid w:val="0041720C"/>
    <w:rsid w:val="0041723D"/>
    <w:rsid w:val="00417422"/>
    <w:rsid w:val="00417438"/>
    <w:rsid w:val="004174B7"/>
    <w:rsid w:val="004175A0"/>
    <w:rsid w:val="004175A7"/>
    <w:rsid w:val="0041765F"/>
    <w:rsid w:val="004176C6"/>
    <w:rsid w:val="00417915"/>
    <w:rsid w:val="004179BE"/>
    <w:rsid w:val="00417A72"/>
    <w:rsid w:val="00417AD3"/>
    <w:rsid w:val="00417C33"/>
    <w:rsid w:val="00417D6E"/>
    <w:rsid w:val="00417EBF"/>
    <w:rsid w:val="00417EC8"/>
    <w:rsid w:val="00417EF5"/>
    <w:rsid w:val="00417FA8"/>
    <w:rsid w:val="00420088"/>
    <w:rsid w:val="00420119"/>
    <w:rsid w:val="00420128"/>
    <w:rsid w:val="0042020A"/>
    <w:rsid w:val="0042036E"/>
    <w:rsid w:val="00420421"/>
    <w:rsid w:val="00420475"/>
    <w:rsid w:val="004204F0"/>
    <w:rsid w:val="00420675"/>
    <w:rsid w:val="004207B8"/>
    <w:rsid w:val="00420854"/>
    <w:rsid w:val="004209B9"/>
    <w:rsid w:val="00420A94"/>
    <w:rsid w:val="00420BD4"/>
    <w:rsid w:val="00420BDA"/>
    <w:rsid w:val="00420D3E"/>
    <w:rsid w:val="00420E28"/>
    <w:rsid w:val="00420FC6"/>
    <w:rsid w:val="0042112B"/>
    <w:rsid w:val="00421175"/>
    <w:rsid w:val="0042118B"/>
    <w:rsid w:val="004215D9"/>
    <w:rsid w:val="004215EB"/>
    <w:rsid w:val="0042184F"/>
    <w:rsid w:val="0042188E"/>
    <w:rsid w:val="004218BF"/>
    <w:rsid w:val="00421921"/>
    <w:rsid w:val="00421955"/>
    <w:rsid w:val="00421966"/>
    <w:rsid w:val="0042196A"/>
    <w:rsid w:val="004219F3"/>
    <w:rsid w:val="00421A3E"/>
    <w:rsid w:val="00421A9F"/>
    <w:rsid w:val="00421AE2"/>
    <w:rsid w:val="00421B7A"/>
    <w:rsid w:val="00421C2E"/>
    <w:rsid w:val="00421EAA"/>
    <w:rsid w:val="004220C0"/>
    <w:rsid w:val="00422305"/>
    <w:rsid w:val="00422306"/>
    <w:rsid w:val="004226A4"/>
    <w:rsid w:val="004227B0"/>
    <w:rsid w:val="00422875"/>
    <w:rsid w:val="0042289D"/>
    <w:rsid w:val="004228B5"/>
    <w:rsid w:val="004229CB"/>
    <w:rsid w:val="004229E2"/>
    <w:rsid w:val="00422A04"/>
    <w:rsid w:val="00422AC6"/>
    <w:rsid w:val="00422C4B"/>
    <w:rsid w:val="00422F22"/>
    <w:rsid w:val="00423187"/>
    <w:rsid w:val="00423263"/>
    <w:rsid w:val="00423295"/>
    <w:rsid w:val="004233F8"/>
    <w:rsid w:val="004233FB"/>
    <w:rsid w:val="0042355A"/>
    <w:rsid w:val="00423593"/>
    <w:rsid w:val="0042364A"/>
    <w:rsid w:val="00423807"/>
    <w:rsid w:val="00423893"/>
    <w:rsid w:val="004238C7"/>
    <w:rsid w:val="004239E2"/>
    <w:rsid w:val="00423AB6"/>
    <w:rsid w:val="00423B4F"/>
    <w:rsid w:val="00423BBE"/>
    <w:rsid w:val="00423C28"/>
    <w:rsid w:val="00423CCB"/>
    <w:rsid w:val="00423E9D"/>
    <w:rsid w:val="00423F79"/>
    <w:rsid w:val="00423FA8"/>
    <w:rsid w:val="00423FC4"/>
    <w:rsid w:val="0042407C"/>
    <w:rsid w:val="00424156"/>
    <w:rsid w:val="004241A9"/>
    <w:rsid w:val="004242EA"/>
    <w:rsid w:val="0042438D"/>
    <w:rsid w:val="0042439E"/>
    <w:rsid w:val="004243C9"/>
    <w:rsid w:val="0042447F"/>
    <w:rsid w:val="004244BC"/>
    <w:rsid w:val="00424605"/>
    <w:rsid w:val="0042467F"/>
    <w:rsid w:val="004247AF"/>
    <w:rsid w:val="004248C2"/>
    <w:rsid w:val="00424AE9"/>
    <w:rsid w:val="00424BC1"/>
    <w:rsid w:val="00424C3D"/>
    <w:rsid w:val="00424D39"/>
    <w:rsid w:val="00424D9C"/>
    <w:rsid w:val="00424E82"/>
    <w:rsid w:val="00424E88"/>
    <w:rsid w:val="00424E9D"/>
    <w:rsid w:val="0042518A"/>
    <w:rsid w:val="004251E6"/>
    <w:rsid w:val="0042542F"/>
    <w:rsid w:val="00425704"/>
    <w:rsid w:val="00425726"/>
    <w:rsid w:val="00425790"/>
    <w:rsid w:val="0042589E"/>
    <w:rsid w:val="00425988"/>
    <w:rsid w:val="00425A7E"/>
    <w:rsid w:val="00425A98"/>
    <w:rsid w:val="00425AB0"/>
    <w:rsid w:val="00425AC0"/>
    <w:rsid w:val="00425B25"/>
    <w:rsid w:val="00425BCF"/>
    <w:rsid w:val="00425C49"/>
    <w:rsid w:val="00425DB5"/>
    <w:rsid w:val="00425DDD"/>
    <w:rsid w:val="00425EC6"/>
    <w:rsid w:val="00425F5D"/>
    <w:rsid w:val="00426007"/>
    <w:rsid w:val="00426195"/>
    <w:rsid w:val="0042633F"/>
    <w:rsid w:val="004264E2"/>
    <w:rsid w:val="00426544"/>
    <w:rsid w:val="0042657A"/>
    <w:rsid w:val="00426659"/>
    <w:rsid w:val="004266C5"/>
    <w:rsid w:val="0042676C"/>
    <w:rsid w:val="00426773"/>
    <w:rsid w:val="00426984"/>
    <w:rsid w:val="004269FF"/>
    <w:rsid w:val="00426BA0"/>
    <w:rsid w:val="00426BB8"/>
    <w:rsid w:val="00426D8F"/>
    <w:rsid w:val="00426DC9"/>
    <w:rsid w:val="00426F95"/>
    <w:rsid w:val="00426FD6"/>
    <w:rsid w:val="0042727F"/>
    <w:rsid w:val="00427353"/>
    <w:rsid w:val="00427364"/>
    <w:rsid w:val="0042737F"/>
    <w:rsid w:val="0042745A"/>
    <w:rsid w:val="0042756B"/>
    <w:rsid w:val="00427693"/>
    <w:rsid w:val="004276A0"/>
    <w:rsid w:val="0042772B"/>
    <w:rsid w:val="0042772E"/>
    <w:rsid w:val="004277DD"/>
    <w:rsid w:val="00427A7E"/>
    <w:rsid w:val="00427BDF"/>
    <w:rsid w:val="00427EAF"/>
    <w:rsid w:val="00427FC7"/>
    <w:rsid w:val="00427FDF"/>
    <w:rsid w:val="00430022"/>
    <w:rsid w:val="00430067"/>
    <w:rsid w:val="004301D7"/>
    <w:rsid w:val="004302D1"/>
    <w:rsid w:val="004302DE"/>
    <w:rsid w:val="00430531"/>
    <w:rsid w:val="00430543"/>
    <w:rsid w:val="00430696"/>
    <w:rsid w:val="0043079D"/>
    <w:rsid w:val="004307F1"/>
    <w:rsid w:val="0043098B"/>
    <w:rsid w:val="00430B17"/>
    <w:rsid w:val="00430BBF"/>
    <w:rsid w:val="00430CD0"/>
    <w:rsid w:val="00430D32"/>
    <w:rsid w:val="00430D8D"/>
    <w:rsid w:val="00430FB4"/>
    <w:rsid w:val="00431029"/>
    <w:rsid w:val="0043122A"/>
    <w:rsid w:val="004313DA"/>
    <w:rsid w:val="004313EA"/>
    <w:rsid w:val="0043144D"/>
    <w:rsid w:val="00431466"/>
    <w:rsid w:val="00431579"/>
    <w:rsid w:val="004315CB"/>
    <w:rsid w:val="00431668"/>
    <w:rsid w:val="00431710"/>
    <w:rsid w:val="0043191D"/>
    <w:rsid w:val="00431C5D"/>
    <w:rsid w:val="00431EAC"/>
    <w:rsid w:val="00431ED5"/>
    <w:rsid w:val="00431F6A"/>
    <w:rsid w:val="00431FAF"/>
    <w:rsid w:val="0043220A"/>
    <w:rsid w:val="004322D9"/>
    <w:rsid w:val="00432350"/>
    <w:rsid w:val="0043236F"/>
    <w:rsid w:val="004324D5"/>
    <w:rsid w:val="00432518"/>
    <w:rsid w:val="00432536"/>
    <w:rsid w:val="00432588"/>
    <w:rsid w:val="004327BD"/>
    <w:rsid w:val="0043295F"/>
    <w:rsid w:val="004329EE"/>
    <w:rsid w:val="00432A2A"/>
    <w:rsid w:val="00432B41"/>
    <w:rsid w:val="00432BA1"/>
    <w:rsid w:val="00432C13"/>
    <w:rsid w:val="00432C2F"/>
    <w:rsid w:val="00432D04"/>
    <w:rsid w:val="00432FCF"/>
    <w:rsid w:val="00433068"/>
    <w:rsid w:val="004332AA"/>
    <w:rsid w:val="00433396"/>
    <w:rsid w:val="004333B8"/>
    <w:rsid w:val="0043371B"/>
    <w:rsid w:val="00433722"/>
    <w:rsid w:val="00433A53"/>
    <w:rsid w:val="00433A83"/>
    <w:rsid w:val="00433B1C"/>
    <w:rsid w:val="00433B3D"/>
    <w:rsid w:val="00433B43"/>
    <w:rsid w:val="00433D8A"/>
    <w:rsid w:val="00433E52"/>
    <w:rsid w:val="00433E5B"/>
    <w:rsid w:val="00433E87"/>
    <w:rsid w:val="00433EA7"/>
    <w:rsid w:val="00433FB0"/>
    <w:rsid w:val="00434033"/>
    <w:rsid w:val="00434128"/>
    <w:rsid w:val="00434144"/>
    <w:rsid w:val="004341ED"/>
    <w:rsid w:val="00434240"/>
    <w:rsid w:val="0043436E"/>
    <w:rsid w:val="004344E9"/>
    <w:rsid w:val="00434562"/>
    <w:rsid w:val="00434581"/>
    <w:rsid w:val="0043464B"/>
    <w:rsid w:val="0043471E"/>
    <w:rsid w:val="00434821"/>
    <w:rsid w:val="00434859"/>
    <w:rsid w:val="0043487E"/>
    <w:rsid w:val="00434C06"/>
    <w:rsid w:val="00434C23"/>
    <w:rsid w:val="00434C82"/>
    <w:rsid w:val="00434DD7"/>
    <w:rsid w:val="00435221"/>
    <w:rsid w:val="004352F1"/>
    <w:rsid w:val="004353AD"/>
    <w:rsid w:val="004354CE"/>
    <w:rsid w:val="00435504"/>
    <w:rsid w:val="00435592"/>
    <w:rsid w:val="004355E6"/>
    <w:rsid w:val="004356CF"/>
    <w:rsid w:val="004356DD"/>
    <w:rsid w:val="00435715"/>
    <w:rsid w:val="00435722"/>
    <w:rsid w:val="00435732"/>
    <w:rsid w:val="00435797"/>
    <w:rsid w:val="004357F1"/>
    <w:rsid w:val="0043585E"/>
    <w:rsid w:val="00435916"/>
    <w:rsid w:val="00435AA9"/>
    <w:rsid w:val="00435AD6"/>
    <w:rsid w:val="00435BCC"/>
    <w:rsid w:val="00435BE1"/>
    <w:rsid w:val="00435C92"/>
    <w:rsid w:val="00435DA4"/>
    <w:rsid w:val="00435F3B"/>
    <w:rsid w:val="00435FB5"/>
    <w:rsid w:val="004360A7"/>
    <w:rsid w:val="004360E8"/>
    <w:rsid w:val="004362AE"/>
    <w:rsid w:val="004362D7"/>
    <w:rsid w:val="004362FF"/>
    <w:rsid w:val="00436347"/>
    <w:rsid w:val="00436516"/>
    <w:rsid w:val="0043661B"/>
    <w:rsid w:val="0043682C"/>
    <w:rsid w:val="00436958"/>
    <w:rsid w:val="00436C00"/>
    <w:rsid w:val="00436EBE"/>
    <w:rsid w:val="00436F72"/>
    <w:rsid w:val="00437079"/>
    <w:rsid w:val="004370E7"/>
    <w:rsid w:val="004372D3"/>
    <w:rsid w:val="004373F5"/>
    <w:rsid w:val="00437411"/>
    <w:rsid w:val="00437913"/>
    <w:rsid w:val="004379AC"/>
    <w:rsid w:val="004379BA"/>
    <w:rsid w:val="00437C6A"/>
    <w:rsid w:val="00437CDC"/>
    <w:rsid w:val="00437CE8"/>
    <w:rsid w:val="00437D2A"/>
    <w:rsid w:val="00437D85"/>
    <w:rsid w:val="00437E1A"/>
    <w:rsid w:val="00437E3D"/>
    <w:rsid w:val="00437E55"/>
    <w:rsid w:val="00437EB6"/>
    <w:rsid w:val="00437ED0"/>
    <w:rsid w:val="00440227"/>
    <w:rsid w:val="0044023C"/>
    <w:rsid w:val="00440286"/>
    <w:rsid w:val="004403E5"/>
    <w:rsid w:val="0044052D"/>
    <w:rsid w:val="00440666"/>
    <w:rsid w:val="004406F7"/>
    <w:rsid w:val="004409C6"/>
    <w:rsid w:val="00440A54"/>
    <w:rsid w:val="00440C4B"/>
    <w:rsid w:val="00440C6A"/>
    <w:rsid w:val="00440DD0"/>
    <w:rsid w:val="00440E4A"/>
    <w:rsid w:val="00441015"/>
    <w:rsid w:val="00441175"/>
    <w:rsid w:val="00441289"/>
    <w:rsid w:val="0044130F"/>
    <w:rsid w:val="004414A0"/>
    <w:rsid w:val="0044157E"/>
    <w:rsid w:val="0044161A"/>
    <w:rsid w:val="0044178F"/>
    <w:rsid w:val="004417C6"/>
    <w:rsid w:val="00441805"/>
    <w:rsid w:val="004418C4"/>
    <w:rsid w:val="00441913"/>
    <w:rsid w:val="00441A6A"/>
    <w:rsid w:val="00441B3F"/>
    <w:rsid w:val="00441C0B"/>
    <w:rsid w:val="00441C67"/>
    <w:rsid w:val="00441D1B"/>
    <w:rsid w:val="00441E77"/>
    <w:rsid w:val="00441F68"/>
    <w:rsid w:val="00441F76"/>
    <w:rsid w:val="00442025"/>
    <w:rsid w:val="004420CC"/>
    <w:rsid w:val="004421D7"/>
    <w:rsid w:val="0044225B"/>
    <w:rsid w:val="0044227C"/>
    <w:rsid w:val="004422A1"/>
    <w:rsid w:val="00442328"/>
    <w:rsid w:val="00442336"/>
    <w:rsid w:val="0044246B"/>
    <w:rsid w:val="00442483"/>
    <w:rsid w:val="004424C4"/>
    <w:rsid w:val="004424D4"/>
    <w:rsid w:val="00442926"/>
    <w:rsid w:val="004429B0"/>
    <w:rsid w:val="00442A97"/>
    <w:rsid w:val="00442AC1"/>
    <w:rsid w:val="00442ADC"/>
    <w:rsid w:val="00442C85"/>
    <w:rsid w:val="00442CD3"/>
    <w:rsid w:val="00442CED"/>
    <w:rsid w:val="00442D3F"/>
    <w:rsid w:val="00442D9E"/>
    <w:rsid w:val="00442EA8"/>
    <w:rsid w:val="00442EF8"/>
    <w:rsid w:val="00442F3F"/>
    <w:rsid w:val="0044323A"/>
    <w:rsid w:val="0044324C"/>
    <w:rsid w:val="00443519"/>
    <w:rsid w:val="004435E4"/>
    <w:rsid w:val="00443676"/>
    <w:rsid w:val="0044369C"/>
    <w:rsid w:val="00443719"/>
    <w:rsid w:val="0044372C"/>
    <w:rsid w:val="00443799"/>
    <w:rsid w:val="004437AD"/>
    <w:rsid w:val="00443866"/>
    <w:rsid w:val="004439E7"/>
    <w:rsid w:val="00443A17"/>
    <w:rsid w:val="00443A88"/>
    <w:rsid w:val="00443AA1"/>
    <w:rsid w:val="00443B9D"/>
    <w:rsid w:val="00443BF2"/>
    <w:rsid w:val="004442AA"/>
    <w:rsid w:val="00444303"/>
    <w:rsid w:val="00444588"/>
    <w:rsid w:val="0044459C"/>
    <w:rsid w:val="0044466F"/>
    <w:rsid w:val="00444699"/>
    <w:rsid w:val="004446D4"/>
    <w:rsid w:val="0044472B"/>
    <w:rsid w:val="00444A63"/>
    <w:rsid w:val="00444AB4"/>
    <w:rsid w:val="00444B0F"/>
    <w:rsid w:val="00444DC9"/>
    <w:rsid w:val="00444FC6"/>
    <w:rsid w:val="00445037"/>
    <w:rsid w:val="00445049"/>
    <w:rsid w:val="004450A2"/>
    <w:rsid w:val="00445116"/>
    <w:rsid w:val="004451B8"/>
    <w:rsid w:val="0044522D"/>
    <w:rsid w:val="00445265"/>
    <w:rsid w:val="004452C0"/>
    <w:rsid w:val="00445307"/>
    <w:rsid w:val="00445413"/>
    <w:rsid w:val="00445546"/>
    <w:rsid w:val="0044554A"/>
    <w:rsid w:val="004457D5"/>
    <w:rsid w:val="004458BC"/>
    <w:rsid w:val="00445A15"/>
    <w:rsid w:val="00445A3A"/>
    <w:rsid w:val="00445A3E"/>
    <w:rsid w:val="00445B32"/>
    <w:rsid w:val="00445D59"/>
    <w:rsid w:val="00445EB9"/>
    <w:rsid w:val="00445EE5"/>
    <w:rsid w:val="00446035"/>
    <w:rsid w:val="00446048"/>
    <w:rsid w:val="004461CE"/>
    <w:rsid w:val="00446205"/>
    <w:rsid w:val="00446458"/>
    <w:rsid w:val="0044657C"/>
    <w:rsid w:val="004465D1"/>
    <w:rsid w:val="004465E5"/>
    <w:rsid w:val="004467C6"/>
    <w:rsid w:val="00446809"/>
    <w:rsid w:val="004468E4"/>
    <w:rsid w:val="00446AF8"/>
    <w:rsid w:val="00446B28"/>
    <w:rsid w:val="00446B9C"/>
    <w:rsid w:val="00446CBE"/>
    <w:rsid w:val="00446D57"/>
    <w:rsid w:val="00446DC5"/>
    <w:rsid w:val="00446E0D"/>
    <w:rsid w:val="00446E19"/>
    <w:rsid w:val="00446E75"/>
    <w:rsid w:val="004470DD"/>
    <w:rsid w:val="00447224"/>
    <w:rsid w:val="0044760C"/>
    <w:rsid w:val="004477A1"/>
    <w:rsid w:val="0044781D"/>
    <w:rsid w:val="00447881"/>
    <w:rsid w:val="00447939"/>
    <w:rsid w:val="00447940"/>
    <w:rsid w:val="00447986"/>
    <w:rsid w:val="00447A6A"/>
    <w:rsid w:val="00447B29"/>
    <w:rsid w:val="00447BA2"/>
    <w:rsid w:val="00447BB7"/>
    <w:rsid w:val="00447BEB"/>
    <w:rsid w:val="00447E10"/>
    <w:rsid w:val="00447E8A"/>
    <w:rsid w:val="00447EE5"/>
    <w:rsid w:val="00447F05"/>
    <w:rsid w:val="004501F4"/>
    <w:rsid w:val="0045024B"/>
    <w:rsid w:val="0045031B"/>
    <w:rsid w:val="004504FE"/>
    <w:rsid w:val="004505E6"/>
    <w:rsid w:val="00450612"/>
    <w:rsid w:val="00450844"/>
    <w:rsid w:val="00450A28"/>
    <w:rsid w:val="00450A52"/>
    <w:rsid w:val="00450B05"/>
    <w:rsid w:val="00450D81"/>
    <w:rsid w:val="00450DCF"/>
    <w:rsid w:val="00450F21"/>
    <w:rsid w:val="004510B4"/>
    <w:rsid w:val="00451254"/>
    <w:rsid w:val="004513A1"/>
    <w:rsid w:val="004513D4"/>
    <w:rsid w:val="004514E9"/>
    <w:rsid w:val="004514FE"/>
    <w:rsid w:val="0045154B"/>
    <w:rsid w:val="0045191E"/>
    <w:rsid w:val="004519F1"/>
    <w:rsid w:val="00451D2F"/>
    <w:rsid w:val="00451E0C"/>
    <w:rsid w:val="00451E18"/>
    <w:rsid w:val="00451E55"/>
    <w:rsid w:val="00451ED3"/>
    <w:rsid w:val="0045208F"/>
    <w:rsid w:val="004520FE"/>
    <w:rsid w:val="004521E6"/>
    <w:rsid w:val="004524A2"/>
    <w:rsid w:val="00452552"/>
    <w:rsid w:val="00452577"/>
    <w:rsid w:val="0045260F"/>
    <w:rsid w:val="00452693"/>
    <w:rsid w:val="00452734"/>
    <w:rsid w:val="00452774"/>
    <w:rsid w:val="00452976"/>
    <w:rsid w:val="00452A22"/>
    <w:rsid w:val="00452A59"/>
    <w:rsid w:val="00452C51"/>
    <w:rsid w:val="00452DFA"/>
    <w:rsid w:val="00452E03"/>
    <w:rsid w:val="00452E5A"/>
    <w:rsid w:val="00452F71"/>
    <w:rsid w:val="00453009"/>
    <w:rsid w:val="004530F2"/>
    <w:rsid w:val="004532EE"/>
    <w:rsid w:val="00453352"/>
    <w:rsid w:val="004534D4"/>
    <w:rsid w:val="00453703"/>
    <w:rsid w:val="00453891"/>
    <w:rsid w:val="00453A5C"/>
    <w:rsid w:val="00453A84"/>
    <w:rsid w:val="00453C8A"/>
    <w:rsid w:val="00453D6F"/>
    <w:rsid w:val="00453DBB"/>
    <w:rsid w:val="00453E59"/>
    <w:rsid w:val="00453E7D"/>
    <w:rsid w:val="00453F04"/>
    <w:rsid w:val="00453F2F"/>
    <w:rsid w:val="0045419D"/>
    <w:rsid w:val="004541BB"/>
    <w:rsid w:val="004542E0"/>
    <w:rsid w:val="0045430E"/>
    <w:rsid w:val="004543E9"/>
    <w:rsid w:val="004544FC"/>
    <w:rsid w:val="00454545"/>
    <w:rsid w:val="00454650"/>
    <w:rsid w:val="004546BB"/>
    <w:rsid w:val="004546DD"/>
    <w:rsid w:val="004548BB"/>
    <w:rsid w:val="00454921"/>
    <w:rsid w:val="0045495F"/>
    <w:rsid w:val="00454A63"/>
    <w:rsid w:val="00454EE8"/>
    <w:rsid w:val="00454EF5"/>
    <w:rsid w:val="00454F17"/>
    <w:rsid w:val="00454F98"/>
    <w:rsid w:val="00454FF7"/>
    <w:rsid w:val="004550B9"/>
    <w:rsid w:val="0045523E"/>
    <w:rsid w:val="004553F9"/>
    <w:rsid w:val="004554CB"/>
    <w:rsid w:val="00455672"/>
    <w:rsid w:val="0045577F"/>
    <w:rsid w:val="004557B2"/>
    <w:rsid w:val="0045590D"/>
    <w:rsid w:val="004559CE"/>
    <w:rsid w:val="00455B90"/>
    <w:rsid w:val="00455BD4"/>
    <w:rsid w:val="00455DFA"/>
    <w:rsid w:val="00455EDC"/>
    <w:rsid w:val="0045602F"/>
    <w:rsid w:val="004561F6"/>
    <w:rsid w:val="00456773"/>
    <w:rsid w:val="004568A1"/>
    <w:rsid w:val="00456B57"/>
    <w:rsid w:val="004570DA"/>
    <w:rsid w:val="0045723B"/>
    <w:rsid w:val="00457419"/>
    <w:rsid w:val="0045757F"/>
    <w:rsid w:val="004576AB"/>
    <w:rsid w:val="004576BD"/>
    <w:rsid w:val="004576DA"/>
    <w:rsid w:val="004578F9"/>
    <w:rsid w:val="00457BC6"/>
    <w:rsid w:val="00457C4A"/>
    <w:rsid w:val="00457CEE"/>
    <w:rsid w:val="00457DBD"/>
    <w:rsid w:val="00457E1C"/>
    <w:rsid w:val="00457F20"/>
    <w:rsid w:val="00457F83"/>
    <w:rsid w:val="00460109"/>
    <w:rsid w:val="0046054D"/>
    <w:rsid w:val="00460593"/>
    <w:rsid w:val="00460616"/>
    <w:rsid w:val="00460967"/>
    <w:rsid w:val="00460A4D"/>
    <w:rsid w:val="00460B6C"/>
    <w:rsid w:val="00460C67"/>
    <w:rsid w:val="00460E1A"/>
    <w:rsid w:val="00461008"/>
    <w:rsid w:val="00461042"/>
    <w:rsid w:val="00461106"/>
    <w:rsid w:val="0046127F"/>
    <w:rsid w:val="0046160B"/>
    <w:rsid w:val="004616B2"/>
    <w:rsid w:val="004617E4"/>
    <w:rsid w:val="0046191B"/>
    <w:rsid w:val="0046192B"/>
    <w:rsid w:val="00461954"/>
    <w:rsid w:val="004619CA"/>
    <w:rsid w:val="004619E4"/>
    <w:rsid w:val="00461B34"/>
    <w:rsid w:val="00461CB8"/>
    <w:rsid w:val="00461EB8"/>
    <w:rsid w:val="00461FC0"/>
    <w:rsid w:val="004622A0"/>
    <w:rsid w:val="004622EF"/>
    <w:rsid w:val="00462300"/>
    <w:rsid w:val="00462307"/>
    <w:rsid w:val="00462375"/>
    <w:rsid w:val="004624AF"/>
    <w:rsid w:val="004626A4"/>
    <w:rsid w:val="004626B4"/>
    <w:rsid w:val="00462764"/>
    <w:rsid w:val="00462928"/>
    <w:rsid w:val="0046292F"/>
    <w:rsid w:val="004629E4"/>
    <w:rsid w:val="00462BEB"/>
    <w:rsid w:val="00462BFD"/>
    <w:rsid w:val="00462CB0"/>
    <w:rsid w:val="00462CC9"/>
    <w:rsid w:val="00462DC4"/>
    <w:rsid w:val="00462E14"/>
    <w:rsid w:val="00462E60"/>
    <w:rsid w:val="00462EEF"/>
    <w:rsid w:val="00462FA2"/>
    <w:rsid w:val="00463066"/>
    <w:rsid w:val="00463169"/>
    <w:rsid w:val="0046327C"/>
    <w:rsid w:val="004633F0"/>
    <w:rsid w:val="00463440"/>
    <w:rsid w:val="004634B6"/>
    <w:rsid w:val="0046352B"/>
    <w:rsid w:val="00463541"/>
    <w:rsid w:val="004636E5"/>
    <w:rsid w:val="004636FF"/>
    <w:rsid w:val="00463838"/>
    <w:rsid w:val="00463956"/>
    <w:rsid w:val="00463A82"/>
    <w:rsid w:val="00463B00"/>
    <w:rsid w:val="00463B13"/>
    <w:rsid w:val="00463B47"/>
    <w:rsid w:val="00463C36"/>
    <w:rsid w:val="00463C48"/>
    <w:rsid w:val="00463DF8"/>
    <w:rsid w:val="00463E99"/>
    <w:rsid w:val="00463EBB"/>
    <w:rsid w:val="00463EC2"/>
    <w:rsid w:val="00463F7E"/>
    <w:rsid w:val="00464010"/>
    <w:rsid w:val="00464038"/>
    <w:rsid w:val="004640CB"/>
    <w:rsid w:val="004640CF"/>
    <w:rsid w:val="00464120"/>
    <w:rsid w:val="0046419A"/>
    <w:rsid w:val="004643EE"/>
    <w:rsid w:val="00464449"/>
    <w:rsid w:val="00464469"/>
    <w:rsid w:val="0046458B"/>
    <w:rsid w:val="00464655"/>
    <w:rsid w:val="004647C5"/>
    <w:rsid w:val="004647EC"/>
    <w:rsid w:val="00464848"/>
    <w:rsid w:val="004648B1"/>
    <w:rsid w:val="00464931"/>
    <w:rsid w:val="00464AE7"/>
    <w:rsid w:val="00464AEA"/>
    <w:rsid w:val="00464AF5"/>
    <w:rsid w:val="00464B89"/>
    <w:rsid w:val="00464BA0"/>
    <w:rsid w:val="00464D92"/>
    <w:rsid w:val="00464DAA"/>
    <w:rsid w:val="00464E0F"/>
    <w:rsid w:val="00464E8C"/>
    <w:rsid w:val="00464F7B"/>
    <w:rsid w:val="0046508D"/>
    <w:rsid w:val="004650BA"/>
    <w:rsid w:val="004651F3"/>
    <w:rsid w:val="00465226"/>
    <w:rsid w:val="00465316"/>
    <w:rsid w:val="00465490"/>
    <w:rsid w:val="0046550D"/>
    <w:rsid w:val="0046555E"/>
    <w:rsid w:val="004655C5"/>
    <w:rsid w:val="00465822"/>
    <w:rsid w:val="00465946"/>
    <w:rsid w:val="00465A83"/>
    <w:rsid w:val="00465C7B"/>
    <w:rsid w:val="00465CD3"/>
    <w:rsid w:val="00465DDB"/>
    <w:rsid w:val="00465F0B"/>
    <w:rsid w:val="00465FF1"/>
    <w:rsid w:val="00466063"/>
    <w:rsid w:val="00466123"/>
    <w:rsid w:val="00466131"/>
    <w:rsid w:val="0046613D"/>
    <w:rsid w:val="0046625C"/>
    <w:rsid w:val="004663D8"/>
    <w:rsid w:val="00466442"/>
    <w:rsid w:val="004664FD"/>
    <w:rsid w:val="00466551"/>
    <w:rsid w:val="004666C4"/>
    <w:rsid w:val="004666DB"/>
    <w:rsid w:val="00466715"/>
    <w:rsid w:val="00466859"/>
    <w:rsid w:val="004668EB"/>
    <w:rsid w:val="004669D0"/>
    <w:rsid w:val="00466C4F"/>
    <w:rsid w:val="00466C61"/>
    <w:rsid w:val="00466E48"/>
    <w:rsid w:val="00466F0F"/>
    <w:rsid w:val="00466F9D"/>
    <w:rsid w:val="0046702B"/>
    <w:rsid w:val="00467053"/>
    <w:rsid w:val="004671D6"/>
    <w:rsid w:val="00467257"/>
    <w:rsid w:val="004673B0"/>
    <w:rsid w:val="004673B8"/>
    <w:rsid w:val="00467446"/>
    <w:rsid w:val="00467466"/>
    <w:rsid w:val="00467467"/>
    <w:rsid w:val="004674C0"/>
    <w:rsid w:val="0046762C"/>
    <w:rsid w:val="00467729"/>
    <w:rsid w:val="0046772C"/>
    <w:rsid w:val="00467918"/>
    <w:rsid w:val="004679E8"/>
    <w:rsid w:val="00467AA4"/>
    <w:rsid w:val="00467AA7"/>
    <w:rsid w:val="00467B15"/>
    <w:rsid w:val="00467B48"/>
    <w:rsid w:val="00467D9F"/>
    <w:rsid w:val="00467DB2"/>
    <w:rsid w:val="00467E6A"/>
    <w:rsid w:val="00467E91"/>
    <w:rsid w:val="00470153"/>
    <w:rsid w:val="00470169"/>
    <w:rsid w:val="004701A3"/>
    <w:rsid w:val="004701C7"/>
    <w:rsid w:val="0047023D"/>
    <w:rsid w:val="0047039E"/>
    <w:rsid w:val="004703F9"/>
    <w:rsid w:val="0047043E"/>
    <w:rsid w:val="00470457"/>
    <w:rsid w:val="0047053C"/>
    <w:rsid w:val="00470998"/>
    <w:rsid w:val="00470B67"/>
    <w:rsid w:val="00470C89"/>
    <w:rsid w:val="00470C8A"/>
    <w:rsid w:val="00470E0C"/>
    <w:rsid w:val="004711AD"/>
    <w:rsid w:val="0047123C"/>
    <w:rsid w:val="0047132C"/>
    <w:rsid w:val="0047145E"/>
    <w:rsid w:val="0047152F"/>
    <w:rsid w:val="00471539"/>
    <w:rsid w:val="00471559"/>
    <w:rsid w:val="00471610"/>
    <w:rsid w:val="004716D6"/>
    <w:rsid w:val="00471762"/>
    <w:rsid w:val="004717AC"/>
    <w:rsid w:val="0047187D"/>
    <w:rsid w:val="00471AB5"/>
    <w:rsid w:val="00471ACE"/>
    <w:rsid w:val="00471B26"/>
    <w:rsid w:val="00471B34"/>
    <w:rsid w:val="00471C61"/>
    <w:rsid w:val="00471CC5"/>
    <w:rsid w:val="00471CFC"/>
    <w:rsid w:val="00471E07"/>
    <w:rsid w:val="00471EF4"/>
    <w:rsid w:val="00471FE2"/>
    <w:rsid w:val="0047207F"/>
    <w:rsid w:val="004720FA"/>
    <w:rsid w:val="00472220"/>
    <w:rsid w:val="00472298"/>
    <w:rsid w:val="0047237B"/>
    <w:rsid w:val="004723EF"/>
    <w:rsid w:val="0047244D"/>
    <w:rsid w:val="00472652"/>
    <w:rsid w:val="00472664"/>
    <w:rsid w:val="004727F0"/>
    <w:rsid w:val="00472AC7"/>
    <w:rsid w:val="00472AF1"/>
    <w:rsid w:val="00472BB7"/>
    <w:rsid w:val="00472BE5"/>
    <w:rsid w:val="00472BFB"/>
    <w:rsid w:val="00472C7D"/>
    <w:rsid w:val="00472DC3"/>
    <w:rsid w:val="00472EA2"/>
    <w:rsid w:val="00473110"/>
    <w:rsid w:val="004731B3"/>
    <w:rsid w:val="00473283"/>
    <w:rsid w:val="00473413"/>
    <w:rsid w:val="004735A8"/>
    <w:rsid w:val="004736D0"/>
    <w:rsid w:val="0047396C"/>
    <w:rsid w:val="00473989"/>
    <w:rsid w:val="004739E4"/>
    <w:rsid w:val="00473A30"/>
    <w:rsid w:val="00473AF2"/>
    <w:rsid w:val="00473B87"/>
    <w:rsid w:val="00473F36"/>
    <w:rsid w:val="004740AB"/>
    <w:rsid w:val="00474115"/>
    <w:rsid w:val="00474137"/>
    <w:rsid w:val="004741DC"/>
    <w:rsid w:val="004742EE"/>
    <w:rsid w:val="004743FD"/>
    <w:rsid w:val="0047453F"/>
    <w:rsid w:val="00474A8B"/>
    <w:rsid w:val="00474C6C"/>
    <w:rsid w:val="00474C89"/>
    <w:rsid w:val="00474F2C"/>
    <w:rsid w:val="00475085"/>
    <w:rsid w:val="00475235"/>
    <w:rsid w:val="004752F7"/>
    <w:rsid w:val="00475301"/>
    <w:rsid w:val="00475320"/>
    <w:rsid w:val="0047538D"/>
    <w:rsid w:val="00475522"/>
    <w:rsid w:val="00475599"/>
    <w:rsid w:val="00475617"/>
    <w:rsid w:val="004756AC"/>
    <w:rsid w:val="00475796"/>
    <w:rsid w:val="00475932"/>
    <w:rsid w:val="004759D2"/>
    <w:rsid w:val="00475A71"/>
    <w:rsid w:val="00475AA5"/>
    <w:rsid w:val="00475C3E"/>
    <w:rsid w:val="00475C6C"/>
    <w:rsid w:val="00475CA2"/>
    <w:rsid w:val="00475D5D"/>
    <w:rsid w:val="00475ECC"/>
    <w:rsid w:val="00476180"/>
    <w:rsid w:val="0047626D"/>
    <w:rsid w:val="0047629D"/>
    <w:rsid w:val="004762B2"/>
    <w:rsid w:val="00476357"/>
    <w:rsid w:val="00476368"/>
    <w:rsid w:val="00476385"/>
    <w:rsid w:val="004763E5"/>
    <w:rsid w:val="00476444"/>
    <w:rsid w:val="00476479"/>
    <w:rsid w:val="00476499"/>
    <w:rsid w:val="0047649A"/>
    <w:rsid w:val="00476563"/>
    <w:rsid w:val="0047662E"/>
    <w:rsid w:val="0047672E"/>
    <w:rsid w:val="0047673C"/>
    <w:rsid w:val="00476740"/>
    <w:rsid w:val="00476745"/>
    <w:rsid w:val="00476A52"/>
    <w:rsid w:val="00476B9D"/>
    <w:rsid w:val="00476BC5"/>
    <w:rsid w:val="00476C6B"/>
    <w:rsid w:val="00476CBA"/>
    <w:rsid w:val="00476CF6"/>
    <w:rsid w:val="00476E5B"/>
    <w:rsid w:val="00476E88"/>
    <w:rsid w:val="00476EBE"/>
    <w:rsid w:val="00476F82"/>
    <w:rsid w:val="00477188"/>
    <w:rsid w:val="004771A9"/>
    <w:rsid w:val="0047726B"/>
    <w:rsid w:val="00477431"/>
    <w:rsid w:val="0047743F"/>
    <w:rsid w:val="004774A3"/>
    <w:rsid w:val="00477542"/>
    <w:rsid w:val="00477AA8"/>
    <w:rsid w:val="00477C64"/>
    <w:rsid w:val="00477CC8"/>
    <w:rsid w:val="00477F3F"/>
    <w:rsid w:val="00480087"/>
    <w:rsid w:val="004800F3"/>
    <w:rsid w:val="00480108"/>
    <w:rsid w:val="00480239"/>
    <w:rsid w:val="00480284"/>
    <w:rsid w:val="004802B8"/>
    <w:rsid w:val="004802F4"/>
    <w:rsid w:val="004804DA"/>
    <w:rsid w:val="00480569"/>
    <w:rsid w:val="004805A6"/>
    <w:rsid w:val="004806A7"/>
    <w:rsid w:val="00480762"/>
    <w:rsid w:val="004807DB"/>
    <w:rsid w:val="0048087F"/>
    <w:rsid w:val="00480A61"/>
    <w:rsid w:val="00480B45"/>
    <w:rsid w:val="00480C7F"/>
    <w:rsid w:val="00480CAB"/>
    <w:rsid w:val="004812B9"/>
    <w:rsid w:val="00481373"/>
    <w:rsid w:val="004813A8"/>
    <w:rsid w:val="0048158A"/>
    <w:rsid w:val="00481714"/>
    <w:rsid w:val="0048183A"/>
    <w:rsid w:val="004818F4"/>
    <w:rsid w:val="00481975"/>
    <w:rsid w:val="00481A26"/>
    <w:rsid w:val="00481BA4"/>
    <w:rsid w:val="00481C88"/>
    <w:rsid w:val="00481D2E"/>
    <w:rsid w:val="00481E04"/>
    <w:rsid w:val="00481F29"/>
    <w:rsid w:val="00481F43"/>
    <w:rsid w:val="004820AE"/>
    <w:rsid w:val="004821A3"/>
    <w:rsid w:val="004821C4"/>
    <w:rsid w:val="0048232F"/>
    <w:rsid w:val="004824BC"/>
    <w:rsid w:val="004824D9"/>
    <w:rsid w:val="00482699"/>
    <w:rsid w:val="00482757"/>
    <w:rsid w:val="0048288E"/>
    <w:rsid w:val="00482982"/>
    <w:rsid w:val="004829A2"/>
    <w:rsid w:val="00482A15"/>
    <w:rsid w:val="00482AC3"/>
    <w:rsid w:val="00482C6D"/>
    <w:rsid w:val="00482D08"/>
    <w:rsid w:val="00482E57"/>
    <w:rsid w:val="00482F65"/>
    <w:rsid w:val="00482F70"/>
    <w:rsid w:val="004830D7"/>
    <w:rsid w:val="0048317E"/>
    <w:rsid w:val="004832BA"/>
    <w:rsid w:val="0048354C"/>
    <w:rsid w:val="00483632"/>
    <w:rsid w:val="0048363D"/>
    <w:rsid w:val="004836D4"/>
    <w:rsid w:val="0048371E"/>
    <w:rsid w:val="00483755"/>
    <w:rsid w:val="0048375E"/>
    <w:rsid w:val="004838ED"/>
    <w:rsid w:val="00483B23"/>
    <w:rsid w:val="00483BC1"/>
    <w:rsid w:val="00483C3F"/>
    <w:rsid w:val="00483CC0"/>
    <w:rsid w:val="00483CF8"/>
    <w:rsid w:val="00483D6A"/>
    <w:rsid w:val="00483DF8"/>
    <w:rsid w:val="00484110"/>
    <w:rsid w:val="0048417F"/>
    <w:rsid w:val="004841DA"/>
    <w:rsid w:val="00484284"/>
    <w:rsid w:val="004843D8"/>
    <w:rsid w:val="004843E1"/>
    <w:rsid w:val="004843E4"/>
    <w:rsid w:val="0048453F"/>
    <w:rsid w:val="0048457B"/>
    <w:rsid w:val="00484691"/>
    <w:rsid w:val="004846AA"/>
    <w:rsid w:val="00484700"/>
    <w:rsid w:val="004848B3"/>
    <w:rsid w:val="004848C3"/>
    <w:rsid w:val="00484ABD"/>
    <w:rsid w:val="00484B36"/>
    <w:rsid w:val="00484DDD"/>
    <w:rsid w:val="00484FC5"/>
    <w:rsid w:val="00485283"/>
    <w:rsid w:val="00485314"/>
    <w:rsid w:val="00485623"/>
    <w:rsid w:val="004858C7"/>
    <w:rsid w:val="00485915"/>
    <w:rsid w:val="004859F8"/>
    <w:rsid w:val="00485A39"/>
    <w:rsid w:val="00485C2E"/>
    <w:rsid w:val="00485CA8"/>
    <w:rsid w:val="00485CAA"/>
    <w:rsid w:val="00485CF5"/>
    <w:rsid w:val="00485DBD"/>
    <w:rsid w:val="00485DD9"/>
    <w:rsid w:val="00485E64"/>
    <w:rsid w:val="00485F6D"/>
    <w:rsid w:val="004861FD"/>
    <w:rsid w:val="00486499"/>
    <w:rsid w:val="004864F7"/>
    <w:rsid w:val="0048655C"/>
    <w:rsid w:val="004865B3"/>
    <w:rsid w:val="004868BD"/>
    <w:rsid w:val="004869AC"/>
    <w:rsid w:val="00486A63"/>
    <w:rsid w:val="00486B7D"/>
    <w:rsid w:val="00486BC2"/>
    <w:rsid w:val="00486D0B"/>
    <w:rsid w:val="00486DBE"/>
    <w:rsid w:val="00486E2C"/>
    <w:rsid w:val="00486E86"/>
    <w:rsid w:val="00486EBB"/>
    <w:rsid w:val="00486F54"/>
    <w:rsid w:val="00486F8A"/>
    <w:rsid w:val="00487034"/>
    <w:rsid w:val="004871E3"/>
    <w:rsid w:val="004871E5"/>
    <w:rsid w:val="00487250"/>
    <w:rsid w:val="0048726C"/>
    <w:rsid w:val="004873C4"/>
    <w:rsid w:val="00487410"/>
    <w:rsid w:val="004875DD"/>
    <w:rsid w:val="004877E8"/>
    <w:rsid w:val="00487871"/>
    <w:rsid w:val="004878C6"/>
    <w:rsid w:val="004878F9"/>
    <w:rsid w:val="0048797E"/>
    <w:rsid w:val="00487DDB"/>
    <w:rsid w:val="00487EBC"/>
    <w:rsid w:val="00487F33"/>
    <w:rsid w:val="00487F52"/>
    <w:rsid w:val="00487F8F"/>
    <w:rsid w:val="00490046"/>
    <w:rsid w:val="004900C5"/>
    <w:rsid w:val="00490121"/>
    <w:rsid w:val="00490147"/>
    <w:rsid w:val="00490171"/>
    <w:rsid w:val="004901FC"/>
    <w:rsid w:val="0049034B"/>
    <w:rsid w:val="004903FF"/>
    <w:rsid w:val="00490593"/>
    <w:rsid w:val="004906C0"/>
    <w:rsid w:val="00490727"/>
    <w:rsid w:val="00490730"/>
    <w:rsid w:val="00490752"/>
    <w:rsid w:val="004907F2"/>
    <w:rsid w:val="004907F4"/>
    <w:rsid w:val="00490897"/>
    <w:rsid w:val="0049091A"/>
    <w:rsid w:val="00490A65"/>
    <w:rsid w:val="00490A90"/>
    <w:rsid w:val="00490AB4"/>
    <w:rsid w:val="00490B04"/>
    <w:rsid w:val="00490B7D"/>
    <w:rsid w:val="00490CB6"/>
    <w:rsid w:val="00490EF6"/>
    <w:rsid w:val="0049103A"/>
    <w:rsid w:val="00491055"/>
    <w:rsid w:val="00491057"/>
    <w:rsid w:val="00491140"/>
    <w:rsid w:val="0049116D"/>
    <w:rsid w:val="00491178"/>
    <w:rsid w:val="0049125C"/>
    <w:rsid w:val="0049128F"/>
    <w:rsid w:val="0049149C"/>
    <w:rsid w:val="004914FB"/>
    <w:rsid w:val="004915BF"/>
    <w:rsid w:val="004915CC"/>
    <w:rsid w:val="004916CB"/>
    <w:rsid w:val="004917BB"/>
    <w:rsid w:val="0049189E"/>
    <w:rsid w:val="004919E1"/>
    <w:rsid w:val="00491BB2"/>
    <w:rsid w:val="00491C11"/>
    <w:rsid w:val="00491CFD"/>
    <w:rsid w:val="00491DC9"/>
    <w:rsid w:val="00491E13"/>
    <w:rsid w:val="00491E2A"/>
    <w:rsid w:val="0049200B"/>
    <w:rsid w:val="00492412"/>
    <w:rsid w:val="004925BF"/>
    <w:rsid w:val="004925D4"/>
    <w:rsid w:val="00492637"/>
    <w:rsid w:val="00492745"/>
    <w:rsid w:val="0049279A"/>
    <w:rsid w:val="0049284D"/>
    <w:rsid w:val="004928A6"/>
    <w:rsid w:val="00492983"/>
    <w:rsid w:val="004929EE"/>
    <w:rsid w:val="00492A4D"/>
    <w:rsid w:val="00492A83"/>
    <w:rsid w:val="00492E7B"/>
    <w:rsid w:val="00492F53"/>
    <w:rsid w:val="00492F9A"/>
    <w:rsid w:val="00492FB4"/>
    <w:rsid w:val="00492FCB"/>
    <w:rsid w:val="004930D2"/>
    <w:rsid w:val="00493207"/>
    <w:rsid w:val="00493329"/>
    <w:rsid w:val="004933F0"/>
    <w:rsid w:val="00493494"/>
    <w:rsid w:val="004934E7"/>
    <w:rsid w:val="00493615"/>
    <w:rsid w:val="00493646"/>
    <w:rsid w:val="004937DB"/>
    <w:rsid w:val="004939A6"/>
    <w:rsid w:val="00493A39"/>
    <w:rsid w:val="00493AAF"/>
    <w:rsid w:val="00493B92"/>
    <w:rsid w:val="00493BF9"/>
    <w:rsid w:val="00493C3B"/>
    <w:rsid w:val="00493D96"/>
    <w:rsid w:val="00493E2D"/>
    <w:rsid w:val="00494068"/>
    <w:rsid w:val="0049416F"/>
    <w:rsid w:val="00494522"/>
    <w:rsid w:val="004949B1"/>
    <w:rsid w:val="00494AC3"/>
    <w:rsid w:val="00494B3F"/>
    <w:rsid w:val="00494B49"/>
    <w:rsid w:val="00494B65"/>
    <w:rsid w:val="00494BC0"/>
    <w:rsid w:val="00494C9D"/>
    <w:rsid w:val="00494CFE"/>
    <w:rsid w:val="004951E4"/>
    <w:rsid w:val="0049524F"/>
    <w:rsid w:val="0049540A"/>
    <w:rsid w:val="004955D8"/>
    <w:rsid w:val="00495629"/>
    <w:rsid w:val="00495749"/>
    <w:rsid w:val="00495804"/>
    <w:rsid w:val="0049582B"/>
    <w:rsid w:val="004959C5"/>
    <w:rsid w:val="004959EF"/>
    <w:rsid w:val="00495A37"/>
    <w:rsid w:val="00495B1F"/>
    <w:rsid w:val="00495B72"/>
    <w:rsid w:val="00495CBB"/>
    <w:rsid w:val="00495EC9"/>
    <w:rsid w:val="00495F9E"/>
    <w:rsid w:val="00495FF7"/>
    <w:rsid w:val="0049608A"/>
    <w:rsid w:val="00496136"/>
    <w:rsid w:val="00496195"/>
    <w:rsid w:val="00496272"/>
    <w:rsid w:val="004962C8"/>
    <w:rsid w:val="00496450"/>
    <w:rsid w:val="00496480"/>
    <w:rsid w:val="004966BF"/>
    <w:rsid w:val="004966F4"/>
    <w:rsid w:val="00496870"/>
    <w:rsid w:val="004968E0"/>
    <w:rsid w:val="0049692C"/>
    <w:rsid w:val="004969BC"/>
    <w:rsid w:val="00496E4B"/>
    <w:rsid w:val="00497016"/>
    <w:rsid w:val="0049701B"/>
    <w:rsid w:val="004970A2"/>
    <w:rsid w:val="004970E0"/>
    <w:rsid w:val="004971E0"/>
    <w:rsid w:val="00497239"/>
    <w:rsid w:val="004972F5"/>
    <w:rsid w:val="0049740B"/>
    <w:rsid w:val="00497595"/>
    <w:rsid w:val="00497672"/>
    <w:rsid w:val="004976D8"/>
    <w:rsid w:val="004977AF"/>
    <w:rsid w:val="004977F6"/>
    <w:rsid w:val="0049787D"/>
    <w:rsid w:val="004978F5"/>
    <w:rsid w:val="00497939"/>
    <w:rsid w:val="00497982"/>
    <w:rsid w:val="00497A60"/>
    <w:rsid w:val="00497C4D"/>
    <w:rsid w:val="00497F4D"/>
    <w:rsid w:val="00497FEC"/>
    <w:rsid w:val="004A000E"/>
    <w:rsid w:val="004A0154"/>
    <w:rsid w:val="004A0255"/>
    <w:rsid w:val="004A02FE"/>
    <w:rsid w:val="004A031A"/>
    <w:rsid w:val="004A0322"/>
    <w:rsid w:val="004A03E9"/>
    <w:rsid w:val="004A041D"/>
    <w:rsid w:val="004A04CE"/>
    <w:rsid w:val="004A051B"/>
    <w:rsid w:val="004A05AD"/>
    <w:rsid w:val="004A05FD"/>
    <w:rsid w:val="004A06C7"/>
    <w:rsid w:val="004A082B"/>
    <w:rsid w:val="004A0872"/>
    <w:rsid w:val="004A08D4"/>
    <w:rsid w:val="004A08FC"/>
    <w:rsid w:val="004A09FE"/>
    <w:rsid w:val="004A0AA2"/>
    <w:rsid w:val="004A0B78"/>
    <w:rsid w:val="004A0BBD"/>
    <w:rsid w:val="004A0BC6"/>
    <w:rsid w:val="004A0C6B"/>
    <w:rsid w:val="004A0DC3"/>
    <w:rsid w:val="004A0DCB"/>
    <w:rsid w:val="004A0EE2"/>
    <w:rsid w:val="004A0F11"/>
    <w:rsid w:val="004A0F3C"/>
    <w:rsid w:val="004A0F48"/>
    <w:rsid w:val="004A1015"/>
    <w:rsid w:val="004A1398"/>
    <w:rsid w:val="004A147A"/>
    <w:rsid w:val="004A1566"/>
    <w:rsid w:val="004A15E2"/>
    <w:rsid w:val="004A1603"/>
    <w:rsid w:val="004A1675"/>
    <w:rsid w:val="004A1911"/>
    <w:rsid w:val="004A1B16"/>
    <w:rsid w:val="004A1C2F"/>
    <w:rsid w:val="004A1C96"/>
    <w:rsid w:val="004A1D85"/>
    <w:rsid w:val="004A1E9B"/>
    <w:rsid w:val="004A1EF7"/>
    <w:rsid w:val="004A1FDA"/>
    <w:rsid w:val="004A204B"/>
    <w:rsid w:val="004A2154"/>
    <w:rsid w:val="004A221F"/>
    <w:rsid w:val="004A2422"/>
    <w:rsid w:val="004A26D0"/>
    <w:rsid w:val="004A26EB"/>
    <w:rsid w:val="004A2851"/>
    <w:rsid w:val="004A29FF"/>
    <w:rsid w:val="004A2A2A"/>
    <w:rsid w:val="004A2ADD"/>
    <w:rsid w:val="004A2DEC"/>
    <w:rsid w:val="004A2F17"/>
    <w:rsid w:val="004A2FCD"/>
    <w:rsid w:val="004A2FDE"/>
    <w:rsid w:val="004A2FEB"/>
    <w:rsid w:val="004A3033"/>
    <w:rsid w:val="004A304B"/>
    <w:rsid w:val="004A30B0"/>
    <w:rsid w:val="004A30C0"/>
    <w:rsid w:val="004A30F4"/>
    <w:rsid w:val="004A3303"/>
    <w:rsid w:val="004A3354"/>
    <w:rsid w:val="004A3371"/>
    <w:rsid w:val="004A34C8"/>
    <w:rsid w:val="004A3513"/>
    <w:rsid w:val="004A355F"/>
    <w:rsid w:val="004A3567"/>
    <w:rsid w:val="004A35E3"/>
    <w:rsid w:val="004A35ED"/>
    <w:rsid w:val="004A36A4"/>
    <w:rsid w:val="004A372A"/>
    <w:rsid w:val="004A3A83"/>
    <w:rsid w:val="004A3BDB"/>
    <w:rsid w:val="004A3C2E"/>
    <w:rsid w:val="004A3EAA"/>
    <w:rsid w:val="004A3EB3"/>
    <w:rsid w:val="004A3EFC"/>
    <w:rsid w:val="004A3F71"/>
    <w:rsid w:val="004A4014"/>
    <w:rsid w:val="004A407C"/>
    <w:rsid w:val="004A40F8"/>
    <w:rsid w:val="004A4261"/>
    <w:rsid w:val="004A42FE"/>
    <w:rsid w:val="004A44C6"/>
    <w:rsid w:val="004A46D0"/>
    <w:rsid w:val="004A47B3"/>
    <w:rsid w:val="004A495C"/>
    <w:rsid w:val="004A49CD"/>
    <w:rsid w:val="004A49D7"/>
    <w:rsid w:val="004A4BC0"/>
    <w:rsid w:val="004A4CEE"/>
    <w:rsid w:val="004A4D7E"/>
    <w:rsid w:val="004A4E81"/>
    <w:rsid w:val="004A4ED6"/>
    <w:rsid w:val="004A4F77"/>
    <w:rsid w:val="004A4FF8"/>
    <w:rsid w:val="004A526A"/>
    <w:rsid w:val="004A5287"/>
    <w:rsid w:val="004A53AF"/>
    <w:rsid w:val="004A53B0"/>
    <w:rsid w:val="004A540B"/>
    <w:rsid w:val="004A5433"/>
    <w:rsid w:val="004A57D1"/>
    <w:rsid w:val="004A583B"/>
    <w:rsid w:val="004A5855"/>
    <w:rsid w:val="004A5916"/>
    <w:rsid w:val="004A597A"/>
    <w:rsid w:val="004A59F0"/>
    <w:rsid w:val="004A5A73"/>
    <w:rsid w:val="004A5AC8"/>
    <w:rsid w:val="004A5AD4"/>
    <w:rsid w:val="004A5AEB"/>
    <w:rsid w:val="004A5C44"/>
    <w:rsid w:val="004A5CD9"/>
    <w:rsid w:val="004A5CE4"/>
    <w:rsid w:val="004A5D49"/>
    <w:rsid w:val="004A5D94"/>
    <w:rsid w:val="004A5DAF"/>
    <w:rsid w:val="004A5EA0"/>
    <w:rsid w:val="004A5F76"/>
    <w:rsid w:val="004A5FD8"/>
    <w:rsid w:val="004A607A"/>
    <w:rsid w:val="004A6250"/>
    <w:rsid w:val="004A63C0"/>
    <w:rsid w:val="004A648C"/>
    <w:rsid w:val="004A651E"/>
    <w:rsid w:val="004A6537"/>
    <w:rsid w:val="004A6A32"/>
    <w:rsid w:val="004A6B26"/>
    <w:rsid w:val="004A6DB9"/>
    <w:rsid w:val="004A6E91"/>
    <w:rsid w:val="004A6F00"/>
    <w:rsid w:val="004A6FA3"/>
    <w:rsid w:val="004A7152"/>
    <w:rsid w:val="004A7175"/>
    <w:rsid w:val="004A7235"/>
    <w:rsid w:val="004A7417"/>
    <w:rsid w:val="004A7603"/>
    <w:rsid w:val="004A775E"/>
    <w:rsid w:val="004A7785"/>
    <w:rsid w:val="004A78B5"/>
    <w:rsid w:val="004A78FC"/>
    <w:rsid w:val="004A7B3E"/>
    <w:rsid w:val="004A7BE2"/>
    <w:rsid w:val="004A7C14"/>
    <w:rsid w:val="004A7C1E"/>
    <w:rsid w:val="004A7C28"/>
    <w:rsid w:val="004A7D81"/>
    <w:rsid w:val="004A7D97"/>
    <w:rsid w:val="004A7DE1"/>
    <w:rsid w:val="004A7E1B"/>
    <w:rsid w:val="004A7EB6"/>
    <w:rsid w:val="004B00F5"/>
    <w:rsid w:val="004B011C"/>
    <w:rsid w:val="004B015B"/>
    <w:rsid w:val="004B022A"/>
    <w:rsid w:val="004B032C"/>
    <w:rsid w:val="004B0499"/>
    <w:rsid w:val="004B0577"/>
    <w:rsid w:val="004B064D"/>
    <w:rsid w:val="004B06E0"/>
    <w:rsid w:val="004B07A8"/>
    <w:rsid w:val="004B07F0"/>
    <w:rsid w:val="004B0822"/>
    <w:rsid w:val="004B09CD"/>
    <w:rsid w:val="004B0A04"/>
    <w:rsid w:val="004B0AD6"/>
    <w:rsid w:val="004B0B78"/>
    <w:rsid w:val="004B0BE4"/>
    <w:rsid w:val="004B0C3E"/>
    <w:rsid w:val="004B0D6A"/>
    <w:rsid w:val="004B10EE"/>
    <w:rsid w:val="004B1106"/>
    <w:rsid w:val="004B110C"/>
    <w:rsid w:val="004B11CB"/>
    <w:rsid w:val="004B12E3"/>
    <w:rsid w:val="004B146D"/>
    <w:rsid w:val="004B1496"/>
    <w:rsid w:val="004B152E"/>
    <w:rsid w:val="004B15F8"/>
    <w:rsid w:val="004B160D"/>
    <w:rsid w:val="004B1764"/>
    <w:rsid w:val="004B17E6"/>
    <w:rsid w:val="004B18C7"/>
    <w:rsid w:val="004B192D"/>
    <w:rsid w:val="004B1A5C"/>
    <w:rsid w:val="004B1B29"/>
    <w:rsid w:val="004B1BA3"/>
    <w:rsid w:val="004B1D13"/>
    <w:rsid w:val="004B1D5E"/>
    <w:rsid w:val="004B2009"/>
    <w:rsid w:val="004B2071"/>
    <w:rsid w:val="004B2091"/>
    <w:rsid w:val="004B20C5"/>
    <w:rsid w:val="004B21BD"/>
    <w:rsid w:val="004B2327"/>
    <w:rsid w:val="004B2449"/>
    <w:rsid w:val="004B247B"/>
    <w:rsid w:val="004B259A"/>
    <w:rsid w:val="004B2647"/>
    <w:rsid w:val="004B2679"/>
    <w:rsid w:val="004B2720"/>
    <w:rsid w:val="004B2776"/>
    <w:rsid w:val="004B27CB"/>
    <w:rsid w:val="004B2840"/>
    <w:rsid w:val="004B28D5"/>
    <w:rsid w:val="004B2A0B"/>
    <w:rsid w:val="004B2A3B"/>
    <w:rsid w:val="004B2A5E"/>
    <w:rsid w:val="004B2C07"/>
    <w:rsid w:val="004B2C34"/>
    <w:rsid w:val="004B2CEE"/>
    <w:rsid w:val="004B2D00"/>
    <w:rsid w:val="004B2D65"/>
    <w:rsid w:val="004B2E8D"/>
    <w:rsid w:val="004B2F22"/>
    <w:rsid w:val="004B2F93"/>
    <w:rsid w:val="004B3009"/>
    <w:rsid w:val="004B310E"/>
    <w:rsid w:val="004B32A3"/>
    <w:rsid w:val="004B32C1"/>
    <w:rsid w:val="004B3341"/>
    <w:rsid w:val="004B337A"/>
    <w:rsid w:val="004B3403"/>
    <w:rsid w:val="004B346E"/>
    <w:rsid w:val="004B3646"/>
    <w:rsid w:val="004B36B6"/>
    <w:rsid w:val="004B3867"/>
    <w:rsid w:val="004B394C"/>
    <w:rsid w:val="004B3971"/>
    <w:rsid w:val="004B39DB"/>
    <w:rsid w:val="004B3A01"/>
    <w:rsid w:val="004B3A44"/>
    <w:rsid w:val="004B3BEA"/>
    <w:rsid w:val="004B3E8E"/>
    <w:rsid w:val="004B3F58"/>
    <w:rsid w:val="004B4038"/>
    <w:rsid w:val="004B40BB"/>
    <w:rsid w:val="004B41E2"/>
    <w:rsid w:val="004B41EF"/>
    <w:rsid w:val="004B4677"/>
    <w:rsid w:val="004B4749"/>
    <w:rsid w:val="004B4795"/>
    <w:rsid w:val="004B47EA"/>
    <w:rsid w:val="004B4955"/>
    <w:rsid w:val="004B4AD3"/>
    <w:rsid w:val="004B4B6D"/>
    <w:rsid w:val="004B4CA5"/>
    <w:rsid w:val="004B4D3B"/>
    <w:rsid w:val="004B505E"/>
    <w:rsid w:val="004B5085"/>
    <w:rsid w:val="004B508C"/>
    <w:rsid w:val="004B50A4"/>
    <w:rsid w:val="004B510E"/>
    <w:rsid w:val="004B5133"/>
    <w:rsid w:val="004B53CE"/>
    <w:rsid w:val="004B5491"/>
    <w:rsid w:val="004B56FF"/>
    <w:rsid w:val="004B571B"/>
    <w:rsid w:val="004B597B"/>
    <w:rsid w:val="004B5A90"/>
    <w:rsid w:val="004B5B8E"/>
    <w:rsid w:val="004B5BB2"/>
    <w:rsid w:val="004B5D84"/>
    <w:rsid w:val="004B5DCD"/>
    <w:rsid w:val="004B5DDE"/>
    <w:rsid w:val="004B5E0C"/>
    <w:rsid w:val="004B5FF0"/>
    <w:rsid w:val="004B6160"/>
    <w:rsid w:val="004B6365"/>
    <w:rsid w:val="004B642E"/>
    <w:rsid w:val="004B6453"/>
    <w:rsid w:val="004B670D"/>
    <w:rsid w:val="004B6776"/>
    <w:rsid w:val="004B67C7"/>
    <w:rsid w:val="004B685F"/>
    <w:rsid w:val="004B68EF"/>
    <w:rsid w:val="004B6A6D"/>
    <w:rsid w:val="004B6B16"/>
    <w:rsid w:val="004B6B22"/>
    <w:rsid w:val="004B6D63"/>
    <w:rsid w:val="004B6DDE"/>
    <w:rsid w:val="004B6DEF"/>
    <w:rsid w:val="004B6F20"/>
    <w:rsid w:val="004B6F7A"/>
    <w:rsid w:val="004B6FCC"/>
    <w:rsid w:val="004B724E"/>
    <w:rsid w:val="004B72DB"/>
    <w:rsid w:val="004B7395"/>
    <w:rsid w:val="004B7441"/>
    <w:rsid w:val="004B7484"/>
    <w:rsid w:val="004B7518"/>
    <w:rsid w:val="004B7577"/>
    <w:rsid w:val="004B760C"/>
    <w:rsid w:val="004B77DF"/>
    <w:rsid w:val="004B7914"/>
    <w:rsid w:val="004B7965"/>
    <w:rsid w:val="004B796D"/>
    <w:rsid w:val="004B7970"/>
    <w:rsid w:val="004B79A2"/>
    <w:rsid w:val="004B7A12"/>
    <w:rsid w:val="004B7BB4"/>
    <w:rsid w:val="004B7D41"/>
    <w:rsid w:val="004B7D5F"/>
    <w:rsid w:val="004B7F22"/>
    <w:rsid w:val="004B7FB1"/>
    <w:rsid w:val="004C0003"/>
    <w:rsid w:val="004C00A2"/>
    <w:rsid w:val="004C0163"/>
    <w:rsid w:val="004C01C0"/>
    <w:rsid w:val="004C022B"/>
    <w:rsid w:val="004C0296"/>
    <w:rsid w:val="004C02AA"/>
    <w:rsid w:val="004C0325"/>
    <w:rsid w:val="004C0414"/>
    <w:rsid w:val="004C0542"/>
    <w:rsid w:val="004C055E"/>
    <w:rsid w:val="004C0601"/>
    <w:rsid w:val="004C0607"/>
    <w:rsid w:val="004C063A"/>
    <w:rsid w:val="004C099E"/>
    <w:rsid w:val="004C09BF"/>
    <w:rsid w:val="004C0A64"/>
    <w:rsid w:val="004C0A84"/>
    <w:rsid w:val="004C0A94"/>
    <w:rsid w:val="004C0D37"/>
    <w:rsid w:val="004C0D9D"/>
    <w:rsid w:val="004C0DDD"/>
    <w:rsid w:val="004C0FAB"/>
    <w:rsid w:val="004C10DD"/>
    <w:rsid w:val="004C1236"/>
    <w:rsid w:val="004C1390"/>
    <w:rsid w:val="004C13A1"/>
    <w:rsid w:val="004C1412"/>
    <w:rsid w:val="004C1440"/>
    <w:rsid w:val="004C1475"/>
    <w:rsid w:val="004C14AE"/>
    <w:rsid w:val="004C14C5"/>
    <w:rsid w:val="004C1524"/>
    <w:rsid w:val="004C1554"/>
    <w:rsid w:val="004C185F"/>
    <w:rsid w:val="004C18E3"/>
    <w:rsid w:val="004C1A2B"/>
    <w:rsid w:val="004C1AFD"/>
    <w:rsid w:val="004C1EDC"/>
    <w:rsid w:val="004C20D5"/>
    <w:rsid w:val="004C2182"/>
    <w:rsid w:val="004C225A"/>
    <w:rsid w:val="004C2341"/>
    <w:rsid w:val="004C238B"/>
    <w:rsid w:val="004C23BB"/>
    <w:rsid w:val="004C240A"/>
    <w:rsid w:val="004C24C0"/>
    <w:rsid w:val="004C2510"/>
    <w:rsid w:val="004C2690"/>
    <w:rsid w:val="004C269D"/>
    <w:rsid w:val="004C26B7"/>
    <w:rsid w:val="004C26FF"/>
    <w:rsid w:val="004C2902"/>
    <w:rsid w:val="004C297D"/>
    <w:rsid w:val="004C2A09"/>
    <w:rsid w:val="004C2AC7"/>
    <w:rsid w:val="004C2B42"/>
    <w:rsid w:val="004C2BE1"/>
    <w:rsid w:val="004C2C76"/>
    <w:rsid w:val="004C2DA0"/>
    <w:rsid w:val="004C2E28"/>
    <w:rsid w:val="004C2E9A"/>
    <w:rsid w:val="004C2FE7"/>
    <w:rsid w:val="004C3059"/>
    <w:rsid w:val="004C3066"/>
    <w:rsid w:val="004C30F0"/>
    <w:rsid w:val="004C313B"/>
    <w:rsid w:val="004C3214"/>
    <w:rsid w:val="004C32A5"/>
    <w:rsid w:val="004C33C8"/>
    <w:rsid w:val="004C33EB"/>
    <w:rsid w:val="004C3451"/>
    <w:rsid w:val="004C3573"/>
    <w:rsid w:val="004C3667"/>
    <w:rsid w:val="004C36E9"/>
    <w:rsid w:val="004C3868"/>
    <w:rsid w:val="004C393F"/>
    <w:rsid w:val="004C394E"/>
    <w:rsid w:val="004C3A41"/>
    <w:rsid w:val="004C3BBF"/>
    <w:rsid w:val="004C3C40"/>
    <w:rsid w:val="004C3D85"/>
    <w:rsid w:val="004C3DB8"/>
    <w:rsid w:val="004C4187"/>
    <w:rsid w:val="004C41B6"/>
    <w:rsid w:val="004C432A"/>
    <w:rsid w:val="004C4727"/>
    <w:rsid w:val="004C47A9"/>
    <w:rsid w:val="004C47BA"/>
    <w:rsid w:val="004C4A12"/>
    <w:rsid w:val="004C4A1B"/>
    <w:rsid w:val="004C4B02"/>
    <w:rsid w:val="004C4BF6"/>
    <w:rsid w:val="004C4C35"/>
    <w:rsid w:val="004C4CC8"/>
    <w:rsid w:val="004C4E2A"/>
    <w:rsid w:val="004C50A6"/>
    <w:rsid w:val="004C515B"/>
    <w:rsid w:val="004C51FE"/>
    <w:rsid w:val="004C5479"/>
    <w:rsid w:val="004C5613"/>
    <w:rsid w:val="004C567B"/>
    <w:rsid w:val="004C57BB"/>
    <w:rsid w:val="004C58F6"/>
    <w:rsid w:val="004C5993"/>
    <w:rsid w:val="004C5C35"/>
    <w:rsid w:val="004C5CB1"/>
    <w:rsid w:val="004C5CE6"/>
    <w:rsid w:val="004C5CF2"/>
    <w:rsid w:val="004C5DD6"/>
    <w:rsid w:val="004C5EB7"/>
    <w:rsid w:val="004C602F"/>
    <w:rsid w:val="004C60AF"/>
    <w:rsid w:val="004C619D"/>
    <w:rsid w:val="004C6441"/>
    <w:rsid w:val="004C6570"/>
    <w:rsid w:val="004C672D"/>
    <w:rsid w:val="004C6775"/>
    <w:rsid w:val="004C6856"/>
    <w:rsid w:val="004C6870"/>
    <w:rsid w:val="004C6B09"/>
    <w:rsid w:val="004C6C5F"/>
    <w:rsid w:val="004C6D4E"/>
    <w:rsid w:val="004C6DB7"/>
    <w:rsid w:val="004C6E8D"/>
    <w:rsid w:val="004C7228"/>
    <w:rsid w:val="004C762C"/>
    <w:rsid w:val="004C7642"/>
    <w:rsid w:val="004C777D"/>
    <w:rsid w:val="004C793C"/>
    <w:rsid w:val="004C7984"/>
    <w:rsid w:val="004C7B88"/>
    <w:rsid w:val="004C7C8A"/>
    <w:rsid w:val="004C7D1B"/>
    <w:rsid w:val="004C7D2F"/>
    <w:rsid w:val="004C7D6A"/>
    <w:rsid w:val="004C7DF2"/>
    <w:rsid w:val="004C7ED8"/>
    <w:rsid w:val="004C7EEE"/>
    <w:rsid w:val="004C7F4D"/>
    <w:rsid w:val="004D017F"/>
    <w:rsid w:val="004D01BE"/>
    <w:rsid w:val="004D0386"/>
    <w:rsid w:val="004D03B3"/>
    <w:rsid w:val="004D03C0"/>
    <w:rsid w:val="004D04B6"/>
    <w:rsid w:val="004D04C4"/>
    <w:rsid w:val="004D051C"/>
    <w:rsid w:val="004D05B2"/>
    <w:rsid w:val="004D05CF"/>
    <w:rsid w:val="004D0607"/>
    <w:rsid w:val="004D0710"/>
    <w:rsid w:val="004D073D"/>
    <w:rsid w:val="004D0937"/>
    <w:rsid w:val="004D09D0"/>
    <w:rsid w:val="004D0BA8"/>
    <w:rsid w:val="004D0C1E"/>
    <w:rsid w:val="004D0C4D"/>
    <w:rsid w:val="004D0C88"/>
    <w:rsid w:val="004D0D83"/>
    <w:rsid w:val="004D0D89"/>
    <w:rsid w:val="004D0DA5"/>
    <w:rsid w:val="004D1199"/>
    <w:rsid w:val="004D11AE"/>
    <w:rsid w:val="004D123C"/>
    <w:rsid w:val="004D137F"/>
    <w:rsid w:val="004D13D0"/>
    <w:rsid w:val="004D140D"/>
    <w:rsid w:val="004D1617"/>
    <w:rsid w:val="004D163E"/>
    <w:rsid w:val="004D174E"/>
    <w:rsid w:val="004D17D0"/>
    <w:rsid w:val="004D182B"/>
    <w:rsid w:val="004D19F6"/>
    <w:rsid w:val="004D1E24"/>
    <w:rsid w:val="004D1E56"/>
    <w:rsid w:val="004D21CE"/>
    <w:rsid w:val="004D2236"/>
    <w:rsid w:val="004D2317"/>
    <w:rsid w:val="004D2489"/>
    <w:rsid w:val="004D25F9"/>
    <w:rsid w:val="004D27E3"/>
    <w:rsid w:val="004D2884"/>
    <w:rsid w:val="004D29C4"/>
    <w:rsid w:val="004D2A38"/>
    <w:rsid w:val="004D2CCB"/>
    <w:rsid w:val="004D2F25"/>
    <w:rsid w:val="004D3055"/>
    <w:rsid w:val="004D3125"/>
    <w:rsid w:val="004D350C"/>
    <w:rsid w:val="004D3731"/>
    <w:rsid w:val="004D37D4"/>
    <w:rsid w:val="004D387D"/>
    <w:rsid w:val="004D38EE"/>
    <w:rsid w:val="004D3A75"/>
    <w:rsid w:val="004D3AB6"/>
    <w:rsid w:val="004D3D54"/>
    <w:rsid w:val="004D3D72"/>
    <w:rsid w:val="004D3DCF"/>
    <w:rsid w:val="004D3E46"/>
    <w:rsid w:val="004D3E80"/>
    <w:rsid w:val="004D3F26"/>
    <w:rsid w:val="004D3F2E"/>
    <w:rsid w:val="004D3FB1"/>
    <w:rsid w:val="004D4165"/>
    <w:rsid w:val="004D443C"/>
    <w:rsid w:val="004D449C"/>
    <w:rsid w:val="004D4589"/>
    <w:rsid w:val="004D4642"/>
    <w:rsid w:val="004D46CC"/>
    <w:rsid w:val="004D47A5"/>
    <w:rsid w:val="004D47BB"/>
    <w:rsid w:val="004D47C7"/>
    <w:rsid w:val="004D489D"/>
    <w:rsid w:val="004D494E"/>
    <w:rsid w:val="004D4992"/>
    <w:rsid w:val="004D4A51"/>
    <w:rsid w:val="004D4A56"/>
    <w:rsid w:val="004D4D33"/>
    <w:rsid w:val="004D4E16"/>
    <w:rsid w:val="004D4E50"/>
    <w:rsid w:val="004D4EA0"/>
    <w:rsid w:val="004D4F52"/>
    <w:rsid w:val="004D5003"/>
    <w:rsid w:val="004D51D3"/>
    <w:rsid w:val="004D54C6"/>
    <w:rsid w:val="004D55EF"/>
    <w:rsid w:val="004D5666"/>
    <w:rsid w:val="004D5670"/>
    <w:rsid w:val="004D5800"/>
    <w:rsid w:val="004D5A1E"/>
    <w:rsid w:val="004D5C44"/>
    <w:rsid w:val="004D5CA4"/>
    <w:rsid w:val="004D5D0A"/>
    <w:rsid w:val="004D5D84"/>
    <w:rsid w:val="004D5E96"/>
    <w:rsid w:val="004D5F78"/>
    <w:rsid w:val="004D60AA"/>
    <w:rsid w:val="004D60BB"/>
    <w:rsid w:val="004D60D6"/>
    <w:rsid w:val="004D6123"/>
    <w:rsid w:val="004D6364"/>
    <w:rsid w:val="004D66C2"/>
    <w:rsid w:val="004D6786"/>
    <w:rsid w:val="004D6850"/>
    <w:rsid w:val="004D6901"/>
    <w:rsid w:val="004D6931"/>
    <w:rsid w:val="004D69EB"/>
    <w:rsid w:val="004D6A30"/>
    <w:rsid w:val="004D6AB4"/>
    <w:rsid w:val="004D6AFD"/>
    <w:rsid w:val="004D6B49"/>
    <w:rsid w:val="004D6E37"/>
    <w:rsid w:val="004D6EF4"/>
    <w:rsid w:val="004D6F61"/>
    <w:rsid w:val="004D6F8B"/>
    <w:rsid w:val="004D6FA3"/>
    <w:rsid w:val="004D6FCC"/>
    <w:rsid w:val="004D6FD0"/>
    <w:rsid w:val="004D746F"/>
    <w:rsid w:val="004D7479"/>
    <w:rsid w:val="004D7509"/>
    <w:rsid w:val="004D7778"/>
    <w:rsid w:val="004D7A14"/>
    <w:rsid w:val="004D7ACC"/>
    <w:rsid w:val="004D7B58"/>
    <w:rsid w:val="004D7BFF"/>
    <w:rsid w:val="004D7C87"/>
    <w:rsid w:val="004D7E6A"/>
    <w:rsid w:val="004D7F05"/>
    <w:rsid w:val="004D7F6C"/>
    <w:rsid w:val="004E001B"/>
    <w:rsid w:val="004E00EA"/>
    <w:rsid w:val="004E01AD"/>
    <w:rsid w:val="004E025C"/>
    <w:rsid w:val="004E0295"/>
    <w:rsid w:val="004E03D7"/>
    <w:rsid w:val="004E043B"/>
    <w:rsid w:val="004E04A5"/>
    <w:rsid w:val="004E0501"/>
    <w:rsid w:val="004E0517"/>
    <w:rsid w:val="004E05DD"/>
    <w:rsid w:val="004E0627"/>
    <w:rsid w:val="004E06D5"/>
    <w:rsid w:val="004E079B"/>
    <w:rsid w:val="004E081B"/>
    <w:rsid w:val="004E0871"/>
    <w:rsid w:val="004E08A3"/>
    <w:rsid w:val="004E0988"/>
    <w:rsid w:val="004E09A0"/>
    <w:rsid w:val="004E09AF"/>
    <w:rsid w:val="004E0C16"/>
    <w:rsid w:val="004E0CB3"/>
    <w:rsid w:val="004E0CE5"/>
    <w:rsid w:val="004E0E9D"/>
    <w:rsid w:val="004E10AA"/>
    <w:rsid w:val="004E1405"/>
    <w:rsid w:val="004E146C"/>
    <w:rsid w:val="004E14D6"/>
    <w:rsid w:val="004E1545"/>
    <w:rsid w:val="004E1548"/>
    <w:rsid w:val="004E172A"/>
    <w:rsid w:val="004E19DC"/>
    <w:rsid w:val="004E19F2"/>
    <w:rsid w:val="004E1A3E"/>
    <w:rsid w:val="004E1A59"/>
    <w:rsid w:val="004E1AE3"/>
    <w:rsid w:val="004E1BE3"/>
    <w:rsid w:val="004E1C23"/>
    <w:rsid w:val="004E1CA9"/>
    <w:rsid w:val="004E1DC4"/>
    <w:rsid w:val="004E1DF0"/>
    <w:rsid w:val="004E1E72"/>
    <w:rsid w:val="004E1F7F"/>
    <w:rsid w:val="004E205E"/>
    <w:rsid w:val="004E2063"/>
    <w:rsid w:val="004E2085"/>
    <w:rsid w:val="004E2087"/>
    <w:rsid w:val="004E219A"/>
    <w:rsid w:val="004E2298"/>
    <w:rsid w:val="004E2301"/>
    <w:rsid w:val="004E238B"/>
    <w:rsid w:val="004E2392"/>
    <w:rsid w:val="004E245A"/>
    <w:rsid w:val="004E25CE"/>
    <w:rsid w:val="004E2750"/>
    <w:rsid w:val="004E2765"/>
    <w:rsid w:val="004E27CF"/>
    <w:rsid w:val="004E2854"/>
    <w:rsid w:val="004E28D1"/>
    <w:rsid w:val="004E2A71"/>
    <w:rsid w:val="004E2C73"/>
    <w:rsid w:val="004E2C90"/>
    <w:rsid w:val="004E2DA6"/>
    <w:rsid w:val="004E2DD8"/>
    <w:rsid w:val="004E2EA5"/>
    <w:rsid w:val="004E2EBA"/>
    <w:rsid w:val="004E2EE1"/>
    <w:rsid w:val="004E2FB3"/>
    <w:rsid w:val="004E2FC1"/>
    <w:rsid w:val="004E2FC2"/>
    <w:rsid w:val="004E35C7"/>
    <w:rsid w:val="004E3751"/>
    <w:rsid w:val="004E3791"/>
    <w:rsid w:val="004E39DE"/>
    <w:rsid w:val="004E3AF0"/>
    <w:rsid w:val="004E3B74"/>
    <w:rsid w:val="004E3D86"/>
    <w:rsid w:val="004E3E71"/>
    <w:rsid w:val="004E3F49"/>
    <w:rsid w:val="004E45D2"/>
    <w:rsid w:val="004E4612"/>
    <w:rsid w:val="004E46B0"/>
    <w:rsid w:val="004E4983"/>
    <w:rsid w:val="004E49F0"/>
    <w:rsid w:val="004E4A14"/>
    <w:rsid w:val="004E4A31"/>
    <w:rsid w:val="004E4BD9"/>
    <w:rsid w:val="004E4BF2"/>
    <w:rsid w:val="004E4C69"/>
    <w:rsid w:val="004E4D05"/>
    <w:rsid w:val="004E4D3D"/>
    <w:rsid w:val="004E4F9E"/>
    <w:rsid w:val="004E4FD6"/>
    <w:rsid w:val="004E4FF3"/>
    <w:rsid w:val="004E5063"/>
    <w:rsid w:val="004E5246"/>
    <w:rsid w:val="004E531E"/>
    <w:rsid w:val="004E534E"/>
    <w:rsid w:val="004E546D"/>
    <w:rsid w:val="004E54F1"/>
    <w:rsid w:val="004E5534"/>
    <w:rsid w:val="004E557E"/>
    <w:rsid w:val="004E5656"/>
    <w:rsid w:val="004E56F9"/>
    <w:rsid w:val="004E58CF"/>
    <w:rsid w:val="004E599A"/>
    <w:rsid w:val="004E59D9"/>
    <w:rsid w:val="004E5E96"/>
    <w:rsid w:val="004E5E9F"/>
    <w:rsid w:val="004E5F90"/>
    <w:rsid w:val="004E5FEB"/>
    <w:rsid w:val="004E6231"/>
    <w:rsid w:val="004E6284"/>
    <w:rsid w:val="004E636E"/>
    <w:rsid w:val="004E6477"/>
    <w:rsid w:val="004E64B9"/>
    <w:rsid w:val="004E664D"/>
    <w:rsid w:val="004E689E"/>
    <w:rsid w:val="004E6A0B"/>
    <w:rsid w:val="004E6A8D"/>
    <w:rsid w:val="004E6AA0"/>
    <w:rsid w:val="004E6ACA"/>
    <w:rsid w:val="004E6B14"/>
    <w:rsid w:val="004E6F40"/>
    <w:rsid w:val="004E6F9D"/>
    <w:rsid w:val="004E6FE2"/>
    <w:rsid w:val="004E7075"/>
    <w:rsid w:val="004E711C"/>
    <w:rsid w:val="004E71B8"/>
    <w:rsid w:val="004E71D5"/>
    <w:rsid w:val="004E720C"/>
    <w:rsid w:val="004E72FC"/>
    <w:rsid w:val="004E74AD"/>
    <w:rsid w:val="004E7587"/>
    <w:rsid w:val="004E76B1"/>
    <w:rsid w:val="004E795B"/>
    <w:rsid w:val="004E7AB0"/>
    <w:rsid w:val="004E7AC0"/>
    <w:rsid w:val="004E7C7E"/>
    <w:rsid w:val="004E7C80"/>
    <w:rsid w:val="004E7D31"/>
    <w:rsid w:val="004E7DFE"/>
    <w:rsid w:val="004E7FA4"/>
    <w:rsid w:val="004E7FC8"/>
    <w:rsid w:val="004E7FEE"/>
    <w:rsid w:val="004E7FF7"/>
    <w:rsid w:val="004F00D9"/>
    <w:rsid w:val="004F035A"/>
    <w:rsid w:val="004F037B"/>
    <w:rsid w:val="004F04DC"/>
    <w:rsid w:val="004F0623"/>
    <w:rsid w:val="004F06F2"/>
    <w:rsid w:val="004F0B21"/>
    <w:rsid w:val="004F0CA0"/>
    <w:rsid w:val="004F0D01"/>
    <w:rsid w:val="004F0DCC"/>
    <w:rsid w:val="004F0E30"/>
    <w:rsid w:val="004F0E7B"/>
    <w:rsid w:val="004F1384"/>
    <w:rsid w:val="004F1439"/>
    <w:rsid w:val="004F14B4"/>
    <w:rsid w:val="004F159F"/>
    <w:rsid w:val="004F165C"/>
    <w:rsid w:val="004F1720"/>
    <w:rsid w:val="004F198A"/>
    <w:rsid w:val="004F1990"/>
    <w:rsid w:val="004F19BC"/>
    <w:rsid w:val="004F1A66"/>
    <w:rsid w:val="004F1D5D"/>
    <w:rsid w:val="004F1FA7"/>
    <w:rsid w:val="004F1FEB"/>
    <w:rsid w:val="004F2029"/>
    <w:rsid w:val="004F21B0"/>
    <w:rsid w:val="004F21F0"/>
    <w:rsid w:val="004F2208"/>
    <w:rsid w:val="004F22E8"/>
    <w:rsid w:val="004F2336"/>
    <w:rsid w:val="004F23B0"/>
    <w:rsid w:val="004F2458"/>
    <w:rsid w:val="004F2593"/>
    <w:rsid w:val="004F25D6"/>
    <w:rsid w:val="004F25F8"/>
    <w:rsid w:val="004F2671"/>
    <w:rsid w:val="004F27AA"/>
    <w:rsid w:val="004F27B1"/>
    <w:rsid w:val="004F27FF"/>
    <w:rsid w:val="004F285B"/>
    <w:rsid w:val="004F2882"/>
    <w:rsid w:val="004F2924"/>
    <w:rsid w:val="004F29DF"/>
    <w:rsid w:val="004F29FC"/>
    <w:rsid w:val="004F2A1E"/>
    <w:rsid w:val="004F2A75"/>
    <w:rsid w:val="004F2BB5"/>
    <w:rsid w:val="004F2D06"/>
    <w:rsid w:val="004F2D37"/>
    <w:rsid w:val="004F2DD0"/>
    <w:rsid w:val="004F2DF1"/>
    <w:rsid w:val="004F2E53"/>
    <w:rsid w:val="004F2E59"/>
    <w:rsid w:val="004F2F6E"/>
    <w:rsid w:val="004F30AA"/>
    <w:rsid w:val="004F315A"/>
    <w:rsid w:val="004F3295"/>
    <w:rsid w:val="004F32DC"/>
    <w:rsid w:val="004F3492"/>
    <w:rsid w:val="004F35F4"/>
    <w:rsid w:val="004F376F"/>
    <w:rsid w:val="004F3815"/>
    <w:rsid w:val="004F383F"/>
    <w:rsid w:val="004F38E3"/>
    <w:rsid w:val="004F3ABD"/>
    <w:rsid w:val="004F3C69"/>
    <w:rsid w:val="004F3DBC"/>
    <w:rsid w:val="004F3DFD"/>
    <w:rsid w:val="004F3EB9"/>
    <w:rsid w:val="004F3EFC"/>
    <w:rsid w:val="004F3F2B"/>
    <w:rsid w:val="004F3F74"/>
    <w:rsid w:val="004F4062"/>
    <w:rsid w:val="004F40AB"/>
    <w:rsid w:val="004F414A"/>
    <w:rsid w:val="004F4192"/>
    <w:rsid w:val="004F41A0"/>
    <w:rsid w:val="004F431E"/>
    <w:rsid w:val="004F43C6"/>
    <w:rsid w:val="004F44F3"/>
    <w:rsid w:val="004F4637"/>
    <w:rsid w:val="004F4741"/>
    <w:rsid w:val="004F4757"/>
    <w:rsid w:val="004F49DA"/>
    <w:rsid w:val="004F49E0"/>
    <w:rsid w:val="004F4A63"/>
    <w:rsid w:val="004F4B92"/>
    <w:rsid w:val="004F4E83"/>
    <w:rsid w:val="004F4F39"/>
    <w:rsid w:val="004F4F6F"/>
    <w:rsid w:val="004F5029"/>
    <w:rsid w:val="004F509B"/>
    <w:rsid w:val="004F50C3"/>
    <w:rsid w:val="004F5255"/>
    <w:rsid w:val="004F531B"/>
    <w:rsid w:val="004F5721"/>
    <w:rsid w:val="004F57FC"/>
    <w:rsid w:val="004F58DF"/>
    <w:rsid w:val="004F5A55"/>
    <w:rsid w:val="004F5A98"/>
    <w:rsid w:val="004F5B41"/>
    <w:rsid w:val="004F5B53"/>
    <w:rsid w:val="004F5B76"/>
    <w:rsid w:val="004F5D82"/>
    <w:rsid w:val="004F5DF7"/>
    <w:rsid w:val="004F5F88"/>
    <w:rsid w:val="004F5FFB"/>
    <w:rsid w:val="004F60BF"/>
    <w:rsid w:val="004F6127"/>
    <w:rsid w:val="004F624C"/>
    <w:rsid w:val="004F635F"/>
    <w:rsid w:val="004F63E9"/>
    <w:rsid w:val="004F6413"/>
    <w:rsid w:val="004F6465"/>
    <w:rsid w:val="004F6491"/>
    <w:rsid w:val="004F64BF"/>
    <w:rsid w:val="004F658C"/>
    <w:rsid w:val="004F6797"/>
    <w:rsid w:val="004F67BD"/>
    <w:rsid w:val="004F67CF"/>
    <w:rsid w:val="004F68CC"/>
    <w:rsid w:val="004F696D"/>
    <w:rsid w:val="004F6A1E"/>
    <w:rsid w:val="004F6A2A"/>
    <w:rsid w:val="004F6C19"/>
    <w:rsid w:val="004F6F99"/>
    <w:rsid w:val="004F7002"/>
    <w:rsid w:val="004F7006"/>
    <w:rsid w:val="004F700B"/>
    <w:rsid w:val="004F70B6"/>
    <w:rsid w:val="004F70E4"/>
    <w:rsid w:val="004F749B"/>
    <w:rsid w:val="004F75A6"/>
    <w:rsid w:val="004F765E"/>
    <w:rsid w:val="004F78A7"/>
    <w:rsid w:val="004F7A5D"/>
    <w:rsid w:val="004F7DC9"/>
    <w:rsid w:val="004F7DE8"/>
    <w:rsid w:val="004F7E6A"/>
    <w:rsid w:val="00500008"/>
    <w:rsid w:val="00500081"/>
    <w:rsid w:val="005002D9"/>
    <w:rsid w:val="005003E9"/>
    <w:rsid w:val="00500474"/>
    <w:rsid w:val="0050048B"/>
    <w:rsid w:val="005004AE"/>
    <w:rsid w:val="005006A2"/>
    <w:rsid w:val="0050071F"/>
    <w:rsid w:val="00500744"/>
    <w:rsid w:val="00500766"/>
    <w:rsid w:val="005007C6"/>
    <w:rsid w:val="005007FD"/>
    <w:rsid w:val="00500871"/>
    <w:rsid w:val="005008AF"/>
    <w:rsid w:val="0050090F"/>
    <w:rsid w:val="00500998"/>
    <w:rsid w:val="005009FB"/>
    <w:rsid w:val="00500B8C"/>
    <w:rsid w:val="00500B9D"/>
    <w:rsid w:val="00500C6A"/>
    <w:rsid w:val="00500C72"/>
    <w:rsid w:val="00500F91"/>
    <w:rsid w:val="00501058"/>
    <w:rsid w:val="0050108C"/>
    <w:rsid w:val="00501099"/>
    <w:rsid w:val="005010CE"/>
    <w:rsid w:val="005010F4"/>
    <w:rsid w:val="0050114F"/>
    <w:rsid w:val="00501286"/>
    <w:rsid w:val="00501295"/>
    <w:rsid w:val="005013C4"/>
    <w:rsid w:val="00501427"/>
    <w:rsid w:val="005014B7"/>
    <w:rsid w:val="005015F0"/>
    <w:rsid w:val="00501702"/>
    <w:rsid w:val="00501707"/>
    <w:rsid w:val="0050172B"/>
    <w:rsid w:val="00501908"/>
    <w:rsid w:val="0050191B"/>
    <w:rsid w:val="00501941"/>
    <w:rsid w:val="00501A59"/>
    <w:rsid w:val="00501A74"/>
    <w:rsid w:val="00501B6C"/>
    <w:rsid w:val="00501BF6"/>
    <w:rsid w:val="00501C0A"/>
    <w:rsid w:val="00501D74"/>
    <w:rsid w:val="00501E03"/>
    <w:rsid w:val="00501E4D"/>
    <w:rsid w:val="00501F70"/>
    <w:rsid w:val="00501FFE"/>
    <w:rsid w:val="005020FB"/>
    <w:rsid w:val="0050244D"/>
    <w:rsid w:val="005024A1"/>
    <w:rsid w:val="00502558"/>
    <w:rsid w:val="005025E6"/>
    <w:rsid w:val="0050266D"/>
    <w:rsid w:val="005027A1"/>
    <w:rsid w:val="005027C8"/>
    <w:rsid w:val="005028D0"/>
    <w:rsid w:val="005028F6"/>
    <w:rsid w:val="00502A75"/>
    <w:rsid w:val="00502A8C"/>
    <w:rsid w:val="00502A9D"/>
    <w:rsid w:val="00502B2D"/>
    <w:rsid w:val="00502BE0"/>
    <w:rsid w:val="00502D16"/>
    <w:rsid w:val="00502E52"/>
    <w:rsid w:val="00502E93"/>
    <w:rsid w:val="00502ED3"/>
    <w:rsid w:val="00502EF5"/>
    <w:rsid w:val="00502F01"/>
    <w:rsid w:val="00502F78"/>
    <w:rsid w:val="00502F94"/>
    <w:rsid w:val="00502F9F"/>
    <w:rsid w:val="00503010"/>
    <w:rsid w:val="00503035"/>
    <w:rsid w:val="00503190"/>
    <w:rsid w:val="005032EF"/>
    <w:rsid w:val="00503315"/>
    <w:rsid w:val="00503378"/>
    <w:rsid w:val="005033A3"/>
    <w:rsid w:val="00503453"/>
    <w:rsid w:val="005034D9"/>
    <w:rsid w:val="005034E8"/>
    <w:rsid w:val="005035BD"/>
    <w:rsid w:val="0050373F"/>
    <w:rsid w:val="0050390C"/>
    <w:rsid w:val="00503DE0"/>
    <w:rsid w:val="00503FD5"/>
    <w:rsid w:val="005040AA"/>
    <w:rsid w:val="005040C2"/>
    <w:rsid w:val="005042BD"/>
    <w:rsid w:val="005042EB"/>
    <w:rsid w:val="0050446C"/>
    <w:rsid w:val="00504639"/>
    <w:rsid w:val="00504670"/>
    <w:rsid w:val="00504674"/>
    <w:rsid w:val="00504896"/>
    <w:rsid w:val="0050495A"/>
    <w:rsid w:val="00504968"/>
    <w:rsid w:val="00504C3D"/>
    <w:rsid w:val="00504D42"/>
    <w:rsid w:val="00504E82"/>
    <w:rsid w:val="00504FFB"/>
    <w:rsid w:val="00505006"/>
    <w:rsid w:val="0050506A"/>
    <w:rsid w:val="00505115"/>
    <w:rsid w:val="0050511A"/>
    <w:rsid w:val="00505210"/>
    <w:rsid w:val="0050527F"/>
    <w:rsid w:val="00505282"/>
    <w:rsid w:val="005054A9"/>
    <w:rsid w:val="005056B3"/>
    <w:rsid w:val="005057B7"/>
    <w:rsid w:val="005057EB"/>
    <w:rsid w:val="00505819"/>
    <w:rsid w:val="00505A65"/>
    <w:rsid w:val="00505AF8"/>
    <w:rsid w:val="00505BD0"/>
    <w:rsid w:val="00505C12"/>
    <w:rsid w:val="00505D0C"/>
    <w:rsid w:val="00505EC5"/>
    <w:rsid w:val="00505FE4"/>
    <w:rsid w:val="005060D7"/>
    <w:rsid w:val="00506112"/>
    <w:rsid w:val="00506138"/>
    <w:rsid w:val="00506351"/>
    <w:rsid w:val="005063A4"/>
    <w:rsid w:val="00506666"/>
    <w:rsid w:val="005066F5"/>
    <w:rsid w:val="0050674E"/>
    <w:rsid w:val="005068A4"/>
    <w:rsid w:val="00506AA5"/>
    <w:rsid w:val="00506B91"/>
    <w:rsid w:val="00506C3C"/>
    <w:rsid w:val="00506E5E"/>
    <w:rsid w:val="00506F46"/>
    <w:rsid w:val="00506FC3"/>
    <w:rsid w:val="005071A6"/>
    <w:rsid w:val="00507227"/>
    <w:rsid w:val="005072B6"/>
    <w:rsid w:val="00507347"/>
    <w:rsid w:val="0050734D"/>
    <w:rsid w:val="00507420"/>
    <w:rsid w:val="0050754A"/>
    <w:rsid w:val="0050758D"/>
    <w:rsid w:val="005076C8"/>
    <w:rsid w:val="00507840"/>
    <w:rsid w:val="0050795F"/>
    <w:rsid w:val="00507A94"/>
    <w:rsid w:val="00507AE3"/>
    <w:rsid w:val="00507B72"/>
    <w:rsid w:val="00507BB4"/>
    <w:rsid w:val="00507BFB"/>
    <w:rsid w:val="00507D0A"/>
    <w:rsid w:val="00507D32"/>
    <w:rsid w:val="00507DC6"/>
    <w:rsid w:val="00507DE7"/>
    <w:rsid w:val="00507F79"/>
    <w:rsid w:val="00507F9A"/>
    <w:rsid w:val="0051000B"/>
    <w:rsid w:val="00510090"/>
    <w:rsid w:val="005101D8"/>
    <w:rsid w:val="00510508"/>
    <w:rsid w:val="00510512"/>
    <w:rsid w:val="0051056D"/>
    <w:rsid w:val="005105F9"/>
    <w:rsid w:val="00510789"/>
    <w:rsid w:val="005107C3"/>
    <w:rsid w:val="00510819"/>
    <w:rsid w:val="00510946"/>
    <w:rsid w:val="00510AD8"/>
    <w:rsid w:val="00510B59"/>
    <w:rsid w:val="00510B75"/>
    <w:rsid w:val="00510C49"/>
    <w:rsid w:val="00510C9F"/>
    <w:rsid w:val="00510CF4"/>
    <w:rsid w:val="00510ED9"/>
    <w:rsid w:val="0051103C"/>
    <w:rsid w:val="0051119A"/>
    <w:rsid w:val="00511226"/>
    <w:rsid w:val="00511338"/>
    <w:rsid w:val="005113D4"/>
    <w:rsid w:val="0051154C"/>
    <w:rsid w:val="00511579"/>
    <w:rsid w:val="0051158C"/>
    <w:rsid w:val="005118DC"/>
    <w:rsid w:val="0051195B"/>
    <w:rsid w:val="0051196F"/>
    <w:rsid w:val="00511A5A"/>
    <w:rsid w:val="00511BE0"/>
    <w:rsid w:val="00511E09"/>
    <w:rsid w:val="00511F01"/>
    <w:rsid w:val="00511F8D"/>
    <w:rsid w:val="0051201A"/>
    <w:rsid w:val="0051204D"/>
    <w:rsid w:val="005120F0"/>
    <w:rsid w:val="0051211D"/>
    <w:rsid w:val="005122A0"/>
    <w:rsid w:val="00512368"/>
    <w:rsid w:val="005123D9"/>
    <w:rsid w:val="005123E0"/>
    <w:rsid w:val="0051240F"/>
    <w:rsid w:val="0051246D"/>
    <w:rsid w:val="00512567"/>
    <w:rsid w:val="00512585"/>
    <w:rsid w:val="005125D4"/>
    <w:rsid w:val="005125E8"/>
    <w:rsid w:val="00512608"/>
    <w:rsid w:val="0051267D"/>
    <w:rsid w:val="005127BF"/>
    <w:rsid w:val="00512845"/>
    <w:rsid w:val="00512BDF"/>
    <w:rsid w:val="00512C3B"/>
    <w:rsid w:val="00512DFC"/>
    <w:rsid w:val="00512EA8"/>
    <w:rsid w:val="00512F96"/>
    <w:rsid w:val="00512F98"/>
    <w:rsid w:val="0051300E"/>
    <w:rsid w:val="0051305D"/>
    <w:rsid w:val="005130E6"/>
    <w:rsid w:val="0051313B"/>
    <w:rsid w:val="00513368"/>
    <w:rsid w:val="00513424"/>
    <w:rsid w:val="0051356A"/>
    <w:rsid w:val="0051356C"/>
    <w:rsid w:val="005135BC"/>
    <w:rsid w:val="005136D0"/>
    <w:rsid w:val="00513704"/>
    <w:rsid w:val="0051371B"/>
    <w:rsid w:val="005137E6"/>
    <w:rsid w:val="0051381F"/>
    <w:rsid w:val="0051385A"/>
    <w:rsid w:val="00513985"/>
    <w:rsid w:val="00513A8E"/>
    <w:rsid w:val="00513B10"/>
    <w:rsid w:val="00513C82"/>
    <w:rsid w:val="00513CAA"/>
    <w:rsid w:val="00513CD1"/>
    <w:rsid w:val="00513D4D"/>
    <w:rsid w:val="00513D8C"/>
    <w:rsid w:val="00513E46"/>
    <w:rsid w:val="00513EA1"/>
    <w:rsid w:val="00513F5B"/>
    <w:rsid w:val="0051405B"/>
    <w:rsid w:val="005140D3"/>
    <w:rsid w:val="00514157"/>
    <w:rsid w:val="0051427F"/>
    <w:rsid w:val="00514672"/>
    <w:rsid w:val="00514679"/>
    <w:rsid w:val="00514684"/>
    <w:rsid w:val="005146FC"/>
    <w:rsid w:val="00514851"/>
    <w:rsid w:val="00514C5A"/>
    <w:rsid w:val="00514DAB"/>
    <w:rsid w:val="00514DCF"/>
    <w:rsid w:val="00514E1F"/>
    <w:rsid w:val="00514E50"/>
    <w:rsid w:val="00515025"/>
    <w:rsid w:val="00515106"/>
    <w:rsid w:val="00515123"/>
    <w:rsid w:val="005151A0"/>
    <w:rsid w:val="0051522C"/>
    <w:rsid w:val="00515234"/>
    <w:rsid w:val="00515287"/>
    <w:rsid w:val="0051528F"/>
    <w:rsid w:val="005152F8"/>
    <w:rsid w:val="005154BD"/>
    <w:rsid w:val="0051556E"/>
    <w:rsid w:val="0051562E"/>
    <w:rsid w:val="00515783"/>
    <w:rsid w:val="00515935"/>
    <w:rsid w:val="00515C12"/>
    <w:rsid w:val="00515C31"/>
    <w:rsid w:val="00515D2E"/>
    <w:rsid w:val="00515DE7"/>
    <w:rsid w:val="00515DF3"/>
    <w:rsid w:val="00515E1B"/>
    <w:rsid w:val="00515E86"/>
    <w:rsid w:val="00515F70"/>
    <w:rsid w:val="005163BB"/>
    <w:rsid w:val="005164E9"/>
    <w:rsid w:val="0051657D"/>
    <w:rsid w:val="0051660B"/>
    <w:rsid w:val="0051664F"/>
    <w:rsid w:val="0051675B"/>
    <w:rsid w:val="00516785"/>
    <w:rsid w:val="0051679F"/>
    <w:rsid w:val="005167EF"/>
    <w:rsid w:val="005168EE"/>
    <w:rsid w:val="005169D3"/>
    <w:rsid w:val="005169DC"/>
    <w:rsid w:val="00516A29"/>
    <w:rsid w:val="00516BD0"/>
    <w:rsid w:val="00516D30"/>
    <w:rsid w:val="00516D40"/>
    <w:rsid w:val="00516EB8"/>
    <w:rsid w:val="00516FDB"/>
    <w:rsid w:val="0051708F"/>
    <w:rsid w:val="005170C9"/>
    <w:rsid w:val="00517110"/>
    <w:rsid w:val="00517282"/>
    <w:rsid w:val="005173A9"/>
    <w:rsid w:val="005173FB"/>
    <w:rsid w:val="00517422"/>
    <w:rsid w:val="00517438"/>
    <w:rsid w:val="00517440"/>
    <w:rsid w:val="00517588"/>
    <w:rsid w:val="0051766A"/>
    <w:rsid w:val="005179E6"/>
    <w:rsid w:val="00517AFF"/>
    <w:rsid w:val="00517DCD"/>
    <w:rsid w:val="00517E2F"/>
    <w:rsid w:val="00517E43"/>
    <w:rsid w:val="00517FB9"/>
    <w:rsid w:val="00520055"/>
    <w:rsid w:val="0052008E"/>
    <w:rsid w:val="0052022B"/>
    <w:rsid w:val="005202C5"/>
    <w:rsid w:val="00520345"/>
    <w:rsid w:val="00520473"/>
    <w:rsid w:val="005205F9"/>
    <w:rsid w:val="00520783"/>
    <w:rsid w:val="005207FB"/>
    <w:rsid w:val="0052084F"/>
    <w:rsid w:val="0052099E"/>
    <w:rsid w:val="005209A3"/>
    <w:rsid w:val="005209E3"/>
    <w:rsid w:val="00520C24"/>
    <w:rsid w:val="00520C7F"/>
    <w:rsid w:val="00520D6B"/>
    <w:rsid w:val="00520F61"/>
    <w:rsid w:val="0052105D"/>
    <w:rsid w:val="005210B9"/>
    <w:rsid w:val="00521102"/>
    <w:rsid w:val="005211B9"/>
    <w:rsid w:val="005214D5"/>
    <w:rsid w:val="00521524"/>
    <w:rsid w:val="00521692"/>
    <w:rsid w:val="005217C6"/>
    <w:rsid w:val="0052184C"/>
    <w:rsid w:val="0052189D"/>
    <w:rsid w:val="00521A89"/>
    <w:rsid w:val="00521D85"/>
    <w:rsid w:val="00521F9E"/>
    <w:rsid w:val="00521FD1"/>
    <w:rsid w:val="00521FFB"/>
    <w:rsid w:val="00522101"/>
    <w:rsid w:val="00522223"/>
    <w:rsid w:val="00522298"/>
    <w:rsid w:val="00522338"/>
    <w:rsid w:val="00522347"/>
    <w:rsid w:val="0052239B"/>
    <w:rsid w:val="00522415"/>
    <w:rsid w:val="00522505"/>
    <w:rsid w:val="0052255E"/>
    <w:rsid w:val="00522599"/>
    <w:rsid w:val="005226C1"/>
    <w:rsid w:val="005226EA"/>
    <w:rsid w:val="0052273E"/>
    <w:rsid w:val="005227D6"/>
    <w:rsid w:val="00522ACC"/>
    <w:rsid w:val="00522B6F"/>
    <w:rsid w:val="00522C19"/>
    <w:rsid w:val="00522E33"/>
    <w:rsid w:val="00522E5B"/>
    <w:rsid w:val="00522E78"/>
    <w:rsid w:val="00522F40"/>
    <w:rsid w:val="00522F79"/>
    <w:rsid w:val="00522FE6"/>
    <w:rsid w:val="0052310E"/>
    <w:rsid w:val="00523132"/>
    <w:rsid w:val="005231E5"/>
    <w:rsid w:val="005232CF"/>
    <w:rsid w:val="0052344B"/>
    <w:rsid w:val="00523481"/>
    <w:rsid w:val="0052353E"/>
    <w:rsid w:val="005235FC"/>
    <w:rsid w:val="00523651"/>
    <w:rsid w:val="00523AB8"/>
    <w:rsid w:val="00523C71"/>
    <w:rsid w:val="00523C8D"/>
    <w:rsid w:val="00523D3F"/>
    <w:rsid w:val="00523E5E"/>
    <w:rsid w:val="00523E98"/>
    <w:rsid w:val="00523EBC"/>
    <w:rsid w:val="0052410F"/>
    <w:rsid w:val="00524138"/>
    <w:rsid w:val="0052419D"/>
    <w:rsid w:val="0052422A"/>
    <w:rsid w:val="00524245"/>
    <w:rsid w:val="0052452F"/>
    <w:rsid w:val="00524553"/>
    <w:rsid w:val="005246C8"/>
    <w:rsid w:val="0052480F"/>
    <w:rsid w:val="005249E9"/>
    <w:rsid w:val="00524A0D"/>
    <w:rsid w:val="00524A28"/>
    <w:rsid w:val="00524A52"/>
    <w:rsid w:val="00524B48"/>
    <w:rsid w:val="00524B7F"/>
    <w:rsid w:val="00524E64"/>
    <w:rsid w:val="00524FB7"/>
    <w:rsid w:val="0052506E"/>
    <w:rsid w:val="00525130"/>
    <w:rsid w:val="005251D9"/>
    <w:rsid w:val="0052533B"/>
    <w:rsid w:val="0052551F"/>
    <w:rsid w:val="00525547"/>
    <w:rsid w:val="0052555A"/>
    <w:rsid w:val="005258C0"/>
    <w:rsid w:val="005258D8"/>
    <w:rsid w:val="0052591D"/>
    <w:rsid w:val="00525A52"/>
    <w:rsid w:val="00525BBE"/>
    <w:rsid w:val="00525C4B"/>
    <w:rsid w:val="00525C83"/>
    <w:rsid w:val="00525CA5"/>
    <w:rsid w:val="00525D4D"/>
    <w:rsid w:val="00525DAF"/>
    <w:rsid w:val="00525EEE"/>
    <w:rsid w:val="00525F38"/>
    <w:rsid w:val="00525F50"/>
    <w:rsid w:val="00525FF2"/>
    <w:rsid w:val="0052600D"/>
    <w:rsid w:val="00526091"/>
    <w:rsid w:val="00526690"/>
    <w:rsid w:val="005267D1"/>
    <w:rsid w:val="0052689E"/>
    <w:rsid w:val="0052697E"/>
    <w:rsid w:val="00526B4F"/>
    <w:rsid w:val="00526B5C"/>
    <w:rsid w:val="00526E25"/>
    <w:rsid w:val="00526EEE"/>
    <w:rsid w:val="00526F67"/>
    <w:rsid w:val="00527042"/>
    <w:rsid w:val="005272DB"/>
    <w:rsid w:val="0052730A"/>
    <w:rsid w:val="00527378"/>
    <w:rsid w:val="00527434"/>
    <w:rsid w:val="0052750A"/>
    <w:rsid w:val="00527513"/>
    <w:rsid w:val="005275B7"/>
    <w:rsid w:val="0052761D"/>
    <w:rsid w:val="00527697"/>
    <w:rsid w:val="005276E6"/>
    <w:rsid w:val="005277A7"/>
    <w:rsid w:val="00527A24"/>
    <w:rsid w:val="00527B37"/>
    <w:rsid w:val="00527E2E"/>
    <w:rsid w:val="0053005F"/>
    <w:rsid w:val="00530092"/>
    <w:rsid w:val="00530156"/>
    <w:rsid w:val="0053019F"/>
    <w:rsid w:val="005301F8"/>
    <w:rsid w:val="00530208"/>
    <w:rsid w:val="0053031B"/>
    <w:rsid w:val="00530351"/>
    <w:rsid w:val="00530400"/>
    <w:rsid w:val="005304EF"/>
    <w:rsid w:val="00530656"/>
    <w:rsid w:val="00530A13"/>
    <w:rsid w:val="00530AC3"/>
    <w:rsid w:val="00530AD5"/>
    <w:rsid w:val="00530BA4"/>
    <w:rsid w:val="00530DEE"/>
    <w:rsid w:val="00530E5F"/>
    <w:rsid w:val="00530F3B"/>
    <w:rsid w:val="00531068"/>
    <w:rsid w:val="005311C7"/>
    <w:rsid w:val="00531216"/>
    <w:rsid w:val="00531256"/>
    <w:rsid w:val="00531266"/>
    <w:rsid w:val="005312A2"/>
    <w:rsid w:val="005312FC"/>
    <w:rsid w:val="00531455"/>
    <w:rsid w:val="00531551"/>
    <w:rsid w:val="0053157A"/>
    <w:rsid w:val="0053161A"/>
    <w:rsid w:val="0053175F"/>
    <w:rsid w:val="0053197C"/>
    <w:rsid w:val="00531A80"/>
    <w:rsid w:val="00531AAB"/>
    <w:rsid w:val="00531D69"/>
    <w:rsid w:val="00531E47"/>
    <w:rsid w:val="00531F20"/>
    <w:rsid w:val="00531F7F"/>
    <w:rsid w:val="00532003"/>
    <w:rsid w:val="005320C3"/>
    <w:rsid w:val="005320E2"/>
    <w:rsid w:val="0053220D"/>
    <w:rsid w:val="0053223E"/>
    <w:rsid w:val="005323F4"/>
    <w:rsid w:val="00532515"/>
    <w:rsid w:val="0053251D"/>
    <w:rsid w:val="005326A8"/>
    <w:rsid w:val="00532797"/>
    <w:rsid w:val="005327C1"/>
    <w:rsid w:val="00532B72"/>
    <w:rsid w:val="00532C00"/>
    <w:rsid w:val="00532C23"/>
    <w:rsid w:val="00532C6D"/>
    <w:rsid w:val="00532CBC"/>
    <w:rsid w:val="00532EA5"/>
    <w:rsid w:val="00532FA3"/>
    <w:rsid w:val="00532FE2"/>
    <w:rsid w:val="00533086"/>
    <w:rsid w:val="00533093"/>
    <w:rsid w:val="005332E2"/>
    <w:rsid w:val="005333AB"/>
    <w:rsid w:val="005333EF"/>
    <w:rsid w:val="00533504"/>
    <w:rsid w:val="00533531"/>
    <w:rsid w:val="00533589"/>
    <w:rsid w:val="00533678"/>
    <w:rsid w:val="0053371C"/>
    <w:rsid w:val="00533790"/>
    <w:rsid w:val="005337E0"/>
    <w:rsid w:val="005338E5"/>
    <w:rsid w:val="00533927"/>
    <w:rsid w:val="00533A70"/>
    <w:rsid w:val="00533B86"/>
    <w:rsid w:val="00533C13"/>
    <w:rsid w:val="00533D2D"/>
    <w:rsid w:val="00533D37"/>
    <w:rsid w:val="00533E35"/>
    <w:rsid w:val="00533E48"/>
    <w:rsid w:val="00533EB4"/>
    <w:rsid w:val="00533F0D"/>
    <w:rsid w:val="0053419A"/>
    <w:rsid w:val="00534246"/>
    <w:rsid w:val="00534264"/>
    <w:rsid w:val="0053427C"/>
    <w:rsid w:val="0053434F"/>
    <w:rsid w:val="00534413"/>
    <w:rsid w:val="00534430"/>
    <w:rsid w:val="00534811"/>
    <w:rsid w:val="00534842"/>
    <w:rsid w:val="00534AE0"/>
    <w:rsid w:val="00534AE2"/>
    <w:rsid w:val="00534BD1"/>
    <w:rsid w:val="00534CB5"/>
    <w:rsid w:val="00534D95"/>
    <w:rsid w:val="00534DE9"/>
    <w:rsid w:val="00535181"/>
    <w:rsid w:val="00535263"/>
    <w:rsid w:val="00535271"/>
    <w:rsid w:val="0053529C"/>
    <w:rsid w:val="0053544C"/>
    <w:rsid w:val="00535557"/>
    <w:rsid w:val="005355DC"/>
    <w:rsid w:val="00535603"/>
    <w:rsid w:val="0053569E"/>
    <w:rsid w:val="005356A8"/>
    <w:rsid w:val="005356ED"/>
    <w:rsid w:val="00535756"/>
    <w:rsid w:val="0053576F"/>
    <w:rsid w:val="005357FD"/>
    <w:rsid w:val="0053583E"/>
    <w:rsid w:val="00535903"/>
    <w:rsid w:val="005359F5"/>
    <w:rsid w:val="00535A3A"/>
    <w:rsid w:val="00535ADC"/>
    <w:rsid w:val="00535B16"/>
    <w:rsid w:val="00535C2C"/>
    <w:rsid w:val="00535C52"/>
    <w:rsid w:val="00535CE6"/>
    <w:rsid w:val="00535D6B"/>
    <w:rsid w:val="00535DC4"/>
    <w:rsid w:val="00535E0C"/>
    <w:rsid w:val="00535E59"/>
    <w:rsid w:val="0053603D"/>
    <w:rsid w:val="00536184"/>
    <w:rsid w:val="005361DB"/>
    <w:rsid w:val="0053620F"/>
    <w:rsid w:val="00536252"/>
    <w:rsid w:val="00536295"/>
    <w:rsid w:val="005362EB"/>
    <w:rsid w:val="005363E1"/>
    <w:rsid w:val="0053641A"/>
    <w:rsid w:val="005364D3"/>
    <w:rsid w:val="00536543"/>
    <w:rsid w:val="0053663E"/>
    <w:rsid w:val="00536759"/>
    <w:rsid w:val="0053682F"/>
    <w:rsid w:val="00536B26"/>
    <w:rsid w:val="00536B9F"/>
    <w:rsid w:val="00536BE5"/>
    <w:rsid w:val="00536CCC"/>
    <w:rsid w:val="00536D09"/>
    <w:rsid w:val="0053710E"/>
    <w:rsid w:val="0053711A"/>
    <w:rsid w:val="005371E0"/>
    <w:rsid w:val="0053729C"/>
    <w:rsid w:val="0053731A"/>
    <w:rsid w:val="00537351"/>
    <w:rsid w:val="00537370"/>
    <w:rsid w:val="005373CB"/>
    <w:rsid w:val="0053742A"/>
    <w:rsid w:val="00537461"/>
    <w:rsid w:val="005374C5"/>
    <w:rsid w:val="00537541"/>
    <w:rsid w:val="00537543"/>
    <w:rsid w:val="005375FD"/>
    <w:rsid w:val="00537690"/>
    <w:rsid w:val="00537803"/>
    <w:rsid w:val="00537823"/>
    <w:rsid w:val="00537993"/>
    <w:rsid w:val="00537B40"/>
    <w:rsid w:val="00537C65"/>
    <w:rsid w:val="00537C7C"/>
    <w:rsid w:val="00537C85"/>
    <w:rsid w:val="00537CCC"/>
    <w:rsid w:val="00537DC7"/>
    <w:rsid w:val="00537EBC"/>
    <w:rsid w:val="00540034"/>
    <w:rsid w:val="00540142"/>
    <w:rsid w:val="00540191"/>
    <w:rsid w:val="00540239"/>
    <w:rsid w:val="0054035B"/>
    <w:rsid w:val="005404E4"/>
    <w:rsid w:val="005405FE"/>
    <w:rsid w:val="0054062F"/>
    <w:rsid w:val="005406FF"/>
    <w:rsid w:val="00540898"/>
    <w:rsid w:val="005408A2"/>
    <w:rsid w:val="005408FB"/>
    <w:rsid w:val="00540A42"/>
    <w:rsid w:val="00540A45"/>
    <w:rsid w:val="00540BB6"/>
    <w:rsid w:val="00540C60"/>
    <w:rsid w:val="00540D90"/>
    <w:rsid w:val="00540DB7"/>
    <w:rsid w:val="00540E11"/>
    <w:rsid w:val="00540E78"/>
    <w:rsid w:val="00540E91"/>
    <w:rsid w:val="00540F40"/>
    <w:rsid w:val="00540FB7"/>
    <w:rsid w:val="00541146"/>
    <w:rsid w:val="00541156"/>
    <w:rsid w:val="005416B4"/>
    <w:rsid w:val="0054172D"/>
    <w:rsid w:val="00541811"/>
    <w:rsid w:val="005418C8"/>
    <w:rsid w:val="0054193C"/>
    <w:rsid w:val="0054195B"/>
    <w:rsid w:val="00541AF8"/>
    <w:rsid w:val="00541B4C"/>
    <w:rsid w:val="00541B8B"/>
    <w:rsid w:val="00541CA4"/>
    <w:rsid w:val="00541D29"/>
    <w:rsid w:val="00542559"/>
    <w:rsid w:val="00542817"/>
    <w:rsid w:val="0054282E"/>
    <w:rsid w:val="0054289B"/>
    <w:rsid w:val="005428CE"/>
    <w:rsid w:val="005428D8"/>
    <w:rsid w:val="00542A08"/>
    <w:rsid w:val="00542AA5"/>
    <w:rsid w:val="00542B46"/>
    <w:rsid w:val="00542B93"/>
    <w:rsid w:val="00542D00"/>
    <w:rsid w:val="00542D62"/>
    <w:rsid w:val="00542D6D"/>
    <w:rsid w:val="00542DE7"/>
    <w:rsid w:val="00542F1A"/>
    <w:rsid w:val="00542FD3"/>
    <w:rsid w:val="005430E6"/>
    <w:rsid w:val="005432A1"/>
    <w:rsid w:val="005432F6"/>
    <w:rsid w:val="0054331F"/>
    <w:rsid w:val="00543333"/>
    <w:rsid w:val="005433C2"/>
    <w:rsid w:val="005436D0"/>
    <w:rsid w:val="005436E3"/>
    <w:rsid w:val="00543743"/>
    <w:rsid w:val="0054383B"/>
    <w:rsid w:val="00543966"/>
    <w:rsid w:val="00543A92"/>
    <w:rsid w:val="00543A94"/>
    <w:rsid w:val="00543CA7"/>
    <w:rsid w:val="00543CBA"/>
    <w:rsid w:val="00543D09"/>
    <w:rsid w:val="00543F23"/>
    <w:rsid w:val="00543F65"/>
    <w:rsid w:val="00543F69"/>
    <w:rsid w:val="00544033"/>
    <w:rsid w:val="0054405D"/>
    <w:rsid w:val="00544102"/>
    <w:rsid w:val="0054421E"/>
    <w:rsid w:val="00544428"/>
    <w:rsid w:val="0054443B"/>
    <w:rsid w:val="005444FE"/>
    <w:rsid w:val="0054463A"/>
    <w:rsid w:val="00544775"/>
    <w:rsid w:val="00544780"/>
    <w:rsid w:val="005447C6"/>
    <w:rsid w:val="0054480D"/>
    <w:rsid w:val="0054482C"/>
    <w:rsid w:val="00544881"/>
    <w:rsid w:val="00544982"/>
    <w:rsid w:val="00544A23"/>
    <w:rsid w:val="00544B78"/>
    <w:rsid w:val="00544B93"/>
    <w:rsid w:val="00544C03"/>
    <w:rsid w:val="00544E7B"/>
    <w:rsid w:val="00544ECB"/>
    <w:rsid w:val="00544F5A"/>
    <w:rsid w:val="00544F61"/>
    <w:rsid w:val="00545103"/>
    <w:rsid w:val="005451B6"/>
    <w:rsid w:val="005451D3"/>
    <w:rsid w:val="005451E4"/>
    <w:rsid w:val="005452D6"/>
    <w:rsid w:val="00545340"/>
    <w:rsid w:val="00545445"/>
    <w:rsid w:val="005455D4"/>
    <w:rsid w:val="005456A6"/>
    <w:rsid w:val="0054573A"/>
    <w:rsid w:val="0054576C"/>
    <w:rsid w:val="00545805"/>
    <w:rsid w:val="0054586C"/>
    <w:rsid w:val="00545878"/>
    <w:rsid w:val="0054587C"/>
    <w:rsid w:val="005458E3"/>
    <w:rsid w:val="005458EA"/>
    <w:rsid w:val="0054595A"/>
    <w:rsid w:val="0054599C"/>
    <w:rsid w:val="00545AF6"/>
    <w:rsid w:val="00545B74"/>
    <w:rsid w:val="00545C17"/>
    <w:rsid w:val="00545C4A"/>
    <w:rsid w:val="00545D04"/>
    <w:rsid w:val="00545D74"/>
    <w:rsid w:val="00545EEC"/>
    <w:rsid w:val="00545F02"/>
    <w:rsid w:val="00546075"/>
    <w:rsid w:val="005461FE"/>
    <w:rsid w:val="00546297"/>
    <w:rsid w:val="00546311"/>
    <w:rsid w:val="00546687"/>
    <w:rsid w:val="00546814"/>
    <w:rsid w:val="00546A96"/>
    <w:rsid w:val="00546B41"/>
    <w:rsid w:val="00546B7D"/>
    <w:rsid w:val="00546C78"/>
    <w:rsid w:val="00546CBD"/>
    <w:rsid w:val="00546DED"/>
    <w:rsid w:val="00546E2D"/>
    <w:rsid w:val="00546E47"/>
    <w:rsid w:val="00546E6C"/>
    <w:rsid w:val="005470B6"/>
    <w:rsid w:val="00547199"/>
    <w:rsid w:val="00547317"/>
    <w:rsid w:val="00547470"/>
    <w:rsid w:val="00547492"/>
    <w:rsid w:val="00547500"/>
    <w:rsid w:val="005475DF"/>
    <w:rsid w:val="0054770F"/>
    <w:rsid w:val="005478CC"/>
    <w:rsid w:val="005479E8"/>
    <w:rsid w:val="00547A97"/>
    <w:rsid w:val="00547C4A"/>
    <w:rsid w:val="00547D05"/>
    <w:rsid w:val="00547D42"/>
    <w:rsid w:val="00547E53"/>
    <w:rsid w:val="00547E5D"/>
    <w:rsid w:val="00547FD9"/>
    <w:rsid w:val="00550012"/>
    <w:rsid w:val="0055001C"/>
    <w:rsid w:val="0055009C"/>
    <w:rsid w:val="00550107"/>
    <w:rsid w:val="005501AB"/>
    <w:rsid w:val="0055038D"/>
    <w:rsid w:val="0055048A"/>
    <w:rsid w:val="0055063D"/>
    <w:rsid w:val="0055064C"/>
    <w:rsid w:val="005506FA"/>
    <w:rsid w:val="0055070C"/>
    <w:rsid w:val="0055078E"/>
    <w:rsid w:val="0055082A"/>
    <w:rsid w:val="0055087F"/>
    <w:rsid w:val="00550902"/>
    <w:rsid w:val="00550A15"/>
    <w:rsid w:val="00550B65"/>
    <w:rsid w:val="00550C67"/>
    <w:rsid w:val="00550D4E"/>
    <w:rsid w:val="00550E6E"/>
    <w:rsid w:val="0055103D"/>
    <w:rsid w:val="0055106C"/>
    <w:rsid w:val="005510F1"/>
    <w:rsid w:val="005510FC"/>
    <w:rsid w:val="00551178"/>
    <w:rsid w:val="00551304"/>
    <w:rsid w:val="00551384"/>
    <w:rsid w:val="00551545"/>
    <w:rsid w:val="005515B0"/>
    <w:rsid w:val="0055161F"/>
    <w:rsid w:val="005516B4"/>
    <w:rsid w:val="005516D5"/>
    <w:rsid w:val="00551789"/>
    <w:rsid w:val="005517ED"/>
    <w:rsid w:val="00551993"/>
    <w:rsid w:val="005519C7"/>
    <w:rsid w:val="00551A35"/>
    <w:rsid w:val="00551AC0"/>
    <w:rsid w:val="00551AD5"/>
    <w:rsid w:val="00551B14"/>
    <w:rsid w:val="00551C6D"/>
    <w:rsid w:val="00551ED2"/>
    <w:rsid w:val="00552117"/>
    <w:rsid w:val="005521BA"/>
    <w:rsid w:val="0055220C"/>
    <w:rsid w:val="005523AC"/>
    <w:rsid w:val="005524AB"/>
    <w:rsid w:val="00552513"/>
    <w:rsid w:val="00552918"/>
    <w:rsid w:val="005529E0"/>
    <w:rsid w:val="00552AFC"/>
    <w:rsid w:val="00552C4F"/>
    <w:rsid w:val="00552C50"/>
    <w:rsid w:val="00552DCF"/>
    <w:rsid w:val="00552E66"/>
    <w:rsid w:val="00552EC7"/>
    <w:rsid w:val="00552ECF"/>
    <w:rsid w:val="00552F5B"/>
    <w:rsid w:val="00552FC2"/>
    <w:rsid w:val="00553101"/>
    <w:rsid w:val="00553137"/>
    <w:rsid w:val="0055339C"/>
    <w:rsid w:val="0055341A"/>
    <w:rsid w:val="0055378A"/>
    <w:rsid w:val="005538F6"/>
    <w:rsid w:val="005539EA"/>
    <w:rsid w:val="005539F2"/>
    <w:rsid w:val="00553B3A"/>
    <w:rsid w:val="00553B54"/>
    <w:rsid w:val="00553C3D"/>
    <w:rsid w:val="00553C76"/>
    <w:rsid w:val="00553CF2"/>
    <w:rsid w:val="00553E59"/>
    <w:rsid w:val="00553E6F"/>
    <w:rsid w:val="00553F79"/>
    <w:rsid w:val="00554129"/>
    <w:rsid w:val="005542A2"/>
    <w:rsid w:val="005542BF"/>
    <w:rsid w:val="00554494"/>
    <w:rsid w:val="00554756"/>
    <w:rsid w:val="005547CD"/>
    <w:rsid w:val="00554883"/>
    <w:rsid w:val="005548F7"/>
    <w:rsid w:val="00554A74"/>
    <w:rsid w:val="00554B0E"/>
    <w:rsid w:val="00554D32"/>
    <w:rsid w:val="00554D56"/>
    <w:rsid w:val="00554E0B"/>
    <w:rsid w:val="00554F3C"/>
    <w:rsid w:val="0055508C"/>
    <w:rsid w:val="005553E9"/>
    <w:rsid w:val="005554CA"/>
    <w:rsid w:val="005554E3"/>
    <w:rsid w:val="0055550F"/>
    <w:rsid w:val="005555A7"/>
    <w:rsid w:val="005555A8"/>
    <w:rsid w:val="00555643"/>
    <w:rsid w:val="0055565A"/>
    <w:rsid w:val="005556C5"/>
    <w:rsid w:val="005556F5"/>
    <w:rsid w:val="0055572F"/>
    <w:rsid w:val="00555867"/>
    <w:rsid w:val="005558D2"/>
    <w:rsid w:val="0055599C"/>
    <w:rsid w:val="00555A20"/>
    <w:rsid w:val="00555A7E"/>
    <w:rsid w:val="00555AA6"/>
    <w:rsid w:val="00555C16"/>
    <w:rsid w:val="00555D09"/>
    <w:rsid w:val="00555DC2"/>
    <w:rsid w:val="00555F19"/>
    <w:rsid w:val="00555F70"/>
    <w:rsid w:val="00556262"/>
    <w:rsid w:val="00556271"/>
    <w:rsid w:val="005562BF"/>
    <w:rsid w:val="0055633D"/>
    <w:rsid w:val="00556470"/>
    <w:rsid w:val="00556604"/>
    <w:rsid w:val="00556699"/>
    <w:rsid w:val="005566EF"/>
    <w:rsid w:val="0055687E"/>
    <w:rsid w:val="00556890"/>
    <w:rsid w:val="00556937"/>
    <w:rsid w:val="00556BAF"/>
    <w:rsid w:val="00556CA7"/>
    <w:rsid w:val="00556CBC"/>
    <w:rsid w:val="005571B0"/>
    <w:rsid w:val="005571B4"/>
    <w:rsid w:val="005572BA"/>
    <w:rsid w:val="00557303"/>
    <w:rsid w:val="0055750D"/>
    <w:rsid w:val="0055761A"/>
    <w:rsid w:val="0055771B"/>
    <w:rsid w:val="005577A5"/>
    <w:rsid w:val="005577A7"/>
    <w:rsid w:val="005577BF"/>
    <w:rsid w:val="0055782E"/>
    <w:rsid w:val="005578A0"/>
    <w:rsid w:val="00557A9F"/>
    <w:rsid w:val="00557B30"/>
    <w:rsid w:val="00557B8B"/>
    <w:rsid w:val="00557CD1"/>
    <w:rsid w:val="00557D11"/>
    <w:rsid w:val="00557D64"/>
    <w:rsid w:val="00557D94"/>
    <w:rsid w:val="00557DBA"/>
    <w:rsid w:val="00557DE7"/>
    <w:rsid w:val="00557DF4"/>
    <w:rsid w:val="00557E03"/>
    <w:rsid w:val="00557E2E"/>
    <w:rsid w:val="00557EBB"/>
    <w:rsid w:val="00557EF2"/>
    <w:rsid w:val="005602FF"/>
    <w:rsid w:val="00560357"/>
    <w:rsid w:val="00560460"/>
    <w:rsid w:val="0056046D"/>
    <w:rsid w:val="00560574"/>
    <w:rsid w:val="00560740"/>
    <w:rsid w:val="0056080A"/>
    <w:rsid w:val="0056083D"/>
    <w:rsid w:val="005608A8"/>
    <w:rsid w:val="00560B12"/>
    <w:rsid w:val="00560B2B"/>
    <w:rsid w:val="00560BC7"/>
    <w:rsid w:val="00560BE9"/>
    <w:rsid w:val="00560BFE"/>
    <w:rsid w:val="00560CFB"/>
    <w:rsid w:val="00560DCB"/>
    <w:rsid w:val="00560E0A"/>
    <w:rsid w:val="00560E3D"/>
    <w:rsid w:val="005610EC"/>
    <w:rsid w:val="00561150"/>
    <w:rsid w:val="005612FD"/>
    <w:rsid w:val="00561521"/>
    <w:rsid w:val="005615D8"/>
    <w:rsid w:val="00561602"/>
    <w:rsid w:val="005616B0"/>
    <w:rsid w:val="005618F6"/>
    <w:rsid w:val="00561A46"/>
    <w:rsid w:val="00561C9C"/>
    <w:rsid w:val="00561D57"/>
    <w:rsid w:val="00561D58"/>
    <w:rsid w:val="00561D5C"/>
    <w:rsid w:val="00561D67"/>
    <w:rsid w:val="00561DBB"/>
    <w:rsid w:val="00561E53"/>
    <w:rsid w:val="00561FCE"/>
    <w:rsid w:val="00562015"/>
    <w:rsid w:val="00562107"/>
    <w:rsid w:val="005622C2"/>
    <w:rsid w:val="0056234B"/>
    <w:rsid w:val="005623B0"/>
    <w:rsid w:val="00562514"/>
    <w:rsid w:val="00562649"/>
    <w:rsid w:val="00562931"/>
    <w:rsid w:val="00562E8B"/>
    <w:rsid w:val="00562EB3"/>
    <w:rsid w:val="00562F17"/>
    <w:rsid w:val="005630F6"/>
    <w:rsid w:val="00563156"/>
    <w:rsid w:val="005632A0"/>
    <w:rsid w:val="005632D6"/>
    <w:rsid w:val="00563331"/>
    <w:rsid w:val="00563380"/>
    <w:rsid w:val="005635BF"/>
    <w:rsid w:val="0056364D"/>
    <w:rsid w:val="00563686"/>
    <w:rsid w:val="005636D0"/>
    <w:rsid w:val="00563735"/>
    <w:rsid w:val="00563AB8"/>
    <w:rsid w:val="00563AB9"/>
    <w:rsid w:val="00563B8E"/>
    <w:rsid w:val="00563F3B"/>
    <w:rsid w:val="0056401F"/>
    <w:rsid w:val="0056407D"/>
    <w:rsid w:val="005641CA"/>
    <w:rsid w:val="00564229"/>
    <w:rsid w:val="00564256"/>
    <w:rsid w:val="00564477"/>
    <w:rsid w:val="0056450E"/>
    <w:rsid w:val="005646BC"/>
    <w:rsid w:val="00564738"/>
    <w:rsid w:val="005647F8"/>
    <w:rsid w:val="00564921"/>
    <w:rsid w:val="00564984"/>
    <w:rsid w:val="00564A0E"/>
    <w:rsid w:val="00564B61"/>
    <w:rsid w:val="00564D83"/>
    <w:rsid w:val="00564F10"/>
    <w:rsid w:val="00564F94"/>
    <w:rsid w:val="00564FED"/>
    <w:rsid w:val="00565143"/>
    <w:rsid w:val="00565144"/>
    <w:rsid w:val="00565159"/>
    <w:rsid w:val="00565224"/>
    <w:rsid w:val="005652B1"/>
    <w:rsid w:val="0056542F"/>
    <w:rsid w:val="005654E3"/>
    <w:rsid w:val="005654ED"/>
    <w:rsid w:val="005656C2"/>
    <w:rsid w:val="0056582C"/>
    <w:rsid w:val="00565AD9"/>
    <w:rsid w:val="00565C49"/>
    <w:rsid w:val="00565C9D"/>
    <w:rsid w:val="00565D08"/>
    <w:rsid w:val="00565FE2"/>
    <w:rsid w:val="00566037"/>
    <w:rsid w:val="00566291"/>
    <w:rsid w:val="005662AD"/>
    <w:rsid w:val="005662FA"/>
    <w:rsid w:val="005663B5"/>
    <w:rsid w:val="00566449"/>
    <w:rsid w:val="00566487"/>
    <w:rsid w:val="005664EA"/>
    <w:rsid w:val="0056653C"/>
    <w:rsid w:val="005665BD"/>
    <w:rsid w:val="0056670E"/>
    <w:rsid w:val="00566730"/>
    <w:rsid w:val="005667C7"/>
    <w:rsid w:val="005667F2"/>
    <w:rsid w:val="005669E5"/>
    <w:rsid w:val="00566A37"/>
    <w:rsid w:val="00566C69"/>
    <w:rsid w:val="00566F29"/>
    <w:rsid w:val="0056701B"/>
    <w:rsid w:val="00567210"/>
    <w:rsid w:val="00567443"/>
    <w:rsid w:val="005675B5"/>
    <w:rsid w:val="005676E4"/>
    <w:rsid w:val="00567763"/>
    <w:rsid w:val="00567858"/>
    <w:rsid w:val="00567908"/>
    <w:rsid w:val="005679D9"/>
    <w:rsid w:val="00567AB1"/>
    <w:rsid w:val="00567CEC"/>
    <w:rsid w:val="00567E43"/>
    <w:rsid w:val="00567E8E"/>
    <w:rsid w:val="00567EE2"/>
    <w:rsid w:val="00567F7F"/>
    <w:rsid w:val="00570062"/>
    <w:rsid w:val="005700D7"/>
    <w:rsid w:val="005701DD"/>
    <w:rsid w:val="00570280"/>
    <w:rsid w:val="0057033D"/>
    <w:rsid w:val="005704BE"/>
    <w:rsid w:val="005704F4"/>
    <w:rsid w:val="005705AF"/>
    <w:rsid w:val="005705FA"/>
    <w:rsid w:val="0057083E"/>
    <w:rsid w:val="005708B3"/>
    <w:rsid w:val="00570A1C"/>
    <w:rsid w:val="00570B03"/>
    <w:rsid w:val="00570BA2"/>
    <w:rsid w:val="00570CAD"/>
    <w:rsid w:val="00570D30"/>
    <w:rsid w:val="00570FD9"/>
    <w:rsid w:val="00571036"/>
    <w:rsid w:val="005713EC"/>
    <w:rsid w:val="00571463"/>
    <w:rsid w:val="005714A4"/>
    <w:rsid w:val="00571733"/>
    <w:rsid w:val="005718EA"/>
    <w:rsid w:val="0057195F"/>
    <w:rsid w:val="00571A5E"/>
    <w:rsid w:val="00571AA0"/>
    <w:rsid w:val="00571C07"/>
    <w:rsid w:val="00571C96"/>
    <w:rsid w:val="00571CEE"/>
    <w:rsid w:val="00571D6C"/>
    <w:rsid w:val="00571DBE"/>
    <w:rsid w:val="00571F09"/>
    <w:rsid w:val="00572390"/>
    <w:rsid w:val="005725D2"/>
    <w:rsid w:val="00572715"/>
    <w:rsid w:val="0057287E"/>
    <w:rsid w:val="00572908"/>
    <w:rsid w:val="00572A39"/>
    <w:rsid w:val="00572A58"/>
    <w:rsid w:val="00572B75"/>
    <w:rsid w:val="00572B90"/>
    <w:rsid w:val="00572D2E"/>
    <w:rsid w:val="00572D5B"/>
    <w:rsid w:val="00572E64"/>
    <w:rsid w:val="005730C3"/>
    <w:rsid w:val="00573295"/>
    <w:rsid w:val="005732BC"/>
    <w:rsid w:val="005733F1"/>
    <w:rsid w:val="005734C2"/>
    <w:rsid w:val="005734C3"/>
    <w:rsid w:val="0057355A"/>
    <w:rsid w:val="005735D6"/>
    <w:rsid w:val="005737E6"/>
    <w:rsid w:val="005738E2"/>
    <w:rsid w:val="00573915"/>
    <w:rsid w:val="00573993"/>
    <w:rsid w:val="005739E3"/>
    <w:rsid w:val="00573B23"/>
    <w:rsid w:val="00573BCA"/>
    <w:rsid w:val="00573C7E"/>
    <w:rsid w:val="00573CED"/>
    <w:rsid w:val="00573D21"/>
    <w:rsid w:val="00573E35"/>
    <w:rsid w:val="00573F26"/>
    <w:rsid w:val="00573F3C"/>
    <w:rsid w:val="005742BC"/>
    <w:rsid w:val="0057440F"/>
    <w:rsid w:val="0057455D"/>
    <w:rsid w:val="005745C2"/>
    <w:rsid w:val="00574759"/>
    <w:rsid w:val="005747D7"/>
    <w:rsid w:val="005747EA"/>
    <w:rsid w:val="00574828"/>
    <w:rsid w:val="005748AA"/>
    <w:rsid w:val="005749A2"/>
    <w:rsid w:val="005749D5"/>
    <w:rsid w:val="00574ACB"/>
    <w:rsid w:val="00574AF0"/>
    <w:rsid w:val="00574B33"/>
    <w:rsid w:val="00574E00"/>
    <w:rsid w:val="00574EB8"/>
    <w:rsid w:val="00574EF4"/>
    <w:rsid w:val="00575048"/>
    <w:rsid w:val="00575063"/>
    <w:rsid w:val="005750EB"/>
    <w:rsid w:val="00575209"/>
    <w:rsid w:val="0057529E"/>
    <w:rsid w:val="0057532C"/>
    <w:rsid w:val="0057540C"/>
    <w:rsid w:val="005755AA"/>
    <w:rsid w:val="0057580D"/>
    <w:rsid w:val="00575863"/>
    <w:rsid w:val="005758B6"/>
    <w:rsid w:val="00575937"/>
    <w:rsid w:val="0057595B"/>
    <w:rsid w:val="00575A9B"/>
    <w:rsid w:val="00575AD3"/>
    <w:rsid w:val="00575B8E"/>
    <w:rsid w:val="00575BD8"/>
    <w:rsid w:val="00575C12"/>
    <w:rsid w:val="00575CB1"/>
    <w:rsid w:val="00575D3F"/>
    <w:rsid w:val="00575DF8"/>
    <w:rsid w:val="00575F9F"/>
    <w:rsid w:val="00575FB1"/>
    <w:rsid w:val="00575FBE"/>
    <w:rsid w:val="00576073"/>
    <w:rsid w:val="00576352"/>
    <w:rsid w:val="0057643C"/>
    <w:rsid w:val="00576516"/>
    <w:rsid w:val="0057668D"/>
    <w:rsid w:val="00576715"/>
    <w:rsid w:val="0057679A"/>
    <w:rsid w:val="00576A34"/>
    <w:rsid w:val="00576A81"/>
    <w:rsid w:val="00576AB8"/>
    <w:rsid w:val="00576BD1"/>
    <w:rsid w:val="00576C23"/>
    <w:rsid w:val="00576DA4"/>
    <w:rsid w:val="00576DA8"/>
    <w:rsid w:val="00576E10"/>
    <w:rsid w:val="00576F22"/>
    <w:rsid w:val="00576F5E"/>
    <w:rsid w:val="00576FE5"/>
    <w:rsid w:val="00577051"/>
    <w:rsid w:val="00577096"/>
    <w:rsid w:val="00577495"/>
    <w:rsid w:val="00577557"/>
    <w:rsid w:val="0057756D"/>
    <w:rsid w:val="005776A5"/>
    <w:rsid w:val="005776B2"/>
    <w:rsid w:val="0057773A"/>
    <w:rsid w:val="00577787"/>
    <w:rsid w:val="00577869"/>
    <w:rsid w:val="005779A2"/>
    <w:rsid w:val="005779FA"/>
    <w:rsid w:val="00577CAB"/>
    <w:rsid w:val="00577DF4"/>
    <w:rsid w:val="00577EB0"/>
    <w:rsid w:val="005800E8"/>
    <w:rsid w:val="00580176"/>
    <w:rsid w:val="0058037D"/>
    <w:rsid w:val="005803F4"/>
    <w:rsid w:val="00580413"/>
    <w:rsid w:val="0058043C"/>
    <w:rsid w:val="00580473"/>
    <w:rsid w:val="0058048A"/>
    <w:rsid w:val="00580524"/>
    <w:rsid w:val="005805BF"/>
    <w:rsid w:val="0058063F"/>
    <w:rsid w:val="00580D1D"/>
    <w:rsid w:val="00580E14"/>
    <w:rsid w:val="00580E4C"/>
    <w:rsid w:val="00580E4D"/>
    <w:rsid w:val="00580EB1"/>
    <w:rsid w:val="00580F62"/>
    <w:rsid w:val="00580FA1"/>
    <w:rsid w:val="00580FEB"/>
    <w:rsid w:val="0058106F"/>
    <w:rsid w:val="0058127B"/>
    <w:rsid w:val="00581555"/>
    <w:rsid w:val="005815AC"/>
    <w:rsid w:val="005816B6"/>
    <w:rsid w:val="0058175E"/>
    <w:rsid w:val="00581896"/>
    <w:rsid w:val="005818AE"/>
    <w:rsid w:val="005818D6"/>
    <w:rsid w:val="005819FB"/>
    <w:rsid w:val="00581A5F"/>
    <w:rsid w:val="00581B13"/>
    <w:rsid w:val="00581BDF"/>
    <w:rsid w:val="00581BF2"/>
    <w:rsid w:val="00581D3F"/>
    <w:rsid w:val="00581D4D"/>
    <w:rsid w:val="00582149"/>
    <w:rsid w:val="00582291"/>
    <w:rsid w:val="00582316"/>
    <w:rsid w:val="00582317"/>
    <w:rsid w:val="00582355"/>
    <w:rsid w:val="0058239F"/>
    <w:rsid w:val="00582440"/>
    <w:rsid w:val="005827C4"/>
    <w:rsid w:val="00582854"/>
    <w:rsid w:val="005828BA"/>
    <w:rsid w:val="005828DD"/>
    <w:rsid w:val="00582901"/>
    <w:rsid w:val="00582962"/>
    <w:rsid w:val="00582980"/>
    <w:rsid w:val="005829B4"/>
    <w:rsid w:val="00582B78"/>
    <w:rsid w:val="00582B90"/>
    <w:rsid w:val="00582BEC"/>
    <w:rsid w:val="00582D1B"/>
    <w:rsid w:val="00582E19"/>
    <w:rsid w:val="00582E28"/>
    <w:rsid w:val="00582E3C"/>
    <w:rsid w:val="00582EE8"/>
    <w:rsid w:val="00582F22"/>
    <w:rsid w:val="00582FF1"/>
    <w:rsid w:val="00583069"/>
    <w:rsid w:val="00583167"/>
    <w:rsid w:val="0058328E"/>
    <w:rsid w:val="005832AE"/>
    <w:rsid w:val="00583337"/>
    <w:rsid w:val="00583512"/>
    <w:rsid w:val="0058355A"/>
    <w:rsid w:val="005836EF"/>
    <w:rsid w:val="00583805"/>
    <w:rsid w:val="0058386D"/>
    <w:rsid w:val="0058391E"/>
    <w:rsid w:val="00583AC7"/>
    <w:rsid w:val="00583AE4"/>
    <w:rsid w:val="00583B0C"/>
    <w:rsid w:val="00583C9D"/>
    <w:rsid w:val="00583CEF"/>
    <w:rsid w:val="00583D32"/>
    <w:rsid w:val="00583F37"/>
    <w:rsid w:val="00583F58"/>
    <w:rsid w:val="00584167"/>
    <w:rsid w:val="00584185"/>
    <w:rsid w:val="0058422F"/>
    <w:rsid w:val="0058424B"/>
    <w:rsid w:val="0058438A"/>
    <w:rsid w:val="005843BA"/>
    <w:rsid w:val="005844E4"/>
    <w:rsid w:val="00584695"/>
    <w:rsid w:val="0058499B"/>
    <w:rsid w:val="00584A0D"/>
    <w:rsid w:val="00584A60"/>
    <w:rsid w:val="00584AD3"/>
    <w:rsid w:val="00584B14"/>
    <w:rsid w:val="00584B31"/>
    <w:rsid w:val="00584BA4"/>
    <w:rsid w:val="00584C5F"/>
    <w:rsid w:val="00584C65"/>
    <w:rsid w:val="00584CFF"/>
    <w:rsid w:val="00584D99"/>
    <w:rsid w:val="00584DE5"/>
    <w:rsid w:val="00584E29"/>
    <w:rsid w:val="00584EB9"/>
    <w:rsid w:val="0058513E"/>
    <w:rsid w:val="00585208"/>
    <w:rsid w:val="005852F0"/>
    <w:rsid w:val="0058544F"/>
    <w:rsid w:val="00585721"/>
    <w:rsid w:val="00585C55"/>
    <w:rsid w:val="00585D52"/>
    <w:rsid w:val="0058604B"/>
    <w:rsid w:val="00586051"/>
    <w:rsid w:val="00586058"/>
    <w:rsid w:val="0058605E"/>
    <w:rsid w:val="0058624D"/>
    <w:rsid w:val="00586284"/>
    <w:rsid w:val="00586320"/>
    <w:rsid w:val="00586357"/>
    <w:rsid w:val="0058638B"/>
    <w:rsid w:val="005863CF"/>
    <w:rsid w:val="005865DC"/>
    <w:rsid w:val="00586605"/>
    <w:rsid w:val="005866C7"/>
    <w:rsid w:val="00586714"/>
    <w:rsid w:val="0058677B"/>
    <w:rsid w:val="005867DD"/>
    <w:rsid w:val="005868DE"/>
    <w:rsid w:val="00586AE5"/>
    <w:rsid w:val="00586B43"/>
    <w:rsid w:val="00586CD0"/>
    <w:rsid w:val="00586DA4"/>
    <w:rsid w:val="00586E08"/>
    <w:rsid w:val="00586E63"/>
    <w:rsid w:val="00586ED2"/>
    <w:rsid w:val="00586F11"/>
    <w:rsid w:val="0058704C"/>
    <w:rsid w:val="0058706A"/>
    <w:rsid w:val="00587118"/>
    <w:rsid w:val="00587234"/>
    <w:rsid w:val="0058723D"/>
    <w:rsid w:val="00587571"/>
    <w:rsid w:val="0058776D"/>
    <w:rsid w:val="005877AC"/>
    <w:rsid w:val="005878B0"/>
    <w:rsid w:val="00587902"/>
    <w:rsid w:val="00587B06"/>
    <w:rsid w:val="00587B68"/>
    <w:rsid w:val="00587D23"/>
    <w:rsid w:val="00587D35"/>
    <w:rsid w:val="00587D5A"/>
    <w:rsid w:val="00587D90"/>
    <w:rsid w:val="00587DD8"/>
    <w:rsid w:val="00587DFB"/>
    <w:rsid w:val="00587F00"/>
    <w:rsid w:val="005900F3"/>
    <w:rsid w:val="005900F5"/>
    <w:rsid w:val="005901E3"/>
    <w:rsid w:val="00590248"/>
    <w:rsid w:val="0059024E"/>
    <w:rsid w:val="00590286"/>
    <w:rsid w:val="0059048C"/>
    <w:rsid w:val="00590507"/>
    <w:rsid w:val="00590647"/>
    <w:rsid w:val="00590681"/>
    <w:rsid w:val="00590750"/>
    <w:rsid w:val="005907A7"/>
    <w:rsid w:val="0059080C"/>
    <w:rsid w:val="00590C2F"/>
    <w:rsid w:val="00590E74"/>
    <w:rsid w:val="00590F44"/>
    <w:rsid w:val="00590FF9"/>
    <w:rsid w:val="0059107A"/>
    <w:rsid w:val="005910E5"/>
    <w:rsid w:val="00591226"/>
    <w:rsid w:val="00591243"/>
    <w:rsid w:val="005915E1"/>
    <w:rsid w:val="005915FC"/>
    <w:rsid w:val="005916E2"/>
    <w:rsid w:val="005918CE"/>
    <w:rsid w:val="00591909"/>
    <w:rsid w:val="0059191D"/>
    <w:rsid w:val="0059197A"/>
    <w:rsid w:val="00591A58"/>
    <w:rsid w:val="00591BDE"/>
    <w:rsid w:val="00591C31"/>
    <w:rsid w:val="00591CB8"/>
    <w:rsid w:val="00591CE3"/>
    <w:rsid w:val="00591D17"/>
    <w:rsid w:val="00591D2D"/>
    <w:rsid w:val="00591D70"/>
    <w:rsid w:val="00591DD3"/>
    <w:rsid w:val="00591F8D"/>
    <w:rsid w:val="00592171"/>
    <w:rsid w:val="005927DC"/>
    <w:rsid w:val="00592CA3"/>
    <w:rsid w:val="00592D6A"/>
    <w:rsid w:val="00592D9A"/>
    <w:rsid w:val="00593066"/>
    <w:rsid w:val="005930BF"/>
    <w:rsid w:val="00593125"/>
    <w:rsid w:val="00593134"/>
    <w:rsid w:val="005932CE"/>
    <w:rsid w:val="005932F9"/>
    <w:rsid w:val="0059330A"/>
    <w:rsid w:val="0059353E"/>
    <w:rsid w:val="005935D7"/>
    <w:rsid w:val="00593A93"/>
    <w:rsid w:val="00593AD9"/>
    <w:rsid w:val="00593B28"/>
    <w:rsid w:val="00593B63"/>
    <w:rsid w:val="00593BE5"/>
    <w:rsid w:val="00593C70"/>
    <w:rsid w:val="00593E57"/>
    <w:rsid w:val="00593E93"/>
    <w:rsid w:val="00593EBD"/>
    <w:rsid w:val="00593EF6"/>
    <w:rsid w:val="00593F1D"/>
    <w:rsid w:val="00593F2D"/>
    <w:rsid w:val="005940D2"/>
    <w:rsid w:val="00594103"/>
    <w:rsid w:val="00594221"/>
    <w:rsid w:val="00594321"/>
    <w:rsid w:val="005943C7"/>
    <w:rsid w:val="005944D7"/>
    <w:rsid w:val="00594537"/>
    <w:rsid w:val="005945AC"/>
    <w:rsid w:val="0059462F"/>
    <w:rsid w:val="0059470B"/>
    <w:rsid w:val="00594786"/>
    <w:rsid w:val="005947CC"/>
    <w:rsid w:val="0059497C"/>
    <w:rsid w:val="00594988"/>
    <w:rsid w:val="005949D1"/>
    <w:rsid w:val="00594BA3"/>
    <w:rsid w:val="00594C56"/>
    <w:rsid w:val="00594C95"/>
    <w:rsid w:val="00594DF6"/>
    <w:rsid w:val="00594E24"/>
    <w:rsid w:val="00594F64"/>
    <w:rsid w:val="0059513D"/>
    <w:rsid w:val="0059517E"/>
    <w:rsid w:val="00595224"/>
    <w:rsid w:val="0059529F"/>
    <w:rsid w:val="005953D6"/>
    <w:rsid w:val="00595457"/>
    <w:rsid w:val="0059548D"/>
    <w:rsid w:val="00595553"/>
    <w:rsid w:val="00595624"/>
    <w:rsid w:val="00595651"/>
    <w:rsid w:val="0059571A"/>
    <w:rsid w:val="0059590A"/>
    <w:rsid w:val="0059599C"/>
    <w:rsid w:val="005959C8"/>
    <w:rsid w:val="00595A13"/>
    <w:rsid w:val="00595A7C"/>
    <w:rsid w:val="00595CC0"/>
    <w:rsid w:val="00595CD4"/>
    <w:rsid w:val="00595D54"/>
    <w:rsid w:val="00595D65"/>
    <w:rsid w:val="00595D67"/>
    <w:rsid w:val="00595E13"/>
    <w:rsid w:val="00595E14"/>
    <w:rsid w:val="00595E2A"/>
    <w:rsid w:val="00595E91"/>
    <w:rsid w:val="00595F33"/>
    <w:rsid w:val="00595F48"/>
    <w:rsid w:val="00595F5D"/>
    <w:rsid w:val="00595FF6"/>
    <w:rsid w:val="00596031"/>
    <w:rsid w:val="00596091"/>
    <w:rsid w:val="00596180"/>
    <w:rsid w:val="00596199"/>
    <w:rsid w:val="00596228"/>
    <w:rsid w:val="0059629A"/>
    <w:rsid w:val="0059629E"/>
    <w:rsid w:val="005962D1"/>
    <w:rsid w:val="00596375"/>
    <w:rsid w:val="005963C5"/>
    <w:rsid w:val="00596476"/>
    <w:rsid w:val="005965A6"/>
    <w:rsid w:val="005966B7"/>
    <w:rsid w:val="00596727"/>
    <w:rsid w:val="00596786"/>
    <w:rsid w:val="00596934"/>
    <w:rsid w:val="00596A33"/>
    <w:rsid w:val="00596BF4"/>
    <w:rsid w:val="00596D2A"/>
    <w:rsid w:val="00596DE4"/>
    <w:rsid w:val="00596E42"/>
    <w:rsid w:val="00596E65"/>
    <w:rsid w:val="00596F02"/>
    <w:rsid w:val="00596F64"/>
    <w:rsid w:val="005970A6"/>
    <w:rsid w:val="005970FB"/>
    <w:rsid w:val="00597121"/>
    <w:rsid w:val="005971B3"/>
    <w:rsid w:val="00597329"/>
    <w:rsid w:val="00597364"/>
    <w:rsid w:val="00597469"/>
    <w:rsid w:val="005974D6"/>
    <w:rsid w:val="0059757F"/>
    <w:rsid w:val="0059779D"/>
    <w:rsid w:val="00597826"/>
    <w:rsid w:val="0059793B"/>
    <w:rsid w:val="00597A10"/>
    <w:rsid w:val="00597ACF"/>
    <w:rsid w:val="00597B0E"/>
    <w:rsid w:val="00597B7E"/>
    <w:rsid w:val="00597C34"/>
    <w:rsid w:val="00597CBE"/>
    <w:rsid w:val="00597CF1"/>
    <w:rsid w:val="00597E5E"/>
    <w:rsid w:val="00597EA7"/>
    <w:rsid w:val="005A004A"/>
    <w:rsid w:val="005A0161"/>
    <w:rsid w:val="005A0187"/>
    <w:rsid w:val="005A01B4"/>
    <w:rsid w:val="005A01FF"/>
    <w:rsid w:val="005A02EB"/>
    <w:rsid w:val="005A02F4"/>
    <w:rsid w:val="005A0431"/>
    <w:rsid w:val="005A0499"/>
    <w:rsid w:val="005A06FB"/>
    <w:rsid w:val="005A0766"/>
    <w:rsid w:val="005A07A0"/>
    <w:rsid w:val="005A08FE"/>
    <w:rsid w:val="005A0A1E"/>
    <w:rsid w:val="005A0AAB"/>
    <w:rsid w:val="005A0B15"/>
    <w:rsid w:val="005A0BC6"/>
    <w:rsid w:val="005A0C95"/>
    <w:rsid w:val="005A0CDD"/>
    <w:rsid w:val="005A0D83"/>
    <w:rsid w:val="005A0E1E"/>
    <w:rsid w:val="005A0E6D"/>
    <w:rsid w:val="005A1431"/>
    <w:rsid w:val="005A1441"/>
    <w:rsid w:val="005A14D3"/>
    <w:rsid w:val="005A14E2"/>
    <w:rsid w:val="005A14E4"/>
    <w:rsid w:val="005A156B"/>
    <w:rsid w:val="005A15BC"/>
    <w:rsid w:val="005A15D7"/>
    <w:rsid w:val="005A15DC"/>
    <w:rsid w:val="005A16AB"/>
    <w:rsid w:val="005A16B3"/>
    <w:rsid w:val="005A178A"/>
    <w:rsid w:val="005A183F"/>
    <w:rsid w:val="005A18B1"/>
    <w:rsid w:val="005A1979"/>
    <w:rsid w:val="005A199C"/>
    <w:rsid w:val="005A19DB"/>
    <w:rsid w:val="005A1B54"/>
    <w:rsid w:val="005A1BD8"/>
    <w:rsid w:val="005A1F56"/>
    <w:rsid w:val="005A1F88"/>
    <w:rsid w:val="005A2001"/>
    <w:rsid w:val="005A2121"/>
    <w:rsid w:val="005A2233"/>
    <w:rsid w:val="005A244C"/>
    <w:rsid w:val="005A245A"/>
    <w:rsid w:val="005A2466"/>
    <w:rsid w:val="005A2468"/>
    <w:rsid w:val="005A24A0"/>
    <w:rsid w:val="005A2685"/>
    <w:rsid w:val="005A270B"/>
    <w:rsid w:val="005A2747"/>
    <w:rsid w:val="005A2754"/>
    <w:rsid w:val="005A27E5"/>
    <w:rsid w:val="005A2853"/>
    <w:rsid w:val="005A2905"/>
    <w:rsid w:val="005A2B64"/>
    <w:rsid w:val="005A2BBA"/>
    <w:rsid w:val="005A2C3A"/>
    <w:rsid w:val="005A2F40"/>
    <w:rsid w:val="005A2F82"/>
    <w:rsid w:val="005A2FC4"/>
    <w:rsid w:val="005A2FCD"/>
    <w:rsid w:val="005A304C"/>
    <w:rsid w:val="005A3162"/>
    <w:rsid w:val="005A31F7"/>
    <w:rsid w:val="005A33C2"/>
    <w:rsid w:val="005A348E"/>
    <w:rsid w:val="005A34DA"/>
    <w:rsid w:val="005A353A"/>
    <w:rsid w:val="005A360E"/>
    <w:rsid w:val="005A3817"/>
    <w:rsid w:val="005A3933"/>
    <w:rsid w:val="005A3B30"/>
    <w:rsid w:val="005A3B92"/>
    <w:rsid w:val="005A3C7E"/>
    <w:rsid w:val="005A3D74"/>
    <w:rsid w:val="005A3DCC"/>
    <w:rsid w:val="005A3DDB"/>
    <w:rsid w:val="005A3DE2"/>
    <w:rsid w:val="005A3EEC"/>
    <w:rsid w:val="005A3F27"/>
    <w:rsid w:val="005A3F82"/>
    <w:rsid w:val="005A4022"/>
    <w:rsid w:val="005A4027"/>
    <w:rsid w:val="005A40AA"/>
    <w:rsid w:val="005A41A0"/>
    <w:rsid w:val="005A41F1"/>
    <w:rsid w:val="005A42B6"/>
    <w:rsid w:val="005A433E"/>
    <w:rsid w:val="005A434F"/>
    <w:rsid w:val="005A439F"/>
    <w:rsid w:val="005A44B0"/>
    <w:rsid w:val="005A4563"/>
    <w:rsid w:val="005A4627"/>
    <w:rsid w:val="005A471A"/>
    <w:rsid w:val="005A47CA"/>
    <w:rsid w:val="005A4871"/>
    <w:rsid w:val="005A49A3"/>
    <w:rsid w:val="005A4C7E"/>
    <w:rsid w:val="005A4D19"/>
    <w:rsid w:val="005A4DA0"/>
    <w:rsid w:val="005A4DB2"/>
    <w:rsid w:val="005A4F38"/>
    <w:rsid w:val="005A4FF4"/>
    <w:rsid w:val="005A521F"/>
    <w:rsid w:val="005A529D"/>
    <w:rsid w:val="005A5513"/>
    <w:rsid w:val="005A55E6"/>
    <w:rsid w:val="005A5678"/>
    <w:rsid w:val="005A56BB"/>
    <w:rsid w:val="005A574E"/>
    <w:rsid w:val="005A5783"/>
    <w:rsid w:val="005A57B9"/>
    <w:rsid w:val="005A5841"/>
    <w:rsid w:val="005A59EF"/>
    <w:rsid w:val="005A5A9B"/>
    <w:rsid w:val="005A5C3A"/>
    <w:rsid w:val="005A5C72"/>
    <w:rsid w:val="005A5CF3"/>
    <w:rsid w:val="005A5DB9"/>
    <w:rsid w:val="005A5E31"/>
    <w:rsid w:val="005A5F86"/>
    <w:rsid w:val="005A6313"/>
    <w:rsid w:val="005A63CC"/>
    <w:rsid w:val="005A6420"/>
    <w:rsid w:val="005A66EA"/>
    <w:rsid w:val="005A67A4"/>
    <w:rsid w:val="005A67D2"/>
    <w:rsid w:val="005A67E3"/>
    <w:rsid w:val="005A6846"/>
    <w:rsid w:val="005A68A7"/>
    <w:rsid w:val="005A68D8"/>
    <w:rsid w:val="005A6A23"/>
    <w:rsid w:val="005A6A78"/>
    <w:rsid w:val="005A6B23"/>
    <w:rsid w:val="005A6CC9"/>
    <w:rsid w:val="005A6E4C"/>
    <w:rsid w:val="005A6F29"/>
    <w:rsid w:val="005A6F77"/>
    <w:rsid w:val="005A6FF0"/>
    <w:rsid w:val="005A706A"/>
    <w:rsid w:val="005A70DA"/>
    <w:rsid w:val="005A72EA"/>
    <w:rsid w:val="005A7603"/>
    <w:rsid w:val="005A7644"/>
    <w:rsid w:val="005A76AA"/>
    <w:rsid w:val="005A76AC"/>
    <w:rsid w:val="005A7791"/>
    <w:rsid w:val="005A7849"/>
    <w:rsid w:val="005A790C"/>
    <w:rsid w:val="005A7B17"/>
    <w:rsid w:val="005A7C27"/>
    <w:rsid w:val="005A7CB1"/>
    <w:rsid w:val="005A7CCC"/>
    <w:rsid w:val="005A7D25"/>
    <w:rsid w:val="005A7D9A"/>
    <w:rsid w:val="005A7E7F"/>
    <w:rsid w:val="005A7EAA"/>
    <w:rsid w:val="005B0195"/>
    <w:rsid w:val="005B01A8"/>
    <w:rsid w:val="005B031B"/>
    <w:rsid w:val="005B0393"/>
    <w:rsid w:val="005B03A0"/>
    <w:rsid w:val="005B03FD"/>
    <w:rsid w:val="005B06A4"/>
    <w:rsid w:val="005B0750"/>
    <w:rsid w:val="005B0964"/>
    <w:rsid w:val="005B0AFC"/>
    <w:rsid w:val="005B0DFA"/>
    <w:rsid w:val="005B0F12"/>
    <w:rsid w:val="005B1002"/>
    <w:rsid w:val="005B10EF"/>
    <w:rsid w:val="005B1112"/>
    <w:rsid w:val="005B11FC"/>
    <w:rsid w:val="005B131E"/>
    <w:rsid w:val="005B14A7"/>
    <w:rsid w:val="005B16B4"/>
    <w:rsid w:val="005B16BB"/>
    <w:rsid w:val="005B16F7"/>
    <w:rsid w:val="005B1728"/>
    <w:rsid w:val="005B173C"/>
    <w:rsid w:val="005B1751"/>
    <w:rsid w:val="005B1778"/>
    <w:rsid w:val="005B1831"/>
    <w:rsid w:val="005B18A2"/>
    <w:rsid w:val="005B193F"/>
    <w:rsid w:val="005B1B32"/>
    <w:rsid w:val="005B1B6E"/>
    <w:rsid w:val="005B1D72"/>
    <w:rsid w:val="005B1E05"/>
    <w:rsid w:val="005B1EDC"/>
    <w:rsid w:val="005B1F9B"/>
    <w:rsid w:val="005B1FC1"/>
    <w:rsid w:val="005B2026"/>
    <w:rsid w:val="005B203B"/>
    <w:rsid w:val="005B2142"/>
    <w:rsid w:val="005B2159"/>
    <w:rsid w:val="005B21DD"/>
    <w:rsid w:val="005B21E0"/>
    <w:rsid w:val="005B2261"/>
    <w:rsid w:val="005B2424"/>
    <w:rsid w:val="005B2915"/>
    <w:rsid w:val="005B2994"/>
    <w:rsid w:val="005B2DC0"/>
    <w:rsid w:val="005B2F86"/>
    <w:rsid w:val="005B320B"/>
    <w:rsid w:val="005B3295"/>
    <w:rsid w:val="005B32A6"/>
    <w:rsid w:val="005B3467"/>
    <w:rsid w:val="005B3469"/>
    <w:rsid w:val="005B3533"/>
    <w:rsid w:val="005B3687"/>
    <w:rsid w:val="005B372C"/>
    <w:rsid w:val="005B39E2"/>
    <w:rsid w:val="005B3A49"/>
    <w:rsid w:val="005B3A93"/>
    <w:rsid w:val="005B3AD4"/>
    <w:rsid w:val="005B3ADF"/>
    <w:rsid w:val="005B3B9E"/>
    <w:rsid w:val="005B3E05"/>
    <w:rsid w:val="005B3E10"/>
    <w:rsid w:val="005B3E27"/>
    <w:rsid w:val="005B3E67"/>
    <w:rsid w:val="005B3E94"/>
    <w:rsid w:val="005B3EB0"/>
    <w:rsid w:val="005B3ED9"/>
    <w:rsid w:val="005B4026"/>
    <w:rsid w:val="005B41D4"/>
    <w:rsid w:val="005B42FB"/>
    <w:rsid w:val="005B437A"/>
    <w:rsid w:val="005B4568"/>
    <w:rsid w:val="005B45AC"/>
    <w:rsid w:val="005B468A"/>
    <w:rsid w:val="005B475A"/>
    <w:rsid w:val="005B47C5"/>
    <w:rsid w:val="005B47DE"/>
    <w:rsid w:val="005B49DE"/>
    <w:rsid w:val="005B4A69"/>
    <w:rsid w:val="005B4B95"/>
    <w:rsid w:val="005B4BDA"/>
    <w:rsid w:val="005B4BDB"/>
    <w:rsid w:val="005B4BDC"/>
    <w:rsid w:val="005B4D68"/>
    <w:rsid w:val="005B4E64"/>
    <w:rsid w:val="005B51AC"/>
    <w:rsid w:val="005B51E1"/>
    <w:rsid w:val="005B5406"/>
    <w:rsid w:val="005B544C"/>
    <w:rsid w:val="005B5508"/>
    <w:rsid w:val="005B5720"/>
    <w:rsid w:val="005B5752"/>
    <w:rsid w:val="005B58FA"/>
    <w:rsid w:val="005B5949"/>
    <w:rsid w:val="005B5957"/>
    <w:rsid w:val="005B59EE"/>
    <w:rsid w:val="005B5C05"/>
    <w:rsid w:val="005B5E17"/>
    <w:rsid w:val="005B5E1A"/>
    <w:rsid w:val="005B5E2A"/>
    <w:rsid w:val="005B5EBE"/>
    <w:rsid w:val="005B5F55"/>
    <w:rsid w:val="005B5FA7"/>
    <w:rsid w:val="005B626A"/>
    <w:rsid w:val="005B62C8"/>
    <w:rsid w:val="005B6302"/>
    <w:rsid w:val="005B6526"/>
    <w:rsid w:val="005B67CE"/>
    <w:rsid w:val="005B6A50"/>
    <w:rsid w:val="005B6B00"/>
    <w:rsid w:val="005B6BC3"/>
    <w:rsid w:val="005B6D16"/>
    <w:rsid w:val="005B6FEC"/>
    <w:rsid w:val="005B7101"/>
    <w:rsid w:val="005B7102"/>
    <w:rsid w:val="005B7123"/>
    <w:rsid w:val="005B716F"/>
    <w:rsid w:val="005B71CF"/>
    <w:rsid w:val="005B721A"/>
    <w:rsid w:val="005B7314"/>
    <w:rsid w:val="005B7488"/>
    <w:rsid w:val="005B7502"/>
    <w:rsid w:val="005B7517"/>
    <w:rsid w:val="005B786F"/>
    <w:rsid w:val="005B78C7"/>
    <w:rsid w:val="005B7937"/>
    <w:rsid w:val="005B7958"/>
    <w:rsid w:val="005B79E0"/>
    <w:rsid w:val="005B7BB1"/>
    <w:rsid w:val="005B7E95"/>
    <w:rsid w:val="005B7F2E"/>
    <w:rsid w:val="005B7F76"/>
    <w:rsid w:val="005C01C9"/>
    <w:rsid w:val="005C0208"/>
    <w:rsid w:val="005C0239"/>
    <w:rsid w:val="005C02A4"/>
    <w:rsid w:val="005C02B5"/>
    <w:rsid w:val="005C03B3"/>
    <w:rsid w:val="005C0412"/>
    <w:rsid w:val="005C0431"/>
    <w:rsid w:val="005C0551"/>
    <w:rsid w:val="005C05FE"/>
    <w:rsid w:val="005C061A"/>
    <w:rsid w:val="005C0661"/>
    <w:rsid w:val="005C071A"/>
    <w:rsid w:val="005C07DB"/>
    <w:rsid w:val="005C0A0B"/>
    <w:rsid w:val="005C0A29"/>
    <w:rsid w:val="005C0AE3"/>
    <w:rsid w:val="005C0B62"/>
    <w:rsid w:val="005C0BEF"/>
    <w:rsid w:val="005C0DE2"/>
    <w:rsid w:val="005C0EAE"/>
    <w:rsid w:val="005C0F46"/>
    <w:rsid w:val="005C100D"/>
    <w:rsid w:val="005C1082"/>
    <w:rsid w:val="005C1455"/>
    <w:rsid w:val="005C145C"/>
    <w:rsid w:val="005C147B"/>
    <w:rsid w:val="005C148D"/>
    <w:rsid w:val="005C1513"/>
    <w:rsid w:val="005C155C"/>
    <w:rsid w:val="005C1622"/>
    <w:rsid w:val="005C16D4"/>
    <w:rsid w:val="005C1761"/>
    <w:rsid w:val="005C1834"/>
    <w:rsid w:val="005C18E4"/>
    <w:rsid w:val="005C1935"/>
    <w:rsid w:val="005C1B1B"/>
    <w:rsid w:val="005C1B2B"/>
    <w:rsid w:val="005C1B4A"/>
    <w:rsid w:val="005C1B4C"/>
    <w:rsid w:val="005C1BAB"/>
    <w:rsid w:val="005C1BDD"/>
    <w:rsid w:val="005C1D6D"/>
    <w:rsid w:val="005C1D98"/>
    <w:rsid w:val="005C1DEB"/>
    <w:rsid w:val="005C1E85"/>
    <w:rsid w:val="005C1E8D"/>
    <w:rsid w:val="005C1F06"/>
    <w:rsid w:val="005C1FB9"/>
    <w:rsid w:val="005C1FEC"/>
    <w:rsid w:val="005C20D2"/>
    <w:rsid w:val="005C218A"/>
    <w:rsid w:val="005C21BE"/>
    <w:rsid w:val="005C21DF"/>
    <w:rsid w:val="005C2293"/>
    <w:rsid w:val="005C23DD"/>
    <w:rsid w:val="005C2499"/>
    <w:rsid w:val="005C24C7"/>
    <w:rsid w:val="005C262E"/>
    <w:rsid w:val="005C2658"/>
    <w:rsid w:val="005C2794"/>
    <w:rsid w:val="005C27E8"/>
    <w:rsid w:val="005C280F"/>
    <w:rsid w:val="005C2981"/>
    <w:rsid w:val="005C298A"/>
    <w:rsid w:val="005C2A13"/>
    <w:rsid w:val="005C2A8A"/>
    <w:rsid w:val="005C2BFD"/>
    <w:rsid w:val="005C2C87"/>
    <w:rsid w:val="005C2CCB"/>
    <w:rsid w:val="005C2D09"/>
    <w:rsid w:val="005C2E76"/>
    <w:rsid w:val="005C2F42"/>
    <w:rsid w:val="005C3055"/>
    <w:rsid w:val="005C305E"/>
    <w:rsid w:val="005C30C8"/>
    <w:rsid w:val="005C30DC"/>
    <w:rsid w:val="005C323C"/>
    <w:rsid w:val="005C32A2"/>
    <w:rsid w:val="005C32FE"/>
    <w:rsid w:val="005C3310"/>
    <w:rsid w:val="005C33B6"/>
    <w:rsid w:val="005C3426"/>
    <w:rsid w:val="005C351D"/>
    <w:rsid w:val="005C35EB"/>
    <w:rsid w:val="005C3732"/>
    <w:rsid w:val="005C37C8"/>
    <w:rsid w:val="005C3843"/>
    <w:rsid w:val="005C3853"/>
    <w:rsid w:val="005C386B"/>
    <w:rsid w:val="005C3940"/>
    <w:rsid w:val="005C39F5"/>
    <w:rsid w:val="005C3B00"/>
    <w:rsid w:val="005C3F0E"/>
    <w:rsid w:val="005C3FD7"/>
    <w:rsid w:val="005C3FFD"/>
    <w:rsid w:val="005C40A1"/>
    <w:rsid w:val="005C40EF"/>
    <w:rsid w:val="005C41B3"/>
    <w:rsid w:val="005C41F9"/>
    <w:rsid w:val="005C42A1"/>
    <w:rsid w:val="005C430A"/>
    <w:rsid w:val="005C4398"/>
    <w:rsid w:val="005C45FD"/>
    <w:rsid w:val="005C46E1"/>
    <w:rsid w:val="005C4768"/>
    <w:rsid w:val="005C47BC"/>
    <w:rsid w:val="005C4942"/>
    <w:rsid w:val="005C4A24"/>
    <w:rsid w:val="005C4A32"/>
    <w:rsid w:val="005C4AFD"/>
    <w:rsid w:val="005C4C88"/>
    <w:rsid w:val="005C4CE4"/>
    <w:rsid w:val="005C4ED7"/>
    <w:rsid w:val="005C4F3E"/>
    <w:rsid w:val="005C4F6B"/>
    <w:rsid w:val="005C503A"/>
    <w:rsid w:val="005C5109"/>
    <w:rsid w:val="005C522E"/>
    <w:rsid w:val="005C5299"/>
    <w:rsid w:val="005C5338"/>
    <w:rsid w:val="005C538E"/>
    <w:rsid w:val="005C53E9"/>
    <w:rsid w:val="005C570A"/>
    <w:rsid w:val="005C593E"/>
    <w:rsid w:val="005C594D"/>
    <w:rsid w:val="005C5A71"/>
    <w:rsid w:val="005C5AC3"/>
    <w:rsid w:val="005C5BA6"/>
    <w:rsid w:val="005C5BA8"/>
    <w:rsid w:val="005C5C7C"/>
    <w:rsid w:val="005C5E11"/>
    <w:rsid w:val="005C5E2D"/>
    <w:rsid w:val="005C5EA9"/>
    <w:rsid w:val="005C5ECB"/>
    <w:rsid w:val="005C6331"/>
    <w:rsid w:val="005C63B4"/>
    <w:rsid w:val="005C63D8"/>
    <w:rsid w:val="005C6467"/>
    <w:rsid w:val="005C64A0"/>
    <w:rsid w:val="005C64B2"/>
    <w:rsid w:val="005C64E3"/>
    <w:rsid w:val="005C657B"/>
    <w:rsid w:val="005C65A2"/>
    <w:rsid w:val="005C663B"/>
    <w:rsid w:val="005C669F"/>
    <w:rsid w:val="005C66BE"/>
    <w:rsid w:val="005C6701"/>
    <w:rsid w:val="005C6704"/>
    <w:rsid w:val="005C6842"/>
    <w:rsid w:val="005C690C"/>
    <w:rsid w:val="005C6A47"/>
    <w:rsid w:val="005C6BE0"/>
    <w:rsid w:val="005C6BEC"/>
    <w:rsid w:val="005C6E0F"/>
    <w:rsid w:val="005C6EC5"/>
    <w:rsid w:val="005C6F2C"/>
    <w:rsid w:val="005C6F3F"/>
    <w:rsid w:val="005C702B"/>
    <w:rsid w:val="005C7038"/>
    <w:rsid w:val="005C709B"/>
    <w:rsid w:val="005C70E1"/>
    <w:rsid w:val="005C71BC"/>
    <w:rsid w:val="005C727E"/>
    <w:rsid w:val="005C72D9"/>
    <w:rsid w:val="005C72DF"/>
    <w:rsid w:val="005C74DA"/>
    <w:rsid w:val="005C772A"/>
    <w:rsid w:val="005C7741"/>
    <w:rsid w:val="005C775A"/>
    <w:rsid w:val="005C77D0"/>
    <w:rsid w:val="005C783D"/>
    <w:rsid w:val="005C7856"/>
    <w:rsid w:val="005C796D"/>
    <w:rsid w:val="005C79E7"/>
    <w:rsid w:val="005C7BC8"/>
    <w:rsid w:val="005C7C1A"/>
    <w:rsid w:val="005C7C97"/>
    <w:rsid w:val="005C7C98"/>
    <w:rsid w:val="005D024A"/>
    <w:rsid w:val="005D0356"/>
    <w:rsid w:val="005D0389"/>
    <w:rsid w:val="005D03F4"/>
    <w:rsid w:val="005D0425"/>
    <w:rsid w:val="005D050F"/>
    <w:rsid w:val="005D06B2"/>
    <w:rsid w:val="005D07F7"/>
    <w:rsid w:val="005D0845"/>
    <w:rsid w:val="005D09C4"/>
    <w:rsid w:val="005D09FA"/>
    <w:rsid w:val="005D0A74"/>
    <w:rsid w:val="005D0BF6"/>
    <w:rsid w:val="005D0E66"/>
    <w:rsid w:val="005D0F40"/>
    <w:rsid w:val="005D100D"/>
    <w:rsid w:val="005D1034"/>
    <w:rsid w:val="005D109B"/>
    <w:rsid w:val="005D1111"/>
    <w:rsid w:val="005D1241"/>
    <w:rsid w:val="005D13B4"/>
    <w:rsid w:val="005D14C8"/>
    <w:rsid w:val="005D1673"/>
    <w:rsid w:val="005D1698"/>
    <w:rsid w:val="005D16EF"/>
    <w:rsid w:val="005D17B6"/>
    <w:rsid w:val="005D17D0"/>
    <w:rsid w:val="005D19FE"/>
    <w:rsid w:val="005D1CD6"/>
    <w:rsid w:val="005D1D82"/>
    <w:rsid w:val="005D20B2"/>
    <w:rsid w:val="005D213B"/>
    <w:rsid w:val="005D23F3"/>
    <w:rsid w:val="005D256C"/>
    <w:rsid w:val="005D261F"/>
    <w:rsid w:val="005D268C"/>
    <w:rsid w:val="005D26F3"/>
    <w:rsid w:val="005D28E9"/>
    <w:rsid w:val="005D2A48"/>
    <w:rsid w:val="005D2B52"/>
    <w:rsid w:val="005D2B60"/>
    <w:rsid w:val="005D2B69"/>
    <w:rsid w:val="005D2B82"/>
    <w:rsid w:val="005D2C79"/>
    <w:rsid w:val="005D2CEC"/>
    <w:rsid w:val="005D2D52"/>
    <w:rsid w:val="005D2E66"/>
    <w:rsid w:val="005D2F1C"/>
    <w:rsid w:val="005D30BB"/>
    <w:rsid w:val="005D3168"/>
    <w:rsid w:val="005D31CC"/>
    <w:rsid w:val="005D34CF"/>
    <w:rsid w:val="005D3639"/>
    <w:rsid w:val="005D36C9"/>
    <w:rsid w:val="005D3906"/>
    <w:rsid w:val="005D3933"/>
    <w:rsid w:val="005D39F6"/>
    <w:rsid w:val="005D3A1E"/>
    <w:rsid w:val="005D3A97"/>
    <w:rsid w:val="005D3AC1"/>
    <w:rsid w:val="005D3D61"/>
    <w:rsid w:val="005D3E60"/>
    <w:rsid w:val="005D41DC"/>
    <w:rsid w:val="005D4203"/>
    <w:rsid w:val="005D42C8"/>
    <w:rsid w:val="005D4521"/>
    <w:rsid w:val="005D45C1"/>
    <w:rsid w:val="005D463D"/>
    <w:rsid w:val="005D478E"/>
    <w:rsid w:val="005D480E"/>
    <w:rsid w:val="005D4A22"/>
    <w:rsid w:val="005D4AFB"/>
    <w:rsid w:val="005D4D17"/>
    <w:rsid w:val="005D4D3E"/>
    <w:rsid w:val="005D4DAD"/>
    <w:rsid w:val="005D4EB8"/>
    <w:rsid w:val="005D4EBF"/>
    <w:rsid w:val="005D4F96"/>
    <w:rsid w:val="005D4FD4"/>
    <w:rsid w:val="005D50C5"/>
    <w:rsid w:val="005D51CD"/>
    <w:rsid w:val="005D51D9"/>
    <w:rsid w:val="005D52E5"/>
    <w:rsid w:val="005D554F"/>
    <w:rsid w:val="005D56F7"/>
    <w:rsid w:val="005D5848"/>
    <w:rsid w:val="005D5919"/>
    <w:rsid w:val="005D5A48"/>
    <w:rsid w:val="005D5A83"/>
    <w:rsid w:val="005D5DA4"/>
    <w:rsid w:val="005D5E0F"/>
    <w:rsid w:val="005D5E73"/>
    <w:rsid w:val="005D5EE6"/>
    <w:rsid w:val="005D5FD8"/>
    <w:rsid w:val="005D5FFD"/>
    <w:rsid w:val="005D60E9"/>
    <w:rsid w:val="005D6110"/>
    <w:rsid w:val="005D620A"/>
    <w:rsid w:val="005D6240"/>
    <w:rsid w:val="005D6252"/>
    <w:rsid w:val="005D627A"/>
    <w:rsid w:val="005D6384"/>
    <w:rsid w:val="005D6419"/>
    <w:rsid w:val="005D65F5"/>
    <w:rsid w:val="005D66C6"/>
    <w:rsid w:val="005D6B36"/>
    <w:rsid w:val="005D6D64"/>
    <w:rsid w:val="005D6E13"/>
    <w:rsid w:val="005D704B"/>
    <w:rsid w:val="005D7071"/>
    <w:rsid w:val="005D711D"/>
    <w:rsid w:val="005D7319"/>
    <w:rsid w:val="005D754B"/>
    <w:rsid w:val="005D7553"/>
    <w:rsid w:val="005D760D"/>
    <w:rsid w:val="005D7610"/>
    <w:rsid w:val="005D7747"/>
    <w:rsid w:val="005D781E"/>
    <w:rsid w:val="005D79E6"/>
    <w:rsid w:val="005D7C9A"/>
    <w:rsid w:val="005D7D3B"/>
    <w:rsid w:val="005D7F36"/>
    <w:rsid w:val="005E008F"/>
    <w:rsid w:val="005E0192"/>
    <w:rsid w:val="005E02AE"/>
    <w:rsid w:val="005E02F1"/>
    <w:rsid w:val="005E0329"/>
    <w:rsid w:val="005E0378"/>
    <w:rsid w:val="005E03F6"/>
    <w:rsid w:val="005E0445"/>
    <w:rsid w:val="005E0529"/>
    <w:rsid w:val="005E0569"/>
    <w:rsid w:val="005E05F8"/>
    <w:rsid w:val="005E07FD"/>
    <w:rsid w:val="005E0A22"/>
    <w:rsid w:val="005E0B1D"/>
    <w:rsid w:val="005E0B6E"/>
    <w:rsid w:val="005E0BE1"/>
    <w:rsid w:val="005E0D18"/>
    <w:rsid w:val="005E0EAF"/>
    <w:rsid w:val="005E0F55"/>
    <w:rsid w:val="005E1094"/>
    <w:rsid w:val="005E1121"/>
    <w:rsid w:val="005E1269"/>
    <w:rsid w:val="005E12CD"/>
    <w:rsid w:val="005E1372"/>
    <w:rsid w:val="005E13A1"/>
    <w:rsid w:val="005E13BB"/>
    <w:rsid w:val="005E1426"/>
    <w:rsid w:val="005E15A9"/>
    <w:rsid w:val="005E15FD"/>
    <w:rsid w:val="005E16F1"/>
    <w:rsid w:val="005E1756"/>
    <w:rsid w:val="005E177C"/>
    <w:rsid w:val="005E1806"/>
    <w:rsid w:val="005E1882"/>
    <w:rsid w:val="005E189E"/>
    <w:rsid w:val="005E19AB"/>
    <w:rsid w:val="005E1A46"/>
    <w:rsid w:val="005E1A53"/>
    <w:rsid w:val="005E1AD9"/>
    <w:rsid w:val="005E1B41"/>
    <w:rsid w:val="005E1C94"/>
    <w:rsid w:val="005E1EE9"/>
    <w:rsid w:val="005E1FAA"/>
    <w:rsid w:val="005E1FDA"/>
    <w:rsid w:val="005E1FE7"/>
    <w:rsid w:val="005E215A"/>
    <w:rsid w:val="005E22DD"/>
    <w:rsid w:val="005E2554"/>
    <w:rsid w:val="005E270B"/>
    <w:rsid w:val="005E2A2B"/>
    <w:rsid w:val="005E2AA2"/>
    <w:rsid w:val="005E2AB4"/>
    <w:rsid w:val="005E2B1C"/>
    <w:rsid w:val="005E2B3B"/>
    <w:rsid w:val="005E2B58"/>
    <w:rsid w:val="005E2C53"/>
    <w:rsid w:val="005E2CFF"/>
    <w:rsid w:val="005E2D10"/>
    <w:rsid w:val="005E2D5E"/>
    <w:rsid w:val="005E2DAB"/>
    <w:rsid w:val="005E2F8E"/>
    <w:rsid w:val="005E3112"/>
    <w:rsid w:val="005E327B"/>
    <w:rsid w:val="005E35AB"/>
    <w:rsid w:val="005E364A"/>
    <w:rsid w:val="005E36C1"/>
    <w:rsid w:val="005E36E1"/>
    <w:rsid w:val="005E38A5"/>
    <w:rsid w:val="005E39A8"/>
    <w:rsid w:val="005E39CB"/>
    <w:rsid w:val="005E3A00"/>
    <w:rsid w:val="005E3A02"/>
    <w:rsid w:val="005E3A6F"/>
    <w:rsid w:val="005E3D3B"/>
    <w:rsid w:val="005E3D84"/>
    <w:rsid w:val="005E3DCD"/>
    <w:rsid w:val="005E3EFB"/>
    <w:rsid w:val="005E40BC"/>
    <w:rsid w:val="005E40F3"/>
    <w:rsid w:val="005E41F7"/>
    <w:rsid w:val="005E4315"/>
    <w:rsid w:val="005E444A"/>
    <w:rsid w:val="005E45F7"/>
    <w:rsid w:val="005E4733"/>
    <w:rsid w:val="005E475F"/>
    <w:rsid w:val="005E47B7"/>
    <w:rsid w:val="005E47D3"/>
    <w:rsid w:val="005E47FF"/>
    <w:rsid w:val="005E49BC"/>
    <w:rsid w:val="005E4A07"/>
    <w:rsid w:val="005E4A7B"/>
    <w:rsid w:val="005E4AE5"/>
    <w:rsid w:val="005E4B06"/>
    <w:rsid w:val="005E4B9C"/>
    <w:rsid w:val="005E4D19"/>
    <w:rsid w:val="005E4E8A"/>
    <w:rsid w:val="005E5006"/>
    <w:rsid w:val="005E51E2"/>
    <w:rsid w:val="005E5399"/>
    <w:rsid w:val="005E5438"/>
    <w:rsid w:val="005E5461"/>
    <w:rsid w:val="005E5488"/>
    <w:rsid w:val="005E5668"/>
    <w:rsid w:val="005E5833"/>
    <w:rsid w:val="005E58D9"/>
    <w:rsid w:val="005E5903"/>
    <w:rsid w:val="005E5C30"/>
    <w:rsid w:val="005E5DA9"/>
    <w:rsid w:val="005E6175"/>
    <w:rsid w:val="005E6264"/>
    <w:rsid w:val="005E62E6"/>
    <w:rsid w:val="005E62EB"/>
    <w:rsid w:val="005E6457"/>
    <w:rsid w:val="005E64C3"/>
    <w:rsid w:val="005E6878"/>
    <w:rsid w:val="005E6941"/>
    <w:rsid w:val="005E6998"/>
    <w:rsid w:val="005E6A31"/>
    <w:rsid w:val="005E6CE5"/>
    <w:rsid w:val="005E6D51"/>
    <w:rsid w:val="005E6E46"/>
    <w:rsid w:val="005E6F46"/>
    <w:rsid w:val="005E6F69"/>
    <w:rsid w:val="005E7047"/>
    <w:rsid w:val="005E7064"/>
    <w:rsid w:val="005E70CF"/>
    <w:rsid w:val="005E7102"/>
    <w:rsid w:val="005E7114"/>
    <w:rsid w:val="005E717B"/>
    <w:rsid w:val="005E734A"/>
    <w:rsid w:val="005E734E"/>
    <w:rsid w:val="005E73E5"/>
    <w:rsid w:val="005E7410"/>
    <w:rsid w:val="005E74DB"/>
    <w:rsid w:val="005E7525"/>
    <w:rsid w:val="005E75E7"/>
    <w:rsid w:val="005E7662"/>
    <w:rsid w:val="005E7749"/>
    <w:rsid w:val="005E7762"/>
    <w:rsid w:val="005E7814"/>
    <w:rsid w:val="005E787A"/>
    <w:rsid w:val="005E7AAD"/>
    <w:rsid w:val="005E7B24"/>
    <w:rsid w:val="005E7B69"/>
    <w:rsid w:val="005E7B85"/>
    <w:rsid w:val="005E7C70"/>
    <w:rsid w:val="005E7DB2"/>
    <w:rsid w:val="005E7E32"/>
    <w:rsid w:val="005E7E3A"/>
    <w:rsid w:val="005E7E4B"/>
    <w:rsid w:val="005E7E77"/>
    <w:rsid w:val="005E7FE8"/>
    <w:rsid w:val="005F02BB"/>
    <w:rsid w:val="005F03B0"/>
    <w:rsid w:val="005F05F9"/>
    <w:rsid w:val="005F0744"/>
    <w:rsid w:val="005F07BD"/>
    <w:rsid w:val="005F0811"/>
    <w:rsid w:val="005F0828"/>
    <w:rsid w:val="005F0842"/>
    <w:rsid w:val="005F08C7"/>
    <w:rsid w:val="005F0FC4"/>
    <w:rsid w:val="005F1029"/>
    <w:rsid w:val="005F10C7"/>
    <w:rsid w:val="005F1434"/>
    <w:rsid w:val="005F15A2"/>
    <w:rsid w:val="005F1612"/>
    <w:rsid w:val="005F17AF"/>
    <w:rsid w:val="005F1889"/>
    <w:rsid w:val="005F196C"/>
    <w:rsid w:val="005F1970"/>
    <w:rsid w:val="005F19E4"/>
    <w:rsid w:val="005F1AC1"/>
    <w:rsid w:val="005F1B3B"/>
    <w:rsid w:val="005F1BAA"/>
    <w:rsid w:val="005F1CAD"/>
    <w:rsid w:val="005F1D20"/>
    <w:rsid w:val="005F1E81"/>
    <w:rsid w:val="005F1E83"/>
    <w:rsid w:val="005F1F34"/>
    <w:rsid w:val="005F205A"/>
    <w:rsid w:val="005F2119"/>
    <w:rsid w:val="005F21A7"/>
    <w:rsid w:val="005F23BA"/>
    <w:rsid w:val="005F2436"/>
    <w:rsid w:val="005F2440"/>
    <w:rsid w:val="005F2505"/>
    <w:rsid w:val="005F253B"/>
    <w:rsid w:val="005F25B6"/>
    <w:rsid w:val="005F26B0"/>
    <w:rsid w:val="005F2738"/>
    <w:rsid w:val="005F2763"/>
    <w:rsid w:val="005F2872"/>
    <w:rsid w:val="005F28FC"/>
    <w:rsid w:val="005F2952"/>
    <w:rsid w:val="005F2977"/>
    <w:rsid w:val="005F2A9C"/>
    <w:rsid w:val="005F2AB9"/>
    <w:rsid w:val="005F2C51"/>
    <w:rsid w:val="005F2C56"/>
    <w:rsid w:val="005F2C91"/>
    <w:rsid w:val="005F2D13"/>
    <w:rsid w:val="005F2D2F"/>
    <w:rsid w:val="005F2D6A"/>
    <w:rsid w:val="005F2F1C"/>
    <w:rsid w:val="005F2F2D"/>
    <w:rsid w:val="005F2FD2"/>
    <w:rsid w:val="005F30C0"/>
    <w:rsid w:val="005F312B"/>
    <w:rsid w:val="005F333C"/>
    <w:rsid w:val="005F3341"/>
    <w:rsid w:val="005F34A6"/>
    <w:rsid w:val="005F34D4"/>
    <w:rsid w:val="005F34D9"/>
    <w:rsid w:val="005F35EE"/>
    <w:rsid w:val="005F360F"/>
    <w:rsid w:val="005F37F4"/>
    <w:rsid w:val="005F386E"/>
    <w:rsid w:val="005F3914"/>
    <w:rsid w:val="005F3984"/>
    <w:rsid w:val="005F3A5B"/>
    <w:rsid w:val="005F3AEA"/>
    <w:rsid w:val="005F3C2E"/>
    <w:rsid w:val="005F3C58"/>
    <w:rsid w:val="005F3CBF"/>
    <w:rsid w:val="005F3CF0"/>
    <w:rsid w:val="005F3DB3"/>
    <w:rsid w:val="005F3E2F"/>
    <w:rsid w:val="005F3F5F"/>
    <w:rsid w:val="005F4034"/>
    <w:rsid w:val="005F407A"/>
    <w:rsid w:val="005F4260"/>
    <w:rsid w:val="005F42B6"/>
    <w:rsid w:val="005F435C"/>
    <w:rsid w:val="005F4397"/>
    <w:rsid w:val="005F4507"/>
    <w:rsid w:val="005F451C"/>
    <w:rsid w:val="005F47B1"/>
    <w:rsid w:val="005F4871"/>
    <w:rsid w:val="005F48CB"/>
    <w:rsid w:val="005F48F9"/>
    <w:rsid w:val="005F4903"/>
    <w:rsid w:val="005F4945"/>
    <w:rsid w:val="005F49BE"/>
    <w:rsid w:val="005F4D21"/>
    <w:rsid w:val="005F4D96"/>
    <w:rsid w:val="005F4E49"/>
    <w:rsid w:val="005F5032"/>
    <w:rsid w:val="005F5045"/>
    <w:rsid w:val="005F5063"/>
    <w:rsid w:val="005F509B"/>
    <w:rsid w:val="005F524C"/>
    <w:rsid w:val="005F5259"/>
    <w:rsid w:val="005F5283"/>
    <w:rsid w:val="005F5360"/>
    <w:rsid w:val="005F5426"/>
    <w:rsid w:val="005F556D"/>
    <w:rsid w:val="005F557B"/>
    <w:rsid w:val="005F562F"/>
    <w:rsid w:val="005F56E6"/>
    <w:rsid w:val="005F572A"/>
    <w:rsid w:val="005F576E"/>
    <w:rsid w:val="005F59D6"/>
    <w:rsid w:val="005F5AC3"/>
    <w:rsid w:val="005F5AC4"/>
    <w:rsid w:val="005F5B6B"/>
    <w:rsid w:val="005F5DB9"/>
    <w:rsid w:val="005F5DBC"/>
    <w:rsid w:val="005F5EBC"/>
    <w:rsid w:val="005F5FD5"/>
    <w:rsid w:val="005F6091"/>
    <w:rsid w:val="005F6160"/>
    <w:rsid w:val="005F6168"/>
    <w:rsid w:val="005F6190"/>
    <w:rsid w:val="005F635E"/>
    <w:rsid w:val="005F6410"/>
    <w:rsid w:val="005F64D7"/>
    <w:rsid w:val="005F6670"/>
    <w:rsid w:val="005F66B3"/>
    <w:rsid w:val="005F66F4"/>
    <w:rsid w:val="005F674B"/>
    <w:rsid w:val="005F676D"/>
    <w:rsid w:val="005F6794"/>
    <w:rsid w:val="005F68F5"/>
    <w:rsid w:val="005F69A8"/>
    <w:rsid w:val="005F6A7B"/>
    <w:rsid w:val="005F6D0A"/>
    <w:rsid w:val="005F6F9B"/>
    <w:rsid w:val="005F6FD3"/>
    <w:rsid w:val="005F71A4"/>
    <w:rsid w:val="005F7208"/>
    <w:rsid w:val="005F7209"/>
    <w:rsid w:val="005F7229"/>
    <w:rsid w:val="005F732F"/>
    <w:rsid w:val="005F7401"/>
    <w:rsid w:val="005F747F"/>
    <w:rsid w:val="005F7620"/>
    <w:rsid w:val="005F7641"/>
    <w:rsid w:val="005F7726"/>
    <w:rsid w:val="005F7814"/>
    <w:rsid w:val="005F7932"/>
    <w:rsid w:val="005F79E9"/>
    <w:rsid w:val="005F7A37"/>
    <w:rsid w:val="005F7E18"/>
    <w:rsid w:val="005F7E2C"/>
    <w:rsid w:val="0060003B"/>
    <w:rsid w:val="00600082"/>
    <w:rsid w:val="0060018B"/>
    <w:rsid w:val="006001A9"/>
    <w:rsid w:val="0060024A"/>
    <w:rsid w:val="0060032C"/>
    <w:rsid w:val="00600450"/>
    <w:rsid w:val="00600599"/>
    <w:rsid w:val="006006B9"/>
    <w:rsid w:val="00600913"/>
    <w:rsid w:val="00600935"/>
    <w:rsid w:val="006009F5"/>
    <w:rsid w:val="00600A15"/>
    <w:rsid w:val="00600A72"/>
    <w:rsid w:val="00600AF6"/>
    <w:rsid w:val="00600B4D"/>
    <w:rsid w:val="00600B73"/>
    <w:rsid w:val="00600BC9"/>
    <w:rsid w:val="00600C5B"/>
    <w:rsid w:val="00600E42"/>
    <w:rsid w:val="00600E7E"/>
    <w:rsid w:val="00600FBC"/>
    <w:rsid w:val="00600FFB"/>
    <w:rsid w:val="0060100E"/>
    <w:rsid w:val="0060105F"/>
    <w:rsid w:val="006010A7"/>
    <w:rsid w:val="006010CB"/>
    <w:rsid w:val="00601141"/>
    <w:rsid w:val="006011FC"/>
    <w:rsid w:val="00601201"/>
    <w:rsid w:val="00601311"/>
    <w:rsid w:val="00601643"/>
    <w:rsid w:val="00601650"/>
    <w:rsid w:val="0060169D"/>
    <w:rsid w:val="006016DC"/>
    <w:rsid w:val="00601734"/>
    <w:rsid w:val="00601760"/>
    <w:rsid w:val="006017CB"/>
    <w:rsid w:val="00601895"/>
    <w:rsid w:val="00601AC4"/>
    <w:rsid w:val="00601AC5"/>
    <w:rsid w:val="00601D14"/>
    <w:rsid w:val="00601EE7"/>
    <w:rsid w:val="00601FA7"/>
    <w:rsid w:val="00602023"/>
    <w:rsid w:val="0060206C"/>
    <w:rsid w:val="006021A8"/>
    <w:rsid w:val="0060234E"/>
    <w:rsid w:val="00602488"/>
    <w:rsid w:val="00602609"/>
    <w:rsid w:val="00602763"/>
    <w:rsid w:val="006027AB"/>
    <w:rsid w:val="00602A13"/>
    <w:rsid w:val="00602B19"/>
    <w:rsid w:val="00602D9D"/>
    <w:rsid w:val="00602E31"/>
    <w:rsid w:val="00602EE1"/>
    <w:rsid w:val="00602F25"/>
    <w:rsid w:val="00602F2D"/>
    <w:rsid w:val="00602F6D"/>
    <w:rsid w:val="00603054"/>
    <w:rsid w:val="0060317B"/>
    <w:rsid w:val="006034C5"/>
    <w:rsid w:val="00603612"/>
    <w:rsid w:val="006037E6"/>
    <w:rsid w:val="006037FB"/>
    <w:rsid w:val="0060396A"/>
    <w:rsid w:val="00603C22"/>
    <w:rsid w:val="00603D28"/>
    <w:rsid w:val="00603D8C"/>
    <w:rsid w:val="00603E91"/>
    <w:rsid w:val="00603F0D"/>
    <w:rsid w:val="006040AE"/>
    <w:rsid w:val="006040EF"/>
    <w:rsid w:val="00604162"/>
    <w:rsid w:val="00604374"/>
    <w:rsid w:val="006044EA"/>
    <w:rsid w:val="00604607"/>
    <w:rsid w:val="0060473A"/>
    <w:rsid w:val="00604792"/>
    <w:rsid w:val="006049FA"/>
    <w:rsid w:val="00604C94"/>
    <w:rsid w:val="00604C9A"/>
    <w:rsid w:val="00604DD4"/>
    <w:rsid w:val="00604ED7"/>
    <w:rsid w:val="00604EEF"/>
    <w:rsid w:val="00604FA0"/>
    <w:rsid w:val="00605063"/>
    <w:rsid w:val="0060506F"/>
    <w:rsid w:val="006050D0"/>
    <w:rsid w:val="0060517D"/>
    <w:rsid w:val="006052A7"/>
    <w:rsid w:val="0060531B"/>
    <w:rsid w:val="00605379"/>
    <w:rsid w:val="0060546F"/>
    <w:rsid w:val="006055A3"/>
    <w:rsid w:val="006055B3"/>
    <w:rsid w:val="00605761"/>
    <w:rsid w:val="0060590C"/>
    <w:rsid w:val="00605AFD"/>
    <w:rsid w:val="00605B7E"/>
    <w:rsid w:val="00605C16"/>
    <w:rsid w:val="00605C5C"/>
    <w:rsid w:val="00605C98"/>
    <w:rsid w:val="0060618E"/>
    <w:rsid w:val="006061E0"/>
    <w:rsid w:val="006063BB"/>
    <w:rsid w:val="006066D2"/>
    <w:rsid w:val="006067BD"/>
    <w:rsid w:val="00606B0D"/>
    <w:rsid w:val="00606BE4"/>
    <w:rsid w:val="00606BF2"/>
    <w:rsid w:val="00606D32"/>
    <w:rsid w:val="00606D44"/>
    <w:rsid w:val="00606DD7"/>
    <w:rsid w:val="00606E2E"/>
    <w:rsid w:val="00606F9A"/>
    <w:rsid w:val="00607046"/>
    <w:rsid w:val="00607193"/>
    <w:rsid w:val="006072C5"/>
    <w:rsid w:val="0060739E"/>
    <w:rsid w:val="0060742F"/>
    <w:rsid w:val="0060754F"/>
    <w:rsid w:val="0060762F"/>
    <w:rsid w:val="00607695"/>
    <w:rsid w:val="006077B5"/>
    <w:rsid w:val="006078D5"/>
    <w:rsid w:val="006078F9"/>
    <w:rsid w:val="00607958"/>
    <w:rsid w:val="00607967"/>
    <w:rsid w:val="00607B0E"/>
    <w:rsid w:val="00607B7A"/>
    <w:rsid w:val="00607C32"/>
    <w:rsid w:val="00607CB3"/>
    <w:rsid w:val="00607D8B"/>
    <w:rsid w:val="00607DDE"/>
    <w:rsid w:val="00607DE8"/>
    <w:rsid w:val="00607DFA"/>
    <w:rsid w:val="00607F33"/>
    <w:rsid w:val="006100B7"/>
    <w:rsid w:val="006100E9"/>
    <w:rsid w:val="0061018F"/>
    <w:rsid w:val="00610273"/>
    <w:rsid w:val="006102B4"/>
    <w:rsid w:val="006102BD"/>
    <w:rsid w:val="006103FC"/>
    <w:rsid w:val="006104EB"/>
    <w:rsid w:val="006105D0"/>
    <w:rsid w:val="006106D4"/>
    <w:rsid w:val="00610769"/>
    <w:rsid w:val="00610827"/>
    <w:rsid w:val="00610929"/>
    <w:rsid w:val="00610975"/>
    <w:rsid w:val="00610A1E"/>
    <w:rsid w:val="00610A26"/>
    <w:rsid w:val="00610AF4"/>
    <w:rsid w:val="00610B1A"/>
    <w:rsid w:val="00610BDB"/>
    <w:rsid w:val="00610D3E"/>
    <w:rsid w:val="00610E06"/>
    <w:rsid w:val="00610ED3"/>
    <w:rsid w:val="006110C0"/>
    <w:rsid w:val="00611194"/>
    <w:rsid w:val="00611202"/>
    <w:rsid w:val="006112FB"/>
    <w:rsid w:val="00611313"/>
    <w:rsid w:val="00611392"/>
    <w:rsid w:val="00611628"/>
    <w:rsid w:val="0061173D"/>
    <w:rsid w:val="00611859"/>
    <w:rsid w:val="006118AF"/>
    <w:rsid w:val="00611966"/>
    <w:rsid w:val="00611A1A"/>
    <w:rsid w:val="00611AAD"/>
    <w:rsid w:val="00611B33"/>
    <w:rsid w:val="00611B97"/>
    <w:rsid w:val="00611BA1"/>
    <w:rsid w:val="00611C06"/>
    <w:rsid w:val="00611D32"/>
    <w:rsid w:val="00611E2A"/>
    <w:rsid w:val="00611F33"/>
    <w:rsid w:val="00611FD9"/>
    <w:rsid w:val="00612042"/>
    <w:rsid w:val="00612057"/>
    <w:rsid w:val="00612067"/>
    <w:rsid w:val="00612085"/>
    <w:rsid w:val="0061212D"/>
    <w:rsid w:val="0061216B"/>
    <w:rsid w:val="0061237A"/>
    <w:rsid w:val="006123D4"/>
    <w:rsid w:val="006125FF"/>
    <w:rsid w:val="00612872"/>
    <w:rsid w:val="006128EB"/>
    <w:rsid w:val="00612A9E"/>
    <w:rsid w:val="00612AAF"/>
    <w:rsid w:val="00612BCC"/>
    <w:rsid w:val="00612BCD"/>
    <w:rsid w:val="00612C2D"/>
    <w:rsid w:val="00612D6B"/>
    <w:rsid w:val="00612E9D"/>
    <w:rsid w:val="006130CF"/>
    <w:rsid w:val="006130EA"/>
    <w:rsid w:val="00613249"/>
    <w:rsid w:val="0061329B"/>
    <w:rsid w:val="00613340"/>
    <w:rsid w:val="006133BD"/>
    <w:rsid w:val="006133CE"/>
    <w:rsid w:val="0061350E"/>
    <w:rsid w:val="00613512"/>
    <w:rsid w:val="00613580"/>
    <w:rsid w:val="0061380C"/>
    <w:rsid w:val="00613994"/>
    <w:rsid w:val="006139EF"/>
    <w:rsid w:val="00613A45"/>
    <w:rsid w:val="00613AED"/>
    <w:rsid w:val="00613BF9"/>
    <w:rsid w:val="00613CC8"/>
    <w:rsid w:val="00613D1B"/>
    <w:rsid w:val="00613D30"/>
    <w:rsid w:val="00613E6A"/>
    <w:rsid w:val="00613FE1"/>
    <w:rsid w:val="006141A3"/>
    <w:rsid w:val="0061422A"/>
    <w:rsid w:val="0061422D"/>
    <w:rsid w:val="00614264"/>
    <w:rsid w:val="006142D1"/>
    <w:rsid w:val="0061445B"/>
    <w:rsid w:val="0061456E"/>
    <w:rsid w:val="006145CD"/>
    <w:rsid w:val="0061463D"/>
    <w:rsid w:val="006146E1"/>
    <w:rsid w:val="00614749"/>
    <w:rsid w:val="006147AC"/>
    <w:rsid w:val="006147C4"/>
    <w:rsid w:val="0061487E"/>
    <w:rsid w:val="00614A23"/>
    <w:rsid w:val="00614B91"/>
    <w:rsid w:val="00614DC3"/>
    <w:rsid w:val="00614FE3"/>
    <w:rsid w:val="0061501F"/>
    <w:rsid w:val="00615075"/>
    <w:rsid w:val="00615181"/>
    <w:rsid w:val="00615228"/>
    <w:rsid w:val="006152B3"/>
    <w:rsid w:val="006152B7"/>
    <w:rsid w:val="006153C6"/>
    <w:rsid w:val="0061541F"/>
    <w:rsid w:val="00615478"/>
    <w:rsid w:val="00615706"/>
    <w:rsid w:val="0061594A"/>
    <w:rsid w:val="00615BA3"/>
    <w:rsid w:val="00615BC3"/>
    <w:rsid w:val="00615D07"/>
    <w:rsid w:val="00615FBE"/>
    <w:rsid w:val="00615FFB"/>
    <w:rsid w:val="0061601A"/>
    <w:rsid w:val="00616034"/>
    <w:rsid w:val="00616104"/>
    <w:rsid w:val="0061611F"/>
    <w:rsid w:val="006161ED"/>
    <w:rsid w:val="006162D8"/>
    <w:rsid w:val="0061639F"/>
    <w:rsid w:val="006163BD"/>
    <w:rsid w:val="00616437"/>
    <w:rsid w:val="0061646B"/>
    <w:rsid w:val="0061646E"/>
    <w:rsid w:val="006164A9"/>
    <w:rsid w:val="00616543"/>
    <w:rsid w:val="00616601"/>
    <w:rsid w:val="006166C3"/>
    <w:rsid w:val="00616820"/>
    <w:rsid w:val="006168FB"/>
    <w:rsid w:val="0061696E"/>
    <w:rsid w:val="00616A6B"/>
    <w:rsid w:val="00616ABD"/>
    <w:rsid w:val="00616B9D"/>
    <w:rsid w:val="00616BC5"/>
    <w:rsid w:val="00616BE2"/>
    <w:rsid w:val="00616D11"/>
    <w:rsid w:val="00616D58"/>
    <w:rsid w:val="00616D5F"/>
    <w:rsid w:val="00616D76"/>
    <w:rsid w:val="00616D87"/>
    <w:rsid w:val="00616E5C"/>
    <w:rsid w:val="0061709E"/>
    <w:rsid w:val="00617124"/>
    <w:rsid w:val="00617180"/>
    <w:rsid w:val="00617252"/>
    <w:rsid w:val="00617375"/>
    <w:rsid w:val="006174AF"/>
    <w:rsid w:val="00617546"/>
    <w:rsid w:val="00617619"/>
    <w:rsid w:val="00617644"/>
    <w:rsid w:val="006176A0"/>
    <w:rsid w:val="006176A5"/>
    <w:rsid w:val="0061775E"/>
    <w:rsid w:val="00617808"/>
    <w:rsid w:val="00617ADE"/>
    <w:rsid w:val="00617BE4"/>
    <w:rsid w:val="00617C5F"/>
    <w:rsid w:val="00617E17"/>
    <w:rsid w:val="00617E7A"/>
    <w:rsid w:val="00617E94"/>
    <w:rsid w:val="00617EDC"/>
    <w:rsid w:val="00617F89"/>
    <w:rsid w:val="00617FAB"/>
    <w:rsid w:val="0062001D"/>
    <w:rsid w:val="0062009C"/>
    <w:rsid w:val="006200A6"/>
    <w:rsid w:val="006200F3"/>
    <w:rsid w:val="0062023D"/>
    <w:rsid w:val="006202D3"/>
    <w:rsid w:val="00620552"/>
    <w:rsid w:val="006205C9"/>
    <w:rsid w:val="00620767"/>
    <w:rsid w:val="006207C1"/>
    <w:rsid w:val="006207CF"/>
    <w:rsid w:val="006207E1"/>
    <w:rsid w:val="00620877"/>
    <w:rsid w:val="0062089B"/>
    <w:rsid w:val="00620973"/>
    <w:rsid w:val="00620996"/>
    <w:rsid w:val="00620C57"/>
    <w:rsid w:val="00620D05"/>
    <w:rsid w:val="00620DCC"/>
    <w:rsid w:val="00620E4B"/>
    <w:rsid w:val="00620F0D"/>
    <w:rsid w:val="00620FF4"/>
    <w:rsid w:val="00621044"/>
    <w:rsid w:val="006213E0"/>
    <w:rsid w:val="00621447"/>
    <w:rsid w:val="006214D1"/>
    <w:rsid w:val="0062153F"/>
    <w:rsid w:val="0062158B"/>
    <w:rsid w:val="00621698"/>
    <w:rsid w:val="006217A5"/>
    <w:rsid w:val="00621816"/>
    <w:rsid w:val="00621828"/>
    <w:rsid w:val="00621870"/>
    <w:rsid w:val="00621905"/>
    <w:rsid w:val="0062195B"/>
    <w:rsid w:val="00621985"/>
    <w:rsid w:val="00621A2C"/>
    <w:rsid w:val="00621BC3"/>
    <w:rsid w:val="00621C06"/>
    <w:rsid w:val="00621D51"/>
    <w:rsid w:val="00621DB8"/>
    <w:rsid w:val="00621DC7"/>
    <w:rsid w:val="00621E06"/>
    <w:rsid w:val="00621E25"/>
    <w:rsid w:val="00621E7B"/>
    <w:rsid w:val="00621F05"/>
    <w:rsid w:val="00621F4E"/>
    <w:rsid w:val="00622063"/>
    <w:rsid w:val="0062231A"/>
    <w:rsid w:val="00622671"/>
    <w:rsid w:val="006226A6"/>
    <w:rsid w:val="006226E1"/>
    <w:rsid w:val="00622931"/>
    <w:rsid w:val="00622AC0"/>
    <w:rsid w:val="00622B0D"/>
    <w:rsid w:val="00622BA7"/>
    <w:rsid w:val="00622CBA"/>
    <w:rsid w:val="00622DD5"/>
    <w:rsid w:val="00622F75"/>
    <w:rsid w:val="006231E8"/>
    <w:rsid w:val="006231FD"/>
    <w:rsid w:val="00623200"/>
    <w:rsid w:val="00623340"/>
    <w:rsid w:val="00623394"/>
    <w:rsid w:val="006233DB"/>
    <w:rsid w:val="00623434"/>
    <w:rsid w:val="0062344A"/>
    <w:rsid w:val="006234FB"/>
    <w:rsid w:val="00623786"/>
    <w:rsid w:val="006238CE"/>
    <w:rsid w:val="006238FB"/>
    <w:rsid w:val="00623914"/>
    <w:rsid w:val="00623A36"/>
    <w:rsid w:val="00623C50"/>
    <w:rsid w:val="00623D09"/>
    <w:rsid w:val="006240B6"/>
    <w:rsid w:val="0062416C"/>
    <w:rsid w:val="006241FE"/>
    <w:rsid w:val="00624424"/>
    <w:rsid w:val="0062445C"/>
    <w:rsid w:val="00624591"/>
    <w:rsid w:val="00624776"/>
    <w:rsid w:val="0062481F"/>
    <w:rsid w:val="006249B0"/>
    <w:rsid w:val="00624A17"/>
    <w:rsid w:val="00624B42"/>
    <w:rsid w:val="00624B80"/>
    <w:rsid w:val="00624C00"/>
    <w:rsid w:val="00624C25"/>
    <w:rsid w:val="00624C4B"/>
    <w:rsid w:val="00624E91"/>
    <w:rsid w:val="00624F22"/>
    <w:rsid w:val="00624F5B"/>
    <w:rsid w:val="006251BD"/>
    <w:rsid w:val="006254B3"/>
    <w:rsid w:val="00625585"/>
    <w:rsid w:val="0062559E"/>
    <w:rsid w:val="006255BF"/>
    <w:rsid w:val="00625625"/>
    <w:rsid w:val="006256B1"/>
    <w:rsid w:val="006257BE"/>
    <w:rsid w:val="00625866"/>
    <w:rsid w:val="00625B31"/>
    <w:rsid w:val="00625F02"/>
    <w:rsid w:val="00625F3B"/>
    <w:rsid w:val="00626068"/>
    <w:rsid w:val="00626090"/>
    <w:rsid w:val="006260A3"/>
    <w:rsid w:val="00626262"/>
    <w:rsid w:val="006263B5"/>
    <w:rsid w:val="00626499"/>
    <w:rsid w:val="00626736"/>
    <w:rsid w:val="006268B4"/>
    <w:rsid w:val="0062690E"/>
    <w:rsid w:val="00626965"/>
    <w:rsid w:val="00626AB8"/>
    <w:rsid w:val="00626DAB"/>
    <w:rsid w:val="00626DD3"/>
    <w:rsid w:val="00626E0A"/>
    <w:rsid w:val="00626E67"/>
    <w:rsid w:val="00626ED6"/>
    <w:rsid w:val="00626F8D"/>
    <w:rsid w:val="00627003"/>
    <w:rsid w:val="006271F9"/>
    <w:rsid w:val="0062745E"/>
    <w:rsid w:val="00627566"/>
    <w:rsid w:val="00627583"/>
    <w:rsid w:val="00627661"/>
    <w:rsid w:val="00627691"/>
    <w:rsid w:val="006277D9"/>
    <w:rsid w:val="00627825"/>
    <w:rsid w:val="00627988"/>
    <w:rsid w:val="00627D1C"/>
    <w:rsid w:val="00627DBE"/>
    <w:rsid w:val="00627E4A"/>
    <w:rsid w:val="00627EF4"/>
    <w:rsid w:val="00627F00"/>
    <w:rsid w:val="00627F51"/>
    <w:rsid w:val="006301CA"/>
    <w:rsid w:val="0063023B"/>
    <w:rsid w:val="006302D0"/>
    <w:rsid w:val="00630380"/>
    <w:rsid w:val="00630386"/>
    <w:rsid w:val="006304DE"/>
    <w:rsid w:val="006304EE"/>
    <w:rsid w:val="00630563"/>
    <w:rsid w:val="00630579"/>
    <w:rsid w:val="006305AE"/>
    <w:rsid w:val="006305E9"/>
    <w:rsid w:val="006305EB"/>
    <w:rsid w:val="006305FF"/>
    <w:rsid w:val="00630643"/>
    <w:rsid w:val="00630693"/>
    <w:rsid w:val="0063071F"/>
    <w:rsid w:val="00630753"/>
    <w:rsid w:val="00630940"/>
    <w:rsid w:val="00630B3F"/>
    <w:rsid w:val="00630BEA"/>
    <w:rsid w:val="00630D6F"/>
    <w:rsid w:val="00630D70"/>
    <w:rsid w:val="00630EA2"/>
    <w:rsid w:val="006311C5"/>
    <w:rsid w:val="006311D1"/>
    <w:rsid w:val="006312EE"/>
    <w:rsid w:val="006314E9"/>
    <w:rsid w:val="00631504"/>
    <w:rsid w:val="00631562"/>
    <w:rsid w:val="006316BC"/>
    <w:rsid w:val="006316F6"/>
    <w:rsid w:val="006319AE"/>
    <w:rsid w:val="00631A83"/>
    <w:rsid w:val="00631B38"/>
    <w:rsid w:val="00631C1D"/>
    <w:rsid w:val="00631CCD"/>
    <w:rsid w:val="00631CF2"/>
    <w:rsid w:val="00631D1F"/>
    <w:rsid w:val="00631E10"/>
    <w:rsid w:val="00631E4F"/>
    <w:rsid w:val="00631F9C"/>
    <w:rsid w:val="00632098"/>
    <w:rsid w:val="0063211A"/>
    <w:rsid w:val="00632211"/>
    <w:rsid w:val="00632228"/>
    <w:rsid w:val="006325A5"/>
    <w:rsid w:val="006325EA"/>
    <w:rsid w:val="00632638"/>
    <w:rsid w:val="006326B8"/>
    <w:rsid w:val="006328B5"/>
    <w:rsid w:val="006328C0"/>
    <w:rsid w:val="006328E8"/>
    <w:rsid w:val="00632909"/>
    <w:rsid w:val="00632A8D"/>
    <w:rsid w:val="00632ACA"/>
    <w:rsid w:val="00632AE4"/>
    <w:rsid w:val="00632BDC"/>
    <w:rsid w:val="00632BF6"/>
    <w:rsid w:val="00632C8C"/>
    <w:rsid w:val="00632EFD"/>
    <w:rsid w:val="00632F4F"/>
    <w:rsid w:val="00633018"/>
    <w:rsid w:val="0063302A"/>
    <w:rsid w:val="006330AA"/>
    <w:rsid w:val="006330DC"/>
    <w:rsid w:val="006330DE"/>
    <w:rsid w:val="006333FD"/>
    <w:rsid w:val="006335BD"/>
    <w:rsid w:val="006335D7"/>
    <w:rsid w:val="006336C6"/>
    <w:rsid w:val="00633701"/>
    <w:rsid w:val="00633763"/>
    <w:rsid w:val="00633769"/>
    <w:rsid w:val="006337BA"/>
    <w:rsid w:val="006337E1"/>
    <w:rsid w:val="00633842"/>
    <w:rsid w:val="006338D0"/>
    <w:rsid w:val="006338F9"/>
    <w:rsid w:val="00633997"/>
    <w:rsid w:val="006339D0"/>
    <w:rsid w:val="00633B4C"/>
    <w:rsid w:val="00633C02"/>
    <w:rsid w:val="00633D80"/>
    <w:rsid w:val="00633FD6"/>
    <w:rsid w:val="0063405A"/>
    <w:rsid w:val="006340DC"/>
    <w:rsid w:val="00634218"/>
    <w:rsid w:val="00634348"/>
    <w:rsid w:val="0063457C"/>
    <w:rsid w:val="00634596"/>
    <w:rsid w:val="0063469B"/>
    <w:rsid w:val="006346EF"/>
    <w:rsid w:val="0063474B"/>
    <w:rsid w:val="006348FB"/>
    <w:rsid w:val="00634B26"/>
    <w:rsid w:val="00634B85"/>
    <w:rsid w:val="00634BB3"/>
    <w:rsid w:val="00634D28"/>
    <w:rsid w:val="00634D3F"/>
    <w:rsid w:val="00634E9D"/>
    <w:rsid w:val="00634EDD"/>
    <w:rsid w:val="00634FDC"/>
    <w:rsid w:val="006350C0"/>
    <w:rsid w:val="00635127"/>
    <w:rsid w:val="0063539C"/>
    <w:rsid w:val="00635484"/>
    <w:rsid w:val="00635625"/>
    <w:rsid w:val="00635756"/>
    <w:rsid w:val="006357A4"/>
    <w:rsid w:val="00635821"/>
    <w:rsid w:val="00635828"/>
    <w:rsid w:val="00635AB5"/>
    <w:rsid w:val="00635D32"/>
    <w:rsid w:val="00635E15"/>
    <w:rsid w:val="00635E9F"/>
    <w:rsid w:val="00636077"/>
    <w:rsid w:val="006360FB"/>
    <w:rsid w:val="00636130"/>
    <w:rsid w:val="00636203"/>
    <w:rsid w:val="006362CE"/>
    <w:rsid w:val="006362F8"/>
    <w:rsid w:val="00636303"/>
    <w:rsid w:val="00636317"/>
    <w:rsid w:val="00636593"/>
    <w:rsid w:val="00636696"/>
    <w:rsid w:val="006367DD"/>
    <w:rsid w:val="006367E2"/>
    <w:rsid w:val="0063689D"/>
    <w:rsid w:val="006368A8"/>
    <w:rsid w:val="006368AC"/>
    <w:rsid w:val="00636955"/>
    <w:rsid w:val="006369AA"/>
    <w:rsid w:val="00636A0A"/>
    <w:rsid w:val="00636A9C"/>
    <w:rsid w:val="00636AA0"/>
    <w:rsid w:val="00636ACB"/>
    <w:rsid w:val="00636BD2"/>
    <w:rsid w:val="00636CDF"/>
    <w:rsid w:val="00637189"/>
    <w:rsid w:val="006371E6"/>
    <w:rsid w:val="006372A8"/>
    <w:rsid w:val="006372B1"/>
    <w:rsid w:val="00637371"/>
    <w:rsid w:val="0063758E"/>
    <w:rsid w:val="0063759B"/>
    <w:rsid w:val="006376A2"/>
    <w:rsid w:val="00637AF1"/>
    <w:rsid w:val="00637BF0"/>
    <w:rsid w:val="00637DB5"/>
    <w:rsid w:val="00637E81"/>
    <w:rsid w:val="00637F4B"/>
    <w:rsid w:val="00640334"/>
    <w:rsid w:val="0064041C"/>
    <w:rsid w:val="00640559"/>
    <w:rsid w:val="00640A17"/>
    <w:rsid w:val="00640A33"/>
    <w:rsid w:val="00640B4F"/>
    <w:rsid w:val="00640B76"/>
    <w:rsid w:val="00640B7D"/>
    <w:rsid w:val="00640BB5"/>
    <w:rsid w:val="00640BD1"/>
    <w:rsid w:val="00640C2E"/>
    <w:rsid w:val="00640D06"/>
    <w:rsid w:val="00640DAE"/>
    <w:rsid w:val="00640E20"/>
    <w:rsid w:val="00641010"/>
    <w:rsid w:val="00641274"/>
    <w:rsid w:val="0064132F"/>
    <w:rsid w:val="00641367"/>
    <w:rsid w:val="00641478"/>
    <w:rsid w:val="006414CE"/>
    <w:rsid w:val="006415C5"/>
    <w:rsid w:val="0064160D"/>
    <w:rsid w:val="006416B8"/>
    <w:rsid w:val="006418E3"/>
    <w:rsid w:val="006418E4"/>
    <w:rsid w:val="00641AE2"/>
    <w:rsid w:val="00641B5F"/>
    <w:rsid w:val="00641C24"/>
    <w:rsid w:val="00641D08"/>
    <w:rsid w:val="00641D9F"/>
    <w:rsid w:val="00641DFD"/>
    <w:rsid w:val="00642165"/>
    <w:rsid w:val="00642196"/>
    <w:rsid w:val="00642355"/>
    <w:rsid w:val="00642372"/>
    <w:rsid w:val="006424B8"/>
    <w:rsid w:val="00642550"/>
    <w:rsid w:val="00642634"/>
    <w:rsid w:val="00642668"/>
    <w:rsid w:val="0064273C"/>
    <w:rsid w:val="00642798"/>
    <w:rsid w:val="006427D9"/>
    <w:rsid w:val="00642A48"/>
    <w:rsid w:val="00642ADE"/>
    <w:rsid w:val="00642BAE"/>
    <w:rsid w:val="00642CC1"/>
    <w:rsid w:val="00642DD5"/>
    <w:rsid w:val="00642F0C"/>
    <w:rsid w:val="00642FB5"/>
    <w:rsid w:val="00642FC6"/>
    <w:rsid w:val="00643056"/>
    <w:rsid w:val="00643066"/>
    <w:rsid w:val="006431AA"/>
    <w:rsid w:val="00643381"/>
    <w:rsid w:val="006434FF"/>
    <w:rsid w:val="00643500"/>
    <w:rsid w:val="006435BB"/>
    <w:rsid w:val="00643647"/>
    <w:rsid w:val="00643728"/>
    <w:rsid w:val="0064391D"/>
    <w:rsid w:val="00643974"/>
    <w:rsid w:val="00643A6B"/>
    <w:rsid w:val="00643AC6"/>
    <w:rsid w:val="00643C24"/>
    <w:rsid w:val="00643C59"/>
    <w:rsid w:val="00643C60"/>
    <w:rsid w:val="00643C6B"/>
    <w:rsid w:val="00643C83"/>
    <w:rsid w:val="00643E7A"/>
    <w:rsid w:val="00643E86"/>
    <w:rsid w:val="00643EB5"/>
    <w:rsid w:val="00643EC0"/>
    <w:rsid w:val="006440F8"/>
    <w:rsid w:val="00644120"/>
    <w:rsid w:val="006441DA"/>
    <w:rsid w:val="006441DD"/>
    <w:rsid w:val="0064426D"/>
    <w:rsid w:val="00644277"/>
    <w:rsid w:val="00644329"/>
    <w:rsid w:val="006443A4"/>
    <w:rsid w:val="0064442B"/>
    <w:rsid w:val="00644669"/>
    <w:rsid w:val="006446D2"/>
    <w:rsid w:val="0064482E"/>
    <w:rsid w:val="00644BFC"/>
    <w:rsid w:val="00644C7D"/>
    <w:rsid w:val="00644D15"/>
    <w:rsid w:val="00644DFB"/>
    <w:rsid w:val="00644ED9"/>
    <w:rsid w:val="00644F28"/>
    <w:rsid w:val="00645044"/>
    <w:rsid w:val="0064508D"/>
    <w:rsid w:val="0064521D"/>
    <w:rsid w:val="0064527B"/>
    <w:rsid w:val="00645294"/>
    <w:rsid w:val="00645589"/>
    <w:rsid w:val="00645699"/>
    <w:rsid w:val="006459A2"/>
    <w:rsid w:val="00645A3D"/>
    <w:rsid w:val="00645B3E"/>
    <w:rsid w:val="00645B64"/>
    <w:rsid w:val="00645C86"/>
    <w:rsid w:val="00645CE7"/>
    <w:rsid w:val="00645FE8"/>
    <w:rsid w:val="006461EE"/>
    <w:rsid w:val="00646213"/>
    <w:rsid w:val="00646375"/>
    <w:rsid w:val="00646394"/>
    <w:rsid w:val="00646443"/>
    <w:rsid w:val="0064672F"/>
    <w:rsid w:val="006469CC"/>
    <w:rsid w:val="00646A98"/>
    <w:rsid w:val="00646B02"/>
    <w:rsid w:val="00646B56"/>
    <w:rsid w:val="00646C8A"/>
    <w:rsid w:val="00646D61"/>
    <w:rsid w:val="00647059"/>
    <w:rsid w:val="006473A4"/>
    <w:rsid w:val="0064752B"/>
    <w:rsid w:val="00647649"/>
    <w:rsid w:val="006476A1"/>
    <w:rsid w:val="00647900"/>
    <w:rsid w:val="00647CC8"/>
    <w:rsid w:val="00647FDC"/>
    <w:rsid w:val="006500AF"/>
    <w:rsid w:val="00650324"/>
    <w:rsid w:val="00650339"/>
    <w:rsid w:val="00650480"/>
    <w:rsid w:val="006504B7"/>
    <w:rsid w:val="0065056F"/>
    <w:rsid w:val="00650742"/>
    <w:rsid w:val="00650781"/>
    <w:rsid w:val="00650783"/>
    <w:rsid w:val="006507EB"/>
    <w:rsid w:val="00650A10"/>
    <w:rsid w:val="00650A22"/>
    <w:rsid w:val="00650AD7"/>
    <w:rsid w:val="00650BBA"/>
    <w:rsid w:val="00650BF9"/>
    <w:rsid w:val="00650C8F"/>
    <w:rsid w:val="00650D6B"/>
    <w:rsid w:val="00650DD1"/>
    <w:rsid w:val="00650E40"/>
    <w:rsid w:val="00650E70"/>
    <w:rsid w:val="00650F38"/>
    <w:rsid w:val="00650FD9"/>
    <w:rsid w:val="0065113A"/>
    <w:rsid w:val="0065117B"/>
    <w:rsid w:val="006512D4"/>
    <w:rsid w:val="006512F1"/>
    <w:rsid w:val="006512F6"/>
    <w:rsid w:val="0065133E"/>
    <w:rsid w:val="00651441"/>
    <w:rsid w:val="006514B8"/>
    <w:rsid w:val="006514B9"/>
    <w:rsid w:val="0065152A"/>
    <w:rsid w:val="0065155D"/>
    <w:rsid w:val="00651792"/>
    <w:rsid w:val="006517BC"/>
    <w:rsid w:val="0065184E"/>
    <w:rsid w:val="00651885"/>
    <w:rsid w:val="006519F8"/>
    <w:rsid w:val="00651C3E"/>
    <w:rsid w:val="00651D98"/>
    <w:rsid w:val="00651DC3"/>
    <w:rsid w:val="00651DF7"/>
    <w:rsid w:val="00651E0F"/>
    <w:rsid w:val="00651E8F"/>
    <w:rsid w:val="00651EDF"/>
    <w:rsid w:val="00651F5C"/>
    <w:rsid w:val="0065207D"/>
    <w:rsid w:val="006520B0"/>
    <w:rsid w:val="0065224E"/>
    <w:rsid w:val="006523A2"/>
    <w:rsid w:val="006523EC"/>
    <w:rsid w:val="0065247A"/>
    <w:rsid w:val="00652580"/>
    <w:rsid w:val="006525B0"/>
    <w:rsid w:val="0065262E"/>
    <w:rsid w:val="0065278C"/>
    <w:rsid w:val="0065295A"/>
    <w:rsid w:val="00652AB8"/>
    <w:rsid w:val="00652B6C"/>
    <w:rsid w:val="00652E78"/>
    <w:rsid w:val="00652FA4"/>
    <w:rsid w:val="006530D4"/>
    <w:rsid w:val="00653236"/>
    <w:rsid w:val="006532FC"/>
    <w:rsid w:val="0065330F"/>
    <w:rsid w:val="006537D7"/>
    <w:rsid w:val="0065398C"/>
    <w:rsid w:val="006539E7"/>
    <w:rsid w:val="00653A98"/>
    <w:rsid w:val="00653B64"/>
    <w:rsid w:val="00653C17"/>
    <w:rsid w:val="00654171"/>
    <w:rsid w:val="006541E9"/>
    <w:rsid w:val="00654348"/>
    <w:rsid w:val="00654577"/>
    <w:rsid w:val="006545E1"/>
    <w:rsid w:val="00654602"/>
    <w:rsid w:val="006546A8"/>
    <w:rsid w:val="006547B5"/>
    <w:rsid w:val="0065488D"/>
    <w:rsid w:val="006548BA"/>
    <w:rsid w:val="00654992"/>
    <w:rsid w:val="006549C3"/>
    <w:rsid w:val="00654A69"/>
    <w:rsid w:val="00654B82"/>
    <w:rsid w:val="00654C05"/>
    <w:rsid w:val="00654C5A"/>
    <w:rsid w:val="00654C79"/>
    <w:rsid w:val="00654C85"/>
    <w:rsid w:val="00654D41"/>
    <w:rsid w:val="00654F8E"/>
    <w:rsid w:val="006550A0"/>
    <w:rsid w:val="00655102"/>
    <w:rsid w:val="0065516C"/>
    <w:rsid w:val="0065544A"/>
    <w:rsid w:val="00655508"/>
    <w:rsid w:val="00655609"/>
    <w:rsid w:val="00655685"/>
    <w:rsid w:val="0065581E"/>
    <w:rsid w:val="0065588B"/>
    <w:rsid w:val="00655B70"/>
    <w:rsid w:val="00655BC1"/>
    <w:rsid w:val="00655BD7"/>
    <w:rsid w:val="00655D3A"/>
    <w:rsid w:val="00655D7F"/>
    <w:rsid w:val="00655DE2"/>
    <w:rsid w:val="00655F5C"/>
    <w:rsid w:val="00655FE0"/>
    <w:rsid w:val="0065626D"/>
    <w:rsid w:val="006562CA"/>
    <w:rsid w:val="0065631D"/>
    <w:rsid w:val="00656394"/>
    <w:rsid w:val="00656422"/>
    <w:rsid w:val="00656471"/>
    <w:rsid w:val="0065674C"/>
    <w:rsid w:val="0065677C"/>
    <w:rsid w:val="0065697C"/>
    <w:rsid w:val="00656A40"/>
    <w:rsid w:val="00656BCF"/>
    <w:rsid w:val="00656D8E"/>
    <w:rsid w:val="00656DC3"/>
    <w:rsid w:val="00656E11"/>
    <w:rsid w:val="00656E46"/>
    <w:rsid w:val="00656FC1"/>
    <w:rsid w:val="00656FD4"/>
    <w:rsid w:val="006570CE"/>
    <w:rsid w:val="0065726F"/>
    <w:rsid w:val="0065737E"/>
    <w:rsid w:val="00657392"/>
    <w:rsid w:val="00657395"/>
    <w:rsid w:val="00657437"/>
    <w:rsid w:val="0065744D"/>
    <w:rsid w:val="00657772"/>
    <w:rsid w:val="006577BD"/>
    <w:rsid w:val="00657860"/>
    <w:rsid w:val="00657AB7"/>
    <w:rsid w:val="00657B16"/>
    <w:rsid w:val="00657BAA"/>
    <w:rsid w:val="00657CF4"/>
    <w:rsid w:val="00657EB6"/>
    <w:rsid w:val="00657FD3"/>
    <w:rsid w:val="0066015C"/>
    <w:rsid w:val="0066028A"/>
    <w:rsid w:val="006602C5"/>
    <w:rsid w:val="006602EF"/>
    <w:rsid w:val="00660402"/>
    <w:rsid w:val="00660609"/>
    <w:rsid w:val="0066066E"/>
    <w:rsid w:val="0066075F"/>
    <w:rsid w:val="00660863"/>
    <w:rsid w:val="00660874"/>
    <w:rsid w:val="00660977"/>
    <w:rsid w:val="00660A0B"/>
    <w:rsid w:val="00660A0E"/>
    <w:rsid w:val="00660AE6"/>
    <w:rsid w:val="00660BC7"/>
    <w:rsid w:val="00660C72"/>
    <w:rsid w:val="00660C7F"/>
    <w:rsid w:val="00660DD3"/>
    <w:rsid w:val="00660E6E"/>
    <w:rsid w:val="00660EF1"/>
    <w:rsid w:val="0066115A"/>
    <w:rsid w:val="00661169"/>
    <w:rsid w:val="006611AF"/>
    <w:rsid w:val="0066124E"/>
    <w:rsid w:val="00661447"/>
    <w:rsid w:val="006614B6"/>
    <w:rsid w:val="006614C1"/>
    <w:rsid w:val="006614F7"/>
    <w:rsid w:val="00661522"/>
    <w:rsid w:val="00661546"/>
    <w:rsid w:val="00661569"/>
    <w:rsid w:val="00661671"/>
    <w:rsid w:val="006616EB"/>
    <w:rsid w:val="0066178C"/>
    <w:rsid w:val="0066195B"/>
    <w:rsid w:val="00661984"/>
    <w:rsid w:val="006619B0"/>
    <w:rsid w:val="006619D4"/>
    <w:rsid w:val="00661AC3"/>
    <w:rsid w:val="00661BCA"/>
    <w:rsid w:val="00661BDF"/>
    <w:rsid w:val="00661CE9"/>
    <w:rsid w:val="00661D90"/>
    <w:rsid w:val="00661E03"/>
    <w:rsid w:val="00661F09"/>
    <w:rsid w:val="00661F66"/>
    <w:rsid w:val="0066205F"/>
    <w:rsid w:val="006620C4"/>
    <w:rsid w:val="0066215D"/>
    <w:rsid w:val="00662234"/>
    <w:rsid w:val="006623A5"/>
    <w:rsid w:val="00662429"/>
    <w:rsid w:val="006625DE"/>
    <w:rsid w:val="00662768"/>
    <w:rsid w:val="00662A33"/>
    <w:rsid w:val="00662A48"/>
    <w:rsid w:val="00662C98"/>
    <w:rsid w:val="00662D09"/>
    <w:rsid w:val="00662F15"/>
    <w:rsid w:val="00662FF3"/>
    <w:rsid w:val="0066304B"/>
    <w:rsid w:val="00663090"/>
    <w:rsid w:val="0066312D"/>
    <w:rsid w:val="006631B3"/>
    <w:rsid w:val="00663301"/>
    <w:rsid w:val="00663388"/>
    <w:rsid w:val="0066355F"/>
    <w:rsid w:val="006636DF"/>
    <w:rsid w:val="006639FE"/>
    <w:rsid w:val="00663AC5"/>
    <w:rsid w:val="00663B28"/>
    <w:rsid w:val="00663BD2"/>
    <w:rsid w:val="00663BE8"/>
    <w:rsid w:val="00663C7A"/>
    <w:rsid w:val="00663E0B"/>
    <w:rsid w:val="00663E2A"/>
    <w:rsid w:val="00663F0D"/>
    <w:rsid w:val="00663F60"/>
    <w:rsid w:val="00663FA2"/>
    <w:rsid w:val="0066408A"/>
    <w:rsid w:val="00664277"/>
    <w:rsid w:val="00664418"/>
    <w:rsid w:val="006644EA"/>
    <w:rsid w:val="00664630"/>
    <w:rsid w:val="00664637"/>
    <w:rsid w:val="00664786"/>
    <w:rsid w:val="006648AD"/>
    <w:rsid w:val="006648B7"/>
    <w:rsid w:val="006649C4"/>
    <w:rsid w:val="00664A1F"/>
    <w:rsid w:val="00664A27"/>
    <w:rsid w:val="00664B60"/>
    <w:rsid w:val="00664C12"/>
    <w:rsid w:val="00664C39"/>
    <w:rsid w:val="00664C42"/>
    <w:rsid w:val="00664C70"/>
    <w:rsid w:val="00664EE4"/>
    <w:rsid w:val="00664F23"/>
    <w:rsid w:val="00664F5A"/>
    <w:rsid w:val="006651A7"/>
    <w:rsid w:val="006651B8"/>
    <w:rsid w:val="00665228"/>
    <w:rsid w:val="00665363"/>
    <w:rsid w:val="00665453"/>
    <w:rsid w:val="00665454"/>
    <w:rsid w:val="00665492"/>
    <w:rsid w:val="0066549C"/>
    <w:rsid w:val="006654EE"/>
    <w:rsid w:val="006655FA"/>
    <w:rsid w:val="00665603"/>
    <w:rsid w:val="00665649"/>
    <w:rsid w:val="00665669"/>
    <w:rsid w:val="0066567E"/>
    <w:rsid w:val="00665761"/>
    <w:rsid w:val="00665811"/>
    <w:rsid w:val="00665863"/>
    <w:rsid w:val="00665903"/>
    <w:rsid w:val="00665936"/>
    <w:rsid w:val="00665963"/>
    <w:rsid w:val="00665B3E"/>
    <w:rsid w:val="00665B6E"/>
    <w:rsid w:val="00665C50"/>
    <w:rsid w:val="00665E39"/>
    <w:rsid w:val="00665EEB"/>
    <w:rsid w:val="00665F1D"/>
    <w:rsid w:val="00665F64"/>
    <w:rsid w:val="0066601F"/>
    <w:rsid w:val="006660AF"/>
    <w:rsid w:val="006661F6"/>
    <w:rsid w:val="006664AA"/>
    <w:rsid w:val="0066652C"/>
    <w:rsid w:val="00666672"/>
    <w:rsid w:val="0066674B"/>
    <w:rsid w:val="006667A7"/>
    <w:rsid w:val="00666894"/>
    <w:rsid w:val="006668CF"/>
    <w:rsid w:val="00666A1C"/>
    <w:rsid w:val="00666C91"/>
    <w:rsid w:val="00666CB1"/>
    <w:rsid w:val="00666DC1"/>
    <w:rsid w:val="00666EDD"/>
    <w:rsid w:val="00667114"/>
    <w:rsid w:val="006673C9"/>
    <w:rsid w:val="00667400"/>
    <w:rsid w:val="0066744F"/>
    <w:rsid w:val="0066745C"/>
    <w:rsid w:val="00667567"/>
    <w:rsid w:val="006676E6"/>
    <w:rsid w:val="00667764"/>
    <w:rsid w:val="0066795A"/>
    <w:rsid w:val="00667A61"/>
    <w:rsid w:val="00667B70"/>
    <w:rsid w:val="00667BAB"/>
    <w:rsid w:val="00667C72"/>
    <w:rsid w:val="00667EE8"/>
    <w:rsid w:val="00667F37"/>
    <w:rsid w:val="0067006C"/>
    <w:rsid w:val="00670299"/>
    <w:rsid w:val="006702B5"/>
    <w:rsid w:val="0067046F"/>
    <w:rsid w:val="00670586"/>
    <w:rsid w:val="00670633"/>
    <w:rsid w:val="00670803"/>
    <w:rsid w:val="00670923"/>
    <w:rsid w:val="00670942"/>
    <w:rsid w:val="006709EF"/>
    <w:rsid w:val="00670AA4"/>
    <w:rsid w:val="00670B8C"/>
    <w:rsid w:val="00670C03"/>
    <w:rsid w:val="00670C04"/>
    <w:rsid w:val="00670C4C"/>
    <w:rsid w:val="00670C9F"/>
    <w:rsid w:val="00670F03"/>
    <w:rsid w:val="0067100D"/>
    <w:rsid w:val="00671157"/>
    <w:rsid w:val="006711EF"/>
    <w:rsid w:val="006712E0"/>
    <w:rsid w:val="00671483"/>
    <w:rsid w:val="006714A8"/>
    <w:rsid w:val="00671523"/>
    <w:rsid w:val="00671540"/>
    <w:rsid w:val="006715B1"/>
    <w:rsid w:val="00671623"/>
    <w:rsid w:val="006716EC"/>
    <w:rsid w:val="006718A4"/>
    <w:rsid w:val="00671947"/>
    <w:rsid w:val="006719A3"/>
    <w:rsid w:val="006719AB"/>
    <w:rsid w:val="00671A5C"/>
    <w:rsid w:val="00671CC8"/>
    <w:rsid w:val="00671CCD"/>
    <w:rsid w:val="00671DB8"/>
    <w:rsid w:val="00671DEF"/>
    <w:rsid w:val="00671E1A"/>
    <w:rsid w:val="00671FA4"/>
    <w:rsid w:val="00671FD9"/>
    <w:rsid w:val="00671FDC"/>
    <w:rsid w:val="00672069"/>
    <w:rsid w:val="006720C2"/>
    <w:rsid w:val="00672118"/>
    <w:rsid w:val="006722B8"/>
    <w:rsid w:val="00672300"/>
    <w:rsid w:val="0067233E"/>
    <w:rsid w:val="006723B4"/>
    <w:rsid w:val="006723BF"/>
    <w:rsid w:val="006724D2"/>
    <w:rsid w:val="006724E4"/>
    <w:rsid w:val="0067250D"/>
    <w:rsid w:val="00672606"/>
    <w:rsid w:val="0067271A"/>
    <w:rsid w:val="00672793"/>
    <w:rsid w:val="0067282C"/>
    <w:rsid w:val="00672989"/>
    <w:rsid w:val="00672A3A"/>
    <w:rsid w:val="00672A56"/>
    <w:rsid w:val="00672AAD"/>
    <w:rsid w:val="00672B5D"/>
    <w:rsid w:val="00672BE2"/>
    <w:rsid w:val="00672D2C"/>
    <w:rsid w:val="00672D5E"/>
    <w:rsid w:val="00672E3C"/>
    <w:rsid w:val="00672F71"/>
    <w:rsid w:val="0067301B"/>
    <w:rsid w:val="00673065"/>
    <w:rsid w:val="00673075"/>
    <w:rsid w:val="00673081"/>
    <w:rsid w:val="00673136"/>
    <w:rsid w:val="006732DD"/>
    <w:rsid w:val="00673312"/>
    <w:rsid w:val="00673426"/>
    <w:rsid w:val="00673457"/>
    <w:rsid w:val="00673540"/>
    <w:rsid w:val="006738BB"/>
    <w:rsid w:val="006738FB"/>
    <w:rsid w:val="00673967"/>
    <w:rsid w:val="00673A7C"/>
    <w:rsid w:val="00673B05"/>
    <w:rsid w:val="00673DA9"/>
    <w:rsid w:val="00673E4C"/>
    <w:rsid w:val="00674072"/>
    <w:rsid w:val="0067408C"/>
    <w:rsid w:val="006740E6"/>
    <w:rsid w:val="0067414C"/>
    <w:rsid w:val="00674267"/>
    <w:rsid w:val="006742D7"/>
    <w:rsid w:val="00674380"/>
    <w:rsid w:val="0067446A"/>
    <w:rsid w:val="006746D4"/>
    <w:rsid w:val="00674709"/>
    <w:rsid w:val="00674745"/>
    <w:rsid w:val="006747EA"/>
    <w:rsid w:val="0067483A"/>
    <w:rsid w:val="00674902"/>
    <w:rsid w:val="0067490E"/>
    <w:rsid w:val="00674916"/>
    <w:rsid w:val="006749D9"/>
    <w:rsid w:val="00674B0B"/>
    <w:rsid w:val="00674DED"/>
    <w:rsid w:val="00674E74"/>
    <w:rsid w:val="00674EF0"/>
    <w:rsid w:val="00674FA2"/>
    <w:rsid w:val="00674FDC"/>
    <w:rsid w:val="00675081"/>
    <w:rsid w:val="006750C2"/>
    <w:rsid w:val="006751F1"/>
    <w:rsid w:val="00675275"/>
    <w:rsid w:val="006752EA"/>
    <w:rsid w:val="00675506"/>
    <w:rsid w:val="00675588"/>
    <w:rsid w:val="006755A7"/>
    <w:rsid w:val="006756E5"/>
    <w:rsid w:val="006759CE"/>
    <w:rsid w:val="006759D5"/>
    <w:rsid w:val="00675B12"/>
    <w:rsid w:val="00675C79"/>
    <w:rsid w:val="00675CE9"/>
    <w:rsid w:val="00675D48"/>
    <w:rsid w:val="00675D9D"/>
    <w:rsid w:val="00675EBF"/>
    <w:rsid w:val="00675F1D"/>
    <w:rsid w:val="00675FAD"/>
    <w:rsid w:val="0067607A"/>
    <w:rsid w:val="00676147"/>
    <w:rsid w:val="0067622C"/>
    <w:rsid w:val="00676427"/>
    <w:rsid w:val="00676909"/>
    <w:rsid w:val="0067694D"/>
    <w:rsid w:val="00676974"/>
    <w:rsid w:val="006769E6"/>
    <w:rsid w:val="00676A2A"/>
    <w:rsid w:val="00676A96"/>
    <w:rsid w:val="00676C7F"/>
    <w:rsid w:val="00676C81"/>
    <w:rsid w:val="00676C91"/>
    <w:rsid w:val="00676CB1"/>
    <w:rsid w:val="00676CB6"/>
    <w:rsid w:val="00676CDD"/>
    <w:rsid w:val="00676CF7"/>
    <w:rsid w:val="00676D99"/>
    <w:rsid w:val="00676F74"/>
    <w:rsid w:val="006771C1"/>
    <w:rsid w:val="0067734B"/>
    <w:rsid w:val="0067738A"/>
    <w:rsid w:val="006773AA"/>
    <w:rsid w:val="00677435"/>
    <w:rsid w:val="006774C0"/>
    <w:rsid w:val="00677646"/>
    <w:rsid w:val="00677679"/>
    <w:rsid w:val="0067768E"/>
    <w:rsid w:val="006776BD"/>
    <w:rsid w:val="00677861"/>
    <w:rsid w:val="00677924"/>
    <w:rsid w:val="00677ABA"/>
    <w:rsid w:val="00677BA0"/>
    <w:rsid w:val="00677C6A"/>
    <w:rsid w:val="00677CAE"/>
    <w:rsid w:val="00677DA2"/>
    <w:rsid w:val="00677F45"/>
    <w:rsid w:val="00677F59"/>
    <w:rsid w:val="00677F72"/>
    <w:rsid w:val="0068005C"/>
    <w:rsid w:val="006800B7"/>
    <w:rsid w:val="00680233"/>
    <w:rsid w:val="00680236"/>
    <w:rsid w:val="00680260"/>
    <w:rsid w:val="00680279"/>
    <w:rsid w:val="006803C7"/>
    <w:rsid w:val="00680459"/>
    <w:rsid w:val="006806E0"/>
    <w:rsid w:val="00680778"/>
    <w:rsid w:val="006808A8"/>
    <w:rsid w:val="0068099C"/>
    <w:rsid w:val="006809DB"/>
    <w:rsid w:val="00680AC3"/>
    <w:rsid w:val="00680AD0"/>
    <w:rsid w:val="00680B1D"/>
    <w:rsid w:val="00680BD0"/>
    <w:rsid w:val="00680EFD"/>
    <w:rsid w:val="00681176"/>
    <w:rsid w:val="00681314"/>
    <w:rsid w:val="0068134D"/>
    <w:rsid w:val="00681360"/>
    <w:rsid w:val="006813D2"/>
    <w:rsid w:val="006814CB"/>
    <w:rsid w:val="006815D1"/>
    <w:rsid w:val="006817E8"/>
    <w:rsid w:val="00681951"/>
    <w:rsid w:val="00681A08"/>
    <w:rsid w:val="00681D25"/>
    <w:rsid w:val="00681D64"/>
    <w:rsid w:val="00681F57"/>
    <w:rsid w:val="006821D1"/>
    <w:rsid w:val="006821EB"/>
    <w:rsid w:val="00682249"/>
    <w:rsid w:val="006822BE"/>
    <w:rsid w:val="006822DF"/>
    <w:rsid w:val="00682432"/>
    <w:rsid w:val="0068243B"/>
    <w:rsid w:val="0068259C"/>
    <w:rsid w:val="0068263D"/>
    <w:rsid w:val="00682761"/>
    <w:rsid w:val="00682792"/>
    <w:rsid w:val="006827A4"/>
    <w:rsid w:val="006827DD"/>
    <w:rsid w:val="006828C4"/>
    <w:rsid w:val="00682A75"/>
    <w:rsid w:val="00682BE8"/>
    <w:rsid w:val="00682C5B"/>
    <w:rsid w:val="00682E6D"/>
    <w:rsid w:val="00682FAA"/>
    <w:rsid w:val="00683001"/>
    <w:rsid w:val="0068301F"/>
    <w:rsid w:val="0068302E"/>
    <w:rsid w:val="00683099"/>
    <w:rsid w:val="0068311D"/>
    <w:rsid w:val="006832D1"/>
    <w:rsid w:val="00683341"/>
    <w:rsid w:val="00683409"/>
    <w:rsid w:val="0068347C"/>
    <w:rsid w:val="00683639"/>
    <w:rsid w:val="006836FE"/>
    <w:rsid w:val="00683852"/>
    <w:rsid w:val="006838EE"/>
    <w:rsid w:val="00683961"/>
    <w:rsid w:val="006839D2"/>
    <w:rsid w:val="00683A17"/>
    <w:rsid w:val="00683AF8"/>
    <w:rsid w:val="00683D5D"/>
    <w:rsid w:val="00683E70"/>
    <w:rsid w:val="006840E0"/>
    <w:rsid w:val="006842B4"/>
    <w:rsid w:val="00684324"/>
    <w:rsid w:val="00684498"/>
    <w:rsid w:val="006845E3"/>
    <w:rsid w:val="00684620"/>
    <w:rsid w:val="0068475C"/>
    <w:rsid w:val="00684777"/>
    <w:rsid w:val="00684963"/>
    <w:rsid w:val="00684A69"/>
    <w:rsid w:val="00684DA3"/>
    <w:rsid w:val="00684EA9"/>
    <w:rsid w:val="00684EB4"/>
    <w:rsid w:val="00684F9E"/>
    <w:rsid w:val="006850B9"/>
    <w:rsid w:val="006850CB"/>
    <w:rsid w:val="006851D0"/>
    <w:rsid w:val="0068521E"/>
    <w:rsid w:val="00685453"/>
    <w:rsid w:val="00685795"/>
    <w:rsid w:val="00685826"/>
    <w:rsid w:val="00685923"/>
    <w:rsid w:val="00685AB4"/>
    <w:rsid w:val="00685BA6"/>
    <w:rsid w:val="00685CF7"/>
    <w:rsid w:val="00685E95"/>
    <w:rsid w:val="00686135"/>
    <w:rsid w:val="00686165"/>
    <w:rsid w:val="00686261"/>
    <w:rsid w:val="00686301"/>
    <w:rsid w:val="006863DE"/>
    <w:rsid w:val="0068643A"/>
    <w:rsid w:val="00686445"/>
    <w:rsid w:val="006864AC"/>
    <w:rsid w:val="00686555"/>
    <w:rsid w:val="00686630"/>
    <w:rsid w:val="00686657"/>
    <w:rsid w:val="00686723"/>
    <w:rsid w:val="00686734"/>
    <w:rsid w:val="0068683F"/>
    <w:rsid w:val="00686A48"/>
    <w:rsid w:val="00686A56"/>
    <w:rsid w:val="00686B20"/>
    <w:rsid w:val="00686BDD"/>
    <w:rsid w:val="00686C2D"/>
    <w:rsid w:val="00686CE8"/>
    <w:rsid w:val="00686D6B"/>
    <w:rsid w:val="00686DC3"/>
    <w:rsid w:val="00686DE4"/>
    <w:rsid w:val="00686E2F"/>
    <w:rsid w:val="00686FA1"/>
    <w:rsid w:val="00687078"/>
    <w:rsid w:val="0068707C"/>
    <w:rsid w:val="0068707E"/>
    <w:rsid w:val="00687270"/>
    <w:rsid w:val="00687531"/>
    <w:rsid w:val="00687636"/>
    <w:rsid w:val="006876D5"/>
    <w:rsid w:val="006877C3"/>
    <w:rsid w:val="00687829"/>
    <w:rsid w:val="00687903"/>
    <w:rsid w:val="00687998"/>
    <w:rsid w:val="00687A3D"/>
    <w:rsid w:val="00687CBC"/>
    <w:rsid w:val="00687EB6"/>
    <w:rsid w:val="00687EDE"/>
    <w:rsid w:val="00687FC5"/>
    <w:rsid w:val="00690013"/>
    <w:rsid w:val="00690088"/>
    <w:rsid w:val="0069015C"/>
    <w:rsid w:val="0069018C"/>
    <w:rsid w:val="006901B8"/>
    <w:rsid w:val="006904A0"/>
    <w:rsid w:val="0069059B"/>
    <w:rsid w:val="00690727"/>
    <w:rsid w:val="006907DE"/>
    <w:rsid w:val="006909A1"/>
    <w:rsid w:val="00690A8C"/>
    <w:rsid w:val="00690D6C"/>
    <w:rsid w:val="00690D9D"/>
    <w:rsid w:val="00691090"/>
    <w:rsid w:val="006910C7"/>
    <w:rsid w:val="006910F9"/>
    <w:rsid w:val="0069124C"/>
    <w:rsid w:val="006913A2"/>
    <w:rsid w:val="00691524"/>
    <w:rsid w:val="00691533"/>
    <w:rsid w:val="00691846"/>
    <w:rsid w:val="00691896"/>
    <w:rsid w:val="006918E0"/>
    <w:rsid w:val="0069193E"/>
    <w:rsid w:val="00691955"/>
    <w:rsid w:val="006919B1"/>
    <w:rsid w:val="006919FB"/>
    <w:rsid w:val="00691A53"/>
    <w:rsid w:val="00691C13"/>
    <w:rsid w:val="00691CB5"/>
    <w:rsid w:val="00691DF8"/>
    <w:rsid w:val="00691F10"/>
    <w:rsid w:val="00692111"/>
    <w:rsid w:val="006921EA"/>
    <w:rsid w:val="006923DF"/>
    <w:rsid w:val="00692410"/>
    <w:rsid w:val="0069242C"/>
    <w:rsid w:val="006924CB"/>
    <w:rsid w:val="006924DD"/>
    <w:rsid w:val="00692611"/>
    <w:rsid w:val="00692617"/>
    <w:rsid w:val="00692742"/>
    <w:rsid w:val="00692800"/>
    <w:rsid w:val="006928E7"/>
    <w:rsid w:val="0069294A"/>
    <w:rsid w:val="00692A1F"/>
    <w:rsid w:val="00692BCF"/>
    <w:rsid w:val="00692C64"/>
    <w:rsid w:val="00692E60"/>
    <w:rsid w:val="00692F77"/>
    <w:rsid w:val="00692F80"/>
    <w:rsid w:val="00692FD6"/>
    <w:rsid w:val="0069307E"/>
    <w:rsid w:val="0069347A"/>
    <w:rsid w:val="006934D2"/>
    <w:rsid w:val="0069361D"/>
    <w:rsid w:val="006937F0"/>
    <w:rsid w:val="006938CB"/>
    <w:rsid w:val="00693A30"/>
    <w:rsid w:val="00693A5A"/>
    <w:rsid w:val="00693DCF"/>
    <w:rsid w:val="00693F05"/>
    <w:rsid w:val="00693F1E"/>
    <w:rsid w:val="0069406F"/>
    <w:rsid w:val="0069407C"/>
    <w:rsid w:val="006940F1"/>
    <w:rsid w:val="00694150"/>
    <w:rsid w:val="00694240"/>
    <w:rsid w:val="006943B6"/>
    <w:rsid w:val="00694476"/>
    <w:rsid w:val="00694504"/>
    <w:rsid w:val="006948BB"/>
    <w:rsid w:val="00694948"/>
    <w:rsid w:val="00694AAE"/>
    <w:rsid w:val="00694BBC"/>
    <w:rsid w:val="00694C18"/>
    <w:rsid w:val="00694FAF"/>
    <w:rsid w:val="00694FC7"/>
    <w:rsid w:val="00694FCE"/>
    <w:rsid w:val="00695006"/>
    <w:rsid w:val="0069511F"/>
    <w:rsid w:val="0069531E"/>
    <w:rsid w:val="006954E3"/>
    <w:rsid w:val="0069560E"/>
    <w:rsid w:val="0069570F"/>
    <w:rsid w:val="00695736"/>
    <w:rsid w:val="0069593B"/>
    <w:rsid w:val="00695949"/>
    <w:rsid w:val="0069596E"/>
    <w:rsid w:val="0069597A"/>
    <w:rsid w:val="006959BF"/>
    <w:rsid w:val="00695A71"/>
    <w:rsid w:val="00695B7C"/>
    <w:rsid w:val="00695C46"/>
    <w:rsid w:val="00695C9A"/>
    <w:rsid w:val="00695CDD"/>
    <w:rsid w:val="00695D30"/>
    <w:rsid w:val="00695D71"/>
    <w:rsid w:val="00695D76"/>
    <w:rsid w:val="00695F79"/>
    <w:rsid w:val="00695F99"/>
    <w:rsid w:val="006960B8"/>
    <w:rsid w:val="006960F9"/>
    <w:rsid w:val="006961A4"/>
    <w:rsid w:val="006962BB"/>
    <w:rsid w:val="0069639D"/>
    <w:rsid w:val="006963D5"/>
    <w:rsid w:val="00696496"/>
    <w:rsid w:val="00696655"/>
    <w:rsid w:val="006968B9"/>
    <w:rsid w:val="0069696B"/>
    <w:rsid w:val="00696A4D"/>
    <w:rsid w:val="00696AB2"/>
    <w:rsid w:val="00696C78"/>
    <w:rsid w:val="00696C93"/>
    <w:rsid w:val="00696CD5"/>
    <w:rsid w:val="00696D95"/>
    <w:rsid w:val="00696DD9"/>
    <w:rsid w:val="00697030"/>
    <w:rsid w:val="006971C8"/>
    <w:rsid w:val="006971F7"/>
    <w:rsid w:val="0069728E"/>
    <w:rsid w:val="00697299"/>
    <w:rsid w:val="0069730A"/>
    <w:rsid w:val="00697447"/>
    <w:rsid w:val="006974C3"/>
    <w:rsid w:val="0069750C"/>
    <w:rsid w:val="00697A30"/>
    <w:rsid w:val="00697AC5"/>
    <w:rsid w:val="00697B48"/>
    <w:rsid w:val="00697BD1"/>
    <w:rsid w:val="00697C62"/>
    <w:rsid w:val="00697D27"/>
    <w:rsid w:val="00697D3A"/>
    <w:rsid w:val="00697F42"/>
    <w:rsid w:val="00697FC5"/>
    <w:rsid w:val="00697FDB"/>
    <w:rsid w:val="006A0188"/>
    <w:rsid w:val="006A02E0"/>
    <w:rsid w:val="006A0461"/>
    <w:rsid w:val="006A04E1"/>
    <w:rsid w:val="006A05B0"/>
    <w:rsid w:val="006A0670"/>
    <w:rsid w:val="006A067C"/>
    <w:rsid w:val="006A06DB"/>
    <w:rsid w:val="006A06DF"/>
    <w:rsid w:val="006A0716"/>
    <w:rsid w:val="006A0771"/>
    <w:rsid w:val="006A0A1C"/>
    <w:rsid w:val="006A0D1C"/>
    <w:rsid w:val="006A0E20"/>
    <w:rsid w:val="006A0FA8"/>
    <w:rsid w:val="006A0FC6"/>
    <w:rsid w:val="006A1190"/>
    <w:rsid w:val="006A11AC"/>
    <w:rsid w:val="006A125E"/>
    <w:rsid w:val="006A1402"/>
    <w:rsid w:val="006A1697"/>
    <w:rsid w:val="006A179F"/>
    <w:rsid w:val="006A1A05"/>
    <w:rsid w:val="006A1B77"/>
    <w:rsid w:val="006A1BB9"/>
    <w:rsid w:val="006A1BC7"/>
    <w:rsid w:val="006A1D56"/>
    <w:rsid w:val="006A1DA6"/>
    <w:rsid w:val="006A1DDC"/>
    <w:rsid w:val="006A1FBA"/>
    <w:rsid w:val="006A2064"/>
    <w:rsid w:val="006A2195"/>
    <w:rsid w:val="006A22FB"/>
    <w:rsid w:val="006A2390"/>
    <w:rsid w:val="006A242A"/>
    <w:rsid w:val="006A2476"/>
    <w:rsid w:val="006A2496"/>
    <w:rsid w:val="006A24CF"/>
    <w:rsid w:val="006A254A"/>
    <w:rsid w:val="006A269E"/>
    <w:rsid w:val="006A26D8"/>
    <w:rsid w:val="006A2A12"/>
    <w:rsid w:val="006A2B15"/>
    <w:rsid w:val="006A2C5B"/>
    <w:rsid w:val="006A2D15"/>
    <w:rsid w:val="006A2D20"/>
    <w:rsid w:val="006A2DB0"/>
    <w:rsid w:val="006A2E5C"/>
    <w:rsid w:val="006A2EC9"/>
    <w:rsid w:val="006A2F09"/>
    <w:rsid w:val="006A2FEA"/>
    <w:rsid w:val="006A3048"/>
    <w:rsid w:val="006A3336"/>
    <w:rsid w:val="006A335E"/>
    <w:rsid w:val="006A3751"/>
    <w:rsid w:val="006A37F5"/>
    <w:rsid w:val="006A390C"/>
    <w:rsid w:val="006A392A"/>
    <w:rsid w:val="006A3A66"/>
    <w:rsid w:val="006A3A8C"/>
    <w:rsid w:val="006A3C6E"/>
    <w:rsid w:val="006A3DA4"/>
    <w:rsid w:val="006A3DA5"/>
    <w:rsid w:val="006A3DBF"/>
    <w:rsid w:val="006A3F7D"/>
    <w:rsid w:val="006A3FAF"/>
    <w:rsid w:val="006A3FBF"/>
    <w:rsid w:val="006A4083"/>
    <w:rsid w:val="006A4159"/>
    <w:rsid w:val="006A424E"/>
    <w:rsid w:val="006A4508"/>
    <w:rsid w:val="006A4532"/>
    <w:rsid w:val="006A4645"/>
    <w:rsid w:val="006A4685"/>
    <w:rsid w:val="006A4A99"/>
    <w:rsid w:val="006A4BB9"/>
    <w:rsid w:val="006A4BCE"/>
    <w:rsid w:val="006A4C4E"/>
    <w:rsid w:val="006A4C96"/>
    <w:rsid w:val="006A4C9E"/>
    <w:rsid w:val="006A4D7A"/>
    <w:rsid w:val="006A4FD1"/>
    <w:rsid w:val="006A502F"/>
    <w:rsid w:val="006A51DD"/>
    <w:rsid w:val="006A52F2"/>
    <w:rsid w:val="006A5328"/>
    <w:rsid w:val="006A53DE"/>
    <w:rsid w:val="006A544C"/>
    <w:rsid w:val="006A545D"/>
    <w:rsid w:val="006A5567"/>
    <w:rsid w:val="006A55C8"/>
    <w:rsid w:val="006A56DC"/>
    <w:rsid w:val="006A56E8"/>
    <w:rsid w:val="006A57B8"/>
    <w:rsid w:val="006A5868"/>
    <w:rsid w:val="006A596A"/>
    <w:rsid w:val="006A5CBF"/>
    <w:rsid w:val="006A5D5F"/>
    <w:rsid w:val="006A5D7C"/>
    <w:rsid w:val="006A5E2B"/>
    <w:rsid w:val="006A5E46"/>
    <w:rsid w:val="006A5F30"/>
    <w:rsid w:val="006A5F3C"/>
    <w:rsid w:val="006A658F"/>
    <w:rsid w:val="006A6594"/>
    <w:rsid w:val="006A6712"/>
    <w:rsid w:val="006A6792"/>
    <w:rsid w:val="006A68DA"/>
    <w:rsid w:val="006A6983"/>
    <w:rsid w:val="006A69FA"/>
    <w:rsid w:val="006A6A8E"/>
    <w:rsid w:val="006A6B13"/>
    <w:rsid w:val="006A6CE5"/>
    <w:rsid w:val="006A6D1C"/>
    <w:rsid w:val="006A6DE0"/>
    <w:rsid w:val="006A6F4E"/>
    <w:rsid w:val="006A70EA"/>
    <w:rsid w:val="006A7173"/>
    <w:rsid w:val="006A7195"/>
    <w:rsid w:val="006A7218"/>
    <w:rsid w:val="006A7312"/>
    <w:rsid w:val="006A742C"/>
    <w:rsid w:val="006A764E"/>
    <w:rsid w:val="006A767F"/>
    <w:rsid w:val="006A7695"/>
    <w:rsid w:val="006A76A9"/>
    <w:rsid w:val="006A76AB"/>
    <w:rsid w:val="006A76D1"/>
    <w:rsid w:val="006A76FF"/>
    <w:rsid w:val="006A78A2"/>
    <w:rsid w:val="006A7C57"/>
    <w:rsid w:val="006A7D54"/>
    <w:rsid w:val="006A7F5B"/>
    <w:rsid w:val="006A7F99"/>
    <w:rsid w:val="006B01E8"/>
    <w:rsid w:val="006B03BB"/>
    <w:rsid w:val="006B03D3"/>
    <w:rsid w:val="006B06DA"/>
    <w:rsid w:val="006B0852"/>
    <w:rsid w:val="006B0AE7"/>
    <w:rsid w:val="006B0C6E"/>
    <w:rsid w:val="006B0D6C"/>
    <w:rsid w:val="006B0E77"/>
    <w:rsid w:val="006B0E80"/>
    <w:rsid w:val="006B0F76"/>
    <w:rsid w:val="006B0FC4"/>
    <w:rsid w:val="006B1252"/>
    <w:rsid w:val="006B133A"/>
    <w:rsid w:val="006B1495"/>
    <w:rsid w:val="006B1607"/>
    <w:rsid w:val="006B1618"/>
    <w:rsid w:val="006B1726"/>
    <w:rsid w:val="006B1813"/>
    <w:rsid w:val="006B1901"/>
    <w:rsid w:val="006B194F"/>
    <w:rsid w:val="006B1B96"/>
    <w:rsid w:val="006B1D6D"/>
    <w:rsid w:val="006B1E3D"/>
    <w:rsid w:val="006B1FFF"/>
    <w:rsid w:val="006B2126"/>
    <w:rsid w:val="006B2172"/>
    <w:rsid w:val="006B226F"/>
    <w:rsid w:val="006B23D8"/>
    <w:rsid w:val="006B23E4"/>
    <w:rsid w:val="006B242E"/>
    <w:rsid w:val="006B2476"/>
    <w:rsid w:val="006B25B6"/>
    <w:rsid w:val="006B28AB"/>
    <w:rsid w:val="006B29DD"/>
    <w:rsid w:val="006B2ABE"/>
    <w:rsid w:val="006B2B4A"/>
    <w:rsid w:val="006B2BD2"/>
    <w:rsid w:val="006B2BFB"/>
    <w:rsid w:val="006B2C8C"/>
    <w:rsid w:val="006B2DFE"/>
    <w:rsid w:val="006B2E5C"/>
    <w:rsid w:val="006B2E60"/>
    <w:rsid w:val="006B2ED8"/>
    <w:rsid w:val="006B2F2B"/>
    <w:rsid w:val="006B311B"/>
    <w:rsid w:val="006B3125"/>
    <w:rsid w:val="006B3164"/>
    <w:rsid w:val="006B32B3"/>
    <w:rsid w:val="006B32D3"/>
    <w:rsid w:val="006B3331"/>
    <w:rsid w:val="006B3392"/>
    <w:rsid w:val="006B34A2"/>
    <w:rsid w:val="006B379F"/>
    <w:rsid w:val="006B38FF"/>
    <w:rsid w:val="006B39D3"/>
    <w:rsid w:val="006B3AF5"/>
    <w:rsid w:val="006B3B46"/>
    <w:rsid w:val="006B3C50"/>
    <w:rsid w:val="006B3DBF"/>
    <w:rsid w:val="006B3F14"/>
    <w:rsid w:val="006B40B5"/>
    <w:rsid w:val="006B415B"/>
    <w:rsid w:val="006B427C"/>
    <w:rsid w:val="006B42CF"/>
    <w:rsid w:val="006B431C"/>
    <w:rsid w:val="006B43CB"/>
    <w:rsid w:val="006B46C1"/>
    <w:rsid w:val="006B480E"/>
    <w:rsid w:val="006B48D6"/>
    <w:rsid w:val="006B49A1"/>
    <w:rsid w:val="006B4C05"/>
    <w:rsid w:val="006B4E98"/>
    <w:rsid w:val="006B4ECB"/>
    <w:rsid w:val="006B5076"/>
    <w:rsid w:val="006B5275"/>
    <w:rsid w:val="006B5920"/>
    <w:rsid w:val="006B5D8E"/>
    <w:rsid w:val="006B5F87"/>
    <w:rsid w:val="006B6218"/>
    <w:rsid w:val="006B62E7"/>
    <w:rsid w:val="006B63E1"/>
    <w:rsid w:val="006B6448"/>
    <w:rsid w:val="006B6651"/>
    <w:rsid w:val="006B6804"/>
    <w:rsid w:val="006B694C"/>
    <w:rsid w:val="006B6A45"/>
    <w:rsid w:val="006B6B5A"/>
    <w:rsid w:val="006B6C1C"/>
    <w:rsid w:val="006B6C39"/>
    <w:rsid w:val="006B6D3A"/>
    <w:rsid w:val="006B6F09"/>
    <w:rsid w:val="006B70B8"/>
    <w:rsid w:val="006B70EA"/>
    <w:rsid w:val="006B74CB"/>
    <w:rsid w:val="006B74F9"/>
    <w:rsid w:val="006B76FC"/>
    <w:rsid w:val="006B77A1"/>
    <w:rsid w:val="006B77C4"/>
    <w:rsid w:val="006B793A"/>
    <w:rsid w:val="006B79F8"/>
    <w:rsid w:val="006B7A1F"/>
    <w:rsid w:val="006B7A71"/>
    <w:rsid w:val="006B7BA4"/>
    <w:rsid w:val="006B7BB6"/>
    <w:rsid w:val="006B7BE6"/>
    <w:rsid w:val="006B7E7A"/>
    <w:rsid w:val="006B7F4D"/>
    <w:rsid w:val="006B7FAF"/>
    <w:rsid w:val="006C0087"/>
    <w:rsid w:val="006C0095"/>
    <w:rsid w:val="006C00D6"/>
    <w:rsid w:val="006C0237"/>
    <w:rsid w:val="006C02F7"/>
    <w:rsid w:val="006C0666"/>
    <w:rsid w:val="006C066A"/>
    <w:rsid w:val="006C06CA"/>
    <w:rsid w:val="006C07C0"/>
    <w:rsid w:val="006C0829"/>
    <w:rsid w:val="006C08A5"/>
    <w:rsid w:val="006C099B"/>
    <w:rsid w:val="006C0AC9"/>
    <w:rsid w:val="006C0ACF"/>
    <w:rsid w:val="006C0AD6"/>
    <w:rsid w:val="006C0E4A"/>
    <w:rsid w:val="006C0FFC"/>
    <w:rsid w:val="006C1008"/>
    <w:rsid w:val="006C1046"/>
    <w:rsid w:val="006C1088"/>
    <w:rsid w:val="006C118C"/>
    <w:rsid w:val="006C11FC"/>
    <w:rsid w:val="006C1233"/>
    <w:rsid w:val="006C13D9"/>
    <w:rsid w:val="006C13EA"/>
    <w:rsid w:val="006C165F"/>
    <w:rsid w:val="006C1681"/>
    <w:rsid w:val="006C1892"/>
    <w:rsid w:val="006C19FD"/>
    <w:rsid w:val="006C1A03"/>
    <w:rsid w:val="006C1B56"/>
    <w:rsid w:val="006C1C11"/>
    <w:rsid w:val="006C1C6C"/>
    <w:rsid w:val="006C1D2D"/>
    <w:rsid w:val="006C1D84"/>
    <w:rsid w:val="006C1EF5"/>
    <w:rsid w:val="006C20D3"/>
    <w:rsid w:val="006C21AD"/>
    <w:rsid w:val="006C225D"/>
    <w:rsid w:val="006C22DB"/>
    <w:rsid w:val="006C22DE"/>
    <w:rsid w:val="006C22F3"/>
    <w:rsid w:val="006C2539"/>
    <w:rsid w:val="006C25AD"/>
    <w:rsid w:val="006C264C"/>
    <w:rsid w:val="006C265B"/>
    <w:rsid w:val="006C267F"/>
    <w:rsid w:val="006C26DB"/>
    <w:rsid w:val="006C26FF"/>
    <w:rsid w:val="006C2809"/>
    <w:rsid w:val="006C2891"/>
    <w:rsid w:val="006C28D2"/>
    <w:rsid w:val="006C2943"/>
    <w:rsid w:val="006C2A39"/>
    <w:rsid w:val="006C2A41"/>
    <w:rsid w:val="006C2BB6"/>
    <w:rsid w:val="006C2C65"/>
    <w:rsid w:val="006C2CF1"/>
    <w:rsid w:val="006C2D06"/>
    <w:rsid w:val="006C2D08"/>
    <w:rsid w:val="006C2DFE"/>
    <w:rsid w:val="006C2F39"/>
    <w:rsid w:val="006C2F46"/>
    <w:rsid w:val="006C2FE8"/>
    <w:rsid w:val="006C30AD"/>
    <w:rsid w:val="006C3250"/>
    <w:rsid w:val="006C3272"/>
    <w:rsid w:val="006C3279"/>
    <w:rsid w:val="006C3553"/>
    <w:rsid w:val="006C355C"/>
    <w:rsid w:val="006C3624"/>
    <w:rsid w:val="006C36CB"/>
    <w:rsid w:val="006C372C"/>
    <w:rsid w:val="006C37A6"/>
    <w:rsid w:val="006C3823"/>
    <w:rsid w:val="006C3983"/>
    <w:rsid w:val="006C398C"/>
    <w:rsid w:val="006C3A57"/>
    <w:rsid w:val="006C3AAE"/>
    <w:rsid w:val="006C3B8D"/>
    <w:rsid w:val="006C3CF2"/>
    <w:rsid w:val="006C3E98"/>
    <w:rsid w:val="006C4081"/>
    <w:rsid w:val="006C4182"/>
    <w:rsid w:val="006C41AF"/>
    <w:rsid w:val="006C435E"/>
    <w:rsid w:val="006C43DC"/>
    <w:rsid w:val="006C458B"/>
    <w:rsid w:val="006C4616"/>
    <w:rsid w:val="006C46C9"/>
    <w:rsid w:val="006C47C7"/>
    <w:rsid w:val="006C4819"/>
    <w:rsid w:val="006C4A09"/>
    <w:rsid w:val="006C4DD8"/>
    <w:rsid w:val="006C4DFE"/>
    <w:rsid w:val="006C4E70"/>
    <w:rsid w:val="006C509E"/>
    <w:rsid w:val="006C50C9"/>
    <w:rsid w:val="006C5138"/>
    <w:rsid w:val="006C5311"/>
    <w:rsid w:val="006C53E8"/>
    <w:rsid w:val="006C558F"/>
    <w:rsid w:val="006C56CA"/>
    <w:rsid w:val="006C578E"/>
    <w:rsid w:val="006C581E"/>
    <w:rsid w:val="006C59DB"/>
    <w:rsid w:val="006C59EC"/>
    <w:rsid w:val="006C5A2C"/>
    <w:rsid w:val="006C5AF8"/>
    <w:rsid w:val="006C5B30"/>
    <w:rsid w:val="006C5B38"/>
    <w:rsid w:val="006C5B73"/>
    <w:rsid w:val="006C5CFA"/>
    <w:rsid w:val="006C5D10"/>
    <w:rsid w:val="006C5D58"/>
    <w:rsid w:val="006C5E77"/>
    <w:rsid w:val="006C5EB6"/>
    <w:rsid w:val="006C6082"/>
    <w:rsid w:val="006C60B5"/>
    <w:rsid w:val="006C6164"/>
    <w:rsid w:val="006C6241"/>
    <w:rsid w:val="006C6272"/>
    <w:rsid w:val="006C6285"/>
    <w:rsid w:val="006C6408"/>
    <w:rsid w:val="006C644B"/>
    <w:rsid w:val="006C645D"/>
    <w:rsid w:val="006C674B"/>
    <w:rsid w:val="006C6766"/>
    <w:rsid w:val="006C6815"/>
    <w:rsid w:val="006C69A8"/>
    <w:rsid w:val="006C69EE"/>
    <w:rsid w:val="006C6BDF"/>
    <w:rsid w:val="006C6C42"/>
    <w:rsid w:val="006C6CC7"/>
    <w:rsid w:val="006C6D2E"/>
    <w:rsid w:val="006C6D3B"/>
    <w:rsid w:val="006C6E0F"/>
    <w:rsid w:val="006C6F72"/>
    <w:rsid w:val="006C70D1"/>
    <w:rsid w:val="006C7130"/>
    <w:rsid w:val="006C724C"/>
    <w:rsid w:val="006C735A"/>
    <w:rsid w:val="006C737B"/>
    <w:rsid w:val="006C739C"/>
    <w:rsid w:val="006C741B"/>
    <w:rsid w:val="006C7435"/>
    <w:rsid w:val="006C7466"/>
    <w:rsid w:val="006C7550"/>
    <w:rsid w:val="006C7561"/>
    <w:rsid w:val="006C776C"/>
    <w:rsid w:val="006C7790"/>
    <w:rsid w:val="006C7806"/>
    <w:rsid w:val="006C7999"/>
    <w:rsid w:val="006C79E8"/>
    <w:rsid w:val="006C7A10"/>
    <w:rsid w:val="006C7B60"/>
    <w:rsid w:val="006C7CB4"/>
    <w:rsid w:val="006C7D55"/>
    <w:rsid w:val="006C7D86"/>
    <w:rsid w:val="006C7D98"/>
    <w:rsid w:val="006C7E2D"/>
    <w:rsid w:val="006C7EED"/>
    <w:rsid w:val="006C7FD0"/>
    <w:rsid w:val="006D00CB"/>
    <w:rsid w:val="006D02CC"/>
    <w:rsid w:val="006D037E"/>
    <w:rsid w:val="006D0494"/>
    <w:rsid w:val="006D0612"/>
    <w:rsid w:val="006D0755"/>
    <w:rsid w:val="006D0B8D"/>
    <w:rsid w:val="006D0C79"/>
    <w:rsid w:val="006D0DB5"/>
    <w:rsid w:val="006D1050"/>
    <w:rsid w:val="006D107B"/>
    <w:rsid w:val="006D10BF"/>
    <w:rsid w:val="006D11FC"/>
    <w:rsid w:val="006D130C"/>
    <w:rsid w:val="006D1377"/>
    <w:rsid w:val="006D1426"/>
    <w:rsid w:val="006D15AB"/>
    <w:rsid w:val="006D1648"/>
    <w:rsid w:val="006D16CD"/>
    <w:rsid w:val="006D175F"/>
    <w:rsid w:val="006D18D8"/>
    <w:rsid w:val="006D19B2"/>
    <w:rsid w:val="006D1CC2"/>
    <w:rsid w:val="006D1DC5"/>
    <w:rsid w:val="006D1DCB"/>
    <w:rsid w:val="006D1EF1"/>
    <w:rsid w:val="006D1F63"/>
    <w:rsid w:val="006D1FF5"/>
    <w:rsid w:val="006D2279"/>
    <w:rsid w:val="006D23B1"/>
    <w:rsid w:val="006D23EB"/>
    <w:rsid w:val="006D246D"/>
    <w:rsid w:val="006D2486"/>
    <w:rsid w:val="006D24EF"/>
    <w:rsid w:val="006D2589"/>
    <w:rsid w:val="006D2743"/>
    <w:rsid w:val="006D291B"/>
    <w:rsid w:val="006D29A8"/>
    <w:rsid w:val="006D29CF"/>
    <w:rsid w:val="006D2A47"/>
    <w:rsid w:val="006D2A7F"/>
    <w:rsid w:val="006D2A8C"/>
    <w:rsid w:val="006D2A99"/>
    <w:rsid w:val="006D2C4F"/>
    <w:rsid w:val="006D2C6C"/>
    <w:rsid w:val="006D2DAC"/>
    <w:rsid w:val="006D2DFD"/>
    <w:rsid w:val="006D2E88"/>
    <w:rsid w:val="006D2EF0"/>
    <w:rsid w:val="006D2FD5"/>
    <w:rsid w:val="006D3019"/>
    <w:rsid w:val="006D3202"/>
    <w:rsid w:val="006D3204"/>
    <w:rsid w:val="006D3220"/>
    <w:rsid w:val="006D32F4"/>
    <w:rsid w:val="006D32F7"/>
    <w:rsid w:val="006D334F"/>
    <w:rsid w:val="006D3418"/>
    <w:rsid w:val="006D3485"/>
    <w:rsid w:val="006D381A"/>
    <w:rsid w:val="006D3874"/>
    <w:rsid w:val="006D39B3"/>
    <w:rsid w:val="006D3A73"/>
    <w:rsid w:val="006D3AC3"/>
    <w:rsid w:val="006D3CE0"/>
    <w:rsid w:val="006D3D33"/>
    <w:rsid w:val="006D3D60"/>
    <w:rsid w:val="006D3DFA"/>
    <w:rsid w:val="006D3FF6"/>
    <w:rsid w:val="006D402B"/>
    <w:rsid w:val="006D407B"/>
    <w:rsid w:val="006D4121"/>
    <w:rsid w:val="006D41DE"/>
    <w:rsid w:val="006D4269"/>
    <w:rsid w:val="006D4383"/>
    <w:rsid w:val="006D445C"/>
    <w:rsid w:val="006D453D"/>
    <w:rsid w:val="006D4598"/>
    <w:rsid w:val="006D45EB"/>
    <w:rsid w:val="006D4690"/>
    <w:rsid w:val="006D46A2"/>
    <w:rsid w:val="006D49FF"/>
    <w:rsid w:val="006D4AEE"/>
    <w:rsid w:val="006D4B11"/>
    <w:rsid w:val="006D4BCB"/>
    <w:rsid w:val="006D4BF1"/>
    <w:rsid w:val="006D4ED5"/>
    <w:rsid w:val="006D516E"/>
    <w:rsid w:val="006D5313"/>
    <w:rsid w:val="006D532C"/>
    <w:rsid w:val="006D537E"/>
    <w:rsid w:val="006D556E"/>
    <w:rsid w:val="006D5672"/>
    <w:rsid w:val="006D5715"/>
    <w:rsid w:val="006D5A08"/>
    <w:rsid w:val="006D5A99"/>
    <w:rsid w:val="006D5BDA"/>
    <w:rsid w:val="006D5D44"/>
    <w:rsid w:val="006D5E3F"/>
    <w:rsid w:val="006D5F4D"/>
    <w:rsid w:val="006D613D"/>
    <w:rsid w:val="006D6265"/>
    <w:rsid w:val="006D63BC"/>
    <w:rsid w:val="006D64B7"/>
    <w:rsid w:val="006D658E"/>
    <w:rsid w:val="006D6606"/>
    <w:rsid w:val="006D6635"/>
    <w:rsid w:val="006D6706"/>
    <w:rsid w:val="006D6840"/>
    <w:rsid w:val="006D6940"/>
    <w:rsid w:val="006D69BF"/>
    <w:rsid w:val="006D6A77"/>
    <w:rsid w:val="006D6C24"/>
    <w:rsid w:val="006D6CE5"/>
    <w:rsid w:val="006D6D32"/>
    <w:rsid w:val="006D6E7D"/>
    <w:rsid w:val="006D7111"/>
    <w:rsid w:val="006D721D"/>
    <w:rsid w:val="006D72B8"/>
    <w:rsid w:val="006D7408"/>
    <w:rsid w:val="006D7571"/>
    <w:rsid w:val="006D76DC"/>
    <w:rsid w:val="006D7753"/>
    <w:rsid w:val="006D7767"/>
    <w:rsid w:val="006D776C"/>
    <w:rsid w:val="006D77DA"/>
    <w:rsid w:val="006D780D"/>
    <w:rsid w:val="006D794A"/>
    <w:rsid w:val="006D7988"/>
    <w:rsid w:val="006D7A0F"/>
    <w:rsid w:val="006D7C87"/>
    <w:rsid w:val="006D7CA3"/>
    <w:rsid w:val="006D7CAF"/>
    <w:rsid w:val="006D7CFC"/>
    <w:rsid w:val="006D7DF5"/>
    <w:rsid w:val="006D7E2B"/>
    <w:rsid w:val="006D7ECB"/>
    <w:rsid w:val="006D7F75"/>
    <w:rsid w:val="006E00C4"/>
    <w:rsid w:val="006E0282"/>
    <w:rsid w:val="006E0324"/>
    <w:rsid w:val="006E044E"/>
    <w:rsid w:val="006E04F0"/>
    <w:rsid w:val="006E0681"/>
    <w:rsid w:val="006E0857"/>
    <w:rsid w:val="006E088D"/>
    <w:rsid w:val="006E0B6C"/>
    <w:rsid w:val="006E0BB0"/>
    <w:rsid w:val="006E0D84"/>
    <w:rsid w:val="006E0DA9"/>
    <w:rsid w:val="006E0E1B"/>
    <w:rsid w:val="006E0E35"/>
    <w:rsid w:val="006E0E89"/>
    <w:rsid w:val="006E117B"/>
    <w:rsid w:val="006E1321"/>
    <w:rsid w:val="006E154B"/>
    <w:rsid w:val="006E1889"/>
    <w:rsid w:val="006E18D0"/>
    <w:rsid w:val="006E18D2"/>
    <w:rsid w:val="006E1A81"/>
    <w:rsid w:val="006E1B3F"/>
    <w:rsid w:val="006E1C78"/>
    <w:rsid w:val="006E1CB2"/>
    <w:rsid w:val="006E1D4C"/>
    <w:rsid w:val="006E1EFD"/>
    <w:rsid w:val="006E2008"/>
    <w:rsid w:val="006E216E"/>
    <w:rsid w:val="006E21AD"/>
    <w:rsid w:val="006E21F5"/>
    <w:rsid w:val="006E227E"/>
    <w:rsid w:val="006E293D"/>
    <w:rsid w:val="006E29A5"/>
    <w:rsid w:val="006E29AB"/>
    <w:rsid w:val="006E2A33"/>
    <w:rsid w:val="006E2AB4"/>
    <w:rsid w:val="006E2B40"/>
    <w:rsid w:val="006E2CB3"/>
    <w:rsid w:val="006E2CF2"/>
    <w:rsid w:val="006E2D2A"/>
    <w:rsid w:val="006E2D5C"/>
    <w:rsid w:val="006E2F3D"/>
    <w:rsid w:val="006E2FBC"/>
    <w:rsid w:val="006E2FF9"/>
    <w:rsid w:val="006E302C"/>
    <w:rsid w:val="006E30F4"/>
    <w:rsid w:val="006E3110"/>
    <w:rsid w:val="006E313D"/>
    <w:rsid w:val="006E3402"/>
    <w:rsid w:val="006E3714"/>
    <w:rsid w:val="006E3759"/>
    <w:rsid w:val="006E386C"/>
    <w:rsid w:val="006E390C"/>
    <w:rsid w:val="006E3939"/>
    <w:rsid w:val="006E39CB"/>
    <w:rsid w:val="006E39CE"/>
    <w:rsid w:val="006E39D8"/>
    <w:rsid w:val="006E3A18"/>
    <w:rsid w:val="006E3BFE"/>
    <w:rsid w:val="006E3CC3"/>
    <w:rsid w:val="006E3D03"/>
    <w:rsid w:val="006E3D6B"/>
    <w:rsid w:val="006E3D7D"/>
    <w:rsid w:val="006E3D8D"/>
    <w:rsid w:val="006E3DAB"/>
    <w:rsid w:val="006E3E05"/>
    <w:rsid w:val="006E40A3"/>
    <w:rsid w:val="006E42C1"/>
    <w:rsid w:val="006E4303"/>
    <w:rsid w:val="006E4382"/>
    <w:rsid w:val="006E4494"/>
    <w:rsid w:val="006E4531"/>
    <w:rsid w:val="006E45C7"/>
    <w:rsid w:val="006E4706"/>
    <w:rsid w:val="006E47B1"/>
    <w:rsid w:val="006E480E"/>
    <w:rsid w:val="006E48A3"/>
    <w:rsid w:val="006E4ABC"/>
    <w:rsid w:val="006E4AD0"/>
    <w:rsid w:val="006E4CCF"/>
    <w:rsid w:val="006E4D89"/>
    <w:rsid w:val="006E4DE7"/>
    <w:rsid w:val="006E4E0B"/>
    <w:rsid w:val="006E4E57"/>
    <w:rsid w:val="006E4FCC"/>
    <w:rsid w:val="006E500C"/>
    <w:rsid w:val="006E51F0"/>
    <w:rsid w:val="006E5210"/>
    <w:rsid w:val="006E5237"/>
    <w:rsid w:val="006E52E2"/>
    <w:rsid w:val="006E54E2"/>
    <w:rsid w:val="006E54F3"/>
    <w:rsid w:val="006E5810"/>
    <w:rsid w:val="006E5892"/>
    <w:rsid w:val="006E589C"/>
    <w:rsid w:val="006E598C"/>
    <w:rsid w:val="006E5BEC"/>
    <w:rsid w:val="006E5CAC"/>
    <w:rsid w:val="006E5DB1"/>
    <w:rsid w:val="006E5E5F"/>
    <w:rsid w:val="006E5E75"/>
    <w:rsid w:val="006E5ECD"/>
    <w:rsid w:val="006E5F8F"/>
    <w:rsid w:val="006E6236"/>
    <w:rsid w:val="006E626C"/>
    <w:rsid w:val="006E64C3"/>
    <w:rsid w:val="006E6627"/>
    <w:rsid w:val="006E669C"/>
    <w:rsid w:val="006E679C"/>
    <w:rsid w:val="006E697E"/>
    <w:rsid w:val="006E6A4E"/>
    <w:rsid w:val="006E6A5B"/>
    <w:rsid w:val="006E6B97"/>
    <w:rsid w:val="006E6C8F"/>
    <w:rsid w:val="006E6D39"/>
    <w:rsid w:val="006E6E19"/>
    <w:rsid w:val="006E6FD0"/>
    <w:rsid w:val="006E714D"/>
    <w:rsid w:val="006E717C"/>
    <w:rsid w:val="006E71DC"/>
    <w:rsid w:val="006E7202"/>
    <w:rsid w:val="006E745C"/>
    <w:rsid w:val="006E75AE"/>
    <w:rsid w:val="006E793A"/>
    <w:rsid w:val="006E7A45"/>
    <w:rsid w:val="006E7AEC"/>
    <w:rsid w:val="006E7BA5"/>
    <w:rsid w:val="006E7C0A"/>
    <w:rsid w:val="006E7C9D"/>
    <w:rsid w:val="006E7D2A"/>
    <w:rsid w:val="006E7D54"/>
    <w:rsid w:val="006E7DEE"/>
    <w:rsid w:val="006E7F0C"/>
    <w:rsid w:val="006E7F66"/>
    <w:rsid w:val="006F02C2"/>
    <w:rsid w:val="006F03C3"/>
    <w:rsid w:val="006F03E0"/>
    <w:rsid w:val="006F043F"/>
    <w:rsid w:val="006F051E"/>
    <w:rsid w:val="006F06DB"/>
    <w:rsid w:val="006F0704"/>
    <w:rsid w:val="006F0845"/>
    <w:rsid w:val="006F0939"/>
    <w:rsid w:val="006F0A06"/>
    <w:rsid w:val="006F0A5F"/>
    <w:rsid w:val="006F0AD6"/>
    <w:rsid w:val="006F0BA6"/>
    <w:rsid w:val="006F0CC3"/>
    <w:rsid w:val="006F0D85"/>
    <w:rsid w:val="006F1015"/>
    <w:rsid w:val="006F1042"/>
    <w:rsid w:val="006F1081"/>
    <w:rsid w:val="006F1169"/>
    <w:rsid w:val="006F12C2"/>
    <w:rsid w:val="006F1341"/>
    <w:rsid w:val="006F1367"/>
    <w:rsid w:val="006F1394"/>
    <w:rsid w:val="006F1461"/>
    <w:rsid w:val="006F1592"/>
    <w:rsid w:val="006F167B"/>
    <w:rsid w:val="006F17C6"/>
    <w:rsid w:val="006F185F"/>
    <w:rsid w:val="006F19A3"/>
    <w:rsid w:val="006F1AA1"/>
    <w:rsid w:val="006F1B72"/>
    <w:rsid w:val="006F1E83"/>
    <w:rsid w:val="006F1ED0"/>
    <w:rsid w:val="006F1EFC"/>
    <w:rsid w:val="006F205D"/>
    <w:rsid w:val="006F20E8"/>
    <w:rsid w:val="006F21C4"/>
    <w:rsid w:val="006F21C9"/>
    <w:rsid w:val="006F21E9"/>
    <w:rsid w:val="006F2322"/>
    <w:rsid w:val="006F2558"/>
    <w:rsid w:val="006F2589"/>
    <w:rsid w:val="006F2864"/>
    <w:rsid w:val="006F2877"/>
    <w:rsid w:val="006F2888"/>
    <w:rsid w:val="006F2897"/>
    <w:rsid w:val="006F289B"/>
    <w:rsid w:val="006F2A52"/>
    <w:rsid w:val="006F2C17"/>
    <w:rsid w:val="006F2C47"/>
    <w:rsid w:val="006F2E1A"/>
    <w:rsid w:val="006F2E5A"/>
    <w:rsid w:val="006F2E77"/>
    <w:rsid w:val="006F2E90"/>
    <w:rsid w:val="006F301F"/>
    <w:rsid w:val="006F3139"/>
    <w:rsid w:val="006F3190"/>
    <w:rsid w:val="006F31CD"/>
    <w:rsid w:val="006F321F"/>
    <w:rsid w:val="006F3335"/>
    <w:rsid w:val="006F3543"/>
    <w:rsid w:val="006F35C6"/>
    <w:rsid w:val="006F35D5"/>
    <w:rsid w:val="006F3726"/>
    <w:rsid w:val="006F37D4"/>
    <w:rsid w:val="006F392F"/>
    <w:rsid w:val="006F399D"/>
    <w:rsid w:val="006F39EB"/>
    <w:rsid w:val="006F3AD5"/>
    <w:rsid w:val="006F3C6A"/>
    <w:rsid w:val="006F3C84"/>
    <w:rsid w:val="006F3EAB"/>
    <w:rsid w:val="006F3FF3"/>
    <w:rsid w:val="006F4057"/>
    <w:rsid w:val="006F406D"/>
    <w:rsid w:val="006F439B"/>
    <w:rsid w:val="006F444E"/>
    <w:rsid w:val="006F44B8"/>
    <w:rsid w:val="006F44FC"/>
    <w:rsid w:val="006F4525"/>
    <w:rsid w:val="006F4588"/>
    <w:rsid w:val="006F4609"/>
    <w:rsid w:val="006F4661"/>
    <w:rsid w:val="006F4670"/>
    <w:rsid w:val="006F47D5"/>
    <w:rsid w:val="006F49E4"/>
    <w:rsid w:val="006F4B97"/>
    <w:rsid w:val="006F4C53"/>
    <w:rsid w:val="006F4CD0"/>
    <w:rsid w:val="006F4CE2"/>
    <w:rsid w:val="006F4E99"/>
    <w:rsid w:val="006F4EF4"/>
    <w:rsid w:val="006F4FA7"/>
    <w:rsid w:val="006F5293"/>
    <w:rsid w:val="006F55F4"/>
    <w:rsid w:val="006F5625"/>
    <w:rsid w:val="006F56AB"/>
    <w:rsid w:val="006F56EB"/>
    <w:rsid w:val="006F5994"/>
    <w:rsid w:val="006F5A9A"/>
    <w:rsid w:val="006F5E02"/>
    <w:rsid w:val="006F5F65"/>
    <w:rsid w:val="006F5F8A"/>
    <w:rsid w:val="006F60C7"/>
    <w:rsid w:val="006F6146"/>
    <w:rsid w:val="006F623C"/>
    <w:rsid w:val="006F62C7"/>
    <w:rsid w:val="006F63C5"/>
    <w:rsid w:val="006F6404"/>
    <w:rsid w:val="006F645A"/>
    <w:rsid w:val="006F654A"/>
    <w:rsid w:val="006F6588"/>
    <w:rsid w:val="006F6722"/>
    <w:rsid w:val="006F6906"/>
    <w:rsid w:val="006F69E3"/>
    <w:rsid w:val="006F6A68"/>
    <w:rsid w:val="006F6B14"/>
    <w:rsid w:val="006F6E88"/>
    <w:rsid w:val="006F6EDC"/>
    <w:rsid w:val="006F7087"/>
    <w:rsid w:val="006F7098"/>
    <w:rsid w:val="006F70D7"/>
    <w:rsid w:val="006F71ED"/>
    <w:rsid w:val="006F7226"/>
    <w:rsid w:val="006F7296"/>
    <w:rsid w:val="006F72D2"/>
    <w:rsid w:val="006F73A9"/>
    <w:rsid w:val="006F74AF"/>
    <w:rsid w:val="006F7611"/>
    <w:rsid w:val="006F7630"/>
    <w:rsid w:val="006F7646"/>
    <w:rsid w:val="006F7649"/>
    <w:rsid w:val="006F7726"/>
    <w:rsid w:val="006F78A3"/>
    <w:rsid w:val="006F78B3"/>
    <w:rsid w:val="006F7B79"/>
    <w:rsid w:val="006F7C30"/>
    <w:rsid w:val="006F7D1C"/>
    <w:rsid w:val="006F7EDF"/>
    <w:rsid w:val="00700032"/>
    <w:rsid w:val="00700075"/>
    <w:rsid w:val="0070010C"/>
    <w:rsid w:val="00700246"/>
    <w:rsid w:val="00700290"/>
    <w:rsid w:val="00700375"/>
    <w:rsid w:val="00700645"/>
    <w:rsid w:val="00700767"/>
    <w:rsid w:val="007009C3"/>
    <w:rsid w:val="00700A77"/>
    <w:rsid w:val="00700B2F"/>
    <w:rsid w:val="00700B30"/>
    <w:rsid w:val="00700B8E"/>
    <w:rsid w:val="00700CB1"/>
    <w:rsid w:val="00700D71"/>
    <w:rsid w:val="00700E25"/>
    <w:rsid w:val="00700F69"/>
    <w:rsid w:val="00700F96"/>
    <w:rsid w:val="00700FCD"/>
    <w:rsid w:val="00701027"/>
    <w:rsid w:val="0070109B"/>
    <w:rsid w:val="00701126"/>
    <w:rsid w:val="0070124E"/>
    <w:rsid w:val="00701353"/>
    <w:rsid w:val="00701357"/>
    <w:rsid w:val="007013ED"/>
    <w:rsid w:val="00701443"/>
    <w:rsid w:val="0070167A"/>
    <w:rsid w:val="00701688"/>
    <w:rsid w:val="007016F8"/>
    <w:rsid w:val="00701747"/>
    <w:rsid w:val="0070178F"/>
    <w:rsid w:val="00701ADA"/>
    <w:rsid w:val="00701B3E"/>
    <w:rsid w:val="00701C5A"/>
    <w:rsid w:val="00701EE9"/>
    <w:rsid w:val="00701F4E"/>
    <w:rsid w:val="00702030"/>
    <w:rsid w:val="00702045"/>
    <w:rsid w:val="00702047"/>
    <w:rsid w:val="00702140"/>
    <w:rsid w:val="00702149"/>
    <w:rsid w:val="00702153"/>
    <w:rsid w:val="00702166"/>
    <w:rsid w:val="007021B9"/>
    <w:rsid w:val="007023F8"/>
    <w:rsid w:val="007025F6"/>
    <w:rsid w:val="007029B8"/>
    <w:rsid w:val="00702A38"/>
    <w:rsid w:val="00702B20"/>
    <w:rsid w:val="00702BC2"/>
    <w:rsid w:val="00702C4E"/>
    <w:rsid w:val="00702CD7"/>
    <w:rsid w:val="00702D06"/>
    <w:rsid w:val="00702D07"/>
    <w:rsid w:val="00702F90"/>
    <w:rsid w:val="00702FFD"/>
    <w:rsid w:val="0070311A"/>
    <w:rsid w:val="007031E4"/>
    <w:rsid w:val="00703212"/>
    <w:rsid w:val="007032A4"/>
    <w:rsid w:val="0070331E"/>
    <w:rsid w:val="00703638"/>
    <w:rsid w:val="00703650"/>
    <w:rsid w:val="0070373C"/>
    <w:rsid w:val="00703881"/>
    <w:rsid w:val="007039B1"/>
    <w:rsid w:val="00703A19"/>
    <w:rsid w:val="00703A56"/>
    <w:rsid w:val="00703EBA"/>
    <w:rsid w:val="00703F5D"/>
    <w:rsid w:val="007040A6"/>
    <w:rsid w:val="007040C2"/>
    <w:rsid w:val="0070417F"/>
    <w:rsid w:val="00704184"/>
    <w:rsid w:val="0070422D"/>
    <w:rsid w:val="0070430D"/>
    <w:rsid w:val="007043E7"/>
    <w:rsid w:val="0070452B"/>
    <w:rsid w:val="0070462B"/>
    <w:rsid w:val="0070468E"/>
    <w:rsid w:val="0070469D"/>
    <w:rsid w:val="00704731"/>
    <w:rsid w:val="00704947"/>
    <w:rsid w:val="00704C65"/>
    <w:rsid w:val="00704D02"/>
    <w:rsid w:val="00705026"/>
    <w:rsid w:val="00705102"/>
    <w:rsid w:val="007051EB"/>
    <w:rsid w:val="00705202"/>
    <w:rsid w:val="00705205"/>
    <w:rsid w:val="0070521A"/>
    <w:rsid w:val="007055FD"/>
    <w:rsid w:val="00705608"/>
    <w:rsid w:val="00705993"/>
    <w:rsid w:val="0070599B"/>
    <w:rsid w:val="007059BA"/>
    <w:rsid w:val="00705A05"/>
    <w:rsid w:val="00705A7D"/>
    <w:rsid w:val="00705AB6"/>
    <w:rsid w:val="00705BEE"/>
    <w:rsid w:val="00705C21"/>
    <w:rsid w:val="00705C24"/>
    <w:rsid w:val="00705E25"/>
    <w:rsid w:val="00705E35"/>
    <w:rsid w:val="00705EA7"/>
    <w:rsid w:val="00705EC5"/>
    <w:rsid w:val="00705F51"/>
    <w:rsid w:val="0070624F"/>
    <w:rsid w:val="00706321"/>
    <w:rsid w:val="007063C0"/>
    <w:rsid w:val="0070654E"/>
    <w:rsid w:val="00706596"/>
    <w:rsid w:val="007065AF"/>
    <w:rsid w:val="0070662D"/>
    <w:rsid w:val="00706651"/>
    <w:rsid w:val="00706667"/>
    <w:rsid w:val="00706A1E"/>
    <w:rsid w:val="00706AB5"/>
    <w:rsid w:val="00706B3E"/>
    <w:rsid w:val="00706BDF"/>
    <w:rsid w:val="00706E36"/>
    <w:rsid w:val="00706E8E"/>
    <w:rsid w:val="0070715F"/>
    <w:rsid w:val="007071CB"/>
    <w:rsid w:val="00707206"/>
    <w:rsid w:val="00707321"/>
    <w:rsid w:val="007074EC"/>
    <w:rsid w:val="00707526"/>
    <w:rsid w:val="00707531"/>
    <w:rsid w:val="00707659"/>
    <w:rsid w:val="007076CD"/>
    <w:rsid w:val="00707978"/>
    <w:rsid w:val="0070799D"/>
    <w:rsid w:val="00707CF6"/>
    <w:rsid w:val="00707D93"/>
    <w:rsid w:val="00707DC2"/>
    <w:rsid w:val="00707E4C"/>
    <w:rsid w:val="00707EC0"/>
    <w:rsid w:val="00707F26"/>
    <w:rsid w:val="00707F9E"/>
    <w:rsid w:val="007100E1"/>
    <w:rsid w:val="007100EE"/>
    <w:rsid w:val="007101A2"/>
    <w:rsid w:val="00710327"/>
    <w:rsid w:val="0071040C"/>
    <w:rsid w:val="00710607"/>
    <w:rsid w:val="0071069F"/>
    <w:rsid w:val="007108C5"/>
    <w:rsid w:val="00710955"/>
    <w:rsid w:val="00710987"/>
    <w:rsid w:val="007109BF"/>
    <w:rsid w:val="00710C70"/>
    <w:rsid w:val="00710D32"/>
    <w:rsid w:val="00710E25"/>
    <w:rsid w:val="00710FF2"/>
    <w:rsid w:val="0071101C"/>
    <w:rsid w:val="007110D2"/>
    <w:rsid w:val="00711250"/>
    <w:rsid w:val="0071128F"/>
    <w:rsid w:val="00711305"/>
    <w:rsid w:val="007113F7"/>
    <w:rsid w:val="007113F9"/>
    <w:rsid w:val="00711446"/>
    <w:rsid w:val="00711601"/>
    <w:rsid w:val="00711654"/>
    <w:rsid w:val="007117AB"/>
    <w:rsid w:val="007118A6"/>
    <w:rsid w:val="00711950"/>
    <w:rsid w:val="00711AC7"/>
    <w:rsid w:val="00711D11"/>
    <w:rsid w:val="00711F3C"/>
    <w:rsid w:val="00712426"/>
    <w:rsid w:val="007124B0"/>
    <w:rsid w:val="007125C8"/>
    <w:rsid w:val="0071264E"/>
    <w:rsid w:val="0071294C"/>
    <w:rsid w:val="00712B26"/>
    <w:rsid w:val="00712CB0"/>
    <w:rsid w:val="00712CC2"/>
    <w:rsid w:val="00712D1E"/>
    <w:rsid w:val="0071309E"/>
    <w:rsid w:val="00713361"/>
    <w:rsid w:val="00713471"/>
    <w:rsid w:val="00713618"/>
    <w:rsid w:val="0071362D"/>
    <w:rsid w:val="00713A29"/>
    <w:rsid w:val="00713A39"/>
    <w:rsid w:val="00713A51"/>
    <w:rsid w:val="00713CE6"/>
    <w:rsid w:val="00713FF5"/>
    <w:rsid w:val="0071418F"/>
    <w:rsid w:val="0071425B"/>
    <w:rsid w:val="00714392"/>
    <w:rsid w:val="00714529"/>
    <w:rsid w:val="0071475F"/>
    <w:rsid w:val="00714817"/>
    <w:rsid w:val="007148DC"/>
    <w:rsid w:val="00714957"/>
    <w:rsid w:val="00714981"/>
    <w:rsid w:val="007149C3"/>
    <w:rsid w:val="00714A2D"/>
    <w:rsid w:val="00714E6A"/>
    <w:rsid w:val="00714E93"/>
    <w:rsid w:val="00714EBA"/>
    <w:rsid w:val="00714EDB"/>
    <w:rsid w:val="0071509A"/>
    <w:rsid w:val="0071524F"/>
    <w:rsid w:val="00715274"/>
    <w:rsid w:val="007152DD"/>
    <w:rsid w:val="007152EE"/>
    <w:rsid w:val="00715437"/>
    <w:rsid w:val="00715662"/>
    <w:rsid w:val="00715699"/>
    <w:rsid w:val="007157D1"/>
    <w:rsid w:val="007158ED"/>
    <w:rsid w:val="007159B1"/>
    <w:rsid w:val="00715A3C"/>
    <w:rsid w:val="00715AB6"/>
    <w:rsid w:val="00715EC4"/>
    <w:rsid w:val="0071603A"/>
    <w:rsid w:val="007161CF"/>
    <w:rsid w:val="00716216"/>
    <w:rsid w:val="0071622F"/>
    <w:rsid w:val="007162C9"/>
    <w:rsid w:val="00716640"/>
    <w:rsid w:val="00716698"/>
    <w:rsid w:val="00716777"/>
    <w:rsid w:val="00716A19"/>
    <w:rsid w:val="00716AAF"/>
    <w:rsid w:val="00716B7B"/>
    <w:rsid w:val="00716C0C"/>
    <w:rsid w:val="00716CA5"/>
    <w:rsid w:val="00716D72"/>
    <w:rsid w:val="00716FC4"/>
    <w:rsid w:val="0071701B"/>
    <w:rsid w:val="00717110"/>
    <w:rsid w:val="00717130"/>
    <w:rsid w:val="00717150"/>
    <w:rsid w:val="0071729B"/>
    <w:rsid w:val="00717524"/>
    <w:rsid w:val="007176A8"/>
    <w:rsid w:val="007178DD"/>
    <w:rsid w:val="00717916"/>
    <w:rsid w:val="00717BFB"/>
    <w:rsid w:val="00717D1A"/>
    <w:rsid w:val="00717E59"/>
    <w:rsid w:val="00717E62"/>
    <w:rsid w:val="00717F11"/>
    <w:rsid w:val="007201C5"/>
    <w:rsid w:val="007201D4"/>
    <w:rsid w:val="00720377"/>
    <w:rsid w:val="00720425"/>
    <w:rsid w:val="0072059B"/>
    <w:rsid w:val="007205DF"/>
    <w:rsid w:val="0072076C"/>
    <w:rsid w:val="007207C0"/>
    <w:rsid w:val="00720821"/>
    <w:rsid w:val="00720864"/>
    <w:rsid w:val="007208AF"/>
    <w:rsid w:val="00720A01"/>
    <w:rsid w:val="00720A03"/>
    <w:rsid w:val="00720A40"/>
    <w:rsid w:val="00720A9B"/>
    <w:rsid w:val="00720B9A"/>
    <w:rsid w:val="00720BE1"/>
    <w:rsid w:val="00720D07"/>
    <w:rsid w:val="00720D7A"/>
    <w:rsid w:val="00720DB6"/>
    <w:rsid w:val="00720FED"/>
    <w:rsid w:val="007210E2"/>
    <w:rsid w:val="007210F9"/>
    <w:rsid w:val="0072119E"/>
    <w:rsid w:val="007211BA"/>
    <w:rsid w:val="0072122B"/>
    <w:rsid w:val="00721380"/>
    <w:rsid w:val="007213F2"/>
    <w:rsid w:val="00721415"/>
    <w:rsid w:val="0072148D"/>
    <w:rsid w:val="007218C9"/>
    <w:rsid w:val="0072193B"/>
    <w:rsid w:val="007219DB"/>
    <w:rsid w:val="00721A76"/>
    <w:rsid w:val="00721C23"/>
    <w:rsid w:val="00721C85"/>
    <w:rsid w:val="00721C89"/>
    <w:rsid w:val="00721CB4"/>
    <w:rsid w:val="00721D00"/>
    <w:rsid w:val="00721DA4"/>
    <w:rsid w:val="00721DE7"/>
    <w:rsid w:val="00721E14"/>
    <w:rsid w:val="00721E99"/>
    <w:rsid w:val="00721F06"/>
    <w:rsid w:val="007220C4"/>
    <w:rsid w:val="007222F0"/>
    <w:rsid w:val="007223A4"/>
    <w:rsid w:val="00722510"/>
    <w:rsid w:val="00722611"/>
    <w:rsid w:val="0072270D"/>
    <w:rsid w:val="007229D6"/>
    <w:rsid w:val="00722AB7"/>
    <w:rsid w:val="00722B53"/>
    <w:rsid w:val="00722C03"/>
    <w:rsid w:val="00722CD5"/>
    <w:rsid w:val="00722E31"/>
    <w:rsid w:val="00722F10"/>
    <w:rsid w:val="00723009"/>
    <w:rsid w:val="0072305F"/>
    <w:rsid w:val="007230DD"/>
    <w:rsid w:val="00723155"/>
    <w:rsid w:val="00723426"/>
    <w:rsid w:val="0072344E"/>
    <w:rsid w:val="00723470"/>
    <w:rsid w:val="007235CD"/>
    <w:rsid w:val="007236C0"/>
    <w:rsid w:val="00723765"/>
    <w:rsid w:val="00723A34"/>
    <w:rsid w:val="00723A6E"/>
    <w:rsid w:val="00723A6F"/>
    <w:rsid w:val="00723CC0"/>
    <w:rsid w:val="00723E1C"/>
    <w:rsid w:val="00723EF6"/>
    <w:rsid w:val="00723F12"/>
    <w:rsid w:val="00723F89"/>
    <w:rsid w:val="0072408E"/>
    <w:rsid w:val="00724241"/>
    <w:rsid w:val="00724314"/>
    <w:rsid w:val="007243F5"/>
    <w:rsid w:val="007243FD"/>
    <w:rsid w:val="00724442"/>
    <w:rsid w:val="0072463E"/>
    <w:rsid w:val="00724657"/>
    <w:rsid w:val="007246BF"/>
    <w:rsid w:val="007246D4"/>
    <w:rsid w:val="0072487A"/>
    <w:rsid w:val="00724981"/>
    <w:rsid w:val="00724A12"/>
    <w:rsid w:val="00724A4E"/>
    <w:rsid w:val="00724C17"/>
    <w:rsid w:val="00724C2A"/>
    <w:rsid w:val="00724D27"/>
    <w:rsid w:val="00724E50"/>
    <w:rsid w:val="00724FCF"/>
    <w:rsid w:val="007250FA"/>
    <w:rsid w:val="0072511A"/>
    <w:rsid w:val="007251FD"/>
    <w:rsid w:val="00725289"/>
    <w:rsid w:val="0072528E"/>
    <w:rsid w:val="0072542E"/>
    <w:rsid w:val="007255E7"/>
    <w:rsid w:val="00725750"/>
    <w:rsid w:val="00725A1F"/>
    <w:rsid w:val="00725BC0"/>
    <w:rsid w:val="00725CB5"/>
    <w:rsid w:val="00725D23"/>
    <w:rsid w:val="00725DA0"/>
    <w:rsid w:val="00725DC9"/>
    <w:rsid w:val="00725E32"/>
    <w:rsid w:val="00725F7F"/>
    <w:rsid w:val="0072604B"/>
    <w:rsid w:val="00726162"/>
    <w:rsid w:val="0072619A"/>
    <w:rsid w:val="007261B8"/>
    <w:rsid w:val="00726209"/>
    <w:rsid w:val="00726292"/>
    <w:rsid w:val="0072644B"/>
    <w:rsid w:val="0072650C"/>
    <w:rsid w:val="00726558"/>
    <w:rsid w:val="007265D7"/>
    <w:rsid w:val="00726764"/>
    <w:rsid w:val="00726A2D"/>
    <w:rsid w:val="00726B47"/>
    <w:rsid w:val="00726BBB"/>
    <w:rsid w:val="00726BCF"/>
    <w:rsid w:val="00726D9B"/>
    <w:rsid w:val="00726DE6"/>
    <w:rsid w:val="00726E43"/>
    <w:rsid w:val="00726E51"/>
    <w:rsid w:val="00726E8B"/>
    <w:rsid w:val="007270D0"/>
    <w:rsid w:val="00727188"/>
    <w:rsid w:val="0072721F"/>
    <w:rsid w:val="00727507"/>
    <w:rsid w:val="0072758A"/>
    <w:rsid w:val="007275EA"/>
    <w:rsid w:val="007275FE"/>
    <w:rsid w:val="007277FE"/>
    <w:rsid w:val="007278BB"/>
    <w:rsid w:val="007278FE"/>
    <w:rsid w:val="007279F1"/>
    <w:rsid w:val="00727A27"/>
    <w:rsid w:val="00727ABE"/>
    <w:rsid w:val="00727AD3"/>
    <w:rsid w:val="00727B5F"/>
    <w:rsid w:val="00727C48"/>
    <w:rsid w:val="00727C60"/>
    <w:rsid w:val="00727D35"/>
    <w:rsid w:val="00727D6F"/>
    <w:rsid w:val="00727D99"/>
    <w:rsid w:val="00727DC3"/>
    <w:rsid w:val="00727DD5"/>
    <w:rsid w:val="00727ECD"/>
    <w:rsid w:val="00727F6E"/>
    <w:rsid w:val="00730111"/>
    <w:rsid w:val="00730259"/>
    <w:rsid w:val="00730263"/>
    <w:rsid w:val="0073026C"/>
    <w:rsid w:val="007303A4"/>
    <w:rsid w:val="007303C1"/>
    <w:rsid w:val="00730739"/>
    <w:rsid w:val="0073075E"/>
    <w:rsid w:val="007307E8"/>
    <w:rsid w:val="00730804"/>
    <w:rsid w:val="00730C2A"/>
    <w:rsid w:val="00730D5A"/>
    <w:rsid w:val="00730D81"/>
    <w:rsid w:val="00731233"/>
    <w:rsid w:val="007313EA"/>
    <w:rsid w:val="0073142A"/>
    <w:rsid w:val="0073158C"/>
    <w:rsid w:val="007315A5"/>
    <w:rsid w:val="0073175C"/>
    <w:rsid w:val="0073197A"/>
    <w:rsid w:val="00731A6E"/>
    <w:rsid w:val="00731AC6"/>
    <w:rsid w:val="00731AE5"/>
    <w:rsid w:val="00731B8E"/>
    <w:rsid w:val="00731F33"/>
    <w:rsid w:val="00731F51"/>
    <w:rsid w:val="00732073"/>
    <w:rsid w:val="00732093"/>
    <w:rsid w:val="007320D6"/>
    <w:rsid w:val="0073226B"/>
    <w:rsid w:val="00732361"/>
    <w:rsid w:val="00732398"/>
    <w:rsid w:val="00732614"/>
    <w:rsid w:val="007326A3"/>
    <w:rsid w:val="007327DA"/>
    <w:rsid w:val="0073281A"/>
    <w:rsid w:val="00732871"/>
    <w:rsid w:val="007328EA"/>
    <w:rsid w:val="00732A0D"/>
    <w:rsid w:val="00732A3E"/>
    <w:rsid w:val="00732A48"/>
    <w:rsid w:val="00732A89"/>
    <w:rsid w:val="00732ABC"/>
    <w:rsid w:val="00732B09"/>
    <w:rsid w:val="00732B55"/>
    <w:rsid w:val="00732BD2"/>
    <w:rsid w:val="00732CDA"/>
    <w:rsid w:val="00732D01"/>
    <w:rsid w:val="00732D24"/>
    <w:rsid w:val="00732D62"/>
    <w:rsid w:val="00732DF8"/>
    <w:rsid w:val="00732E01"/>
    <w:rsid w:val="00732E02"/>
    <w:rsid w:val="00732F62"/>
    <w:rsid w:val="00733022"/>
    <w:rsid w:val="007330D2"/>
    <w:rsid w:val="007330F4"/>
    <w:rsid w:val="00733287"/>
    <w:rsid w:val="007334A3"/>
    <w:rsid w:val="007334B3"/>
    <w:rsid w:val="00733695"/>
    <w:rsid w:val="0073394E"/>
    <w:rsid w:val="007339E7"/>
    <w:rsid w:val="00733A59"/>
    <w:rsid w:val="00733AE1"/>
    <w:rsid w:val="00733B12"/>
    <w:rsid w:val="00733C26"/>
    <w:rsid w:val="00733CD1"/>
    <w:rsid w:val="00733E60"/>
    <w:rsid w:val="00733E63"/>
    <w:rsid w:val="007340C0"/>
    <w:rsid w:val="00734424"/>
    <w:rsid w:val="007344BD"/>
    <w:rsid w:val="00734556"/>
    <w:rsid w:val="00734687"/>
    <w:rsid w:val="0073468C"/>
    <w:rsid w:val="0073473E"/>
    <w:rsid w:val="00734753"/>
    <w:rsid w:val="007347D8"/>
    <w:rsid w:val="007349F9"/>
    <w:rsid w:val="00734BAF"/>
    <w:rsid w:val="00734D6B"/>
    <w:rsid w:val="00734E67"/>
    <w:rsid w:val="00734F56"/>
    <w:rsid w:val="00734FCD"/>
    <w:rsid w:val="00734FD6"/>
    <w:rsid w:val="0073517A"/>
    <w:rsid w:val="00735359"/>
    <w:rsid w:val="0073537A"/>
    <w:rsid w:val="0073538A"/>
    <w:rsid w:val="007353F6"/>
    <w:rsid w:val="007354DA"/>
    <w:rsid w:val="007354EA"/>
    <w:rsid w:val="00735626"/>
    <w:rsid w:val="0073569D"/>
    <w:rsid w:val="007357C9"/>
    <w:rsid w:val="007358DE"/>
    <w:rsid w:val="007359A4"/>
    <w:rsid w:val="00735A14"/>
    <w:rsid w:val="00735BBA"/>
    <w:rsid w:val="00735D05"/>
    <w:rsid w:val="00735E78"/>
    <w:rsid w:val="00735EFC"/>
    <w:rsid w:val="0073601D"/>
    <w:rsid w:val="0073614A"/>
    <w:rsid w:val="0073646E"/>
    <w:rsid w:val="007364F9"/>
    <w:rsid w:val="0073661E"/>
    <w:rsid w:val="0073663B"/>
    <w:rsid w:val="00736650"/>
    <w:rsid w:val="00736655"/>
    <w:rsid w:val="007366AB"/>
    <w:rsid w:val="00736789"/>
    <w:rsid w:val="00736831"/>
    <w:rsid w:val="00736B11"/>
    <w:rsid w:val="00736B4D"/>
    <w:rsid w:val="00736BCA"/>
    <w:rsid w:val="00736C19"/>
    <w:rsid w:val="00736C20"/>
    <w:rsid w:val="00736C23"/>
    <w:rsid w:val="00736CA3"/>
    <w:rsid w:val="00736CFA"/>
    <w:rsid w:val="00736DD1"/>
    <w:rsid w:val="00737059"/>
    <w:rsid w:val="007370E8"/>
    <w:rsid w:val="00737139"/>
    <w:rsid w:val="007371CE"/>
    <w:rsid w:val="007371EA"/>
    <w:rsid w:val="00737265"/>
    <w:rsid w:val="00737353"/>
    <w:rsid w:val="0073736D"/>
    <w:rsid w:val="0073749A"/>
    <w:rsid w:val="007375C4"/>
    <w:rsid w:val="0073775D"/>
    <w:rsid w:val="00737860"/>
    <w:rsid w:val="007378E5"/>
    <w:rsid w:val="00737917"/>
    <w:rsid w:val="00737BFF"/>
    <w:rsid w:val="00737C9C"/>
    <w:rsid w:val="00737DE0"/>
    <w:rsid w:val="00737ED6"/>
    <w:rsid w:val="00737F4A"/>
    <w:rsid w:val="00737FBE"/>
    <w:rsid w:val="00740011"/>
    <w:rsid w:val="00740045"/>
    <w:rsid w:val="00740184"/>
    <w:rsid w:val="00740197"/>
    <w:rsid w:val="007403BC"/>
    <w:rsid w:val="0074043A"/>
    <w:rsid w:val="007405BC"/>
    <w:rsid w:val="00740759"/>
    <w:rsid w:val="007407C3"/>
    <w:rsid w:val="0074080E"/>
    <w:rsid w:val="0074086A"/>
    <w:rsid w:val="00740877"/>
    <w:rsid w:val="0074088F"/>
    <w:rsid w:val="007408BD"/>
    <w:rsid w:val="00740A20"/>
    <w:rsid w:val="00740AC4"/>
    <w:rsid w:val="00740B84"/>
    <w:rsid w:val="00740C63"/>
    <w:rsid w:val="00740D01"/>
    <w:rsid w:val="00740DD7"/>
    <w:rsid w:val="00740DED"/>
    <w:rsid w:val="00740E91"/>
    <w:rsid w:val="0074104C"/>
    <w:rsid w:val="007410C4"/>
    <w:rsid w:val="007410D4"/>
    <w:rsid w:val="007412AE"/>
    <w:rsid w:val="007412B6"/>
    <w:rsid w:val="007413A3"/>
    <w:rsid w:val="007413C8"/>
    <w:rsid w:val="007414C9"/>
    <w:rsid w:val="0074179F"/>
    <w:rsid w:val="007417C1"/>
    <w:rsid w:val="007418B1"/>
    <w:rsid w:val="00741AAC"/>
    <w:rsid w:val="00741B44"/>
    <w:rsid w:val="00741CC5"/>
    <w:rsid w:val="00741EFB"/>
    <w:rsid w:val="007420C0"/>
    <w:rsid w:val="00742366"/>
    <w:rsid w:val="00742381"/>
    <w:rsid w:val="00742390"/>
    <w:rsid w:val="007423AE"/>
    <w:rsid w:val="007424AD"/>
    <w:rsid w:val="0074283E"/>
    <w:rsid w:val="00742994"/>
    <w:rsid w:val="00742A1D"/>
    <w:rsid w:val="00742B4A"/>
    <w:rsid w:val="00742CFE"/>
    <w:rsid w:val="00742D7A"/>
    <w:rsid w:val="00742E10"/>
    <w:rsid w:val="00742E6D"/>
    <w:rsid w:val="00742EC3"/>
    <w:rsid w:val="00742FC5"/>
    <w:rsid w:val="00742FE8"/>
    <w:rsid w:val="0074310A"/>
    <w:rsid w:val="007431E0"/>
    <w:rsid w:val="0074339E"/>
    <w:rsid w:val="00743456"/>
    <w:rsid w:val="0074346A"/>
    <w:rsid w:val="00743555"/>
    <w:rsid w:val="007436D0"/>
    <w:rsid w:val="007437F3"/>
    <w:rsid w:val="0074385C"/>
    <w:rsid w:val="00743895"/>
    <w:rsid w:val="00743A96"/>
    <w:rsid w:val="00743AD1"/>
    <w:rsid w:val="00743BF3"/>
    <w:rsid w:val="00743E1D"/>
    <w:rsid w:val="00743EEB"/>
    <w:rsid w:val="00743EF9"/>
    <w:rsid w:val="00743FCD"/>
    <w:rsid w:val="007440A2"/>
    <w:rsid w:val="00744113"/>
    <w:rsid w:val="0074412E"/>
    <w:rsid w:val="007441C9"/>
    <w:rsid w:val="00744265"/>
    <w:rsid w:val="007442FF"/>
    <w:rsid w:val="00744388"/>
    <w:rsid w:val="00744484"/>
    <w:rsid w:val="007444AC"/>
    <w:rsid w:val="007444BE"/>
    <w:rsid w:val="00744611"/>
    <w:rsid w:val="00744702"/>
    <w:rsid w:val="00744820"/>
    <w:rsid w:val="00744870"/>
    <w:rsid w:val="007448ED"/>
    <w:rsid w:val="00744975"/>
    <w:rsid w:val="00744AEF"/>
    <w:rsid w:val="00744BEA"/>
    <w:rsid w:val="00744CCA"/>
    <w:rsid w:val="00744D5B"/>
    <w:rsid w:val="007450C9"/>
    <w:rsid w:val="00745146"/>
    <w:rsid w:val="007451CE"/>
    <w:rsid w:val="007452FA"/>
    <w:rsid w:val="00745324"/>
    <w:rsid w:val="00745353"/>
    <w:rsid w:val="007453C6"/>
    <w:rsid w:val="007454C6"/>
    <w:rsid w:val="00745581"/>
    <w:rsid w:val="007455D7"/>
    <w:rsid w:val="0074581E"/>
    <w:rsid w:val="007458C1"/>
    <w:rsid w:val="0074596C"/>
    <w:rsid w:val="00745A60"/>
    <w:rsid w:val="00745CAF"/>
    <w:rsid w:val="00745D92"/>
    <w:rsid w:val="00745E3A"/>
    <w:rsid w:val="00745E71"/>
    <w:rsid w:val="00745F6A"/>
    <w:rsid w:val="007460D0"/>
    <w:rsid w:val="007460D8"/>
    <w:rsid w:val="0074611D"/>
    <w:rsid w:val="0074621A"/>
    <w:rsid w:val="007462A7"/>
    <w:rsid w:val="007464E1"/>
    <w:rsid w:val="00746628"/>
    <w:rsid w:val="0074669B"/>
    <w:rsid w:val="00746752"/>
    <w:rsid w:val="00746895"/>
    <w:rsid w:val="00746A32"/>
    <w:rsid w:val="00746B88"/>
    <w:rsid w:val="00746C46"/>
    <w:rsid w:val="00746C57"/>
    <w:rsid w:val="00746CEB"/>
    <w:rsid w:val="00746DD6"/>
    <w:rsid w:val="00747176"/>
    <w:rsid w:val="0074717C"/>
    <w:rsid w:val="0074727D"/>
    <w:rsid w:val="007472A5"/>
    <w:rsid w:val="007472F3"/>
    <w:rsid w:val="0074730B"/>
    <w:rsid w:val="00747356"/>
    <w:rsid w:val="00747367"/>
    <w:rsid w:val="007476E4"/>
    <w:rsid w:val="00747709"/>
    <w:rsid w:val="007477D5"/>
    <w:rsid w:val="00747810"/>
    <w:rsid w:val="0074791D"/>
    <w:rsid w:val="00747929"/>
    <w:rsid w:val="00747960"/>
    <w:rsid w:val="007479A9"/>
    <w:rsid w:val="007479BE"/>
    <w:rsid w:val="007479E5"/>
    <w:rsid w:val="00747A33"/>
    <w:rsid w:val="00747AD7"/>
    <w:rsid w:val="00747C23"/>
    <w:rsid w:val="00747C5E"/>
    <w:rsid w:val="00747CC1"/>
    <w:rsid w:val="00747D27"/>
    <w:rsid w:val="00747D64"/>
    <w:rsid w:val="00747F4A"/>
    <w:rsid w:val="00747F54"/>
    <w:rsid w:val="00747F5A"/>
    <w:rsid w:val="0075013F"/>
    <w:rsid w:val="007501B8"/>
    <w:rsid w:val="0075020F"/>
    <w:rsid w:val="007502CF"/>
    <w:rsid w:val="00750369"/>
    <w:rsid w:val="007503D8"/>
    <w:rsid w:val="007504A3"/>
    <w:rsid w:val="0075058A"/>
    <w:rsid w:val="007505EC"/>
    <w:rsid w:val="007506EA"/>
    <w:rsid w:val="007508B3"/>
    <w:rsid w:val="0075091A"/>
    <w:rsid w:val="007509AB"/>
    <w:rsid w:val="007509DD"/>
    <w:rsid w:val="00750BBA"/>
    <w:rsid w:val="00750CDF"/>
    <w:rsid w:val="00750ECF"/>
    <w:rsid w:val="00750ED6"/>
    <w:rsid w:val="00750F6F"/>
    <w:rsid w:val="00750FF7"/>
    <w:rsid w:val="00751156"/>
    <w:rsid w:val="0075116A"/>
    <w:rsid w:val="007511E8"/>
    <w:rsid w:val="0075122D"/>
    <w:rsid w:val="00751236"/>
    <w:rsid w:val="007512C1"/>
    <w:rsid w:val="007512C7"/>
    <w:rsid w:val="007513DA"/>
    <w:rsid w:val="00751556"/>
    <w:rsid w:val="00751562"/>
    <w:rsid w:val="00751563"/>
    <w:rsid w:val="007515D4"/>
    <w:rsid w:val="00751634"/>
    <w:rsid w:val="007516FD"/>
    <w:rsid w:val="0075170A"/>
    <w:rsid w:val="007517D2"/>
    <w:rsid w:val="00751821"/>
    <w:rsid w:val="00751AD7"/>
    <w:rsid w:val="00751B95"/>
    <w:rsid w:val="00751C62"/>
    <w:rsid w:val="00751CFE"/>
    <w:rsid w:val="00751D30"/>
    <w:rsid w:val="00751D48"/>
    <w:rsid w:val="00751D9C"/>
    <w:rsid w:val="00751DBB"/>
    <w:rsid w:val="00751DCA"/>
    <w:rsid w:val="0075204B"/>
    <w:rsid w:val="00752073"/>
    <w:rsid w:val="00752131"/>
    <w:rsid w:val="00752158"/>
    <w:rsid w:val="00752185"/>
    <w:rsid w:val="00752187"/>
    <w:rsid w:val="00752357"/>
    <w:rsid w:val="0075235B"/>
    <w:rsid w:val="0075236B"/>
    <w:rsid w:val="007524AA"/>
    <w:rsid w:val="007524F5"/>
    <w:rsid w:val="00752630"/>
    <w:rsid w:val="0075281A"/>
    <w:rsid w:val="00752B4D"/>
    <w:rsid w:val="00752BAC"/>
    <w:rsid w:val="00752C1D"/>
    <w:rsid w:val="00752C64"/>
    <w:rsid w:val="00752DA0"/>
    <w:rsid w:val="00752DBF"/>
    <w:rsid w:val="00752DF0"/>
    <w:rsid w:val="00752E4B"/>
    <w:rsid w:val="00752F53"/>
    <w:rsid w:val="0075303B"/>
    <w:rsid w:val="007530AA"/>
    <w:rsid w:val="0075321C"/>
    <w:rsid w:val="007532B1"/>
    <w:rsid w:val="007532D9"/>
    <w:rsid w:val="0075333F"/>
    <w:rsid w:val="00753348"/>
    <w:rsid w:val="00753404"/>
    <w:rsid w:val="007534F9"/>
    <w:rsid w:val="0075358C"/>
    <w:rsid w:val="00753618"/>
    <w:rsid w:val="00753756"/>
    <w:rsid w:val="0075378A"/>
    <w:rsid w:val="0075378C"/>
    <w:rsid w:val="0075387D"/>
    <w:rsid w:val="007538D0"/>
    <w:rsid w:val="00753925"/>
    <w:rsid w:val="007539D5"/>
    <w:rsid w:val="00753ABE"/>
    <w:rsid w:val="00753B3A"/>
    <w:rsid w:val="00753E8D"/>
    <w:rsid w:val="007541A5"/>
    <w:rsid w:val="007541F4"/>
    <w:rsid w:val="00754214"/>
    <w:rsid w:val="007544D5"/>
    <w:rsid w:val="00754616"/>
    <w:rsid w:val="00754828"/>
    <w:rsid w:val="00754A4C"/>
    <w:rsid w:val="00754D12"/>
    <w:rsid w:val="00754E8B"/>
    <w:rsid w:val="00755194"/>
    <w:rsid w:val="0075523D"/>
    <w:rsid w:val="00755259"/>
    <w:rsid w:val="0075546D"/>
    <w:rsid w:val="00755555"/>
    <w:rsid w:val="0075569A"/>
    <w:rsid w:val="007556C2"/>
    <w:rsid w:val="007556D4"/>
    <w:rsid w:val="00755727"/>
    <w:rsid w:val="0075573A"/>
    <w:rsid w:val="007559BE"/>
    <w:rsid w:val="00755B01"/>
    <w:rsid w:val="00755C64"/>
    <w:rsid w:val="00755CEC"/>
    <w:rsid w:val="00755D3D"/>
    <w:rsid w:val="00755D77"/>
    <w:rsid w:val="00755E0C"/>
    <w:rsid w:val="00755F0F"/>
    <w:rsid w:val="00755F25"/>
    <w:rsid w:val="00756070"/>
    <w:rsid w:val="007561DE"/>
    <w:rsid w:val="00756375"/>
    <w:rsid w:val="007563A3"/>
    <w:rsid w:val="00756410"/>
    <w:rsid w:val="007564B5"/>
    <w:rsid w:val="00756741"/>
    <w:rsid w:val="007567AA"/>
    <w:rsid w:val="007568AD"/>
    <w:rsid w:val="007568D0"/>
    <w:rsid w:val="00756927"/>
    <w:rsid w:val="00756A70"/>
    <w:rsid w:val="00756C0E"/>
    <w:rsid w:val="00756DCA"/>
    <w:rsid w:val="0075700E"/>
    <w:rsid w:val="007573E9"/>
    <w:rsid w:val="007574C8"/>
    <w:rsid w:val="007576C9"/>
    <w:rsid w:val="00757703"/>
    <w:rsid w:val="00757761"/>
    <w:rsid w:val="00757894"/>
    <w:rsid w:val="0075796F"/>
    <w:rsid w:val="007579FB"/>
    <w:rsid w:val="00757A6E"/>
    <w:rsid w:val="00757B0B"/>
    <w:rsid w:val="00757C05"/>
    <w:rsid w:val="00757C31"/>
    <w:rsid w:val="00757CB7"/>
    <w:rsid w:val="00757D7F"/>
    <w:rsid w:val="00757DA5"/>
    <w:rsid w:val="00757F8E"/>
    <w:rsid w:val="0076003A"/>
    <w:rsid w:val="0076037D"/>
    <w:rsid w:val="00760499"/>
    <w:rsid w:val="0076052C"/>
    <w:rsid w:val="007605D6"/>
    <w:rsid w:val="007607E1"/>
    <w:rsid w:val="00760855"/>
    <w:rsid w:val="0076095C"/>
    <w:rsid w:val="00760A1D"/>
    <w:rsid w:val="00760A42"/>
    <w:rsid w:val="00760B20"/>
    <w:rsid w:val="00760BA6"/>
    <w:rsid w:val="00760D63"/>
    <w:rsid w:val="00760D90"/>
    <w:rsid w:val="00760DF2"/>
    <w:rsid w:val="00760E03"/>
    <w:rsid w:val="00760FF0"/>
    <w:rsid w:val="007611B9"/>
    <w:rsid w:val="00761238"/>
    <w:rsid w:val="007613DC"/>
    <w:rsid w:val="00761411"/>
    <w:rsid w:val="00761431"/>
    <w:rsid w:val="007614B3"/>
    <w:rsid w:val="0076160A"/>
    <w:rsid w:val="00761630"/>
    <w:rsid w:val="0076166C"/>
    <w:rsid w:val="0076181D"/>
    <w:rsid w:val="00761932"/>
    <w:rsid w:val="00761B22"/>
    <w:rsid w:val="00761BC8"/>
    <w:rsid w:val="00761C88"/>
    <w:rsid w:val="00761F2F"/>
    <w:rsid w:val="00761F5C"/>
    <w:rsid w:val="007622F1"/>
    <w:rsid w:val="0076237C"/>
    <w:rsid w:val="0076240D"/>
    <w:rsid w:val="0076250B"/>
    <w:rsid w:val="00762736"/>
    <w:rsid w:val="007627CF"/>
    <w:rsid w:val="00762889"/>
    <w:rsid w:val="007629F2"/>
    <w:rsid w:val="00762A37"/>
    <w:rsid w:val="00762AF6"/>
    <w:rsid w:val="00762B47"/>
    <w:rsid w:val="00762C1C"/>
    <w:rsid w:val="00762D2C"/>
    <w:rsid w:val="00762D90"/>
    <w:rsid w:val="00762D99"/>
    <w:rsid w:val="00762DB5"/>
    <w:rsid w:val="00762DB9"/>
    <w:rsid w:val="00762E7B"/>
    <w:rsid w:val="00762E8D"/>
    <w:rsid w:val="00762EA4"/>
    <w:rsid w:val="00762F1C"/>
    <w:rsid w:val="00762F32"/>
    <w:rsid w:val="0076301D"/>
    <w:rsid w:val="007631AF"/>
    <w:rsid w:val="0076327A"/>
    <w:rsid w:val="0076329E"/>
    <w:rsid w:val="007632FC"/>
    <w:rsid w:val="0076343F"/>
    <w:rsid w:val="00763474"/>
    <w:rsid w:val="007634AE"/>
    <w:rsid w:val="007634B2"/>
    <w:rsid w:val="0076363A"/>
    <w:rsid w:val="007638E5"/>
    <w:rsid w:val="007639AB"/>
    <w:rsid w:val="00763AA9"/>
    <w:rsid w:val="00763ACD"/>
    <w:rsid w:val="00763AD7"/>
    <w:rsid w:val="00763B0E"/>
    <w:rsid w:val="00763DD6"/>
    <w:rsid w:val="00763E87"/>
    <w:rsid w:val="00763FAC"/>
    <w:rsid w:val="00764016"/>
    <w:rsid w:val="007640EA"/>
    <w:rsid w:val="00764190"/>
    <w:rsid w:val="007642A1"/>
    <w:rsid w:val="007643A5"/>
    <w:rsid w:val="007643C5"/>
    <w:rsid w:val="0076446B"/>
    <w:rsid w:val="00764473"/>
    <w:rsid w:val="0076464F"/>
    <w:rsid w:val="0076465A"/>
    <w:rsid w:val="00764740"/>
    <w:rsid w:val="007648B2"/>
    <w:rsid w:val="00764AE3"/>
    <w:rsid w:val="00764AF7"/>
    <w:rsid w:val="00764C71"/>
    <w:rsid w:val="00764F63"/>
    <w:rsid w:val="00764FE3"/>
    <w:rsid w:val="007650EC"/>
    <w:rsid w:val="00765210"/>
    <w:rsid w:val="007653DF"/>
    <w:rsid w:val="0076541D"/>
    <w:rsid w:val="00765489"/>
    <w:rsid w:val="0076549B"/>
    <w:rsid w:val="00765587"/>
    <w:rsid w:val="00765611"/>
    <w:rsid w:val="00765636"/>
    <w:rsid w:val="007656A2"/>
    <w:rsid w:val="007656EF"/>
    <w:rsid w:val="007657C1"/>
    <w:rsid w:val="007658C1"/>
    <w:rsid w:val="00765A0C"/>
    <w:rsid w:val="00765AAC"/>
    <w:rsid w:val="00765B84"/>
    <w:rsid w:val="00765C58"/>
    <w:rsid w:val="00765C70"/>
    <w:rsid w:val="00765CC2"/>
    <w:rsid w:val="00765DF5"/>
    <w:rsid w:val="00765E54"/>
    <w:rsid w:val="00765EFD"/>
    <w:rsid w:val="00765F44"/>
    <w:rsid w:val="00766184"/>
    <w:rsid w:val="0076643E"/>
    <w:rsid w:val="00766496"/>
    <w:rsid w:val="007664F0"/>
    <w:rsid w:val="0076663F"/>
    <w:rsid w:val="0076670E"/>
    <w:rsid w:val="00766817"/>
    <w:rsid w:val="007668C6"/>
    <w:rsid w:val="00766963"/>
    <w:rsid w:val="007669B3"/>
    <w:rsid w:val="007669E7"/>
    <w:rsid w:val="00766A25"/>
    <w:rsid w:val="00766A5F"/>
    <w:rsid w:val="00766DB7"/>
    <w:rsid w:val="00766F1E"/>
    <w:rsid w:val="00766F95"/>
    <w:rsid w:val="007671AB"/>
    <w:rsid w:val="0076748F"/>
    <w:rsid w:val="0076751A"/>
    <w:rsid w:val="00767564"/>
    <w:rsid w:val="00767631"/>
    <w:rsid w:val="0076764C"/>
    <w:rsid w:val="007676E3"/>
    <w:rsid w:val="007677B2"/>
    <w:rsid w:val="0076793C"/>
    <w:rsid w:val="00767A0F"/>
    <w:rsid w:val="00767AE0"/>
    <w:rsid w:val="00767C9A"/>
    <w:rsid w:val="00767D02"/>
    <w:rsid w:val="00767D9A"/>
    <w:rsid w:val="00767F2F"/>
    <w:rsid w:val="00767F73"/>
    <w:rsid w:val="0077002C"/>
    <w:rsid w:val="007700DC"/>
    <w:rsid w:val="00770191"/>
    <w:rsid w:val="00770254"/>
    <w:rsid w:val="0077042F"/>
    <w:rsid w:val="0077048D"/>
    <w:rsid w:val="007704B1"/>
    <w:rsid w:val="0077063E"/>
    <w:rsid w:val="007706FA"/>
    <w:rsid w:val="00770742"/>
    <w:rsid w:val="00770875"/>
    <w:rsid w:val="0077098C"/>
    <w:rsid w:val="00770A3E"/>
    <w:rsid w:val="00770A97"/>
    <w:rsid w:val="00770B5C"/>
    <w:rsid w:val="00770B68"/>
    <w:rsid w:val="00770D84"/>
    <w:rsid w:val="00770E1C"/>
    <w:rsid w:val="00770E5B"/>
    <w:rsid w:val="00770FDD"/>
    <w:rsid w:val="0077103B"/>
    <w:rsid w:val="0077106C"/>
    <w:rsid w:val="00771140"/>
    <w:rsid w:val="00771142"/>
    <w:rsid w:val="007711AA"/>
    <w:rsid w:val="0077124D"/>
    <w:rsid w:val="00771255"/>
    <w:rsid w:val="00771333"/>
    <w:rsid w:val="0077164E"/>
    <w:rsid w:val="007716F2"/>
    <w:rsid w:val="00771739"/>
    <w:rsid w:val="007718EC"/>
    <w:rsid w:val="00771995"/>
    <w:rsid w:val="007719E8"/>
    <w:rsid w:val="00771AD5"/>
    <w:rsid w:val="00771D52"/>
    <w:rsid w:val="00771F49"/>
    <w:rsid w:val="0077207B"/>
    <w:rsid w:val="007720B3"/>
    <w:rsid w:val="007720DF"/>
    <w:rsid w:val="0077213D"/>
    <w:rsid w:val="0077215A"/>
    <w:rsid w:val="00772376"/>
    <w:rsid w:val="007723F3"/>
    <w:rsid w:val="0077240B"/>
    <w:rsid w:val="0077248C"/>
    <w:rsid w:val="00772530"/>
    <w:rsid w:val="0077258C"/>
    <w:rsid w:val="007727DB"/>
    <w:rsid w:val="0077280B"/>
    <w:rsid w:val="00772938"/>
    <w:rsid w:val="00772A1A"/>
    <w:rsid w:val="00772A1E"/>
    <w:rsid w:val="00772A41"/>
    <w:rsid w:val="00772AB0"/>
    <w:rsid w:val="00772AC2"/>
    <w:rsid w:val="00772B0A"/>
    <w:rsid w:val="00772E96"/>
    <w:rsid w:val="0077321B"/>
    <w:rsid w:val="007732F4"/>
    <w:rsid w:val="00773440"/>
    <w:rsid w:val="00773484"/>
    <w:rsid w:val="0077348E"/>
    <w:rsid w:val="00773510"/>
    <w:rsid w:val="0077359D"/>
    <w:rsid w:val="00773788"/>
    <w:rsid w:val="007738D4"/>
    <w:rsid w:val="00773BDF"/>
    <w:rsid w:val="00773D2F"/>
    <w:rsid w:val="00773FE1"/>
    <w:rsid w:val="00773FE5"/>
    <w:rsid w:val="007740CC"/>
    <w:rsid w:val="0077413C"/>
    <w:rsid w:val="00774151"/>
    <w:rsid w:val="0077429A"/>
    <w:rsid w:val="007742FD"/>
    <w:rsid w:val="00774551"/>
    <w:rsid w:val="00774571"/>
    <w:rsid w:val="0077462B"/>
    <w:rsid w:val="007746A9"/>
    <w:rsid w:val="00774781"/>
    <w:rsid w:val="007747AC"/>
    <w:rsid w:val="007747B9"/>
    <w:rsid w:val="007748AC"/>
    <w:rsid w:val="007748C4"/>
    <w:rsid w:val="00774965"/>
    <w:rsid w:val="00774B0B"/>
    <w:rsid w:val="00774B7A"/>
    <w:rsid w:val="00774D39"/>
    <w:rsid w:val="00774D7C"/>
    <w:rsid w:val="00774E93"/>
    <w:rsid w:val="00775113"/>
    <w:rsid w:val="00775120"/>
    <w:rsid w:val="007751A6"/>
    <w:rsid w:val="00775594"/>
    <w:rsid w:val="0077561F"/>
    <w:rsid w:val="00775742"/>
    <w:rsid w:val="00775A0F"/>
    <w:rsid w:val="00775AD9"/>
    <w:rsid w:val="00775BB2"/>
    <w:rsid w:val="00775BC1"/>
    <w:rsid w:val="00775C09"/>
    <w:rsid w:val="00775DB5"/>
    <w:rsid w:val="00775E2D"/>
    <w:rsid w:val="00775E9A"/>
    <w:rsid w:val="007760CC"/>
    <w:rsid w:val="007761A4"/>
    <w:rsid w:val="007762F0"/>
    <w:rsid w:val="0077633A"/>
    <w:rsid w:val="00776359"/>
    <w:rsid w:val="0077648B"/>
    <w:rsid w:val="00776539"/>
    <w:rsid w:val="00776567"/>
    <w:rsid w:val="00776575"/>
    <w:rsid w:val="0077662F"/>
    <w:rsid w:val="00776813"/>
    <w:rsid w:val="00776848"/>
    <w:rsid w:val="00776858"/>
    <w:rsid w:val="00776871"/>
    <w:rsid w:val="007768F9"/>
    <w:rsid w:val="00776AA7"/>
    <w:rsid w:val="00776B18"/>
    <w:rsid w:val="00776C70"/>
    <w:rsid w:val="00776D92"/>
    <w:rsid w:val="00776ED6"/>
    <w:rsid w:val="00776FE9"/>
    <w:rsid w:val="007771C8"/>
    <w:rsid w:val="00777465"/>
    <w:rsid w:val="00777565"/>
    <w:rsid w:val="00777810"/>
    <w:rsid w:val="00777868"/>
    <w:rsid w:val="0077795C"/>
    <w:rsid w:val="0077796B"/>
    <w:rsid w:val="00777A39"/>
    <w:rsid w:val="00777A9D"/>
    <w:rsid w:val="00777ACA"/>
    <w:rsid w:val="00777CA3"/>
    <w:rsid w:val="00777CE4"/>
    <w:rsid w:val="00780014"/>
    <w:rsid w:val="00780212"/>
    <w:rsid w:val="007802BC"/>
    <w:rsid w:val="00780339"/>
    <w:rsid w:val="007804C1"/>
    <w:rsid w:val="007806DE"/>
    <w:rsid w:val="0078094D"/>
    <w:rsid w:val="00780A76"/>
    <w:rsid w:val="00780A99"/>
    <w:rsid w:val="00780B25"/>
    <w:rsid w:val="00780DFF"/>
    <w:rsid w:val="00780E25"/>
    <w:rsid w:val="00781013"/>
    <w:rsid w:val="0078119A"/>
    <w:rsid w:val="0078127B"/>
    <w:rsid w:val="00781476"/>
    <w:rsid w:val="0078158F"/>
    <w:rsid w:val="007815C2"/>
    <w:rsid w:val="007815C8"/>
    <w:rsid w:val="00781671"/>
    <w:rsid w:val="007818AC"/>
    <w:rsid w:val="007818C5"/>
    <w:rsid w:val="00781956"/>
    <w:rsid w:val="00781983"/>
    <w:rsid w:val="007819B1"/>
    <w:rsid w:val="007819B8"/>
    <w:rsid w:val="00781B04"/>
    <w:rsid w:val="00781BED"/>
    <w:rsid w:val="00781CA2"/>
    <w:rsid w:val="00781EE2"/>
    <w:rsid w:val="00781F5C"/>
    <w:rsid w:val="00781F93"/>
    <w:rsid w:val="00781FE4"/>
    <w:rsid w:val="0078202A"/>
    <w:rsid w:val="0078204D"/>
    <w:rsid w:val="007820AE"/>
    <w:rsid w:val="007821FE"/>
    <w:rsid w:val="00782362"/>
    <w:rsid w:val="007824C2"/>
    <w:rsid w:val="0078257B"/>
    <w:rsid w:val="00782612"/>
    <w:rsid w:val="00782637"/>
    <w:rsid w:val="00782656"/>
    <w:rsid w:val="0078266E"/>
    <w:rsid w:val="00782678"/>
    <w:rsid w:val="007826FF"/>
    <w:rsid w:val="007827EB"/>
    <w:rsid w:val="007828D9"/>
    <w:rsid w:val="00782AAC"/>
    <w:rsid w:val="00782B14"/>
    <w:rsid w:val="00782F2F"/>
    <w:rsid w:val="00782FC6"/>
    <w:rsid w:val="007830E6"/>
    <w:rsid w:val="007832BF"/>
    <w:rsid w:val="007833ED"/>
    <w:rsid w:val="007833F6"/>
    <w:rsid w:val="0078349F"/>
    <w:rsid w:val="00783519"/>
    <w:rsid w:val="00783551"/>
    <w:rsid w:val="00783586"/>
    <w:rsid w:val="007835E8"/>
    <w:rsid w:val="00783736"/>
    <w:rsid w:val="00783838"/>
    <w:rsid w:val="007838A8"/>
    <w:rsid w:val="0078391B"/>
    <w:rsid w:val="00783A7B"/>
    <w:rsid w:val="00783C4F"/>
    <w:rsid w:val="00783C6A"/>
    <w:rsid w:val="00783CD2"/>
    <w:rsid w:val="00783D6B"/>
    <w:rsid w:val="00783D75"/>
    <w:rsid w:val="00783E4C"/>
    <w:rsid w:val="00783EF8"/>
    <w:rsid w:val="00783FA7"/>
    <w:rsid w:val="0078401D"/>
    <w:rsid w:val="0078402F"/>
    <w:rsid w:val="0078405B"/>
    <w:rsid w:val="007840B8"/>
    <w:rsid w:val="0078426C"/>
    <w:rsid w:val="00784281"/>
    <w:rsid w:val="0078434E"/>
    <w:rsid w:val="00784409"/>
    <w:rsid w:val="007845A3"/>
    <w:rsid w:val="0078465B"/>
    <w:rsid w:val="007846D2"/>
    <w:rsid w:val="00784730"/>
    <w:rsid w:val="0078476D"/>
    <w:rsid w:val="00784813"/>
    <w:rsid w:val="00784A53"/>
    <w:rsid w:val="00784C0A"/>
    <w:rsid w:val="00784E70"/>
    <w:rsid w:val="00785058"/>
    <w:rsid w:val="007850F5"/>
    <w:rsid w:val="0078511E"/>
    <w:rsid w:val="0078525E"/>
    <w:rsid w:val="007852E4"/>
    <w:rsid w:val="0078541F"/>
    <w:rsid w:val="00785608"/>
    <w:rsid w:val="007856A1"/>
    <w:rsid w:val="007856A2"/>
    <w:rsid w:val="00785724"/>
    <w:rsid w:val="00785809"/>
    <w:rsid w:val="0078582F"/>
    <w:rsid w:val="00785D45"/>
    <w:rsid w:val="00785DD7"/>
    <w:rsid w:val="00785DE9"/>
    <w:rsid w:val="00785E30"/>
    <w:rsid w:val="00785ED8"/>
    <w:rsid w:val="00785FDC"/>
    <w:rsid w:val="0078602E"/>
    <w:rsid w:val="00786047"/>
    <w:rsid w:val="00786090"/>
    <w:rsid w:val="0078615F"/>
    <w:rsid w:val="007862B9"/>
    <w:rsid w:val="007863FC"/>
    <w:rsid w:val="007864EC"/>
    <w:rsid w:val="0078654D"/>
    <w:rsid w:val="0078656A"/>
    <w:rsid w:val="0078662E"/>
    <w:rsid w:val="00786668"/>
    <w:rsid w:val="007866DA"/>
    <w:rsid w:val="00786885"/>
    <w:rsid w:val="007868C1"/>
    <w:rsid w:val="00786927"/>
    <w:rsid w:val="007869B8"/>
    <w:rsid w:val="00786A4E"/>
    <w:rsid w:val="00786A53"/>
    <w:rsid w:val="00786BD6"/>
    <w:rsid w:val="00786C47"/>
    <w:rsid w:val="00786CC4"/>
    <w:rsid w:val="00786E50"/>
    <w:rsid w:val="0078705B"/>
    <w:rsid w:val="00787195"/>
    <w:rsid w:val="00787203"/>
    <w:rsid w:val="00787288"/>
    <w:rsid w:val="00787433"/>
    <w:rsid w:val="007874C4"/>
    <w:rsid w:val="007877A2"/>
    <w:rsid w:val="0078781D"/>
    <w:rsid w:val="00787865"/>
    <w:rsid w:val="00787920"/>
    <w:rsid w:val="0078794B"/>
    <w:rsid w:val="00787957"/>
    <w:rsid w:val="00787AE7"/>
    <w:rsid w:val="00787B38"/>
    <w:rsid w:val="00787BA4"/>
    <w:rsid w:val="00787BED"/>
    <w:rsid w:val="00787D42"/>
    <w:rsid w:val="00787D63"/>
    <w:rsid w:val="00787DCE"/>
    <w:rsid w:val="00787DF1"/>
    <w:rsid w:val="00787E2B"/>
    <w:rsid w:val="00787E95"/>
    <w:rsid w:val="00787EB5"/>
    <w:rsid w:val="00787F6D"/>
    <w:rsid w:val="0079002A"/>
    <w:rsid w:val="007901DB"/>
    <w:rsid w:val="0079022C"/>
    <w:rsid w:val="00790388"/>
    <w:rsid w:val="00790432"/>
    <w:rsid w:val="0079061A"/>
    <w:rsid w:val="007907EF"/>
    <w:rsid w:val="0079095F"/>
    <w:rsid w:val="007909EE"/>
    <w:rsid w:val="00790AFD"/>
    <w:rsid w:val="00790BFE"/>
    <w:rsid w:val="00790CFD"/>
    <w:rsid w:val="00790E52"/>
    <w:rsid w:val="00790E87"/>
    <w:rsid w:val="00790F4F"/>
    <w:rsid w:val="00790FCA"/>
    <w:rsid w:val="0079109A"/>
    <w:rsid w:val="007910C0"/>
    <w:rsid w:val="00791112"/>
    <w:rsid w:val="00791134"/>
    <w:rsid w:val="00791184"/>
    <w:rsid w:val="007911E0"/>
    <w:rsid w:val="0079126F"/>
    <w:rsid w:val="00791300"/>
    <w:rsid w:val="00791406"/>
    <w:rsid w:val="00791456"/>
    <w:rsid w:val="0079145A"/>
    <w:rsid w:val="00791532"/>
    <w:rsid w:val="007915B7"/>
    <w:rsid w:val="00791783"/>
    <w:rsid w:val="007919BD"/>
    <w:rsid w:val="00791A65"/>
    <w:rsid w:val="00791B02"/>
    <w:rsid w:val="00791B62"/>
    <w:rsid w:val="00791B98"/>
    <w:rsid w:val="00791C3F"/>
    <w:rsid w:val="00791D1E"/>
    <w:rsid w:val="00791DD0"/>
    <w:rsid w:val="00791E4F"/>
    <w:rsid w:val="00791EDF"/>
    <w:rsid w:val="00791FBE"/>
    <w:rsid w:val="0079247E"/>
    <w:rsid w:val="00792561"/>
    <w:rsid w:val="007927EB"/>
    <w:rsid w:val="007927ED"/>
    <w:rsid w:val="00792888"/>
    <w:rsid w:val="00792999"/>
    <w:rsid w:val="007929A6"/>
    <w:rsid w:val="007929E6"/>
    <w:rsid w:val="00792A53"/>
    <w:rsid w:val="00792B20"/>
    <w:rsid w:val="00792B8E"/>
    <w:rsid w:val="00792C32"/>
    <w:rsid w:val="00792CCF"/>
    <w:rsid w:val="00792DFD"/>
    <w:rsid w:val="00792EB4"/>
    <w:rsid w:val="00792F96"/>
    <w:rsid w:val="00793146"/>
    <w:rsid w:val="00793295"/>
    <w:rsid w:val="00793297"/>
    <w:rsid w:val="007932AC"/>
    <w:rsid w:val="00793310"/>
    <w:rsid w:val="00793377"/>
    <w:rsid w:val="00793417"/>
    <w:rsid w:val="00793614"/>
    <w:rsid w:val="007936B6"/>
    <w:rsid w:val="007936FD"/>
    <w:rsid w:val="00793807"/>
    <w:rsid w:val="00793ACC"/>
    <w:rsid w:val="00793C1A"/>
    <w:rsid w:val="00793C46"/>
    <w:rsid w:val="00793F00"/>
    <w:rsid w:val="00794085"/>
    <w:rsid w:val="00794087"/>
    <w:rsid w:val="0079419C"/>
    <w:rsid w:val="00794361"/>
    <w:rsid w:val="007943BD"/>
    <w:rsid w:val="00794868"/>
    <w:rsid w:val="00794A54"/>
    <w:rsid w:val="00794A59"/>
    <w:rsid w:val="00794B40"/>
    <w:rsid w:val="00794B42"/>
    <w:rsid w:val="00794C4B"/>
    <w:rsid w:val="00794C94"/>
    <w:rsid w:val="00794DDC"/>
    <w:rsid w:val="00794DDF"/>
    <w:rsid w:val="00794DFA"/>
    <w:rsid w:val="00794E4E"/>
    <w:rsid w:val="00794F13"/>
    <w:rsid w:val="00795021"/>
    <w:rsid w:val="007950A5"/>
    <w:rsid w:val="007952BA"/>
    <w:rsid w:val="0079537D"/>
    <w:rsid w:val="0079543A"/>
    <w:rsid w:val="00795644"/>
    <w:rsid w:val="00795685"/>
    <w:rsid w:val="00795AA3"/>
    <w:rsid w:val="00795C46"/>
    <w:rsid w:val="00795CFF"/>
    <w:rsid w:val="00795F08"/>
    <w:rsid w:val="00796046"/>
    <w:rsid w:val="007960CB"/>
    <w:rsid w:val="00796172"/>
    <w:rsid w:val="00796190"/>
    <w:rsid w:val="00796225"/>
    <w:rsid w:val="00796238"/>
    <w:rsid w:val="0079624D"/>
    <w:rsid w:val="007962B1"/>
    <w:rsid w:val="007962D9"/>
    <w:rsid w:val="007962E0"/>
    <w:rsid w:val="007963AF"/>
    <w:rsid w:val="007965D8"/>
    <w:rsid w:val="00796656"/>
    <w:rsid w:val="007966C8"/>
    <w:rsid w:val="00796ABF"/>
    <w:rsid w:val="00796AFA"/>
    <w:rsid w:val="00796B4B"/>
    <w:rsid w:val="00796E26"/>
    <w:rsid w:val="00796E7C"/>
    <w:rsid w:val="00796ECF"/>
    <w:rsid w:val="007970C8"/>
    <w:rsid w:val="007970E1"/>
    <w:rsid w:val="0079723A"/>
    <w:rsid w:val="0079727E"/>
    <w:rsid w:val="00797294"/>
    <w:rsid w:val="0079729D"/>
    <w:rsid w:val="00797608"/>
    <w:rsid w:val="0079788E"/>
    <w:rsid w:val="007979D8"/>
    <w:rsid w:val="00797AC6"/>
    <w:rsid w:val="00797B05"/>
    <w:rsid w:val="00797B28"/>
    <w:rsid w:val="00797B70"/>
    <w:rsid w:val="00797B92"/>
    <w:rsid w:val="00797BBE"/>
    <w:rsid w:val="00797BD3"/>
    <w:rsid w:val="00797BF3"/>
    <w:rsid w:val="00797EB6"/>
    <w:rsid w:val="00797FC9"/>
    <w:rsid w:val="007A0006"/>
    <w:rsid w:val="007A0068"/>
    <w:rsid w:val="007A025A"/>
    <w:rsid w:val="007A031B"/>
    <w:rsid w:val="007A0355"/>
    <w:rsid w:val="007A0464"/>
    <w:rsid w:val="007A0481"/>
    <w:rsid w:val="007A0545"/>
    <w:rsid w:val="007A0598"/>
    <w:rsid w:val="007A06E5"/>
    <w:rsid w:val="007A06F7"/>
    <w:rsid w:val="007A098E"/>
    <w:rsid w:val="007A09CE"/>
    <w:rsid w:val="007A0A65"/>
    <w:rsid w:val="007A0B31"/>
    <w:rsid w:val="007A0C63"/>
    <w:rsid w:val="007A0C7F"/>
    <w:rsid w:val="007A0E01"/>
    <w:rsid w:val="007A0E72"/>
    <w:rsid w:val="007A1079"/>
    <w:rsid w:val="007A115E"/>
    <w:rsid w:val="007A1169"/>
    <w:rsid w:val="007A1214"/>
    <w:rsid w:val="007A1241"/>
    <w:rsid w:val="007A129C"/>
    <w:rsid w:val="007A1433"/>
    <w:rsid w:val="007A1578"/>
    <w:rsid w:val="007A1657"/>
    <w:rsid w:val="007A1796"/>
    <w:rsid w:val="007A17E2"/>
    <w:rsid w:val="007A18C9"/>
    <w:rsid w:val="007A1E58"/>
    <w:rsid w:val="007A1EA2"/>
    <w:rsid w:val="007A1EBB"/>
    <w:rsid w:val="007A1F40"/>
    <w:rsid w:val="007A207A"/>
    <w:rsid w:val="007A2169"/>
    <w:rsid w:val="007A21F8"/>
    <w:rsid w:val="007A234B"/>
    <w:rsid w:val="007A2399"/>
    <w:rsid w:val="007A245E"/>
    <w:rsid w:val="007A260E"/>
    <w:rsid w:val="007A2620"/>
    <w:rsid w:val="007A2793"/>
    <w:rsid w:val="007A28A7"/>
    <w:rsid w:val="007A29F0"/>
    <w:rsid w:val="007A2A62"/>
    <w:rsid w:val="007A2AB6"/>
    <w:rsid w:val="007A2B48"/>
    <w:rsid w:val="007A2BDF"/>
    <w:rsid w:val="007A2C0D"/>
    <w:rsid w:val="007A2CB8"/>
    <w:rsid w:val="007A2EC6"/>
    <w:rsid w:val="007A2EDF"/>
    <w:rsid w:val="007A30F1"/>
    <w:rsid w:val="007A32BC"/>
    <w:rsid w:val="007A3438"/>
    <w:rsid w:val="007A3539"/>
    <w:rsid w:val="007A3647"/>
    <w:rsid w:val="007A38DE"/>
    <w:rsid w:val="007A3B03"/>
    <w:rsid w:val="007A3BF7"/>
    <w:rsid w:val="007A3D90"/>
    <w:rsid w:val="007A3ED7"/>
    <w:rsid w:val="007A3F03"/>
    <w:rsid w:val="007A3F07"/>
    <w:rsid w:val="007A4016"/>
    <w:rsid w:val="007A4051"/>
    <w:rsid w:val="007A41E4"/>
    <w:rsid w:val="007A42EF"/>
    <w:rsid w:val="007A433F"/>
    <w:rsid w:val="007A4371"/>
    <w:rsid w:val="007A44C8"/>
    <w:rsid w:val="007A44CE"/>
    <w:rsid w:val="007A4606"/>
    <w:rsid w:val="007A4677"/>
    <w:rsid w:val="007A4693"/>
    <w:rsid w:val="007A4725"/>
    <w:rsid w:val="007A48BB"/>
    <w:rsid w:val="007A49E6"/>
    <w:rsid w:val="007A4BA6"/>
    <w:rsid w:val="007A4BFA"/>
    <w:rsid w:val="007A4FDF"/>
    <w:rsid w:val="007A518A"/>
    <w:rsid w:val="007A5230"/>
    <w:rsid w:val="007A535D"/>
    <w:rsid w:val="007A53E6"/>
    <w:rsid w:val="007A5640"/>
    <w:rsid w:val="007A569A"/>
    <w:rsid w:val="007A56BF"/>
    <w:rsid w:val="007A5793"/>
    <w:rsid w:val="007A57C7"/>
    <w:rsid w:val="007A5802"/>
    <w:rsid w:val="007A5918"/>
    <w:rsid w:val="007A5AC2"/>
    <w:rsid w:val="007A5B0F"/>
    <w:rsid w:val="007A5B25"/>
    <w:rsid w:val="007A5B9E"/>
    <w:rsid w:val="007A5C7E"/>
    <w:rsid w:val="007A5DD5"/>
    <w:rsid w:val="007A5E45"/>
    <w:rsid w:val="007A5FDC"/>
    <w:rsid w:val="007A5FE9"/>
    <w:rsid w:val="007A6069"/>
    <w:rsid w:val="007A6280"/>
    <w:rsid w:val="007A6398"/>
    <w:rsid w:val="007A6422"/>
    <w:rsid w:val="007A643B"/>
    <w:rsid w:val="007A65DC"/>
    <w:rsid w:val="007A669A"/>
    <w:rsid w:val="007A66C6"/>
    <w:rsid w:val="007A671A"/>
    <w:rsid w:val="007A693D"/>
    <w:rsid w:val="007A695F"/>
    <w:rsid w:val="007A698F"/>
    <w:rsid w:val="007A69C8"/>
    <w:rsid w:val="007A6A21"/>
    <w:rsid w:val="007A6A7F"/>
    <w:rsid w:val="007A6C28"/>
    <w:rsid w:val="007A6C8F"/>
    <w:rsid w:val="007A6C94"/>
    <w:rsid w:val="007A6D2B"/>
    <w:rsid w:val="007A6EC8"/>
    <w:rsid w:val="007A6FE4"/>
    <w:rsid w:val="007A7180"/>
    <w:rsid w:val="007A71E2"/>
    <w:rsid w:val="007A724E"/>
    <w:rsid w:val="007A7411"/>
    <w:rsid w:val="007A771C"/>
    <w:rsid w:val="007A7833"/>
    <w:rsid w:val="007A783C"/>
    <w:rsid w:val="007A79D5"/>
    <w:rsid w:val="007A7BAA"/>
    <w:rsid w:val="007A7C42"/>
    <w:rsid w:val="007A7C53"/>
    <w:rsid w:val="007A7CE6"/>
    <w:rsid w:val="007A7CEA"/>
    <w:rsid w:val="007A7CF8"/>
    <w:rsid w:val="007A7D8B"/>
    <w:rsid w:val="007A7D95"/>
    <w:rsid w:val="007A7DAA"/>
    <w:rsid w:val="007B00DE"/>
    <w:rsid w:val="007B010D"/>
    <w:rsid w:val="007B0118"/>
    <w:rsid w:val="007B01E1"/>
    <w:rsid w:val="007B029F"/>
    <w:rsid w:val="007B0342"/>
    <w:rsid w:val="007B04E5"/>
    <w:rsid w:val="007B0696"/>
    <w:rsid w:val="007B0778"/>
    <w:rsid w:val="007B07B6"/>
    <w:rsid w:val="007B0853"/>
    <w:rsid w:val="007B0ABC"/>
    <w:rsid w:val="007B0BB3"/>
    <w:rsid w:val="007B0F0E"/>
    <w:rsid w:val="007B0F54"/>
    <w:rsid w:val="007B0F7B"/>
    <w:rsid w:val="007B0FF4"/>
    <w:rsid w:val="007B0FF7"/>
    <w:rsid w:val="007B109D"/>
    <w:rsid w:val="007B109F"/>
    <w:rsid w:val="007B10F3"/>
    <w:rsid w:val="007B1160"/>
    <w:rsid w:val="007B11B6"/>
    <w:rsid w:val="007B1238"/>
    <w:rsid w:val="007B15E6"/>
    <w:rsid w:val="007B1607"/>
    <w:rsid w:val="007B1626"/>
    <w:rsid w:val="007B1799"/>
    <w:rsid w:val="007B17E6"/>
    <w:rsid w:val="007B19FC"/>
    <w:rsid w:val="007B1A12"/>
    <w:rsid w:val="007B1AB8"/>
    <w:rsid w:val="007B1B6D"/>
    <w:rsid w:val="007B1B85"/>
    <w:rsid w:val="007B1D9F"/>
    <w:rsid w:val="007B1E83"/>
    <w:rsid w:val="007B1F6D"/>
    <w:rsid w:val="007B210B"/>
    <w:rsid w:val="007B21CA"/>
    <w:rsid w:val="007B238D"/>
    <w:rsid w:val="007B23AA"/>
    <w:rsid w:val="007B23B3"/>
    <w:rsid w:val="007B24AC"/>
    <w:rsid w:val="007B2567"/>
    <w:rsid w:val="007B2606"/>
    <w:rsid w:val="007B2677"/>
    <w:rsid w:val="007B28DB"/>
    <w:rsid w:val="007B296B"/>
    <w:rsid w:val="007B2A4A"/>
    <w:rsid w:val="007B2A50"/>
    <w:rsid w:val="007B2BCD"/>
    <w:rsid w:val="007B2C11"/>
    <w:rsid w:val="007B2D2F"/>
    <w:rsid w:val="007B2DE9"/>
    <w:rsid w:val="007B2E98"/>
    <w:rsid w:val="007B2EB1"/>
    <w:rsid w:val="007B3217"/>
    <w:rsid w:val="007B3261"/>
    <w:rsid w:val="007B32A6"/>
    <w:rsid w:val="007B32FE"/>
    <w:rsid w:val="007B3308"/>
    <w:rsid w:val="007B3358"/>
    <w:rsid w:val="007B338A"/>
    <w:rsid w:val="007B33B2"/>
    <w:rsid w:val="007B3474"/>
    <w:rsid w:val="007B3772"/>
    <w:rsid w:val="007B3956"/>
    <w:rsid w:val="007B3992"/>
    <w:rsid w:val="007B3995"/>
    <w:rsid w:val="007B3A27"/>
    <w:rsid w:val="007B3A2F"/>
    <w:rsid w:val="007B3C06"/>
    <w:rsid w:val="007B3C0D"/>
    <w:rsid w:val="007B3CFD"/>
    <w:rsid w:val="007B3D6C"/>
    <w:rsid w:val="007B3DA3"/>
    <w:rsid w:val="007B4029"/>
    <w:rsid w:val="007B4131"/>
    <w:rsid w:val="007B42D1"/>
    <w:rsid w:val="007B45C6"/>
    <w:rsid w:val="007B480D"/>
    <w:rsid w:val="007B4878"/>
    <w:rsid w:val="007B4B7D"/>
    <w:rsid w:val="007B4D21"/>
    <w:rsid w:val="007B4D32"/>
    <w:rsid w:val="007B4D80"/>
    <w:rsid w:val="007B4E47"/>
    <w:rsid w:val="007B4F46"/>
    <w:rsid w:val="007B4F8E"/>
    <w:rsid w:val="007B4FE9"/>
    <w:rsid w:val="007B5134"/>
    <w:rsid w:val="007B5194"/>
    <w:rsid w:val="007B525B"/>
    <w:rsid w:val="007B52A4"/>
    <w:rsid w:val="007B557A"/>
    <w:rsid w:val="007B5767"/>
    <w:rsid w:val="007B58EA"/>
    <w:rsid w:val="007B59ED"/>
    <w:rsid w:val="007B5A23"/>
    <w:rsid w:val="007B5DF2"/>
    <w:rsid w:val="007B5E13"/>
    <w:rsid w:val="007B5E44"/>
    <w:rsid w:val="007B5F0E"/>
    <w:rsid w:val="007B5F1E"/>
    <w:rsid w:val="007B6000"/>
    <w:rsid w:val="007B6019"/>
    <w:rsid w:val="007B6047"/>
    <w:rsid w:val="007B607E"/>
    <w:rsid w:val="007B61D6"/>
    <w:rsid w:val="007B6248"/>
    <w:rsid w:val="007B6257"/>
    <w:rsid w:val="007B62E2"/>
    <w:rsid w:val="007B636B"/>
    <w:rsid w:val="007B64AC"/>
    <w:rsid w:val="007B64B4"/>
    <w:rsid w:val="007B64E9"/>
    <w:rsid w:val="007B6618"/>
    <w:rsid w:val="007B6759"/>
    <w:rsid w:val="007B6812"/>
    <w:rsid w:val="007B682B"/>
    <w:rsid w:val="007B692D"/>
    <w:rsid w:val="007B6933"/>
    <w:rsid w:val="007B6B91"/>
    <w:rsid w:val="007B6E16"/>
    <w:rsid w:val="007B6F1A"/>
    <w:rsid w:val="007B6FE7"/>
    <w:rsid w:val="007B71C0"/>
    <w:rsid w:val="007B72AD"/>
    <w:rsid w:val="007B74EB"/>
    <w:rsid w:val="007B76AB"/>
    <w:rsid w:val="007B76BB"/>
    <w:rsid w:val="007B7805"/>
    <w:rsid w:val="007B78D8"/>
    <w:rsid w:val="007B79EA"/>
    <w:rsid w:val="007B7A1F"/>
    <w:rsid w:val="007B7A4D"/>
    <w:rsid w:val="007B7A7B"/>
    <w:rsid w:val="007B7B15"/>
    <w:rsid w:val="007B7B87"/>
    <w:rsid w:val="007B7F61"/>
    <w:rsid w:val="007B7F72"/>
    <w:rsid w:val="007B7FBB"/>
    <w:rsid w:val="007C00F0"/>
    <w:rsid w:val="007C048B"/>
    <w:rsid w:val="007C04CE"/>
    <w:rsid w:val="007C053C"/>
    <w:rsid w:val="007C05DE"/>
    <w:rsid w:val="007C06D6"/>
    <w:rsid w:val="007C0814"/>
    <w:rsid w:val="007C0856"/>
    <w:rsid w:val="007C094F"/>
    <w:rsid w:val="007C095B"/>
    <w:rsid w:val="007C0C69"/>
    <w:rsid w:val="007C0EB1"/>
    <w:rsid w:val="007C0F09"/>
    <w:rsid w:val="007C0F6C"/>
    <w:rsid w:val="007C0FB3"/>
    <w:rsid w:val="007C10AA"/>
    <w:rsid w:val="007C1192"/>
    <w:rsid w:val="007C1211"/>
    <w:rsid w:val="007C1213"/>
    <w:rsid w:val="007C13A2"/>
    <w:rsid w:val="007C1446"/>
    <w:rsid w:val="007C1570"/>
    <w:rsid w:val="007C16D5"/>
    <w:rsid w:val="007C1791"/>
    <w:rsid w:val="007C188A"/>
    <w:rsid w:val="007C1B63"/>
    <w:rsid w:val="007C1CB9"/>
    <w:rsid w:val="007C1D4C"/>
    <w:rsid w:val="007C1D52"/>
    <w:rsid w:val="007C1D66"/>
    <w:rsid w:val="007C1D94"/>
    <w:rsid w:val="007C1EF0"/>
    <w:rsid w:val="007C213A"/>
    <w:rsid w:val="007C2177"/>
    <w:rsid w:val="007C21F2"/>
    <w:rsid w:val="007C21F9"/>
    <w:rsid w:val="007C2311"/>
    <w:rsid w:val="007C236C"/>
    <w:rsid w:val="007C2443"/>
    <w:rsid w:val="007C25AF"/>
    <w:rsid w:val="007C2658"/>
    <w:rsid w:val="007C26E4"/>
    <w:rsid w:val="007C28D9"/>
    <w:rsid w:val="007C28EC"/>
    <w:rsid w:val="007C2943"/>
    <w:rsid w:val="007C2C54"/>
    <w:rsid w:val="007C2C61"/>
    <w:rsid w:val="007C2E01"/>
    <w:rsid w:val="007C2E99"/>
    <w:rsid w:val="007C2EB2"/>
    <w:rsid w:val="007C2EEE"/>
    <w:rsid w:val="007C2F26"/>
    <w:rsid w:val="007C2F37"/>
    <w:rsid w:val="007C3076"/>
    <w:rsid w:val="007C3108"/>
    <w:rsid w:val="007C31D4"/>
    <w:rsid w:val="007C32AB"/>
    <w:rsid w:val="007C3339"/>
    <w:rsid w:val="007C3421"/>
    <w:rsid w:val="007C36CB"/>
    <w:rsid w:val="007C3734"/>
    <w:rsid w:val="007C385F"/>
    <w:rsid w:val="007C38AD"/>
    <w:rsid w:val="007C390B"/>
    <w:rsid w:val="007C3961"/>
    <w:rsid w:val="007C39E9"/>
    <w:rsid w:val="007C3A27"/>
    <w:rsid w:val="007C3ABE"/>
    <w:rsid w:val="007C3D6C"/>
    <w:rsid w:val="007C3E00"/>
    <w:rsid w:val="007C3EBE"/>
    <w:rsid w:val="007C3EE8"/>
    <w:rsid w:val="007C3F89"/>
    <w:rsid w:val="007C40CD"/>
    <w:rsid w:val="007C42BC"/>
    <w:rsid w:val="007C4339"/>
    <w:rsid w:val="007C450C"/>
    <w:rsid w:val="007C45E4"/>
    <w:rsid w:val="007C484D"/>
    <w:rsid w:val="007C4906"/>
    <w:rsid w:val="007C495B"/>
    <w:rsid w:val="007C4991"/>
    <w:rsid w:val="007C4A0F"/>
    <w:rsid w:val="007C4ABD"/>
    <w:rsid w:val="007C4CA0"/>
    <w:rsid w:val="007C4F28"/>
    <w:rsid w:val="007C50DC"/>
    <w:rsid w:val="007C519C"/>
    <w:rsid w:val="007C523F"/>
    <w:rsid w:val="007C528A"/>
    <w:rsid w:val="007C52FF"/>
    <w:rsid w:val="007C5382"/>
    <w:rsid w:val="007C5452"/>
    <w:rsid w:val="007C5585"/>
    <w:rsid w:val="007C560F"/>
    <w:rsid w:val="007C5733"/>
    <w:rsid w:val="007C5743"/>
    <w:rsid w:val="007C57CD"/>
    <w:rsid w:val="007C581B"/>
    <w:rsid w:val="007C583D"/>
    <w:rsid w:val="007C596A"/>
    <w:rsid w:val="007C59A7"/>
    <w:rsid w:val="007C5BB2"/>
    <w:rsid w:val="007C5BF6"/>
    <w:rsid w:val="007C5C51"/>
    <w:rsid w:val="007C5FB3"/>
    <w:rsid w:val="007C5FB7"/>
    <w:rsid w:val="007C60D6"/>
    <w:rsid w:val="007C6188"/>
    <w:rsid w:val="007C63F5"/>
    <w:rsid w:val="007C641E"/>
    <w:rsid w:val="007C64A8"/>
    <w:rsid w:val="007C6681"/>
    <w:rsid w:val="007C66E0"/>
    <w:rsid w:val="007C66E8"/>
    <w:rsid w:val="007C6841"/>
    <w:rsid w:val="007C6850"/>
    <w:rsid w:val="007C692A"/>
    <w:rsid w:val="007C6940"/>
    <w:rsid w:val="007C6AFC"/>
    <w:rsid w:val="007C6B19"/>
    <w:rsid w:val="007C6E48"/>
    <w:rsid w:val="007C6EC5"/>
    <w:rsid w:val="007C6ED1"/>
    <w:rsid w:val="007C6EE0"/>
    <w:rsid w:val="007C6F25"/>
    <w:rsid w:val="007C711D"/>
    <w:rsid w:val="007C719D"/>
    <w:rsid w:val="007C7255"/>
    <w:rsid w:val="007C7264"/>
    <w:rsid w:val="007C7293"/>
    <w:rsid w:val="007C7306"/>
    <w:rsid w:val="007C7316"/>
    <w:rsid w:val="007C7324"/>
    <w:rsid w:val="007C7819"/>
    <w:rsid w:val="007C79A8"/>
    <w:rsid w:val="007C79D4"/>
    <w:rsid w:val="007C7B88"/>
    <w:rsid w:val="007C7DE2"/>
    <w:rsid w:val="007C7EB0"/>
    <w:rsid w:val="007C7EE5"/>
    <w:rsid w:val="007C7F8B"/>
    <w:rsid w:val="007C7FE2"/>
    <w:rsid w:val="007D01ED"/>
    <w:rsid w:val="007D0491"/>
    <w:rsid w:val="007D05AA"/>
    <w:rsid w:val="007D06D2"/>
    <w:rsid w:val="007D07D3"/>
    <w:rsid w:val="007D09C0"/>
    <w:rsid w:val="007D0A51"/>
    <w:rsid w:val="007D0ADD"/>
    <w:rsid w:val="007D0AF7"/>
    <w:rsid w:val="007D0D6C"/>
    <w:rsid w:val="007D0DCB"/>
    <w:rsid w:val="007D1068"/>
    <w:rsid w:val="007D112A"/>
    <w:rsid w:val="007D1133"/>
    <w:rsid w:val="007D1338"/>
    <w:rsid w:val="007D140A"/>
    <w:rsid w:val="007D147B"/>
    <w:rsid w:val="007D154B"/>
    <w:rsid w:val="007D1579"/>
    <w:rsid w:val="007D1701"/>
    <w:rsid w:val="007D1966"/>
    <w:rsid w:val="007D196C"/>
    <w:rsid w:val="007D1A84"/>
    <w:rsid w:val="007D1E89"/>
    <w:rsid w:val="007D1EA4"/>
    <w:rsid w:val="007D1ECB"/>
    <w:rsid w:val="007D1F6D"/>
    <w:rsid w:val="007D20A8"/>
    <w:rsid w:val="007D2100"/>
    <w:rsid w:val="007D214F"/>
    <w:rsid w:val="007D21B6"/>
    <w:rsid w:val="007D21C7"/>
    <w:rsid w:val="007D2213"/>
    <w:rsid w:val="007D2319"/>
    <w:rsid w:val="007D2339"/>
    <w:rsid w:val="007D23DC"/>
    <w:rsid w:val="007D2594"/>
    <w:rsid w:val="007D26CF"/>
    <w:rsid w:val="007D27DD"/>
    <w:rsid w:val="007D27EC"/>
    <w:rsid w:val="007D2860"/>
    <w:rsid w:val="007D28B2"/>
    <w:rsid w:val="007D28FA"/>
    <w:rsid w:val="007D2910"/>
    <w:rsid w:val="007D29E0"/>
    <w:rsid w:val="007D2D74"/>
    <w:rsid w:val="007D2E23"/>
    <w:rsid w:val="007D2E36"/>
    <w:rsid w:val="007D2F02"/>
    <w:rsid w:val="007D2F3D"/>
    <w:rsid w:val="007D2F7C"/>
    <w:rsid w:val="007D31CF"/>
    <w:rsid w:val="007D3245"/>
    <w:rsid w:val="007D3287"/>
    <w:rsid w:val="007D32E3"/>
    <w:rsid w:val="007D3412"/>
    <w:rsid w:val="007D3493"/>
    <w:rsid w:val="007D3518"/>
    <w:rsid w:val="007D3520"/>
    <w:rsid w:val="007D35B3"/>
    <w:rsid w:val="007D36DF"/>
    <w:rsid w:val="007D371C"/>
    <w:rsid w:val="007D376B"/>
    <w:rsid w:val="007D377E"/>
    <w:rsid w:val="007D38D1"/>
    <w:rsid w:val="007D3A05"/>
    <w:rsid w:val="007D3B05"/>
    <w:rsid w:val="007D3B5B"/>
    <w:rsid w:val="007D3D51"/>
    <w:rsid w:val="007D3F42"/>
    <w:rsid w:val="007D3F7D"/>
    <w:rsid w:val="007D3FFA"/>
    <w:rsid w:val="007D41B4"/>
    <w:rsid w:val="007D4470"/>
    <w:rsid w:val="007D44D0"/>
    <w:rsid w:val="007D4506"/>
    <w:rsid w:val="007D4914"/>
    <w:rsid w:val="007D49DF"/>
    <w:rsid w:val="007D4A0B"/>
    <w:rsid w:val="007D4B57"/>
    <w:rsid w:val="007D4BB6"/>
    <w:rsid w:val="007D4C85"/>
    <w:rsid w:val="007D4DD5"/>
    <w:rsid w:val="007D4E3F"/>
    <w:rsid w:val="007D4EBD"/>
    <w:rsid w:val="007D4F9F"/>
    <w:rsid w:val="007D5034"/>
    <w:rsid w:val="007D5062"/>
    <w:rsid w:val="007D5135"/>
    <w:rsid w:val="007D5200"/>
    <w:rsid w:val="007D52BA"/>
    <w:rsid w:val="007D55B5"/>
    <w:rsid w:val="007D55D6"/>
    <w:rsid w:val="007D560E"/>
    <w:rsid w:val="007D5757"/>
    <w:rsid w:val="007D57A9"/>
    <w:rsid w:val="007D57B2"/>
    <w:rsid w:val="007D58F0"/>
    <w:rsid w:val="007D58F2"/>
    <w:rsid w:val="007D592B"/>
    <w:rsid w:val="007D5946"/>
    <w:rsid w:val="007D5A70"/>
    <w:rsid w:val="007D5AA6"/>
    <w:rsid w:val="007D5B69"/>
    <w:rsid w:val="007D5BA6"/>
    <w:rsid w:val="007D5BF1"/>
    <w:rsid w:val="007D5C8C"/>
    <w:rsid w:val="007D5EBF"/>
    <w:rsid w:val="007D5F06"/>
    <w:rsid w:val="007D5F6B"/>
    <w:rsid w:val="007D5F93"/>
    <w:rsid w:val="007D5F9B"/>
    <w:rsid w:val="007D5FD4"/>
    <w:rsid w:val="007D6134"/>
    <w:rsid w:val="007D62BB"/>
    <w:rsid w:val="007D6521"/>
    <w:rsid w:val="007D6550"/>
    <w:rsid w:val="007D65C0"/>
    <w:rsid w:val="007D65DC"/>
    <w:rsid w:val="007D6790"/>
    <w:rsid w:val="007D6800"/>
    <w:rsid w:val="007D686E"/>
    <w:rsid w:val="007D68C5"/>
    <w:rsid w:val="007D69A3"/>
    <w:rsid w:val="007D6B1F"/>
    <w:rsid w:val="007D6C0A"/>
    <w:rsid w:val="007D6D37"/>
    <w:rsid w:val="007D6D3A"/>
    <w:rsid w:val="007D6DAF"/>
    <w:rsid w:val="007D6E8A"/>
    <w:rsid w:val="007D701D"/>
    <w:rsid w:val="007D7087"/>
    <w:rsid w:val="007D7201"/>
    <w:rsid w:val="007D7204"/>
    <w:rsid w:val="007D7286"/>
    <w:rsid w:val="007D735A"/>
    <w:rsid w:val="007D73EB"/>
    <w:rsid w:val="007D74B5"/>
    <w:rsid w:val="007D75A1"/>
    <w:rsid w:val="007D7603"/>
    <w:rsid w:val="007D7904"/>
    <w:rsid w:val="007D790F"/>
    <w:rsid w:val="007D794A"/>
    <w:rsid w:val="007D797F"/>
    <w:rsid w:val="007D79CC"/>
    <w:rsid w:val="007D7A91"/>
    <w:rsid w:val="007D7AD1"/>
    <w:rsid w:val="007D7C8B"/>
    <w:rsid w:val="007D7D9C"/>
    <w:rsid w:val="007D7DA4"/>
    <w:rsid w:val="007D7F0C"/>
    <w:rsid w:val="007E0107"/>
    <w:rsid w:val="007E0112"/>
    <w:rsid w:val="007E01C5"/>
    <w:rsid w:val="007E01D3"/>
    <w:rsid w:val="007E02B0"/>
    <w:rsid w:val="007E030C"/>
    <w:rsid w:val="007E0384"/>
    <w:rsid w:val="007E0454"/>
    <w:rsid w:val="007E0472"/>
    <w:rsid w:val="007E06A0"/>
    <w:rsid w:val="007E094B"/>
    <w:rsid w:val="007E0D27"/>
    <w:rsid w:val="007E0D8F"/>
    <w:rsid w:val="007E0DAC"/>
    <w:rsid w:val="007E0DD9"/>
    <w:rsid w:val="007E0F9E"/>
    <w:rsid w:val="007E1065"/>
    <w:rsid w:val="007E1243"/>
    <w:rsid w:val="007E1245"/>
    <w:rsid w:val="007E12B9"/>
    <w:rsid w:val="007E12E0"/>
    <w:rsid w:val="007E12EA"/>
    <w:rsid w:val="007E13AF"/>
    <w:rsid w:val="007E1489"/>
    <w:rsid w:val="007E14B4"/>
    <w:rsid w:val="007E159C"/>
    <w:rsid w:val="007E1611"/>
    <w:rsid w:val="007E162C"/>
    <w:rsid w:val="007E162D"/>
    <w:rsid w:val="007E16E3"/>
    <w:rsid w:val="007E1984"/>
    <w:rsid w:val="007E19BB"/>
    <w:rsid w:val="007E1A23"/>
    <w:rsid w:val="007E1B0C"/>
    <w:rsid w:val="007E1B23"/>
    <w:rsid w:val="007E1D4A"/>
    <w:rsid w:val="007E1DFC"/>
    <w:rsid w:val="007E1E8C"/>
    <w:rsid w:val="007E1E95"/>
    <w:rsid w:val="007E2011"/>
    <w:rsid w:val="007E208C"/>
    <w:rsid w:val="007E22CE"/>
    <w:rsid w:val="007E236D"/>
    <w:rsid w:val="007E2414"/>
    <w:rsid w:val="007E2492"/>
    <w:rsid w:val="007E252A"/>
    <w:rsid w:val="007E25C8"/>
    <w:rsid w:val="007E2621"/>
    <w:rsid w:val="007E269D"/>
    <w:rsid w:val="007E26E4"/>
    <w:rsid w:val="007E272D"/>
    <w:rsid w:val="007E27D6"/>
    <w:rsid w:val="007E287F"/>
    <w:rsid w:val="007E2924"/>
    <w:rsid w:val="007E2AA7"/>
    <w:rsid w:val="007E2CA9"/>
    <w:rsid w:val="007E2CE9"/>
    <w:rsid w:val="007E2D49"/>
    <w:rsid w:val="007E2DF8"/>
    <w:rsid w:val="007E2F0E"/>
    <w:rsid w:val="007E2FE1"/>
    <w:rsid w:val="007E30E7"/>
    <w:rsid w:val="007E31D1"/>
    <w:rsid w:val="007E332C"/>
    <w:rsid w:val="007E34A2"/>
    <w:rsid w:val="007E34AC"/>
    <w:rsid w:val="007E352D"/>
    <w:rsid w:val="007E3796"/>
    <w:rsid w:val="007E37D1"/>
    <w:rsid w:val="007E3A65"/>
    <w:rsid w:val="007E3A96"/>
    <w:rsid w:val="007E3B38"/>
    <w:rsid w:val="007E3BD5"/>
    <w:rsid w:val="007E3CB8"/>
    <w:rsid w:val="007E40AA"/>
    <w:rsid w:val="007E40E8"/>
    <w:rsid w:val="007E40EE"/>
    <w:rsid w:val="007E41D9"/>
    <w:rsid w:val="007E41F7"/>
    <w:rsid w:val="007E4240"/>
    <w:rsid w:val="007E4289"/>
    <w:rsid w:val="007E42DC"/>
    <w:rsid w:val="007E4365"/>
    <w:rsid w:val="007E43F4"/>
    <w:rsid w:val="007E44B4"/>
    <w:rsid w:val="007E44E7"/>
    <w:rsid w:val="007E476A"/>
    <w:rsid w:val="007E4870"/>
    <w:rsid w:val="007E4890"/>
    <w:rsid w:val="007E4965"/>
    <w:rsid w:val="007E4967"/>
    <w:rsid w:val="007E4A99"/>
    <w:rsid w:val="007E4B2E"/>
    <w:rsid w:val="007E4C65"/>
    <w:rsid w:val="007E4C9F"/>
    <w:rsid w:val="007E4DA1"/>
    <w:rsid w:val="007E4DF5"/>
    <w:rsid w:val="007E4ED4"/>
    <w:rsid w:val="007E4F19"/>
    <w:rsid w:val="007E4F7A"/>
    <w:rsid w:val="007E506E"/>
    <w:rsid w:val="007E51A1"/>
    <w:rsid w:val="007E524C"/>
    <w:rsid w:val="007E53EA"/>
    <w:rsid w:val="007E559D"/>
    <w:rsid w:val="007E5661"/>
    <w:rsid w:val="007E5BB4"/>
    <w:rsid w:val="007E5BB8"/>
    <w:rsid w:val="007E5E76"/>
    <w:rsid w:val="007E5EA7"/>
    <w:rsid w:val="007E5F79"/>
    <w:rsid w:val="007E5F8D"/>
    <w:rsid w:val="007E614F"/>
    <w:rsid w:val="007E6319"/>
    <w:rsid w:val="007E63DB"/>
    <w:rsid w:val="007E6456"/>
    <w:rsid w:val="007E646C"/>
    <w:rsid w:val="007E64A9"/>
    <w:rsid w:val="007E6589"/>
    <w:rsid w:val="007E6882"/>
    <w:rsid w:val="007E688D"/>
    <w:rsid w:val="007E69DF"/>
    <w:rsid w:val="007E69F1"/>
    <w:rsid w:val="007E6A08"/>
    <w:rsid w:val="007E6A1B"/>
    <w:rsid w:val="007E6A1E"/>
    <w:rsid w:val="007E6B29"/>
    <w:rsid w:val="007E6C5F"/>
    <w:rsid w:val="007E6EFC"/>
    <w:rsid w:val="007E6F0D"/>
    <w:rsid w:val="007E6F91"/>
    <w:rsid w:val="007E7020"/>
    <w:rsid w:val="007E7068"/>
    <w:rsid w:val="007E7135"/>
    <w:rsid w:val="007E730C"/>
    <w:rsid w:val="007E7629"/>
    <w:rsid w:val="007E7765"/>
    <w:rsid w:val="007E7786"/>
    <w:rsid w:val="007E77C6"/>
    <w:rsid w:val="007E7865"/>
    <w:rsid w:val="007E792A"/>
    <w:rsid w:val="007E795D"/>
    <w:rsid w:val="007E79A1"/>
    <w:rsid w:val="007E7AC1"/>
    <w:rsid w:val="007E7B55"/>
    <w:rsid w:val="007E7B95"/>
    <w:rsid w:val="007E7D50"/>
    <w:rsid w:val="007E7DBF"/>
    <w:rsid w:val="007E7F57"/>
    <w:rsid w:val="007E7F84"/>
    <w:rsid w:val="007F0193"/>
    <w:rsid w:val="007F031D"/>
    <w:rsid w:val="007F06EB"/>
    <w:rsid w:val="007F0A4C"/>
    <w:rsid w:val="007F0AB4"/>
    <w:rsid w:val="007F0B49"/>
    <w:rsid w:val="007F0B95"/>
    <w:rsid w:val="007F0CE3"/>
    <w:rsid w:val="007F0F5A"/>
    <w:rsid w:val="007F0F80"/>
    <w:rsid w:val="007F0FC7"/>
    <w:rsid w:val="007F1105"/>
    <w:rsid w:val="007F110B"/>
    <w:rsid w:val="007F11EC"/>
    <w:rsid w:val="007F1202"/>
    <w:rsid w:val="007F124B"/>
    <w:rsid w:val="007F1495"/>
    <w:rsid w:val="007F1554"/>
    <w:rsid w:val="007F17CA"/>
    <w:rsid w:val="007F194C"/>
    <w:rsid w:val="007F19C2"/>
    <w:rsid w:val="007F1A84"/>
    <w:rsid w:val="007F1C05"/>
    <w:rsid w:val="007F1CBB"/>
    <w:rsid w:val="007F1F23"/>
    <w:rsid w:val="007F1F29"/>
    <w:rsid w:val="007F1F87"/>
    <w:rsid w:val="007F1FA6"/>
    <w:rsid w:val="007F20B2"/>
    <w:rsid w:val="007F2132"/>
    <w:rsid w:val="007F2134"/>
    <w:rsid w:val="007F2287"/>
    <w:rsid w:val="007F2321"/>
    <w:rsid w:val="007F233B"/>
    <w:rsid w:val="007F2357"/>
    <w:rsid w:val="007F23AA"/>
    <w:rsid w:val="007F258B"/>
    <w:rsid w:val="007F2769"/>
    <w:rsid w:val="007F29EB"/>
    <w:rsid w:val="007F2B37"/>
    <w:rsid w:val="007F2C86"/>
    <w:rsid w:val="007F2D34"/>
    <w:rsid w:val="007F2FE8"/>
    <w:rsid w:val="007F3081"/>
    <w:rsid w:val="007F30F3"/>
    <w:rsid w:val="007F3140"/>
    <w:rsid w:val="007F32D0"/>
    <w:rsid w:val="007F33F5"/>
    <w:rsid w:val="007F3492"/>
    <w:rsid w:val="007F3526"/>
    <w:rsid w:val="007F3709"/>
    <w:rsid w:val="007F3714"/>
    <w:rsid w:val="007F3770"/>
    <w:rsid w:val="007F3824"/>
    <w:rsid w:val="007F39EB"/>
    <w:rsid w:val="007F3AC3"/>
    <w:rsid w:val="007F3AEA"/>
    <w:rsid w:val="007F3B57"/>
    <w:rsid w:val="007F3B9C"/>
    <w:rsid w:val="007F3C90"/>
    <w:rsid w:val="007F3DC6"/>
    <w:rsid w:val="007F3E26"/>
    <w:rsid w:val="007F3E68"/>
    <w:rsid w:val="007F3EE0"/>
    <w:rsid w:val="007F41C2"/>
    <w:rsid w:val="007F4266"/>
    <w:rsid w:val="007F4297"/>
    <w:rsid w:val="007F42DA"/>
    <w:rsid w:val="007F4347"/>
    <w:rsid w:val="007F4373"/>
    <w:rsid w:val="007F47E6"/>
    <w:rsid w:val="007F48C6"/>
    <w:rsid w:val="007F4D0E"/>
    <w:rsid w:val="007F4D3A"/>
    <w:rsid w:val="007F4F4C"/>
    <w:rsid w:val="007F4FB7"/>
    <w:rsid w:val="007F5339"/>
    <w:rsid w:val="007F5384"/>
    <w:rsid w:val="007F550A"/>
    <w:rsid w:val="007F5683"/>
    <w:rsid w:val="007F570E"/>
    <w:rsid w:val="007F5833"/>
    <w:rsid w:val="007F58A2"/>
    <w:rsid w:val="007F5920"/>
    <w:rsid w:val="007F5CC6"/>
    <w:rsid w:val="007F5CF2"/>
    <w:rsid w:val="007F5DF1"/>
    <w:rsid w:val="007F5E31"/>
    <w:rsid w:val="007F5F2E"/>
    <w:rsid w:val="007F6092"/>
    <w:rsid w:val="007F6242"/>
    <w:rsid w:val="007F62C2"/>
    <w:rsid w:val="007F6364"/>
    <w:rsid w:val="007F6424"/>
    <w:rsid w:val="007F64E7"/>
    <w:rsid w:val="007F6575"/>
    <w:rsid w:val="007F6831"/>
    <w:rsid w:val="007F6AD1"/>
    <w:rsid w:val="007F6B47"/>
    <w:rsid w:val="007F6B69"/>
    <w:rsid w:val="007F6EDE"/>
    <w:rsid w:val="007F6EF9"/>
    <w:rsid w:val="007F7039"/>
    <w:rsid w:val="007F71D7"/>
    <w:rsid w:val="007F71E1"/>
    <w:rsid w:val="007F72C8"/>
    <w:rsid w:val="007F72CF"/>
    <w:rsid w:val="007F73D7"/>
    <w:rsid w:val="007F754F"/>
    <w:rsid w:val="007F7728"/>
    <w:rsid w:val="007F7869"/>
    <w:rsid w:val="007F7AF7"/>
    <w:rsid w:val="007F7CF1"/>
    <w:rsid w:val="007F7EF3"/>
    <w:rsid w:val="0080006E"/>
    <w:rsid w:val="0080026C"/>
    <w:rsid w:val="008002ED"/>
    <w:rsid w:val="008002FC"/>
    <w:rsid w:val="00800418"/>
    <w:rsid w:val="008004EB"/>
    <w:rsid w:val="00800520"/>
    <w:rsid w:val="008008C5"/>
    <w:rsid w:val="008008FC"/>
    <w:rsid w:val="00800C97"/>
    <w:rsid w:val="00800D01"/>
    <w:rsid w:val="00800DD8"/>
    <w:rsid w:val="00800E7D"/>
    <w:rsid w:val="008014A5"/>
    <w:rsid w:val="008014C3"/>
    <w:rsid w:val="0080173F"/>
    <w:rsid w:val="00801776"/>
    <w:rsid w:val="008017EC"/>
    <w:rsid w:val="00801A20"/>
    <w:rsid w:val="00801AD8"/>
    <w:rsid w:val="00801C2F"/>
    <w:rsid w:val="00801E26"/>
    <w:rsid w:val="00801EA0"/>
    <w:rsid w:val="008020E2"/>
    <w:rsid w:val="00802242"/>
    <w:rsid w:val="008023A8"/>
    <w:rsid w:val="0080240C"/>
    <w:rsid w:val="008024DD"/>
    <w:rsid w:val="0080251C"/>
    <w:rsid w:val="008025A4"/>
    <w:rsid w:val="00802657"/>
    <w:rsid w:val="008027BB"/>
    <w:rsid w:val="00802A13"/>
    <w:rsid w:val="00802BB5"/>
    <w:rsid w:val="00802BDB"/>
    <w:rsid w:val="00802EA9"/>
    <w:rsid w:val="00802EFC"/>
    <w:rsid w:val="0080300C"/>
    <w:rsid w:val="00803032"/>
    <w:rsid w:val="008031DF"/>
    <w:rsid w:val="0080342F"/>
    <w:rsid w:val="00803696"/>
    <w:rsid w:val="00803809"/>
    <w:rsid w:val="0080382E"/>
    <w:rsid w:val="00803972"/>
    <w:rsid w:val="008039BA"/>
    <w:rsid w:val="00803BFF"/>
    <w:rsid w:val="00803CA6"/>
    <w:rsid w:val="00803E02"/>
    <w:rsid w:val="00803FD7"/>
    <w:rsid w:val="00804038"/>
    <w:rsid w:val="00804066"/>
    <w:rsid w:val="008042C2"/>
    <w:rsid w:val="008044B0"/>
    <w:rsid w:val="0080470F"/>
    <w:rsid w:val="00804931"/>
    <w:rsid w:val="008049EE"/>
    <w:rsid w:val="00804B4B"/>
    <w:rsid w:val="00804BC1"/>
    <w:rsid w:val="00804BF7"/>
    <w:rsid w:val="00804E0D"/>
    <w:rsid w:val="00804ED0"/>
    <w:rsid w:val="00804F0E"/>
    <w:rsid w:val="00804F51"/>
    <w:rsid w:val="00805092"/>
    <w:rsid w:val="00805164"/>
    <w:rsid w:val="0080521E"/>
    <w:rsid w:val="0080532E"/>
    <w:rsid w:val="008053A3"/>
    <w:rsid w:val="008055FD"/>
    <w:rsid w:val="0080566A"/>
    <w:rsid w:val="00805840"/>
    <w:rsid w:val="0080586F"/>
    <w:rsid w:val="00805881"/>
    <w:rsid w:val="008058C6"/>
    <w:rsid w:val="0080596B"/>
    <w:rsid w:val="00805A09"/>
    <w:rsid w:val="00805D68"/>
    <w:rsid w:val="00805DE2"/>
    <w:rsid w:val="00805EAF"/>
    <w:rsid w:val="00805EBA"/>
    <w:rsid w:val="00805F4C"/>
    <w:rsid w:val="00805FA0"/>
    <w:rsid w:val="00805FE7"/>
    <w:rsid w:val="0080611F"/>
    <w:rsid w:val="0080620F"/>
    <w:rsid w:val="008063CF"/>
    <w:rsid w:val="008064BE"/>
    <w:rsid w:val="008064DF"/>
    <w:rsid w:val="0080668E"/>
    <w:rsid w:val="008066C5"/>
    <w:rsid w:val="00806713"/>
    <w:rsid w:val="00806781"/>
    <w:rsid w:val="00806782"/>
    <w:rsid w:val="008068EB"/>
    <w:rsid w:val="008069AC"/>
    <w:rsid w:val="008069BD"/>
    <w:rsid w:val="00806C26"/>
    <w:rsid w:val="00806C70"/>
    <w:rsid w:val="00806CA0"/>
    <w:rsid w:val="00806D25"/>
    <w:rsid w:val="00806D2A"/>
    <w:rsid w:val="00806ED4"/>
    <w:rsid w:val="00806EE0"/>
    <w:rsid w:val="00806F16"/>
    <w:rsid w:val="00806F91"/>
    <w:rsid w:val="00806FD3"/>
    <w:rsid w:val="0080700D"/>
    <w:rsid w:val="0080708B"/>
    <w:rsid w:val="0080709E"/>
    <w:rsid w:val="00807129"/>
    <w:rsid w:val="008071AB"/>
    <w:rsid w:val="008072F8"/>
    <w:rsid w:val="00807334"/>
    <w:rsid w:val="00807490"/>
    <w:rsid w:val="00807523"/>
    <w:rsid w:val="00807572"/>
    <w:rsid w:val="0080768D"/>
    <w:rsid w:val="00807718"/>
    <w:rsid w:val="0080788D"/>
    <w:rsid w:val="008079BD"/>
    <w:rsid w:val="00807A6A"/>
    <w:rsid w:val="00807B27"/>
    <w:rsid w:val="00807C31"/>
    <w:rsid w:val="00807D51"/>
    <w:rsid w:val="00807D8C"/>
    <w:rsid w:val="00807ED8"/>
    <w:rsid w:val="00807EF6"/>
    <w:rsid w:val="0081011C"/>
    <w:rsid w:val="008102DF"/>
    <w:rsid w:val="0081031E"/>
    <w:rsid w:val="00810364"/>
    <w:rsid w:val="0081037D"/>
    <w:rsid w:val="008103CE"/>
    <w:rsid w:val="00810405"/>
    <w:rsid w:val="00810569"/>
    <w:rsid w:val="00810620"/>
    <w:rsid w:val="00810705"/>
    <w:rsid w:val="0081070E"/>
    <w:rsid w:val="00810721"/>
    <w:rsid w:val="008107DA"/>
    <w:rsid w:val="0081087F"/>
    <w:rsid w:val="00810893"/>
    <w:rsid w:val="00810983"/>
    <w:rsid w:val="00810997"/>
    <w:rsid w:val="00810B06"/>
    <w:rsid w:val="008111F4"/>
    <w:rsid w:val="0081124D"/>
    <w:rsid w:val="0081127D"/>
    <w:rsid w:val="008114C3"/>
    <w:rsid w:val="0081153A"/>
    <w:rsid w:val="008117C6"/>
    <w:rsid w:val="008117D6"/>
    <w:rsid w:val="008118B4"/>
    <w:rsid w:val="008118E0"/>
    <w:rsid w:val="0081192B"/>
    <w:rsid w:val="00811943"/>
    <w:rsid w:val="00811964"/>
    <w:rsid w:val="00811AD5"/>
    <w:rsid w:val="00811CA5"/>
    <w:rsid w:val="00811CB2"/>
    <w:rsid w:val="00811CEA"/>
    <w:rsid w:val="00811D91"/>
    <w:rsid w:val="00811FD2"/>
    <w:rsid w:val="0081200A"/>
    <w:rsid w:val="008121E7"/>
    <w:rsid w:val="00812249"/>
    <w:rsid w:val="008122F1"/>
    <w:rsid w:val="008123DC"/>
    <w:rsid w:val="008125BF"/>
    <w:rsid w:val="0081261F"/>
    <w:rsid w:val="008126CE"/>
    <w:rsid w:val="008126E4"/>
    <w:rsid w:val="008127A0"/>
    <w:rsid w:val="008129AD"/>
    <w:rsid w:val="00812CE8"/>
    <w:rsid w:val="00812E6B"/>
    <w:rsid w:val="00812F68"/>
    <w:rsid w:val="00812FF7"/>
    <w:rsid w:val="0081307C"/>
    <w:rsid w:val="00813092"/>
    <w:rsid w:val="008132D3"/>
    <w:rsid w:val="00813392"/>
    <w:rsid w:val="008133A8"/>
    <w:rsid w:val="00813535"/>
    <w:rsid w:val="00813544"/>
    <w:rsid w:val="0081354C"/>
    <w:rsid w:val="00813589"/>
    <w:rsid w:val="008135F7"/>
    <w:rsid w:val="008136E0"/>
    <w:rsid w:val="008138BD"/>
    <w:rsid w:val="00813B1A"/>
    <w:rsid w:val="00813B45"/>
    <w:rsid w:val="00813BD0"/>
    <w:rsid w:val="00813C66"/>
    <w:rsid w:val="00813CA7"/>
    <w:rsid w:val="00813E6B"/>
    <w:rsid w:val="00813E96"/>
    <w:rsid w:val="00813F0A"/>
    <w:rsid w:val="008140E1"/>
    <w:rsid w:val="008142D8"/>
    <w:rsid w:val="008142FC"/>
    <w:rsid w:val="008143A9"/>
    <w:rsid w:val="008144D7"/>
    <w:rsid w:val="0081452A"/>
    <w:rsid w:val="00814600"/>
    <w:rsid w:val="0081475F"/>
    <w:rsid w:val="00814909"/>
    <w:rsid w:val="0081496B"/>
    <w:rsid w:val="00814D25"/>
    <w:rsid w:val="00814E26"/>
    <w:rsid w:val="00814EA3"/>
    <w:rsid w:val="00814F8D"/>
    <w:rsid w:val="00815010"/>
    <w:rsid w:val="008150CD"/>
    <w:rsid w:val="0081513A"/>
    <w:rsid w:val="008151BE"/>
    <w:rsid w:val="00815293"/>
    <w:rsid w:val="00815395"/>
    <w:rsid w:val="00815401"/>
    <w:rsid w:val="0081540E"/>
    <w:rsid w:val="00815461"/>
    <w:rsid w:val="008154AF"/>
    <w:rsid w:val="008154B1"/>
    <w:rsid w:val="00815528"/>
    <w:rsid w:val="00815541"/>
    <w:rsid w:val="0081560A"/>
    <w:rsid w:val="0081576C"/>
    <w:rsid w:val="008158FD"/>
    <w:rsid w:val="00815992"/>
    <w:rsid w:val="00815C81"/>
    <w:rsid w:val="00815E10"/>
    <w:rsid w:val="00815F29"/>
    <w:rsid w:val="00815F38"/>
    <w:rsid w:val="008161B0"/>
    <w:rsid w:val="00816268"/>
    <w:rsid w:val="0081644E"/>
    <w:rsid w:val="0081651F"/>
    <w:rsid w:val="0081653A"/>
    <w:rsid w:val="008166C1"/>
    <w:rsid w:val="0081683C"/>
    <w:rsid w:val="00816880"/>
    <w:rsid w:val="008168E9"/>
    <w:rsid w:val="00816ADB"/>
    <w:rsid w:val="00816BB0"/>
    <w:rsid w:val="00816BB3"/>
    <w:rsid w:val="00816CE2"/>
    <w:rsid w:val="00816DF3"/>
    <w:rsid w:val="00816E99"/>
    <w:rsid w:val="0081702F"/>
    <w:rsid w:val="00817222"/>
    <w:rsid w:val="008174AE"/>
    <w:rsid w:val="0081755D"/>
    <w:rsid w:val="00817566"/>
    <w:rsid w:val="008175EB"/>
    <w:rsid w:val="0081768E"/>
    <w:rsid w:val="0081788C"/>
    <w:rsid w:val="00817B7A"/>
    <w:rsid w:val="00817B95"/>
    <w:rsid w:val="00817BAC"/>
    <w:rsid w:val="00817BC8"/>
    <w:rsid w:val="00817BD0"/>
    <w:rsid w:val="00817C21"/>
    <w:rsid w:val="00817C4F"/>
    <w:rsid w:val="00817C5D"/>
    <w:rsid w:val="00817D12"/>
    <w:rsid w:val="00817D73"/>
    <w:rsid w:val="00817EC4"/>
    <w:rsid w:val="00817FE5"/>
    <w:rsid w:val="008200B1"/>
    <w:rsid w:val="0082019E"/>
    <w:rsid w:val="008204C0"/>
    <w:rsid w:val="00820551"/>
    <w:rsid w:val="008207F6"/>
    <w:rsid w:val="0082083A"/>
    <w:rsid w:val="00820986"/>
    <w:rsid w:val="00820A2C"/>
    <w:rsid w:val="00820B94"/>
    <w:rsid w:val="0082105F"/>
    <w:rsid w:val="0082108E"/>
    <w:rsid w:val="008211A7"/>
    <w:rsid w:val="008214AB"/>
    <w:rsid w:val="008214DD"/>
    <w:rsid w:val="00821613"/>
    <w:rsid w:val="00821618"/>
    <w:rsid w:val="0082164B"/>
    <w:rsid w:val="008216AB"/>
    <w:rsid w:val="00821857"/>
    <w:rsid w:val="00821945"/>
    <w:rsid w:val="00821961"/>
    <w:rsid w:val="008219A4"/>
    <w:rsid w:val="00821A2D"/>
    <w:rsid w:val="00821A35"/>
    <w:rsid w:val="00821C01"/>
    <w:rsid w:val="00821C06"/>
    <w:rsid w:val="00821D6C"/>
    <w:rsid w:val="00821DCD"/>
    <w:rsid w:val="00821E4E"/>
    <w:rsid w:val="00821EA3"/>
    <w:rsid w:val="00821F36"/>
    <w:rsid w:val="0082217E"/>
    <w:rsid w:val="008221E6"/>
    <w:rsid w:val="008222CA"/>
    <w:rsid w:val="0082239C"/>
    <w:rsid w:val="0082243C"/>
    <w:rsid w:val="008224C7"/>
    <w:rsid w:val="008224FD"/>
    <w:rsid w:val="00822619"/>
    <w:rsid w:val="00822637"/>
    <w:rsid w:val="0082268E"/>
    <w:rsid w:val="00822695"/>
    <w:rsid w:val="008227D1"/>
    <w:rsid w:val="008227FC"/>
    <w:rsid w:val="008228BA"/>
    <w:rsid w:val="00822946"/>
    <w:rsid w:val="008229E6"/>
    <w:rsid w:val="00822AB2"/>
    <w:rsid w:val="00822AF7"/>
    <w:rsid w:val="00822C67"/>
    <w:rsid w:val="00822CA1"/>
    <w:rsid w:val="00822CF6"/>
    <w:rsid w:val="00822F0D"/>
    <w:rsid w:val="00822F59"/>
    <w:rsid w:val="00823051"/>
    <w:rsid w:val="008230B6"/>
    <w:rsid w:val="00823148"/>
    <w:rsid w:val="00823299"/>
    <w:rsid w:val="00823300"/>
    <w:rsid w:val="0082365F"/>
    <w:rsid w:val="008238D5"/>
    <w:rsid w:val="008239C8"/>
    <w:rsid w:val="00823A21"/>
    <w:rsid w:val="00823A95"/>
    <w:rsid w:val="00823AA8"/>
    <w:rsid w:val="00823B9B"/>
    <w:rsid w:val="00823BD1"/>
    <w:rsid w:val="00823CEB"/>
    <w:rsid w:val="00823D36"/>
    <w:rsid w:val="00823DF9"/>
    <w:rsid w:val="00823E02"/>
    <w:rsid w:val="00824048"/>
    <w:rsid w:val="00824143"/>
    <w:rsid w:val="0082427F"/>
    <w:rsid w:val="00824330"/>
    <w:rsid w:val="008243AD"/>
    <w:rsid w:val="00824474"/>
    <w:rsid w:val="00824497"/>
    <w:rsid w:val="008244E6"/>
    <w:rsid w:val="008245E5"/>
    <w:rsid w:val="00824624"/>
    <w:rsid w:val="00824656"/>
    <w:rsid w:val="008246BF"/>
    <w:rsid w:val="0082498A"/>
    <w:rsid w:val="00824AC9"/>
    <w:rsid w:val="00824D18"/>
    <w:rsid w:val="00824DD1"/>
    <w:rsid w:val="00824ECB"/>
    <w:rsid w:val="00824FBF"/>
    <w:rsid w:val="0082506A"/>
    <w:rsid w:val="008250C2"/>
    <w:rsid w:val="0082528B"/>
    <w:rsid w:val="008252C2"/>
    <w:rsid w:val="0082543F"/>
    <w:rsid w:val="008254F5"/>
    <w:rsid w:val="00825522"/>
    <w:rsid w:val="00825740"/>
    <w:rsid w:val="00825779"/>
    <w:rsid w:val="008257E3"/>
    <w:rsid w:val="0082599E"/>
    <w:rsid w:val="008259F9"/>
    <w:rsid w:val="00825BF3"/>
    <w:rsid w:val="00825C25"/>
    <w:rsid w:val="00825CF2"/>
    <w:rsid w:val="00825DEA"/>
    <w:rsid w:val="00825FC5"/>
    <w:rsid w:val="00826014"/>
    <w:rsid w:val="0082607D"/>
    <w:rsid w:val="008260AC"/>
    <w:rsid w:val="008261E1"/>
    <w:rsid w:val="0082652A"/>
    <w:rsid w:val="00826533"/>
    <w:rsid w:val="00826691"/>
    <w:rsid w:val="00826755"/>
    <w:rsid w:val="00826B97"/>
    <w:rsid w:val="00826B9A"/>
    <w:rsid w:val="00826C20"/>
    <w:rsid w:val="00826CAC"/>
    <w:rsid w:val="00826D22"/>
    <w:rsid w:val="00826E89"/>
    <w:rsid w:val="00826FB6"/>
    <w:rsid w:val="008270A6"/>
    <w:rsid w:val="00827250"/>
    <w:rsid w:val="0082731D"/>
    <w:rsid w:val="008273C9"/>
    <w:rsid w:val="00827963"/>
    <w:rsid w:val="00827B14"/>
    <w:rsid w:val="00827B59"/>
    <w:rsid w:val="00827D88"/>
    <w:rsid w:val="0083014A"/>
    <w:rsid w:val="0083028D"/>
    <w:rsid w:val="00830367"/>
    <w:rsid w:val="0083048F"/>
    <w:rsid w:val="008304E9"/>
    <w:rsid w:val="00830541"/>
    <w:rsid w:val="0083056A"/>
    <w:rsid w:val="00830598"/>
    <w:rsid w:val="008306EC"/>
    <w:rsid w:val="0083082B"/>
    <w:rsid w:val="008308D1"/>
    <w:rsid w:val="008309A2"/>
    <w:rsid w:val="00830A40"/>
    <w:rsid w:val="00830A4A"/>
    <w:rsid w:val="00830AEF"/>
    <w:rsid w:val="00830C54"/>
    <w:rsid w:val="00830C66"/>
    <w:rsid w:val="00830DE7"/>
    <w:rsid w:val="00830DE8"/>
    <w:rsid w:val="00830E97"/>
    <w:rsid w:val="00830EEC"/>
    <w:rsid w:val="00830FBF"/>
    <w:rsid w:val="00830FD4"/>
    <w:rsid w:val="00831039"/>
    <w:rsid w:val="008311B8"/>
    <w:rsid w:val="00831269"/>
    <w:rsid w:val="00831289"/>
    <w:rsid w:val="008312AC"/>
    <w:rsid w:val="00831305"/>
    <w:rsid w:val="00831386"/>
    <w:rsid w:val="0083145C"/>
    <w:rsid w:val="008314D2"/>
    <w:rsid w:val="00831579"/>
    <w:rsid w:val="008315CB"/>
    <w:rsid w:val="0083161D"/>
    <w:rsid w:val="00831640"/>
    <w:rsid w:val="00831735"/>
    <w:rsid w:val="00831753"/>
    <w:rsid w:val="00831854"/>
    <w:rsid w:val="00831A68"/>
    <w:rsid w:val="00831A92"/>
    <w:rsid w:val="00831B07"/>
    <w:rsid w:val="00831E22"/>
    <w:rsid w:val="00831E3F"/>
    <w:rsid w:val="00831E72"/>
    <w:rsid w:val="00831F47"/>
    <w:rsid w:val="00832038"/>
    <w:rsid w:val="00832076"/>
    <w:rsid w:val="00832090"/>
    <w:rsid w:val="0083209E"/>
    <w:rsid w:val="008320AF"/>
    <w:rsid w:val="008320E1"/>
    <w:rsid w:val="008320E5"/>
    <w:rsid w:val="0083220B"/>
    <w:rsid w:val="00832389"/>
    <w:rsid w:val="00832487"/>
    <w:rsid w:val="0083259C"/>
    <w:rsid w:val="0083263F"/>
    <w:rsid w:val="008327C9"/>
    <w:rsid w:val="00832A8C"/>
    <w:rsid w:val="00832BD0"/>
    <w:rsid w:val="00832C03"/>
    <w:rsid w:val="00832C4F"/>
    <w:rsid w:val="00832C51"/>
    <w:rsid w:val="00832DAA"/>
    <w:rsid w:val="00832E63"/>
    <w:rsid w:val="00832EB8"/>
    <w:rsid w:val="00832EC4"/>
    <w:rsid w:val="00833033"/>
    <w:rsid w:val="008330E6"/>
    <w:rsid w:val="008331B6"/>
    <w:rsid w:val="008331F1"/>
    <w:rsid w:val="00833213"/>
    <w:rsid w:val="008332D3"/>
    <w:rsid w:val="008333E2"/>
    <w:rsid w:val="00833469"/>
    <w:rsid w:val="00833500"/>
    <w:rsid w:val="008335F6"/>
    <w:rsid w:val="0083379E"/>
    <w:rsid w:val="008338AB"/>
    <w:rsid w:val="008338FB"/>
    <w:rsid w:val="00833B43"/>
    <w:rsid w:val="00834243"/>
    <w:rsid w:val="0083424C"/>
    <w:rsid w:val="00834252"/>
    <w:rsid w:val="008342FD"/>
    <w:rsid w:val="00834415"/>
    <w:rsid w:val="00834424"/>
    <w:rsid w:val="008346DD"/>
    <w:rsid w:val="0083471C"/>
    <w:rsid w:val="00834762"/>
    <w:rsid w:val="00834862"/>
    <w:rsid w:val="00834A23"/>
    <w:rsid w:val="00834AAA"/>
    <w:rsid w:val="00834B8C"/>
    <w:rsid w:val="00834DD8"/>
    <w:rsid w:val="00834ED3"/>
    <w:rsid w:val="00834EDA"/>
    <w:rsid w:val="00834F5B"/>
    <w:rsid w:val="00835028"/>
    <w:rsid w:val="00835135"/>
    <w:rsid w:val="00835363"/>
    <w:rsid w:val="00835429"/>
    <w:rsid w:val="00835457"/>
    <w:rsid w:val="00835683"/>
    <w:rsid w:val="0083572C"/>
    <w:rsid w:val="008358A6"/>
    <w:rsid w:val="00835922"/>
    <w:rsid w:val="00835942"/>
    <w:rsid w:val="0083597D"/>
    <w:rsid w:val="0083597F"/>
    <w:rsid w:val="00835AC9"/>
    <w:rsid w:val="00835B7C"/>
    <w:rsid w:val="00835C2C"/>
    <w:rsid w:val="00835D1A"/>
    <w:rsid w:val="00835D34"/>
    <w:rsid w:val="00835DAB"/>
    <w:rsid w:val="00835DF6"/>
    <w:rsid w:val="00835E16"/>
    <w:rsid w:val="00835F83"/>
    <w:rsid w:val="00835FC8"/>
    <w:rsid w:val="00835FDB"/>
    <w:rsid w:val="00836068"/>
    <w:rsid w:val="008360BC"/>
    <w:rsid w:val="008361B4"/>
    <w:rsid w:val="008361D7"/>
    <w:rsid w:val="0083634E"/>
    <w:rsid w:val="0083638A"/>
    <w:rsid w:val="00836399"/>
    <w:rsid w:val="008363DB"/>
    <w:rsid w:val="00836483"/>
    <w:rsid w:val="008364C2"/>
    <w:rsid w:val="0083652F"/>
    <w:rsid w:val="008365F8"/>
    <w:rsid w:val="008366AD"/>
    <w:rsid w:val="00836757"/>
    <w:rsid w:val="00836804"/>
    <w:rsid w:val="00836978"/>
    <w:rsid w:val="00836A18"/>
    <w:rsid w:val="00836B43"/>
    <w:rsid w:val="00836B9A"/>
    <w:rsid w:val="00836BF7"/>
    <w:rsid w:val="00836C71"/>
    <w:rsid w:val="00837148"/>
    <w:rsid w:val="008371A4"/>
    <w:rsid w:val="008372DE"/>
    <w:rsid w:val="00837378"/>
    <w:rsid w:val="0083745A"/>
    <w:rsid w:val="008374C4"/>
    <w:rsid w:val="00837530"/>
    <w:rsid w:val="0083768F"/>
    <w:rsid w:val="00837792"/>
    <w:rsid w:val="0083781B"/>
    <w:rsid w:val="00837A12"/>
    <w:rsid w:val="00837D73"/>
    <w:rsid w:val="00837EDC"/>
    <w:rsid w:val="00837EEE"/>
    <w:rsid w:val="00837FD5"/>
    <w:rsid w:val="00840081"/>
    <w:rsid w:val="00840326"/>
    <w:rsid w:val="0084040E"/>
    <w:rsid w:val="00840447"/>
    <w:rsid w:val="0084046C"/>
    <w:rsid w:val="008404F6"/>
    <w:rsid w:val="0084056E"/>
    <w:rsid w:val="00840708"/>
    <w:rsid w:val="0084071E"/>
    <w:rsid w:val="00840732"/>
    <w:rsid w:val="0084076A"/>
    <w:rsid w:val="00840A78"/>
    <w:rsid w:val="00840B82"/>
    <w:rsid w:val="00840CF3"/>
    <w:rsid w:val="008412E6"/>
    <w:rsid w:val="0084145B"/>
    <w:rsid w:val="00841752"/>
    <w:rsid w:val="0084176E"/>
    <w:rsid w:val="008417EF"/>
    <w:rsid w:val="00841917"/>
    <w:rsid w:val="00841A8E"/>
    <w:rsid w:val="00841C1F"/>
    <w:rsid w:val="00841C61"/>
    <w:rsid w:val="00841D84"/>
    <w:rsid w:val="0084214E"/>
    <w:rsid w:val="008425EC"/>
    <w:rsid w:val="008426A1"/>
    <w:rsid w:val="008427A5"/>
    <w:rsid w:val="008428F3"/>
    <w:rsid w:val="008429A2"/>
    <w:rsid w:val="00842B45"/>
    <w:rsid w:val="00842B8E"/>
    <w:rsid w:val="00842BE6"/>
    <w:rsid w:val="00842C8A"/>
    <w:rsid w:val="00842D4C"/>
    <w:rsid w:val="0084300E"/>
    <w:rsid w:val="00843075"/>
    <w:rsid w:val="008431B5"/>
    <w:rsid w:val="008432EE"/>
    <w:rsid w:val="008434B0"/>
    <w:rsid w:val="008434BC"/>
    <w:rsid w:val="008434C3"/>
    <w:rsid w:val="00843570"/>
    <w:rsid w:val="0084358D"/>
    <w:rsid w:val="008435D7"/>
    <w:rsid w:val="00843604"/>
    <w:rsid w:val="00843666"/>
    <w:rsid w:val="0084371F"/>
    <w:rsid w:val="00843808"/>
    <w:rsid w:val="0084388D"/>
    <w:rsid w:val="00843929"/>
    <w:rsid w:val="00843965"/>
    <w:rsid w:val="00843996"/>
    <w:rsid w:val="00843B11"/>
    <w:rsid w:val="00843B1E"/>
    <w:rsid w:val="00843CEC"/>
    <w:rsid w:val="00843E20"/>
    <w:rsid w:val="00843EA5"/>
    <w:rsid w:val="00843EC3"/>
    <w:rsid w:val="0084401B"/>
    <w:rsid w:val="0084412D"/>
    <w:rsid w:val="00844145"/>
    <w:rsid w:val="0084420C"/>
    <w:rsid w:val="0084430F"/>
    <w:rsid w:val="00844337"/>
    <w:rsid w:val="008443AE"/>
    <w:rsid w:val="00844498"/>
    <w:rsid w:val="008445F6"/>
    <w:rsid w:val="0084467C"/>
    <w:rsid w:val="00844760"/>
    <w:rsid w:val="00844792"/>
    <w:rsid w:val="00844817"/>
    <w:rsid w:val="008448C7"/>
    <w:rsid w:val="008448F3"/>
    <w:rsid w:val="00844A2F"/>
    <w:rsid w:val="00844A99"/>
    <w:rsid w:val="00844B43"/>
    <w:rsid w:val="00844C49"/>
    <w:rsid w:val="00844CFD"/>
    <w:rsid w:val="00844D69"/>
    <w:rsid w:val="00844E28"/>
    <w:rsid w:val="00844E63"/>
    <w:rsid w:val="0084508D"/>
    <w:rsid w:val="00845314"/>
    <w:rsid w:val="00845358"/>
    <w:rsid w:val="00845767"/>
    <w:rsid w:val="008458D7"/>
    <w:rsid w:val="00845949"/>
    <w:rsid w:val="0084596B"/>
    <w:rsid w:val="00845994"/>
    <w:rsid w:val="00845B86"/>
    <w:rsid w:val="00845BAF"/>
    <w:rsid w:val="00845CC7"/>
    <w:rsid w:val="00845D59"/>
    <w:rsid w:val="00845D7A"/>
    <w:rsid w:val="00845DB1"/>
    <w:rsid w:val="00845DCC"/>
    <w:rsid w:val="00845F25"/>
    <w:rsid w:val="00845FEE"/>
    <w:rsid w:val="0084600A"/>
    <w:rsid w:val="0084612A"/>
    <w:rsid w:val="00846565"/>
    <w:rsid w:val="008465F6"/>
    <w:rsid w:val="00846678"/>
    <w:rsid w:val="00846900"/>
    <w:rsid w:val="008469FF"/>
    <w:rsid w:val="00846A60"/>
    <w:rsid w:val="00846B96"/>
    <w:rsid w:val="00846BF5"/>
    <w:rsid w:val="00846D7C"/>
    <w:rsid w:val="00846E19"/>
    <w:rsid w:val="00846EAA"/>
    <w:rsid w:val="00846ECB"/>
    <w:rsid w:val="00846ED2"/>
    <w:rsid w:val="00846F0A"/>
    <w:rsid w:val="00846FF7"/>
    <w:rsid w:val="00847018"/>
    <w:rsid w:val="00847129"/>
    <w:rsid w:val="00847188"/>
    <w:rsid w:val="00847193"/>
    <w:rsid w:val="00847606"/>
    <w:rsid w:val="008476DB"/>
    <w:rsid w:val="008479E3"/>
    <w:rsid w:val="00847B01"/>
    <w:rsid w:val="00847B96"/>
    <w:rsid w:val="00847BD3"/>
    <w:rsid w:val="00847C59"/>
    <w:rsid w:val="00847D43"/>
    <w:rsid w:val="00847F5F"/>
    <w:rsid w:val="0085000B"/>
    <w:rsid w:val="00850039"/>
    <w:rsid w:val="00850091"/>
    <w:rsid w:val="008501DB"/>
    <w:rsid w:val="008501F1"/>
    <w:rsid w:val="00850219"/>
    <w:rsid w:val="00850247"/>
    <w:rsid w:val="008502BF"/>
    <w:rsid w:val="0085039C"/>
    <w:rsid w:val="008504CE"/>
    <w:rsid w:val="008504DE"/>
    <w:rsid w:val="00850633"/>
    <w:rsid w:val="00850638"/>
    <w:rsid w:val="0085066D"/>
    <w:rsid w:val="008507D0"/>
    <w:rsid w:val="0085084D"/>
    <w:rsid w:val="00850916"/>
    <w:rsid w:val="00850A25"/>
    <w:rsid w:val="00850B4A"/>
    <w:rsid w:val="00850D72"/>
    <w:rsid w:val="00851195"/>
    <w:rsid w:val="0085123F"/>
    <w:rsid w:val="008512CB"/>
    <w:rsid w:val="00851355"/>
    <w:rsid w:val="00851380"/>
    <w:rsid w:val="008514D7"/>
    <w:rsid w:val="00851540"/>
    <w:rsid w:val="008515DF"/>
    <w:rsid w:val="008517B5"/>
    <w:rsid w:val="008517F6"/>
    <w:rsid w:val="0085184E"/>
    <w:rsid w:val="00851869"/>
    <w:rsid w:val="008518F3"/>
    <w:rsid w:val="00851A91"/>
    <w:rsid w:val="00851BA0"/>
    <w:rsid w:val="00851CB9"/>
    <w:rsid w:val="00851D2D"/>
    <w:rsid w:val="00851D65"/>
    <w:rsid w:val="00851F60"/>
    <w:rsid w:val="0085206D"/>
    <w:rsid w:val="0085210D"/>
    <w:rsid w:val="00852125"/>
    <w:rsid w:val="00852261"/>
    <w:rsid w:val="008522CF"/>
    <w:rsid w:val="00852367"/>
    <w:rsid w:val="0085243C"/>
    <w:rsid w:val="008524B8"/>
    <w:rsid w:val="008524C7"/>
    <w:rsid w:val="00852A6C"/>
    <w:rsid w:val="00852B42"/>
    <w:rsid w:val="00852CFB"/>
    <w:rsid w:val="00852E97"/>
    <w:rsid w:val="00852EFE"/>
    <w:rsid w:val="00853026"/>
    <w:rsid w:val="00853053"/>
    <w:rsid w:val="008530B1"/>
    <w:rsid w:val="00853113"/>
    <w:rsid w:val="00853129"/>
    <w:rsid w:val="00853193"/>
    <w:rsid w:val="008531D0"/>
    <w:rsid w:val="00853228"/>
    <w:rsid w:val="0085331F"/>
    <w:rsid w:val="00853373"/>
    <w:rsid w:val="00853407"/>
    <w:rsid w:val="00853553"/>
    <w:rsid w:val="00853602"/>
    <w:rsid w:val="00853846"/>
    <w:rsid w:val="008538D9"/>
    <w:rsid w:val="00853AC6"/>
    <w:rsid w:val="00853C68"/>
    <w:rsid w:val="00853CCE"/>
    <w:rsid w:val="00853F0B"/>
    <w:rsid w:val="00853FE1"/>
    <w:rsid w:val="00853FF3"/>
    <w:rsid w:val="008540D2"/>
    <w:rsid w:val="008541A9"/>
    <w:rsid w:val="008541E8"/>
    <w:rsid w:val="0085434A"/>
    <w:rsid w:val="0085440A"/>
    <w:rsid w:val="0085452A"/>
    <w:rsid w:val="00854793"/>
    <w:rsid w:val="008547AF"/>
    <w:rsid w:val="00854A9E"/>
    <w:rsid w:val="00854AEE"/>
    <w:rsid w:val="00854BC2"/>
    <w:rsid w:val="00854EB2"/>
    <w:rsid w:val="00854F67"/>
    <w:rsid w:val="0085500D"/>
    <w:rsid w:val="00855097"/>
    <w:rsid w:val="00855212"/>
    <w:rsid w:val="008552D4"/>
    <w:rsid w:val="008552DC"/>
    <w:rsid w:val="00855306"/>
    <w:rsid w:val="0085543B"/>
    <w:rsid w:val="008554B5"/>
    <w:rsid w:val="008554DD"/>
    <w:rsid w:val="008554FA"/>
    <w:rsid w:val="00855583"/>
    <w:rsid w:val="0085574D"/>
    <w:rsid w:val="00855755"/>
    <w:rsid w:val="00855780"/>
    <w:rsid w:val="00855801"/>
    <w:rsid w:val="0085596E"/>
    <w:rsid w:val="00855B9E"/>
    <w:rsid w:val="00855BFD"/>
    <w:rsid w:val="00855C20"/>
    <w:rsid w:val="00855D0A"/>
    <w:rsid w:val="00855D1C"/>
    <w:rsid w:val="00855E8F"/>
    <w:rsid w:val="0085603C"/>
    <w:rsid w:val="00856231"/>
    <w:rsid w:val="008562AA"/>
    <w:rsid w:val="0085641B"/>
    <w:rsid w:val="008565CD"/>
    <w:rsid w:val="0085671B"/>
    <w:rsid w:val="008567E9"/>
    <w:rsid w:val="008567F4"/>
    <w:rsid w:val="008569D2"/>
    <w:rsid w:val="008569E0"/>
    <w:rsid w:val="00856D46"/>
    <w:rsid w:val="00856E9F"/>
    <w:rsid w:val="00856F16"/>
    <w:rsid w:val="00856F4B"/>
    <w:rsid w:val="00856FF0"/>
    <w:rsid w:val="008571A1"/>
    <w:rsid w:val="00857401"/>
    <w:rsid w:val="0085740F"/>
    <w:rsid w:val="00857528"/>
    <w:rsid w:val="008576BA"/>
    <w:rsid w:val="008577C1"/>
    <w:rsid w:val="00857868"/>
    <w:rsid w:val="00857969"/>
    <w:rsid w:val="008579C5"/>
    <w:rsid w:val="00857A7B"/>
    <w:rsid w:val="00857BE0"/>
    <w:rsid w:val="00857CE0"/>
    <w:rsid w:val="00857D4D"/>
    <w:rsid w:val="00857EAE"/>
    <w:rsid w:val="0086006F"/>
    <w:rsid w:val="008605B5"/>
    <w:rsid w:val="00860634"/>
    <w:rsid w:val="0086068C"/>
    <w:rsid w:val="00860856"/>
    <w:rsid w:val="00860976"/>
    <w:rsid w:val="00860A3B"/>
    <w:rsid w:val="00860BD0"/>
    <w:rsid w:val="00860CB8"/>
    <w:rsid w:val="00860CCD"/>
    <w:rsid w:val="00860EDF"/>
    <w:rsid w:val="00860FF8"/>
    <w:rsid w:val="0086117A"/>
    <w:rsid w:val="00861182"/>
    <w:rsid w:val="008611F9"/>
    <w:rsid w:val="0086124C"/>
    <w:rsid w:val="00861272"/>
    <w:rsid w:val="0086127E"/>
    <w:rsid w:val="00861588"/>
    <w:rsid w:val="00861657"/>
    <w:rsid w:val="00861716"/>
    <w:rsid w:val="008617AE"/>
    <w:rsid w:val="008617BF"/>
    <w:rsid w:val="008618CC"/>
    <w:rsid w:val="008619B5"/>
    <w:rsid w:val="008619DD"/>
    <w:rsid w:val="00861B81"/>
    <w:rsid w:val="00861BA6"/>
    <w:rsid w:val="00861D6F"/>
    <w:rsid w:val="00861E0A"/>
    <w:rsid w:val="00861E53"/>
    <w:rsid w:val="00861ED9"/>
    <w:rsid w:val="00861EF7"/>
    <w:rsid w:val="00861F50"/>
    <w:rsid w:val="00861FCE"/>
    <w:rsid w:val="00862162"/>
    <w:rsid w:val="008622E2"/>
    <w:rsid w:val="00862317"/>
    <w:rsid w:val="0086240F"/>
    <w:rsid w:val="0086276B"/>
    <w:rsid w:val="008627C4"/>
    <w:rsid w:val="008627E1"/>
    <w:rsid w:val="00862859"/>
    <w:rsid w:val="00862914"/>
    <w:rsid w:val="00862AB0"/>
    <w:rsid w:val="00862AB6"/>
    <w:rsid w:val="00862AEF"/>
    <w:rsid w:val="00862B18"/>
    <w:rsid w:val="00862B40"/>
    <w:rsid w:val="00862BDF"/>
    <w:rsid w:val="00862BFD"/>
    <w:rsid w:val="00862C87"/>
    <w:rsid w:val="00862E38"/>
    <w:rsid w:val="00862E78"/>
    <w:rsid w:val="00862F67"/>
    <w:rsid w:val="00862F99"/>
    <w:rsid w:val="008630A3"/>
    <w:rsid w:val="008630C8"/>
    <w:rsid w:val="0086314B"/>
    <w:rsid w:val="00863256"/>
    <w:rsid w:val="0086345D"/>
    <w:rsid w:val="0086354E"/>
    <w:rsid w:val="00863558"/>
    <w:rsid w:val="00863637"/>
    <w:rsid w:val="00863735"/>
    <w:rsid w:val="008637F4"/>
    <w:rsid w:val="008639D2"/>
    <w:rsid w:val="00863B03"/>
    <w:rsid w:val="00863BBC"/>
    <w:rsid w:val="00863DF5"/>
    <w:rsid w:val="00863FB0"/>
    <w:rsid w:val="00864137"/>
    <w:rsid w:val="008643CA"/>
    <w:rsid w:val="00864585"/>
    <w:rsid w:val="00864639"/>
    <w:rsid w:val="00864640"/>
    <w:rsid w:val="008648B9"/>
    <w:rsid w:val="008649D2"/>
    <w:rsid w:val="008649EC"/>
    <w:rsid w:val="00864A3F"/>
    <w:rsid w:val="00864A56"/>
    <w:rsid w:val="00864BAC"/>
    <w:rsid w:val="00864BC1"/>
    <w:rsid w:val="00864CB0"/>
    <w:rsid w:val="00864F3A"/>
    <w:rsid w:val="00864FE8"/>
    <w:rsid w:val="00865200"/>
    <w:rsid w:val="0086522D"/>
    <w:rsid w:val="008652E0"/>
    <w:rsid w:val="00865412"/>
    <w:rsid w:val="0086545B"/>
    <w:rsid w:val="008654E2"/>
    <w:rsid w:val="0086550C"/>
    <w:rsid w:val="00865553"/>
    <w:rsid w:val="0086578F"/>
    <w:rsid w:val="008657E4"/>
    <w:rsid w:val="00865931"/>
    <w:rsid w:val="00865966"/>
    <w:rsid w:val="00865B86"/>
    <w:rsid w:val="00865D76"/>
    <w:rsid w:val="00865F29"/>
    <w:rsid w:val="00866148"/>
    <w:rsid w:val="00866263"/>
    <w:rsid w:val="0086626D"/>
    <w:rsid w:val="00866541"/>
    <w:rsid w:val="00866614"/>
    <w:rsid w:val="0086673B"/>
    <w:rsid w:val="00866766"/>
    <w:rsid w:val="00866898"/>
    <w:rsid w:val="008668E5"/>
    <w:rsid w:val="00866980"/>
    <w:rsid w:val="00866AA1"/>
    <w:rsid w:val="00866EB5"/>
    <w:rsid w:val="00866F2F"/>
    <w:rsid w:val="00867094"/>
    <w:rsid w:val="008670D9"/>
    <w:rsid w:val="0086735C"/>
    <w:rsid w:val="00867396"/>
    <w:rsid w:val="008673C9"/>
    <w:rsid w:val="008674E7"/>
    <w:rsid w:val="00867678"/>
    <w:rsid w:val="0086786C"/>
    <w:rsid w:val="0086786F"/>
    <w:rsid w:val="00867C40"/>
    <w:rsid w:val="00867DB8"/>
    <w:rsid w:val="00867E3F"/>
    <w:rsid w:val="008700CE"/>
    <w:rsid w:val="008700D0"/>
    <w:rsid w:val="0087011C"/>
    <w:rsid w:val="008702B6"/>
    <w:rsid w:val="00870329"/>
    <w:rsid w:val="008703F0"/>
    <w:rsid w:val="00870699"/>
    <w:rsid w:val="00870871"/>
    <w:rsid w:val="00870C4D"/>
    <w:rsid w:val="00870CEF"/>
    <w:rsid w:val="00870F8A"/>
    <w:rsid w:val="0087108C"/>
    <w:rsid w:val="0087130A"/>
    <w:rsid w:val="0087130F"/>
    <w:rsid w:val="008713B8"/>
    <w:rsid w:val="00871449"/>
    <w:rsid w:val="00871507"/>
    <w:rsid w:val="0087165C"/>
    <w:rsid w:val="008717F8"/>
    <w:rsid w:val="0087183E"/>
    <w:rsid w:val="008718C0"/>
    <w:rsid w:val="0087193B"/>
    <w:rsid w:val="0087195F"/>
    <w:rsid w:val="00871986"/>
    <w:rsid w:val="00871AAC"/>
    <w:rsid w:val="00871BA8"/>
    <w:rsid w:val="00871BE6"/>
    <w:rsid w:val="00871CC5"/>
    <w:rsid w:val="00871D1F"/>
    <w:rsid w:val="00871F94"/>
    <w:rsid w:val="00872285"/>
    <w:rsid w:val="00872465"/>
    <w:rsid w:val="008726FC"/>
    <w:rsid w:val="00872751"/>
    <w:rsid w:val="008727C6"/>
    <w:rsid w:val="00872806"/>
    <w:rsid w:val="008729B9"/>
    <w:rsid w:val="008729EB"/>
    <w:rsid w:val="00872A85"/>
    <w:rsid w:val="00872D0D"/>
    <w:rsid w:val="00872FCE"/>
    <w:rsid w:val="0087306E"/>
    <w:rsid w:val="00873131"/>
    <w:rsid w:val="00873234"/>
    <w:rsid w:val="00873417"/>
    <w:rsid w:val="0087356B"/>
    <w:rsid w:val="0087357E"/>
    <w:rsid w:val="00873787"/>
    <w:rsid w:val="00873926"/>
    <w:rsid w:val="008739A7"/>
    <w:rsid w:val="00873AB0"/>
    <w:rsid w:val="00873AD1"/>
    <w:rsid w:val="00873EA9"/>
    <w:rsid w:val="00874012"/>
    <w:rsid w:val="0087403A"/>
    <w:rsid w:val="008740F6"/>
    <w:rsid w:val="00874153"/>
    <w:rsid w:val="008741B9"/>
    <w:rsid w:val="00874334"/>
    <w:rsid w:val="008743C3"/>
    <w:rsid w:val="0087473D"/>
    <w:rsid w:val="0087489C"/>
    <w:rsid w:val="008748F8"/>
    <w:rsid w:val="0087495D"/>
    <w:rsid w:val="00874A07"/>
    <w:rsid w:val="00874ADA"/>
    <w:rsid w:val="00874B28"/>
    <w:rsid w:val="00874C11"/>
    <w:rsid w:val="00874C28"/>
    <w:rsid w:val="00874C68"/>
    <w:rsid w:val="00874CDD"/>
    <w:rsid w:val="00874D36"/>
    <w:rsid w:val="00874DF3"/>
    <w:rsid w:val="00874E48"/>
    <w:rsid w:val="00874F14"/>
    <w:rsid w:val="00874FF8"/>
    <w:rsid w:val="008751DC"/>
    <w:rsid w:val="0087563B"/>
    <w:rsid w:val="00875710"/>
    <w:rsid w:val="00875A9C"/>
    <w:rsid w:val="00875AD4"/>
    <w:rsid w:val="00875CCF"/>
    <w:rsid w:val="00875CE1"/>
    <w:rsid w:val="00875DFE"/>
    <w:rsid w:val="0087601B"/>
    <w:rsid w:val="008760AB"/>
    <w:rsid w:val="008760B1"/>
    <w:rsid w:val="0087617B"/>
    <w:rsid w:val="008761B4"/>
    <w:rsid w:val="00876231"/>
    <w:rsid w:val="00876743"/>
    <w:rsid w:val="00876931"/>
    <w:rsid w:val="008769D4"/>
    <w:rsid w:val="00876A28"/>
    <w:rsid w:val="00876ADE"/>
    <w:rsid w:val="00876AE0"/>
    <w:rsid w:val="00876CE6"/>
    <w:rsid w:val="00876CEF"/>
    <w:rsid w:val="00876D4A"/>
    <w:rsid w:val="00876D64"/>
    <w:rsid w:val="00876E7A"/>
    <w:rsid w:val="00876FE3"/>
    <w:rsid w:val="00877040"/>
    <w:rsid w:val="00877053"/>
    <w:rsid w:val="00877069"/>
    <w:rsid w:val="00877086"/>
    <w:rsid w:val="008772B3"/>
    <w:rsid w:val="008773C7"/>
    <w:rsid w:val="008774DE"/>
    <w:rsid w:val="008774E1"/>
    <w:rsid w:val="008775D5"/>
    <w:rsid w:val="00877654"/>
    <w:rsid w:val="0087769D"/>
    <w:rsid w:val="008777CA"/>
    <w:rsid w:val="00877ADD"/>
    <w:rsid w:val="00877E2C"/>
    <w:rsid w:val="00880031"/>
    <w:rsid w:val="008800D0"/>
    <w:rsid w:val="008801FC"/>
    <w:rsid w:val="00880204"/>
    <w:rsid w:val="0088022D"/>
    <w:rsid w:val="0088041E"/>
    <w:rsid w:val="008804A4"/>
    <w:rsid w:val="008804EF"/>
    <w:rsid w:val="0088055F"/>
    <w:rsid w:val="008805B7"/>
    <w:rsid w:val="0088089B"/>
    <w:rsid w:val="00880AE1"/>
    <w:rsid w:val="00880B85"/>
    <w:rsid w:val="00880C57"/>
    <w:rsid w:val="00880C71"/>
    <w:rsid w:val="00880DBC"/>
    <w:rsid w:val="00880E9C"/>
    <w:rsid w:val="00880FF5"/>
    <w:rsid w:val="008811ED"/>
    <w:rsid w:val="008813C8"/>
    <w:rsid w:val="00881488"/>
    <w:rsid w:val="008814ED"/>
    <w:rsid w:val="00881549"/>
    <w:rsid w:val="00881580"/>
    <w:rsid w:val="008815F7"/>
    <w:rsid w:val="00881634"/>
    <w:rsid w:val="0088172D"/>
    <w:rsid w:val="00881775"/>
    <w:rsid w:val="00881791"/>
    <w:rsid w:val="008817D6"/>
    <w:rsid w:val="0088185A"/>
    <w:rsid w:val="00881861"/>
    <w:rsid w:val="00881881"/>
    <w:rsid w:val="0088188E"/>
    <w:rsid w:val="008818F6"/>
    <w:rsid w:val="00881BDA"/>
    <w:rsid w:val="00881CBE"/>
    <w:rsid w:val="00881D58"/>
    <w:rsid w:val="00881E01"/>
    <w:rsid w:val="00881E07"/>
    <w:rsid w:val="00881E3E"/>
    <w:rsid w:val="00881E78"/>
    <w:rsid w:val="00881EEE"/>
    <w:rsid w:val="00881F49"/>
    <w:rsid w:val="00881F7E"/>
    <w:rsid w:val="00882140"/>
    <w:rsid w:val="00882193"/>
    <w:rsid w:val="00882208"/>
    <w:rsid w:val="008822EF"/>
    <w:rsid w:val="008822F4"/>
    <w:rsid w:val="0088246D"/>
    <w:rsid w:val="00882692"/>
    <w:rsid w:val="008826EF"/>
    <w:rsid w:val="0088273A"/>
    <w:rsid w:val="0088276F"/>
    <w:rsid w:val="00882860"/>
    <w:rsid w:val="0088288E"/>
    <w:rsid w:val="008828E9"/>
    <w:rsid w:val="008829F7"/>
    <w:rsid w:val="00882B7C"/>
    <w:rsid w:val="00882B9B"/>
    <w:rsid w:val="00882C5A"/>
    <w:rsid w:val="00882CC4"/>
    <w:rsid w:val="00882D0B"/>
    <w:rsid w:val="00882D3E"/>
    <w:rsid w:val="00882F13"/>
    <w:rsid w:val="00882F24"/>
    <w:rsid w:val="00882FC0"/>
    <w:rsid w:val="0088311A"/>
    <w:rsid w:val="00883181"/>
    <w:rsid w:val="00883411"/>
    <w:rsid w:val="00883466"/>
    <w:rsid w:val="008835B2"/>
    <w:rsid w:val="00883648"/>
    <w:rsid w:val="008836F2"/>
    <w:rsid w:val="00883807"/>
    <w:rsid w:val="008839AA"/>
    <w:rsid w:val="00883AD4"/>
    <w:rsid w:val="00883BE0"/>
    <w:rsid w:val="00883BEC"/>
    <w:rsid w:val="00883D00"/>
    <w:rsid w:val="00883D0C"/>
    <w:rsid w:val="00883D21"/>
    <w:rsid w:val="00883DAD"/>
    <w:rsid w:val="00883DFB"/>
    <w:rsid w:val="00883F22"/>
    <w:rsid w:val="00883FAB"/>
    <w:rsid w:val="00883FC8"/>
    <w:rsid w:val="00883FFC"/>
    <w:rsid w:val="008840B0"/>
    <w:rsid w:val="008840F2"/>
    <w:rsid w:val="008841BA"/>
    <w:rsid w:val="008841D1"/>
    <w:rsid w:val="008843A3"/>
    <w:rsid w:val="00884426"/>
    <w:rsid w:val="008844AC"/>
    <w:rsid w:val="00884634"/>
    <w:rsid w:val="00884674"/>
    <w:rsid w:val="00884726"/>
    <w:rsid w:val="0088477A"/>
    <w:rsid w:val="008848C9"/>
    <w:rsid w:val="00884927"/>
    <w:rsid w:val="00884970"/>
    <w:rsid w:val="008849AC"/>
    <w:rsid w:val="008849F8"/>
    <w:rsid w:val="008849F9"/>
    <w:rsid w:val="00884AB8"/>
    <w:rsid w:val="00884B50"/>
    <w:rsid w:val="00884D81"/>
    <w:rsid w:val="00884F3F"/>
    <w:rsid w:val="0088558C"/>
    <w:rsid w:val="0088562E"/>
    <w:rsid w:val="008856EC"/>
    <w:rsid w:val="00885750"/>
    <w:rsid w:val="008857A4"/>
    <w:rsid w:val="008857C8"/>
    <w:rsid w:val="0088582A"/>
    <w:rsid w:val="00885BB5"/>
    <w:rsid w:val="00885BE0"/>
    <w:rsid w:val="00885C69"/>
    <w:rsid w:val="00885E66"/>
    <w:rsid w:val="00885F27"/>
    <w:rsid w:val="00886156"/>
    <w:rsid w:val="00886319"/>
    <w:rsid w:val="008864CB"/>
    <w:rsid w:val="00886557"/>
    <w:rsid w:val="0088656C"/>
    <w:rsid w:val="008866B9"/>
    <w:rsid w:val="008866BD"/>
    <w:rsid w:val="008867F0"/>
    <w:rsid w:val="00886817"/>
    <w:rsid w:val="00886954"/>
    <w:rsid w:val="00886B23"/>
    <w:rsid w:val="00886D84"/>
    <w:rsid w:val="00886E10"/>
    <w:rsid w:val="00886EAD"/>
    <w:rsid w:val="00887060"/>
    <w:rsid w:val="0088707D"/>
    <w:rsid w:val="00887119"/>
    <w:rsid w:val="00887231"/>
    <w:rsid w:val="0088728D"/>
    <w:rsid w:val="00887346"/>
    <w:rsid w:val="0088743F"/>
    <w:rsid w:val="0088751E"/>
    <w:rsid w:val="008875F1"/>
    <w:rsid w:val="008878E7"/>
    <w:rsid w:val="00887959"/>
    <w:rsid w:val="0088796A"/>
    <w:rsid w:val="00887AFE"/>
    <w:rsid w:val="00887C1E"/>
    <w:rsid w:val="00887E11"/>
    <w:rsid w:val="00887E3E"/>
    <w:rsid w:val="00887EE3"/>
    <w:rsid w:val="00887F3A"/>
    <w:rsid w:val="0089008B"/>
    <w:rsid w:val="00890274"/>
    <w:rsid w:val="00890299"/>
    <w:rsid w:val="00890442"/>
    <w:rsid w:val="00890595"/>
    <w:rsid w:val="008905C3"/>
    <w:rsid w:val="00890612"/>
    <w:rsid w:val="00890686"/>
    <w:rsid w:val="008906DF"/>
    <w:rsid w:val="008906F5"/>
    <w:rsid w:val="008907B0"/>
    <w:rsid w:val="0089085F"/>
    <w:rsid w:val="008908AC"/>
    <w:rsid w:val="008909E1"/>
    <w:rsid w:val="00890A7A"/>
    <w:rsid w:val="00890CA3"/>
    <w:rsid w:val="00890DF7"/>
    <w:rsid w:val="00890F9E"/>
    <w:rsid w:val="00891011"/>
    <w:rsid w:val="00891018"/>
    <w:rsid w:val="00891061"/>
    <w:rsid w:val="00891071"/>
    <w:rsid w:val="00891078"/>
    <w:rsid w:val="0089111F"/>
    <w:rsid w:val="0089127C"/>
    <w:rsid w:val="00891534"/>
    <w:rsid w:val="00891541"/>
    <w:rsid w:val="00891593"/>
    <w:rsid w:val="008915AE"/>
    <w:rsid w:val="00891672"/>
    <w:rsid w:val="00891893"/>
    <w:rsid w:val="008919FD"/>
    <w:rsid w:val="00891AA8"/>
    <w:rsid w:val="00891AFA"/>
    <w:rsid w:val="00891B4D"/>
    <w:rsid w:val="00891BDE"/>
    <w:rsid w:val="00891C27"/>
    <w:rsid w:val="00891D47"/>
    <w:rsid w:val="00891D55"/>
    <w:rsid w:val="00891F40"/>
    <w:rsid w:val="0089202F"/>
    <w:rsid w:val="00892137"/>
    <w:rsid w:val="00892154"/>
    <w:rsid w:val="00892200"/>
    <w:rsid w:val="008922B6"/>
    <w:rsid w:val="0089242F"/>
    <w:rsid w:val="0089257F"/>
    <w:rsid w:val="008925B8"/>
    <w:rsid w:val="00892678"/>
    <w:rsid w:val="008926E5"/>
    <w:rsid w:val="00892745"/>
    <w:rsid w:val="008927DA"/>
    <w:rsid w:val="00892910"/>
    <w:rsid w:val="008929B9"/>
    <w:rsid w:val="00892A0F"/>
    <w:rsid w:val="00892A1A"/>
    <w:rsid w:val="00892B38"/>
    <w:rsid w:val="00892C0C"/>
    <w:rsid w:val="00892C6A"/>
    <w:rsid w:val="00892CA1"/>
    <w:rsid w:val="00892DC7"/>
    <w:rsid w:val="00892DFB"/>
    <w:rsid w:val="00892EC5"/>
    <w:rsid w:val="00892F03"/>
    <w:rsid w:val="008930C0"/>
    <w:rsid w:val="00893168"/>
    <w:rsid w:val="008931C3"/>
    <w:rsid w:val="008932EC"/>
    <w:rsid w:val="00893338"/>
    <w:rsid w:val="00893380"/>
    <w:rsid w:val="00893381"/>
    <w:rsid w:val="00893424"/>
    <w:rsid w:val="00893444"/>
    <w:rsid w:val="0089355B"/>
    <w:rsid w:val="00893676"/>
    <w:rsid w:val="00893719"/>
    <w:rsid w:val="008937AA"/>
    <w:rsid w:val="00893862"/>
    <w:rsid w:val="0089386A"/>
    <w:rsid w:val="008938F8"/>
    <w:rsid w:val="008939CA"/>
    <w:rsid w:val="00893B39"/>
    <w:rsid w:val="00893B65"/>
    <w:rsid w:val="00893C3C"/>
    <w:rsid w:val="00893CFE"/>
    <w:rsid w:val="00893DBC"/>
    <w:rsid w:val="00893DE9"/>
    <w:rsid w:val="00893F57"/>
    <w:rsid w:val="00894019"/>
    <w:rsid w:val="00894089"/>
    <w:rsid w:val="0089409D"/>
    <w:rsid w:val="008940B0"/>
    <w:rsid w:val="00894397"/>
    <w:rsid w:val="00894453"/>
    <w:rsid w:val="00894491"/>
    <w:rsid w:val="00894566"/>
    <w:rsid w:val="00894755"/>
    <w:rsid w:val="008948AD"/>
    <w:rsid w:val="00894925"/>
    <w:rsid w:val="00895061"/>
    <w:rsid w:val="00895180"/>
    <w:rsid w:val="00895253"/>
    <w:rsid w:val="00895504"/>
    <w:rsid w:val="0089557D"/>
    <w:rsid w:val="00895607"/>
    <w:rsid w:val="00895713"/>
    <w:rsid w:val="0089571C"/>
    <w:rsid w:val="0089572F"/>
    <w:rsid w:val="008957DC"/>
    <w:rsid w:val="008958D9"/>
    <w:rsid w:val="00895B32"/>
    <w:rsid w:val="00895DFE"/>
    <w:rsid w:val="00895EFD"/>
    <w:rsid w:val="00895F95"/>
    <w:rsid w:val="008960C3"/>
    <w:rsid w:val="008960ED"/>
    <w:rsid w:val="0089618F"/>
    <w:rsid w:val="008962C7"/>
    <w:rsid w:val="00896325"/>
    <w:rsid w:val="0089635E"/>
    <w:rsid w:val="008963FE"/>
    <w:rsid w:val="00896420"/>
    <w:rsid w:val="008964A9"/>
    <w:rsid w:val="008964CB"/>
    <w:rsid w:val="00896668"/>
    <w:rsid w:val="0089685B"/>
    <w:rsid w:val="0089692D"/>
    <w:rsid w:val="0089696B"/>
    <w:rsid w:val="00896A19"/>
    <w:rsid w:val="00896B4D"/>
    <w:rsid w:val="00896BA2"/>
    <w:rsid w:val="00896C68"/>
    <w:rsid w:val="00896C82"/>
    <w:rsid w:val="00896D9B"/>
    <w:rsid w:val="00896E14"/>
    <w:rsid w:val="00896EEB"/>
    <w:rsid w:val="008970AF"/>
    <w:rsid w:val="0089726C"/>
    <w:rsid w:val="008973BC"/>
    <w:rsid w:val="008973E1"/>
    <w:rsid w:val="008974F0"/>
    <w:rsid w:val="0089757E"/>
    <w:rsid w:val="00897722"/>
    <w:rsid w:val="00897796"/>
    <w:rsid w:val="00897A18"/>
    <w:rsid w:val="00897A43"/>
    <w:rsid w:val="00897C93"/>
    <w:rsid w:val="00897CE9"/>
    <w:rsid w:val="00897D05"/>
    <w:rsid w:val="00897DA9"/>
    <w:rsid w:val="00897DE3"/>
    <w:rsid w:val="00897F46"/>
    <w:rsid w:val="008A0073"/>
    <w:rsid w:val="008A027C"/>
    <w:rsid w:val="008A03D7"/>
    <w:rsid w:val="008A040E"/>
    <w:rsid w:val="008A057D"/>
    <w:rsid w:val="008A0600"/>
    <w:rsid w:val="008A08E5"/>
    <w:rsid w:val="008A0915"/>
    <w:rsid w:val="008A09F2"/>
    <w:rsid w:val="008A0B8A"/>
    <w:rsid w:val="008A0BCB"/>
    <w:rsid w:val="008A0CF2"/>
    <w:rsid w:val="008A0DE3"/>
    <w:rsid w:val="008A0E48"/>
    <w:rsid w:val="008A0E7B"/>
    <w:rsid w:val="008A0E8A"/>
    <w:rsid w:val="008A0E97"/>
    <w:rsid w:val="008A0EFC"/>
    <w:rsid w:val="008A1008"/>
    <w:rsid w:val="008A10BF"/>
    <w:rsid w:val="008A10E5"/>
    <w:rsid w:val="008A11A9"/>
    <w:rsid w:val="008A11D3"/>
    <w:rsid w:val="008A11E8"/>
    <w:rsid w:val="008A130C"/>
    <w:rsid w:val="008A13C3"/>
    <w:rsid w:val="008A13DD"/>
    <w:rsid w:val="008A1450"/>
    <w:rsid w:val="008A1459"/>
    <w:rsid w:val="008A15FB"/>
    <w:rsid w:val="008A169E"/>
    <w:rsid w:val="008A16A0"/>
    <w:rsid w:val="008A178B"/>
    <w:rsid w:val="008A1AD3"/>
    <w:rsid w:val="008A1BAE"/>
    <w:rsid w:val="008A1BD5"/>
    <w:rsid w:val="008A1D11"/>
    <w:rsid w:val="008A1EF7"/>
    <w:rsid w:val="008A1FC7"/>
    <w:rsid w:val="008A1FC9"/>
    <w:rsid w:val="008A21A8"/>
    <w:rsid w:val="008A21E4"/>
    <w:rsid w:val="008A23FA"/>
    <w:rsid w:val="008A2414"/>
    <w:rsid w:val="008A2477"/>
    <w:rsid w:val="008A2748"/>
    <w:rsid w:val="008A280F"/>
    <w:rsid w:val="008A2BED"/>
    <w:rsid w:val="008A2BF4"/>
    <w:rsid w:val="008A301D"/>
    <w:rsid w:val="008A3177"/>
    <w:rsid w:val="008A3254"/>
    <w:rsid w:val="008A333B"/>
    <w:rsid w:val="008A3638"/>
    <w:rsid w:val="008A365B"/>
    <w:rsid w:val="008A37B9"/>
    <w:rsid w:val="008A3816"/>
    <w:rsid w:val="008A3BD9"/>
    <w:rsid w:val="008A3C64"/>
    <w:rsid w:val="008A3D2A"/>
    <w:rsid w:val="008A4005"/>
    <w:rsid w:val="008A4039"/>
    <w:rsid w:val="008A43B2"/>
    <w:rsid w:val="008A44BF"/>
    <w:rsid w:val="008A45BC"/>
    <w:rsid w:val="008A472C"/>
    <w:rsid w:val="008A4784"/>
    <w:rsid w:val="008A492E"/>
    <w:rsid w:val="008A49A4"/>
    <w:rsid w:val="008A49C8"/>
    <w:rsid w:val="008A4AB2"/>
    <w:rsid w:val="008A4F85"/>
    <w:rsid w:val="008A4FF4"/>
    <w:rsid w:val="008A512E"/>
    <w:rsid w:val="008A51C2"/>
    <w:rsid w:val="008A53DB"/>
    <w:rsid w:val="008A5526"/>
    <w:rsid w:val="008A55EB"/>
    <w:rsid w:val="008A59B4"/>
    <w:rsid w:val="008A59FD"/>
    <w:rsid w:val="008A5BEA"/>
    <w:rsid w:val="008A5CE6"/>
    <w:rsid w:val="008A5D30"/>
    <w:rsid w:val="008A5F80"/>
    <w:rsid w:val="008A617A"/>
    <w:rsid w:val="008A6183"/>
    <w:rsid w:val="008A6203"/>
    <w:rsid w:val="008A6240"/>
    <w:rsid w:val="008A624A"/>
    <w:rsid w:val="008A656B"/>
    <w:rsid w:val="008A6621"/>
    <w:rsid w:val="008A6669"/>
    <w:rsid w:val="008A66FF"/>
    <w:rsid w:val="008A67BF"/>
    <w:rsid w:val="008A67D5"/>
    <w:rsid w:val="008A69BA"/>
    <w:rsid w:val="008A69ED"/>
    <w:rsid w:val="008A6B12"/>
    <w:rsid w:val="008A6BDE"/>
    <w:rsid w:val="008A6C21"/>
    <w:rsid w:val="008A6CAB"/>
    <w:rsid w:val="008A70AF"/>
    <w:rsid w:val="008A7225"/>
    <w:rsid w:val="008A73A2"/>
    <w:rsid w:val="008A7502"/>
    <w:rsid w:val="008A752D"/>
    <w:rsid w:val="008A77E6"/>
    <w:rsid w:val="008A7825"/>
    <w:rsid w:val="008A78D0"/>
    <w:rsid w:val="008A790C"/>
    <w:rsid w:val="008A79D9"/>
    <w:rsid w:val="008A7A47"/>
    <w:rsid w:val="008A7AC6"/>
    <w:rsid w:val="008A7ACD"/>
    <w:rsid w:val="008A7ADC"/>
    <w:rsid w:val="008A7B6C"/>
    <w:rsid w:val="008A7BE0"/>
    <w:rsid w:val="008A7C34"/>
    <w:rsid w:val="008A7C97"/>
    <w:rsid w:val="008A7CC6"/>
    <w:rsid w:val="008A7DB5"/>
    <w:rsid w:val="008A7DE1"/>
    <w:rsid w:val="008A7DEA"/>
    <w:rsid w:val="008A7DEC"/>
    <w:rsid w:val="008A7F16"/>
    <w:rsid w:val="008B001B"/>
    <w:rsid w:val="008B00EC"/>
    <w:rsid w:val="008B0127"/>
    <w:rsid w:val="008B01BB"/>
    <w:rsid w:val="008B0363"/>
    <w:rsid w:val="008B0646"/>
    <w:rsid w:val="008B0660"/>
    <w:rsid w:val="008B079B"/>
    <w:rsid w:val="008B07EF"/>
    <w:rsid w:val="008B0803"/>
    <w:rsid w:val="008B08DA"/>
    <w:rsid w:val="008B0ACA"/>
    <w:rsid w:val="008B0B4A"/>
    <w:rsid w:val="008B0B5A"/>
    <w:rsid w:val="008B0B98"/>
    <w:rsid w:val="008B0C3B"/>
    <w:rsid w:val="008B0C5F"/>
    <w:rsid w:val="008B0CA2"/>
    <w:rsid w:val="008B0DEF"/>
    <w:rsid w:val="008B0E5C"/>
    <w:rsid w:val="008B0EB7"/>
    <w:rsid w:val="008B0FBE"/>
    <w:rsid w:val="008B11ED"/>
    <w:rsid w:val="008B1390"/>
    <w:rsid w:val="008B13AA"/>
    <w:rsid w:val="008B13F7"/>
    <w:rsid w:val="008B1590"/>
    <w:rsid w:val="008B15FF"/>
    <w:rsid w:val="008B16A0"/>
    <w:rsid w:val="008B16BA"/>
    <w:rsid w:val="008B1834"/>
    <w:rsid w:val="008B1BB1"/>
    <w:rsid w:val="008B1CDB"/>
    <w:rsid w:val="008B1E4C"/>
    <w:rsid w:val="008B1EEE"/>
    <w:rsid w:val="008B1F5B"/>
    <w:rsid w:val="008B2112"/>
    <w:rsid w:val="008B2181"/>
    <w:rsid w:val="008B2226"/>
    <w:rsid w:val="008B2302"/>
    <w:rsid w:val="008B239F"/>
    <w:rsid w:val="008B23EB"/>
    <w:rsid w:val="008B255B"/>
    <w:rsid w:val="008B258E"/>
    <w:rsid w:val="008B25DA"/>
    <w:rsid w:val="008B2626"/>
    <w:rsid w:val="008B26A1"/>
    <w:rsid w:val="008B26D6"/>
    <w:rsid w:val="008B26E3"/>
    <w:rsid w:val="008B2958"/>
    <w:rsid w:val="008B299F"/>
    <w:rsid w:val="008B29FF"/>
    <w:rsid w:val="008B2B0E"/>
    <w:rsid w:val="008B2B6E"/>
    <w:rsid w:val="008B2B82"/>
    <w:rsid w:val="008B2B8D"/>
    <w:rsid w:val="008B2C8A"/>
    <w:rsid w:val="008B2DF3"/>
    <w:rsid w:val="008B2F65"/>
    <w:rsid w:val="008B3013"/>
    <w:rsid w:val="008B3017"/>
    <w:rsid w:val="008B3040"/>
    <w:rsid w:val="008B31E0"/>
    <w:rsid w:val="008B3303"/>
    <w:rsid w:val="008B3341"/>
    <w:rsid w:val="008B34D0"/>
    <w:rsid w:val="008B34EA"/>
    <w:rsid w:val="008B35DA"/>
    <w:rsid w:val="008B36FC"/>
    <w:rsid w:val="008B381C"/>
    <w:rsid w:val="008B38E5"/>
    <w:rsid w:val="008B3ADE"/>
    <w:rsid w:val="008B3AFA"/>
    <w:rsid w:val="008B3B9E"/>
    <w:rsid w:val="008B3C59"/>
    <w:rsid w:val="008B3D89"/>
    <w:rsid w:val="008B3DC7"/>
    <w:rsid w:val="008B425A"/>
    <w:rsid w:val="008B4283"/>
    <w:rsid w:val="008B428D"/>
    <w:rsid w:val="008B43B4"/>
    <w:rsid w:val="008B4506"/>
    <w:rsid w:val="008B4575"/>
    <w:rsid w:val="008B46E9"/>
    <w:rsid w:val="008B46FB"/>
    <w:rsid w:val="008B4766"/>
    <w:rsid w:val="008B479F"/>
    <w:rsid w:val="008B47C4"/>
    <w:rsid w:val="008B4C71"/>
    <w:rsid w:val="008B5153"/>
    <w:rsid w:val="008B51DB"/>
    <w:rsid w:val="008B51FA"/>
    <w:rsid w:val="008B525C"/>
    <w:rsid w:val="008B526D"/>
    <w:rsid w:val="008B537F"/>
    <w:rsid w:val="008B5592"/>
    <w:rsid w:val="008B56C7"/>
    <w:rsid w:val="008B56F0"/>
    <w:rsid w:val="008B57E6"/>
    <w:rsid w:val="008B5819"/>
    <w:rsid w:val="008B593A"/>
    <w:rsid w:val="008B595F"/>
    <w:rsid w:val="008B59B0"/>
    <w:rsid w:val="008B5A52"/>
    <w:rsid w:val="008B5B4D"/>
    <w:rsid w:val="008B5C5F"/>
    <w:rsid w:val="008B5DD5"/>
    <w:rsid w:val="008B5E25"/>
    <w:rsid w:val="008B5EE1"/>
    <w:rsid w:val="008B5F1F"/>
    <w:rsid w:val="008B6019"/>
    <w:rsid w:val="008B6043"/>
    <w:rsid w:val="008B60D5"/>
    <w:rsid w:val="008B6175"/>
    <w:rsid w:val="008B61B8"/>
    <w:rsid w:val="008B61E2"/>
    <w:rsid w:val="008B63BB"/>
    <w:rsid w:val="008B6437"/>
    <w:rsid w:val="008B6478"/>
    <w:rsid w:val="008B6501"/>
    <w:rsid w:val="008B653D"/>
    <w:rsid w:val="008B668F"/>
    <w:rsid w:val="008B6695"/>
    <w:rsid w:val="008B6741"/>
    <w:rsid w:val="008B6824"/>
    <w:rsid w:val="008B687C"/>
    <w:rsid w:val="008B68E3"/>
    <w:rsid w:val="008B68F0"/>
    <w:rsid w:val="008B6A3A"/>
    <w:rsid w:val="008B6A5B"/>
    <w:rsid w:val="008B6ACA"/>
    <w:rsid w:val="008B6D50"/>
    <w:rsid w:val="008B6D58"/>
    <w:rsid w:val="008B6DA9"/>
    <w:rsid w:val="008B6E7A"/>
    <w:rsid w:val="008B6EAE"/>
    <w:rsid w:val="008B6FDB"/>
    <w:rsid w:val="008B6FDD"/>
    <w:rsid w:val="008B708E"/>
    <w:rsid w:val="008B7310"/>
    <w:rsid w:val="008B731B"/>
    <w:rsid w:val="008B7321"/>
    <w:rsid w:val="008B762B"/>
    <w:rsid w:val="008B768C"/>
    <w:rsid w:val="008B778F"/>
    <w:rsid w:val="008B77F7"/>
    <w:rsid w:val="008B7899"/>
    <w:rsid w:val="008B791E"/>
    <w:rsid w:val="008B7967"/>
    <w:rsid w:val="008B79AB"/>
    <w:rsid w:val="008B7AE1"/>
    <w:rsid w:val="008B7B6C"/>
    <w:rsid w:val="008B7BCA"/>
    <w:rsid w:val="008B7C6F"/>
    <w:rsid w:val="008B7FC0"/>
    <w:rsid w:val="008C0124"/>
    <w:rsid w:val="008C0169"/>
    <w:rsid w:val="008C036A"/>
    <w:rsid w:val="008C048E"/>
    <w:rsid w:val="008C0571"/>
    <w:rsid w:val="008C0659"/>
    <w:rsid w:val="008C0868"/>
    <w:rsid w:val="008C0987"/>
    <w:rsid w:val="008C09BB"/>
    <w:rsid w:val="008C0A30"/>
    <w:rsid w:val="008C0A39"/>
    <w:rsid w:val="008C0BF7"/>
    <w:rsid w:val="008C0CD2"/>
    <w:rsid w:val="008C0E92"/>
    <w:rsid w:val="008C0F12"/>
    <w:rsid w:val="008C0F87"/>
    <w:rsid w:val="008C0F8C"/>
    <w:rsid w:val="008C0FD5"/>
    <w:rsid w:val="008C1013"/>
    <w:rsid w:val="008C1063"/>
    <w:rsid w:val="008C1103"/>
    <w:rsid w:val="008C1129"/>
    <w:rsid w:val="008C1165"/>
    <w:rsid w:val="008C13AB"/>
    <w:rsid w:val="008C14E3"/>
    <w:rsid w:val="008C1553"/>
    <w:rsid w:val="008C1574"/>
    <w:rsid w:val="008C15A2"/>
    <w:rsid w:val="008C15DD"/>
    <w:rsid w:val="008C15EC"/>
    <w:rsid w:val="008C1741"/>
    <w:rsid w:val="008C17BD"/>
    <w:rsid w:val="008C18E9"/>
    <w:rsid w:val="008C1923"/>
    <w:rsid w:val="008C1974"/>
    <w:rsid w:val="008C19C3"/>
    <w:rsid w:val="008C19CD"/>
    <w:rsid w:val="008C1B4A"/>
    <w:rsid w:val="008C1C10"/>
    <w:rsid w:val="008C1CBB"/>
    <w:rsid w:val="008C1E50"/>
    <w:rsid w:val="008C1EF6"/>
    <w:rsid w:val="008C1EF7"/>
    <w:rsid w:val="008C213F"/>
    <w:rsid w:val="008C216B"/>
    <w:rsid w:val="008C221F"/>
    <w:rsid w:val="008C2384"/>
    <w:rsid w:val="008C23E5"/>
    <w:rsid w:val="008C2448"/>
    <w:rsid w:val="008C245F"/>
    <w:rsid w:val="008C25B5"/>
    <w:rsid w:val="008C25CC"/>
    <w:rsid w:val="008C2767"/>
    <w:rsid w:val="008C2778"/>
    <w:rsid w:val="008C298B"/>
    <w:rsid w:val="008C2A1F"/>
    <w:rsid w:val="008C2A6A"/>
    <w:rsid w:val="008C2B49"/>
    <w:rsid w:val="008C2C83"/>
    <w:rsid w:val="008C2D88"/>
    <w:rsid w:val="008C2DC7"/>
    <w:rsid w:val="008C2E52"/>
    <w:rsid w:val="008C2EA2"/>
    <w:rsid w:val="008C2EAC"/>
    <w:rsid w:val="008C3164"/>
    <w:rsid w:val="008C3387"/>
    <w:rsid w:val="008C350F"/>
    <w:rsid w:val="008C37EB"/>
    <w:rsid w:val="008C37F6"/>
    <w:rsid w:val="008C38FA"/>
    <w:rsid w:val="008C3BFC"/>
    <w:rsid w:val="008C3D0B"/>
    <w:rsid w:val="008C3E4A"/>
    <w:rsid w:val="008C3F11"/>
    <w:rsid w:val="008C3F87"/>
    <w:rsid w:val="008C3FD5"/>
    <w:rsid w:val="008C4061"/>
    <w:rsid w:val="008C4152"/>
    <w:rsid w:val="008C418E"/>
    <w:rsid w:val="008C42A1"/>
    <w:rsid w:val="008C42B8"/>
    <w:rsid w:val="008C4496"/>
    <w:rsid w:val="008C455A"/>
    <w:rsid w:val="008C45CD"/>
    <w:rsid w:val="008C463E"/>
    <w:rsid w:val="008C4763"/>
    <w:rsid w:val="008C4817"/>
    <w:rsid w:val="008C489E"/>
    <w:rsid w:val="008C499D"/>
    <w:rsid w:val="008C49BA"/>
    <w:rsid w:val="008C4A61"/>
    <w:rsid w:val="008C4B57"/>
    <w:rsid w:val="008C4C1A"/>
    <w:rsid w:val="008C4D95"/>
    <w:rsid w:val="008C4E4F"/>
    <w:rsid w:val="008C4E8C"/>
    <w:rsid w:val="008C4F3B"/>
    <w:rsid w:val="008C4F5E"/>
    <w:rsid w:val="008C518E"/>
    <w:rsid w:val="008C51B5"/>
    <w:rsid w:val="008C51E8"/>
    <w:rsid w:val="008C5293"/>
    <w:rsid w:val="008C5325"/>
    <w:rsid w:val="008C5402"/>
    <w:rsid w:val="008C54E3"/>
    <w:rsid w:val="008C56F2"/>
    <w:rsid w:val="008C5783"/>
    <w:rsid w:val="008C5C7A"/>
    <w:rsid w:val="008C5D30"/>
    <w:rsid w:val="008C5D4A"/>
    <w:rsid w:val="008C5EC5"/>
    <w:rsid w:val="008C5FF1"/>
    <w:rsid w:val="008C6037"/>
    <w:rsid w:val="008C604F"/>
    <w:rsid w:val="008C6076"/>
    <w:rsid w:val="008C612A"/>
    <w:rsid w:val="008C615F"/>
    <w:rsid w:val="008C62A2"/>
    <w:rsid w:val="008C63EA"/>
    <w:rsid w:val="008C64BC"/>
    <w:rsid w:val="008C6787"/>
    <w:rsid w:val="008C6814"/>
    <w:rsid w:val="008C6853"/>
    <w:rsid w:val="008C68E7"/>
    <w:rsid w:val="008C6952"/>
    <w:rsid w:val="008C6B27"/>
    <w:rsid w:val="008C6B3A"/>
    <w:rsid w:val="008C6B9B"/>
    <w:rsid w:val="008C6CB4"/>
    <w:rsid w:val="008C6DC3"/>
    <w:rsid w:val="008C6E9E"/>
    <w:rsid w:val="008C6EC2"/>
    <w:rsid w:val="008C6F22"/>
    <w:rsid w:val="008C6F60"/>
    <w:rsid w:val="008C71B4"/>
    <w:rsid w:val="008C72B7"/>
    <w:rsid w:val="008C74C0"/>
    <w:rsid w:val="008C7515"/>
    <w:rsid w:val="008C7557"/>
    <w:rsid w:val="008C75DA"/>
    <w:rsid w:val="008C7667"/>
    <w:rsid w:val="008C775A"/>
    <w:rsid w:val="008C7882"/>
    <w:rsid w:val="008C789F"/>
    <w:rsid w:val="008C79CB"/>
    <w:rsid w:val="008C7AB1"/>
    <w:rsid w:val="008C7B45"/>
    <w:rsid w:val="008C7D11"/>
    <w:rsid w:val="008C7DF6"/>
    <w:rsid w:val="008C7ED5"/>
    <w:rsid w:val="008C7F71"/>
    <w:rsid w:val="008D0172"/>
    <w:rsid w:val="008D0288"/>
    <w:rsid w:val="008D03CB"/>
    <w:rsid w:val="008D03E3"/>
    <w:rsid w:val="008D06EA"/>
    <w:rsid w:val="008D0919"/>
    <w:rsid w:val="008D09E5"/>
    <w:rsid w:val="008D0A2F"/>
    <w:rsid w:val="008D0A77"/>
    <w:rsid w:val="008D0C56"/>
    <w:rsid w:val="008D0C6C"/>
    <w:rsid w:val="008D0CF9"/>
    <w:rsid w:val="008D0E40"/>
    <w:rsid w:val="008D0F1A"/>
    <w:rsid w:val="008D117C"/>
    <w:rsid w:val="008D11EC"/>
    <w:rsid w:val="008D1318"/>
    <w:rsid w:val="008D1427"/>
    <w:rsid w:val="008D144E"/>
    <w:rsid w:val="008D1534"/>
    <w:rsid w:val="008D15DD"/>
    <w:rsid w:val="008D1636"/>
    <w:rsid w:val="008D16CA"/>
    <w:rsid w:val="008D16EA"/>
    <w:rsid w:val="008D17EE"/>
    <w:rsid w:val="008D182D"/>
    <w:rsid w:val="008D1921"/>
    <w:rsid w:val="008D19D2"/>
    <w:rsid w:val="008D1AE7"/>
    <w:rsid w:val="008D1D17"/>
    <w:rsid w:val="008D1DC8"/>
    <w:rsid w:val="008D1DCB"/>
    <w:rsid w:val="008D1F15"/>
    <w:rsid w:val="008D20EE"/>
    <w:rsid w:val="008D23E4"/>
    <w:rsid w:val="008D286B"/>
    <w:rsid w:val="008D28DC"/>
    <w:rsid w:val="008D2A49"/>
    <w:rsid w:val="008D2AF0"/>
    <w:rsid w:val="008D2BC1"/>
    <w:rsid w:val="008D2D9F"/>
    <w:rsid w:val="008D2E08"/>
    <w:rsid w:val="008D2E8E"/>
    <w:rsid w:val="008D2EA1"/>
    <w:rsid w:val="008D2F35"/>
    <w:rsid w:val="008D2FB0"/>
    <w:rsid w:val="008D3124"/>
    <w:rsid w:val="008D31BD"/>
    <w:rsid w:val="008D32B1"/>
    <w:rsid w:val="008D339F"/>
    <w:rsid w:val="008D3468"/>
    <w:rsid w:val="008D3530"/>
    <w:rsid w:val="008D35D9"/>
    <w:rsid w:val="008D37D7"/>
    <w:rsid w:val="008D37DA"/>
    <w:rsid w:val="008D389C"/>
    <w:rsid w:val="008D39BC"/>
    <w:rsid w:val="008D3A12"/>
    <w:rsid w:val="008D3ACC"/>
    <w:rsid w:val="008D3B00"/>
    <w:rsid w:val="008D3BDF"/>
    <w:rsid w:val="008D3D23"/>
    <w:rsid w:val="008D3DAD"/>
    <w:rsid w:val="008D3DCB"/>
    <w:rsid w:val="008D3E11"/>
    <w:rsid w:val="008D3EC9"/>
    <w:rsid w:val="008D3EF7"/>
    <w:rsid w:val="008D3FD6"/>
    <w:rsid w:val="008D4081"/>
    <w:rsid w:val="008D4114"/>
    <w:rsid w:val="008D4125"/>
    <w:rsid w:val="008D414F"/>
    <w:rsid w:val="008D4318"/>
    <w:rsid w:val="008D4366"/>
    <w:rsid w:val="008D439F"/>
    <w:rsid w:val="008D4504"/>
    <w:rsid w:val="008D465C"/>
    <w:rsid w:val="008D471A"/>
    <w:rsid w:val="008D473F"/>
    <w:rsid w:val="008D4875"/>
    <w:rsid w:val="008D487A"/>
    <w:rsid w:val="008D4CBF"/>
    <w:rsid w:val="008D4E11"/>
    <w:rsid w:val="008D50AB"/>
    <w:rsid w:val="008D51D5"/>
    <w:rsid w:val="008D5314"/>
    <w:rsid w:val="008D541B"/>
    <w:rsid w:val="008D5452"/>
    <w:rsid w:val="008D54EC"/>
    <w:rsid w:val="008D5622"/>
    <w:rsid w:val="008D568B"/>
    <w:rsid w:val="008D574B"/>
    <w:rsid w:val="008D5899"/>
    <w:rsid w:val="008D5919"/>
    <w:rsid w:val="008D5BED"/>
    <w:rsid w:val="008D5C71"/>
    <w:rsid w:val="008D5D1B"/>
    <w:rsid w:val="008D5DA6"/>
    <w:rsid w:val="008D5E63"/>
    <w:rsid w:val="008D5FE5"/>
    <w:rsid w:val="008D61DE"/>
    <w:rsid w:val="008D623A"/>
    <w:rsid w:val="008D62A7"/>
    <w:rsid w:val="008D63C1"/>
    <w:rsid w:val="008D649C"/>
    <w:rsid w:val="008D6666"/>
    <w:rsid w:val="008D67CC"/>
    <w:rsid w:val="008D686B"/>
    <w:rsid w:val="008D687E"/>
    <w:rsid w:val="008D68FA"/>
    <w:rsid w:val="008D6AC5"/>
    <w:rsid w:val="008D6BDE"/>
    <w:rsid w:val="008D6C5F"/>
    <w:rsid w:val="008D6DAE"/>
    <w:rsid w:val="008D6E65"/>
    <w:rsid w:val="008D6EE5"/>
    <w:rsid w:val="008D746C"/>
    <w:rsid w:val="008D7552"/>
    <w:rsid w:val="008D768C"/>
    <w:rsid w:val="008D76EF"/>
    <w:rsid w:val="008D7754"/>
    <w:rsid w:val="008D77AA"/>
    <w:rsid w:val="008D788F"/>
    <w:rsid w:val="008D78A8"/>
    <w:rsid w:val="008D7A9F"/>
    <w:rsid w:val="008D7C9D"/>
    <w:rsid w:val="008D7CB3"/>
    <w:rsid w:val="008D7D8D"/>
    <w:rsid w:val="008D7EA8"/>
    <w:rsid w:val="008D7F04"/>
    <w:rsid w:val="008D7F06"/>
    <w:rsid w:val="008D7F45"/>
    <w:rsid w:val="008D7F47"/>
    <w:rsid w:val="008D7FCE"/>
    <w:rsid w:val="008E0133"/>
    <w:rsid w:val="008E01A7"/>
    <w:rsid w:val="008E0222"/>
    <w:rsid w:val="008E02B6"/>
    <w:rsid w:val="008E0332"/>
    <w:rsid w:val="008E0461"/>
    <w:rsid w:val="008E06C4"/>
    <w:rsid w:val="008E06EA"/>
    <w:rsid w:val="008E08D7"/>
    <w:rsid w:val="008E09B5"/>
    <w:rsid w:val="008E09FF"/>
    <w:rsid w:val="008E0A43"/>
    <w:rsid w:val="008E0A91"/>
    <w:rsid w:val="008E0AC6"/>
    <w:rsid w:val="008E0B2F"/>
    <w:rsid w:val="008E0BA2"/>
    <w:rsid w:val="008E0BFD"/>
    <w:rsid w:val="008E0C46"/>
    <w:rsid w:val="008E0C5F"/>
    <w:rsid w:val="008E0D9B"/>
    <w:rsid w:val="008E0DF1"/>
    <w:rsid w:val="008E0E70"/>
    <w:rsid w:val="008E0ECB"/>
    <w:rsid w:val="008E0F29"/>
    <w:rsid w:val="008E0F3F"/>
    <w:rsid w:val="008E11E0"/>
    <w:rsid w:val="008E121B"/>
    <w:rsid w:val="008E1372"/>
    <w:rsid w:val="008E137B"/>
    <w:rsid w:val="008E14AF"/>
    <w:rsid w:val="008E16A2"/>
    <w:rsid w:val="008E16C7"/>
    <w:rsid w:val="008E1756"/>
    <w:rsid w:val="008E1872"/>
    <w:rsid w:val="008E1A65"/>
    <w:rsid w:val="008E1D53"/>
    <w:rsid w:val="008E1E7C"/>
    <w:rsid w:val="008E1E81"/>
    <w:rsid w:val="008E2083"/>
    <w:rsid w:val="008E214F"/>
    <w:rsid w:val="008E2396"/>
    <w:rsid w:val="008E240C"/>
    <w:rsid w:val="008E24D2"/>
    <w:rsid w:val="008E26F9"/>
    <w:rsid w:val="008E29ED"/>
    <w:rsid w:val="008E2A30"/>
    <w:rsid w:val="008E2AA0"/>
    <w:rsid w:val="008E2B32"/>
    <w:rsid w:val="008E2C99"/>
    <w:rsid w:val="008E2D9D"/>
    <w:rsid w:val="008E2E3B"/>
    <w:rsid w:val="008E2E8F"/>
    <w:rsid w:val="008E2F11"/>
    <w:rsid w:val="008E3007"/>
    <w:rsid w:val="008E3094"/>
    <w:rsid w:val="008E3299"/>
    <w:rsid w:val="008E3389"/>
    <w:rsid w:val="008E33C5"/>
    <w:rsid w:val="008E3493"/>
    <w:rsid w:val="008E34C7"/>
    <w:rsid w:val="008E34E1"/>
    <w:rsid w:val="008E36A8"/>
    <w:rsid w:val="008E36DD"/>
    <w:rsid w:val="008E3711"/>
    <w:rsid w:val="008E37AA"/>
    <w:rsid w:val="008E3B03"/>
    <w:rsid w:val="008E3B0A"/>
    <w:rsid w:val="008E3CDB"/>
    <w:rsid w:val="008E3D2E"/>
    <w:rsid w:val="008E4033"/>
    <w:rsid w:val="008E41FD"/>
    <w:rsid w:val="008E42E5"/>
    <w:rsid w:val="008E430A"/>
    <w:rsid w:val="008E481A"/>
    <w:rsid w:val="008E488C"/>
    <w:rsid w:val="008E48A9"/>
    <w:rsid w:val="008E4CB8"/>
    <w:rsid w:val="008E4CFE"/>
    <w:rsid w:val="008E4F06"/>
    <w:rsid w:val="008E4F45"/>
    <w:rsid w:val="008E5188"/>
    <w:rsid w:val="008E5283"/>
    <w:rsid w:val="008E52B1"/>
    <w:rsid w:val="008E5367"/>
    <w:rsid w:val="008E555A"/>
    <w:rsid w:val="008E55EB"/>
    <w:rsid w:val="008E5675"/>
    <w:rsid w:val="008E592B"/>
    <w:rsid w:val="008E5A00"/>
    <w:rsid w:val="008E5B67"/>
    <w:rsid w:val="008E5D4E"/>
    <w:rsid w:val="008E5EE5"/>
    <w:rsid w:val="008E5F08"/>
    <w:rsid w:val="008E601A"/>
    <w:rsid w:val="008E6047"/>
    <w:rsid w:val="008E623A"/>
    <w:rsid w:val="008E624B"/>
    <w:rsid w:val="008E6260"/>
    <w:rsid w:val="008E6292"/>
    <w:rsid w:val="008E6318"/>
    <w:rsid w:val="008E6351"/>
    <w:rsid w:val="008E6422"/>
    <w:rsid w:val="008E6656"/>
    <w:rsid w:val="008E67F7"/>
    <w:rsid w:val="008E6990"/>
    <w:rsid w:val="008E6A38"/>
    <w:rsid w:val="008E6AE1"/>
    <w:rsid w:val="008E6C02"/>
    <w:rsid w:val="008E6CBE"/>
    <w:rsid w:val="008E6D4F"/>
    <w:rsid w:val="008E7012"/>
    <w:rsid w:val="008E7062"/>
    <w:rsid w:val="008E7094"/>
    <w:rsid w:val="008E70EF"/>
    <w:rsid w:val="008E7161"/>
    <w:rsid w:val="008E723D"/>
    <w:rsid w:val="008E72E7"/>
    <w:rsid w:val="008E73F2"/>
    <w:rsid w:val="008E7425"/>
    <w:rsid w:val="008E74FA"/>
    <w:rsid w:val="008E751D"/>
    <w:rsid w:val="008E7654"/>
    <w:rsid w:val="008E76B3"/>
    <w:rsid w:val="008E77C7"/>
    <w:rsid w:val="008E7938"/>
    <w:rsid w:val="008E7A98"/>
    <w:rsid w:val="008E7B7D"/>
    <w:rsid w:val="008E7C5E"/>
    <w:rsid w:val="008E7C70"/>
    <w:rsid w:val="008E7DF3"/>
    <w:rsid w:val="008E7F10"/>
    <w:rsid w:val="008E7F25"/>
    <w:rsid w:val="008F0061"/>
    <w:rsid w:val="008F00D0"/>
    <w:rsid w:val="008F01C7"/>
    <w:rsid w:val="008F0259"/>
    <w:rsid w:val="008F037D"/>
    <w:rsid w:val="008F061E"/>
    <w:rsid w:val="008F06BA"/>
    <w:rsid w:val="008F0827"/>
    <w:rsid w:val="008F08FB"/>
    <w:rsid w:val="008F0A9C"/>
    <w:rsid w:val="008F0ABB"/>
    <w:rsid w:val="008F0BD9"/>
    <w:rsid w:val="008F0EC8"/>
    <w:rsid w:val="008F0F14"/>
    <w:rsid w:val="008F1051"/>
    <w:rsid w:val="008F108A"/>
    <w:rsid w:val="008F1098"/>
    <w:rsid w:val="008F11E6"/>
    <w:rsid w:val="008F122B"/>
    <w:rsid w:val="008F124F"/>
    <w:rsid w:val="008F126E"/>
    <w:rsid w:val="008F1357"/>
    <w:rsid w:val="008F137E"/>
    <w:rsid w:val="008F153A"/>
    <w:rsid w:val="008F181A"/>
    <w:rsid w:val="008F1827"/>
    <w:rsid w:val="008F1890"/>
    <w:rsid w:val="008F1A24"/>
    <w:rsid w:val="008F1C76"/>
    <w:rsid w:val="008F1C96"/>
    <w:rsid w:val="008F1DD0"/>
    <w:rsid w:val="008F1E52"/>
    <w:rsid w:val="008F2284"/>
    <w:rsid w:val="008F22A9"/>
    <w:rsid w:val="008F22B8"/>
    <w:rsid w:val="008F22CB"/>
    <w:rsid w:val="008F23EB"/>
    <w:rsid w:val="008F24A8"/>
    <w:rsid w:val="008F2576"/>
    <w:rsid w:val="008F25D3"/>
    <w:rsid w:val="008F2622"/>
    <w:rsid w:val="008F26EB"/>
    <w:rsid w:val="008F27E6"/>
    <w:rsid w:val="008F2852"/>
    <w:rsid w:val="008F29FB"/>
    <w:rsid w:val="008F2A4E"/>
    <w:rsid w:val="008F2AF2"/>
    <w:rsid w:val="008F2E89"/>
    <w:rsid w:val="008F2F8A"/>
    <w:rsid w:val="008F2F91"/>
    <w:rsid w:val="008F3159"/>
    <w:rsid w:val="008F31A2"/>
    <w:rsid w:val="008F3208"/>
    <w:rsid w:val="008F3274"/>
    <w:rsid w:val="008F3422"/>
    <w:rsid w:val="008F3434"/>
    <w:rsid w:val="008F352B"/>
    <w:rsid w:val="008F35A3"/>
    <w:rsid w:val="008F37CB"/>
    <w:rsid w:val="008F381A"/>
    <w:rsid w:val="008F3946"/>
    <w:rsid w:val="008F396F"/>
    <w:rsid w:val="008F39F6"/>
    <w:rsid w:val="008F4025"/>
    <w:rsid w:val="008F4045"/>
    <w:rsid w:val="008F40F3"/>
    <w:rsid w:val="008F4111"/>
    <w:rsid w:val="008F419F"/>
    <w:rsid w:val="008F41A3"/>
    <w:rsid w:val="008F42CB"/>
    <w:rsid w:val="008F432B"/>
    <w:rsid w:val="008F44C2"/>
    <w:rsid w:val="008F44DA"/>
    <w:rsid w:val="008F4594"/>
    <w:rsid w:val="008F46C3"/>
    <w:rsid w:val="008F49AA"/>
    <w:rsid w:val="008F4C36"/>
    <w:rsid w:val="008F4C7A"/>
    <w:rsid w:val="008F4D66"/>
    <w:rsid w:val="008F4DFC"/>
    <w:rsid w:val="008F4E04"/>
    <w:rsid w:val="008F4EF4"/>
    <w:rsid w:val="008F50D0"/>
    <w:rsid w:val="008F5133"/>
    <w:rsid w:val="008F52AF"/>
    <w:rsid w:val="008F52FC"/>
    <w:rsid w:val="008F544F"/>
    <w:rsid w:val="008F54AD"/>
    <w:rsid w:val="008F54C7"/>
    <w:rsid w:val="008F55F4"/>
    <w:rsid w:val="008F5737"/>
    <w:rsid w:val="008F5877"/>
    <w:rsid w:val="008F5932"/>
    <w:rsid w:val="008F5938"/>
    <w:rsid w:val="008F5AFC"/>
    <w:rsid w:val="008F5B42"/>
    <w:rsid w:val="008F5B61"/>
    <w:rsid w:val="008F5C4E"/>
    <w:rsid w:val="008F5CDB"/>
    <w:rsid w:val="008F5E0E"/>
    <w:rsid w:val="008F5F3B"/>
    <w:rsid w:val="008F600E"/>
    <w:rsid w:val="008F6083"/>
    <w:rsid w:val="008F6426"/>
    <w:rsid w:val="008F644F"/>
    <w:rsid w:val="008F652C"/>
    <w:rsid w:val="008F6555"/>
    <w:rsid w:val="008F65FA"/>
    <w:rsid w:val="008F665B"/>
    <w:rsid w:val="008F666B"/>
    <w:rsid w:val="008F6776"/>
    <w:rsid w:val="008F678A"/>
    <w:rsid w:val="008F6848"/>
    <w:rsid w:val="008F685D"/>
    <w:rsid w:val="008F6A86"/>
    <w:rsid w:val="008F6AAD"/>
    <w:rsid w:val="008F6B1D"/>
    <w:rsid w:val="008F6BFB"/>
    <w:rsid w:val="008F6C46"/>
    <w:rsid w:val="008F6D7B"/>
    <w:rsid w:val="008F6E5D"/>
    <w:rsid w:val="008F7085"/>
    <w:rsid w:val="008F72C6"/>
    <w:rsid w:val="008F735A"/>
    <w:rsid w:val="008F74FB"/>
    <w:rsid w:val="008F7656"/>
    <w:rsid w:val="008F777D"/>
    <w:rsid w:val="008F7834"/>
    <w:rsid w:val="008F7AC0"/>
    <w:rsid w:val="008F7BC5"/>
    <w:rsid w:val="008F7E77"/>
    <w:rsid w:val="008F7E91"/>
    <w:rsid w:val="00900172"/>
    <w:rsid w:val="009003D1"/>
    <w:rsid w:val="009003DD"/>
    <w:rsid w:val="00900594"/>
    <w:rsid w:val="009005DF"/>
    <w:rsid w:val="009008AB"/>
    <w:rsid w:val="00900A22"/>
    <w:rsid w:val="00900B64"/>
    <w:rsid w:val="00900C5B"/>
    <w:rsid w:val="00900EBB"/>
    <w:rsid w:val="00900EF1"/>
    <w:rsid w:val="00900FEF"/>
    <w:rsid w:val="00900FFC"/>
    <w:rsid w:val="00901037"/>
    <w:rsid w:val="00901083"/>
    <w:rsid w:val="0090108C"/>
    <w:rsid w:val="009011D2"/>
    <w:rsid w:val="00901229"/>
    <w:rsid w:val="0090131E"/>
    <w:rsid w:val="0090145F"/>
    <w:rsid w:val="009015C9"/>
    <w:rsid w:val="00901632"/>
    <w:rsid w:val="00901808"/>
    <w:rsid w:val="0090189E"/>
    <w:rsid w:val="009019FC"/>
    <w:rsid w:val="00901A41"/>
    <w:rsid w:val="00901B31"/>
    <w:rsid w:val="00901B76"/>
    <w:rsid w:val="00901BF7"/>
    <w:rsid w:val="00901E41"/>
    <w:rsid w:val="00901E80"/>
    <w:rsid w:val="00901F88"/>
    <w:rsid w:val="00902070"/>
    <w:rsid w:val="0090227D"/>
    <w:rsid w:val="00902345"/>
    <w:rsid w:val="00902505"/>
    <w:rsid w:val="009027C9"/>
    <w:rsid w:val="0090285A"/>
    <w:rsid w:val="0090290E"/>
    <w:rsid w:val="0090293D"/>
    <w:rsid w:val="009029DE"/>
    <w:rsid w:val="00902A6A"/>
    <w:rsid w:val="00902A76"/>
    <w:rsid w:val="00902B56"/>
    <w:rsid w:val="00902CC1"/>
    <w:rsid w:val="00902CDD"/>
    <w:rsid w:val="00902D0F"/>
    <w:rsid w:val="00902D49"/>
    <w:rsid w:val="00902F2D"/>
    <w:rsid w:val="00902FC0"/>
    <w:rsid w:val="00902FCB"/>
    <w:rsid w:val="00902FDC"/>
    <w:rsid w:val="00902FFD"/>
    <w:rsid w:val="00903144"/>
    <w:rsid w:val="00903255"/>
    <w:rsid w:val="009032BF"/>
    <w:rsid w:val="00903369"/>
    <w:rsid w:val="009033A9"/>
    <w:rsid w:val="009033C7"/>
    <w:rsid w:val="009034E1"/>
    <w:rsid w:val="009035AF"/>
    <w:rsid w:val="00903613"/>
    <w:rsid w:val="00903664"/>
    <w:rsid w:val="00903779"/>
    <w:rsid w:val="0090381C"/>
    <w:rsid w:val="00903872"/>
    <w:rsid w:val="009038EA"/>
    <w:rsid w:val="00903C8B"/>
    <w:rsid w:val="00903D02"/>
    <w:rsid w:val="00903D3B"/>
    <w:rsid w:val="00903E6D"/>
    <w:rsid w:val="00903E6F"/>
    <w:rsid w:val="00903F1B"/>
    <w:rsid w:val="00903F81"/>
    <w:rsid w:val="0090405B"/>
    <w:rsid w:val="009041B7"/>
    <w:rsid w:val="00904277"/>
    <w:rsid w:val="009043D9"/>
    <w:rsid w:val="0090449B"/>
    <w:rsid w:val="00904592"/>
    <w:rsid w:val="00904746"/>
    <w:rsid w:val="009047DE"/>
    <w:rsid w:val="0090481E"/>
    <w:rsid w:val="00904B2B"/>
    <w:rsid w:val="00904BA3"/>
    <w:rsid w:val="00904BA7"/>
    <w:rsid w:val="00904BDA"/>
    <w:rsid w:val="00904C3B"/>
    <w:rsid w:val="00904C93"/>
    <w:rsid w:val="00904E08"/>
    <w:rsid w:val="00904F15"/>
    <w:rsid w:val="00904F1D"/>
    <w:rsid w:val="00904F57"/>
    <w:rsid w:val="009050FC"/>
    <w:rsid w:val="00905123"/>
    <w:rsid w:val="009051AF"/>
    <w:rsid w:val="00905426"/>
    <w:rsid w:val="00905508"/>
    <w:rsid w:val="0090554A"/>
    <w:rsid w:val="009057B9"/>
    <w:rsid w:val="00905BA8"/>
    <w:rsid w:val="00905C68"/>
    <w:rsid w:val="009061B1"/>
    <w:rsid w:val="009062E4"/>
    <w:rsid w:val="0090641D"/>
    <w:rsid w:val="0090653F"/>
    <w:rsid w:val="00906599"/>
    <w:rsid w:val="00906697"/>
    <w:rsid w:val="0090670E"/>
    <w:rsid w:val="009067B6"/>
    <w:rsid w:val="0090688A"/>
    <w:rsid w:val="009068AE"/>
    <w:rsid w:val="00906A5D"/>
    <w:rsid w:val="00906B2C"/>
    <w:rsid w:val="00906BE5"/>
    <w:rsid w:val="00906C2F"/>
    <w:rsid w:val="00906E61"/>
    <w:rsid w:val="00906F28"/>
    <w:rsid w:val="00907146"/>
    <w:rsid w:val="009071AB"/>
    <w:rsid w:val="0090731A"/>
    <w:rsid w:val="009073DB"/>
    <w:rsid w:val="009073F9"/>
    <w:rsid w:val="0090750A"/>
    <w:rsid w:val="00907546"/>
    <w:rsid w:val="00907669"/>
    <w:rsid w:val="00907879"/>
    <w:rsid w:val="0090789A"/>
    <w:rsid w:val="00907CBD"/>
    <w:rsid w:val="00907CFD"/>
    <w:rsid w:val="00907D2A"/>
    <w:rsid w:val="00907E6E"/>
    <w:rsid w:val="00907FAC"/>
    <w:rsid w:val="0091001C"/>
    <w:rsid w:val="009100F5"/>
    <w:rsid w:val="00910134"/>
    <w:rsid w:val="00910220"/>
    <w:rsid w:val="009102AE"/>
    <w:rsid w:val="009102E7"/>
    <w:rsid w:val="00910397"/>
    <w:rsid w:val="00910470"/>
    <w:rsid w:val="009104AD"/>
    <w:rsid w:val="00910552"/>
    <w:rsid w:val="0091067D"/>
    <w:rsid w:val="009106A1"/>
    <w:rsid w:val="00910777"/>
    <w:rsid w:val="0091088A"/>
    <w:rsid w:val="00910B38"/>
    <w:rsid w:val="00910C02"/>
    <w:rsid w:val="00910D37"/>
    <w:rsid w:val="00910DCF"/>
    <w:rsid w:val="00910E51"/>
    <w:rsid w:val="00910F14"/>
    <w:rsid w:val="00910F96"/>
    <w:rsid w:val="00911009"/>
    <w:rsid w:val="00911031"/>
    <w:rsid w:val="0091106E"/>
    <w:rsid w:val="009113BA"/>
    <w:rsid w:val="009114EC"/>
    <w:rsid w:val="0091155C"/>
    <w:rsid w:val="00911594"/>
    <w:rsid w:val="009115E4"/>
    <w:rsid w:val="009115EA"/>
    <w:rsid w:val="009116D0"/>
    <w:rsid w:val="00911771"/>
    <w:rsid w:val="00911822"/>
    <w:rsid w:val="00911939"/>
    <w:rsid w:val="009119AC"/>
    <w:rsid w:val="00911A13"/>
    <w:rsid w:val="00911A15"/>
    <w:rsid w:val="00911A35"/>
    <w:rsid w:val="00911B3D"/>
    <w:rsid w:val="00911B69"/>
    <w:rsid w:val="00911B90"/>
    <w:rsid w:val="00911C81"/>
    <w:rsid w:val="00911CD4"/>
    <w:rsid w:val="00911CEB"/>
    <w:rsid w:val="00911CF0"/>
    <w:rsid w:val="00911D15"/>
    <w:rsid w:val="00911D96"/>
    <w:rsid w:val="00911EAD"/>
    <w:rsid w:val="00911F52"/>
    <w:rsid w:val="00912039"/>
    <w:rsid w:val="00912057"/>
    <w:rsid w:val="009121FB"/>
    <w:rsid w:val="009122D6"/>
    <w:rsid w:val="009125A2"/>
    <w:rsid w:val="009126E7"/>
    <w:rsid w:val="009126F3"/>
    <w:rsid w:val="009127B0"/>
    <w:rsid w:val="00912837"/>
    <w:rsid w:val="0091285C"/>
    <w:rsid w:val="009128D3"/>
    <w:rsid w:val="0091290D"/>
    <w:rsid w:val="0091296A"/>
    <w:rsid w:val="009129CA"/>
    <w:rsid w:val="009129DC"/>
    <w:rsid w:val="00912B59"/>
    <w:rsid w:val="00912B8F"/>
    <w:rsid w:val="00912BC0"/>
    <w:rsid w:val="00912E1A"/>
    <w:rsid w:val="00912F1A"/>
    <w:rsid w:val="00912F57"/>
    <w:rsid w:val="00912FB4"/>
    <w:rsid w:val="009130D9"/>
    <w:rsid w:val="00913209"/>
    <w:rsid w:val="0091325B"/>
    <w:rsid w:val="009132DC"/>
    <w:rsid w:val="00913421"/>
    <w:rsid w:val="0091349E"/>
    <w:rsid w:val="009134FC"/>
    <w:rsid w:val="0091356D"/>
    <w:rsid w:val="0091363D"/>
    <w:rsid w:val="009136E8"/>
    <w:rsid w:val="00913716"/>
    <w:rsid w:val="009137ED"/>
    <w:rsid w:val="00913C2C"/>
    <w:rsid w:val="00913CC2"/>
    <w:rsid w:val="00913DEB"/>
    <w:rsid w:val="00913F2F"/>
    <w:rsid w:val="00913F30"/>
    <w:rsid w:val="00913FF9"/>
    <w:rsid w:val="00914169"/>
    <w:rsid w:val="00914218"/>
    <w:rsid w:val="009142CB"/>
    <w:rsid w:val="009143E2"/>
    <w:rsid w:val="009145E9"/>
    <w:rsid w:val="00914655"/>
    <w:rsid w:val="009146FE"/>
    <w:rsid w:val="0091472D"/>
    <w:rsid w:val="00914A4A"/>
    <w:rsid w:val="00914A58"/>
    <w:rsid w:val="00914B86"/>
    <w:rsid w:val="00914BD7"/>
    <w:rsid w:val="00914C37"/>
    <w:rsid w:val="00914C5E"/>
    <w:rsid w:val="00914C79"/>
    <w:rsid w:val="00914D0C"/>
    <w:rsid w:val="00914D39"/>
    <w:rsid w:val="00915046"/>
    <w:rsid w:val="00915061"/>
    <w:rsid w:val="009150AB"/>
    <w:rsid w:val="009150E1"/>
    <w:rsid w:val="00915102"/>
    <w:rsid w:val="009151B5"/>
    <w:rsid w:val="009151F5"/>
    <w:rsid w:val="00915333"/>
    <w:rsid w:val="0091535F"/>
    <w:rsid w:val="0091536F"/>
    <w:rsid w:val="00915481"/>
    <w:rsid w:val="009154B9"/>
    <w:rsid w:val="009155B4"/>
    <w:rsid w:val="0091577F"/>
    <w:rsid w:val="009157CA"/>
    <w:rsid w:val="0091584E"/>
    <w:rsid w:val="00915886"/>
    <w:rsid w:val="00915B7D"/>
    <w:rsid w:val="00915BF3"/>
    <w:rsid w:val="00915C6B"/>
    <w:rsid w:val="00915CAF"/>
    <w:rsid w:val="00915D1B"/>
    <w:rsid w:val="00915E0A"/>
    <w:rsid w:val="00915F10"/>
    <w:rsid w:val="0091607B"/>
    <w:rsid w:val="00916094"/>
    <w:rsid w:val="009161AB"/>
    <w:rsid w:val="00916261"/>
    <w:rsid w:val="009162FD"/>
    <w:rsid w:val="00916346"/>
    <w:rsid w:val="009163A9"/>
    <w:rsid w:val="009163FB"/>
    <w:rsid w:val="0091668D"/>
    <w:rsid w:val="009167CB"/>
    <w:rsid w:val="009168B0"/>
    <w:rsid w:val="00916ACC"/>
    <w:rsid w:val="00916C8A"/>
    <w:rsid w:val="00916C8C"/>
    <w:rsid w:val="00916E76"/>
    <w:rsid w:val="00916FF3"/>
    <w:rsid w:val="00917069"/>
    <w:rsid w:val="00917106"/>
    <w:rsid w:val="009177A0"/>
    <w:rsid w:val="0091780A"/>
    <w:rsid w:val="00917980"/>
    <w:rsid w:val="00917B56"/>
    <w:rsid w:val="00917E28"/>
    <w:rsid w:val="00920052"/>
    <w:rsid w:val="00920190"/>
    <w:rsid w:val="00920208"/>
    <w:rsid w:val="009202CA"/>
    <w:rsid w:val="0092030B"/>
    <w:rsid w:val="0092038B"/>
    <w:rsid w:val="00920613"/>
    <w:rsid w:val="00920711"/>
    <w:rsid w:val="00920718"/>
    <w:rsid w:val="00920729"/>
    <w:rsid w:val="0092074E"/>
    <w:rsid w:val="00920783"/>
    <w:rsid w:val="00920942"/>
    <w:rsid w:val="0092096B"/>
    <w:rsid w:val="00920C0E"/>
    <w:rsid w:val="00920C32"/>
    <w:rsid w:val="00920D51"/>
    <w:rsid w:val="00920E91"/>
    <w:rsid w:val="00920EAF"/>
    <w:rsid w:val="00920F07"/>
    <w:rsid w:val="0092106E"/>
    <w:rsid w:val="009211C3"/>
    <w:rsid w:val="00921393"/>
    <w:rsid w:val="0092141B"/>
    <w:rsid w:val="0092156D"/>
    <w:rsid w:val="00921652"/>
    <w:rsid w:val="009218DB"/>
    <w:rsid w:val="00921B57"/>
    <w:rsid w:val="00921B70"/>
    <w:rsid w:val="00921BFA"/>
    <w:rsid w:val="00921DD9"/>
    <w:rsid w:val="00921E19"/>
    <w:rsid w:val="00921F09"/>
    <w:rsid w:val="00921F11"/>
    <w:rsid w:val="00921FB9"/>
    <w:rsid w:val="00922029"/>
    <w:rsid w:val="009221C2"/>
    <w:rsid w:val="0092233D"/>
    <w:rsid w:val="009223C9"/>
    <w:rsid w:val="00922427"/>
    <w:rsid w:val="00922504"/>
    <w:rsid w:val="0092258F"/>
    <w:rsid w:val="00922674"/>
    <w:rsid w:val="00922743"/>
    <w:rsid w:val="009227D5"/>
    <w:rsid w:val="00922A3D"/>
    <w:rsid w:val="00922C29"/>
    <w:rsid w:val="00922F1D"/>
    <w:rsid w:val="00922FA8"/>
    <w:rsid w:val="009232DB"/>
    <w:rsid w:val="009232F3"/>
    <w:rsid w:val="0092336C"/>
    <w:rsid w:val="0092338D"/>
    <w:rsid w:val="00923407"/>
    <w:rsid w:val="009234BD"/>
    <w:rsid w:val="0092362E"/>
    <w:rsid w:val="009237BA"/>
    <w:rsid w:val="009237E5"/>
    <w:rsid w:val="00923815"/>
    <w:rsid w:val="009238AE"/>
    <w:rsid w:val="009238D7"/>
    <w:rsid w:val="0092393E"/>
    <w:rsid w:val="009239A6"/>
    <w:rsid w:val="009239C0"/>
    <w:rsid w:val="00923C26"/>
    <w:rsid w:val="00923C57"/>
    <w:rsid w:val="00923C58"/>
    <w:rsid w:val="00923C78"/>
    <w:rsid w:val="00923D31"/>
    <w:rsid w:val="00923E73"/>
    <w:rsid w:val="00923F62"/>
    <w:rsid w:val="00924101"/>
    <w:rsid w:val="00924463"/>
    <w:rsid w:val="0092453B"/>
    <w:rsid w:val="00924566"/>
    <w:rsid w:val="0092459F"/>
    <w:rsid w:val="00924648"/>
    <w:rsid w:val="00924722"/>
    <w:rsid w:val="00924755"/>
    <w:rsid w:val="00924864"/>
    <w:rsid w:val="00924873"/>
    <w:rsid w:val="00924B1B"/>
    <w:rsid w:val="00924E16"/>
    <w:rsid w:val="00924E1E"/>
    <w:rsid w:val="00924FCF"/>
    <w:rsid w:val="009250E4"/>
    <w:rsid w:val="00925127"/>
    <w:rsid w:val="00925178"/>
    <w:rsid w:val="00925210"/>
    <w:rsid w:val="00925669"/>
    <w:rsid w:val="00925705"/>
    <w:rsid w:val="009257A9"/>
    <w:rsid w:val="0092586A"/>
    <w:rsid w:val="0092597F"/>
    <w:rsid w:val="00925AA5"/>
    <w:rsid w:val="00925B9D"/>
    <w:rsid w:val="00925BDB"/>
    <w:rsid w:val="00925BE2"/>
    <w:rsid w:val="00925C5A"/>
    <w:rsid w:val="00925C9F"/>
    <w:rsid w:val="00925CC2"/>
    <w:rsid w:val="00925CF4"/>
    <w:rsid w:val="00925DC4"/>
    <w:rsid w:val="00925DE1"/>
    <w:rsid w:val="00925F45"/>
    <w:rsid w:val="00926039"/>
    <w:rsid w:val="00926537"/>
    <w:rsid w:val="00926702"/>
    <w:rsid w:val="00926820"/>
    <w:rsid w:val="009268D9"/>
    <w:rsid w:val="0092690F"/>
    <w:rsid w:val="0092694F"/>
    <w:rsid w:val="009269ED"/>
    <w:rsid w:val="00926C40"/>
    <w:rsid w:val="00926D33"/>
    <w:rsid w:val="00926DBC"/>
    <w:rsid w:val="00926E39"/>
    <w:rsid w:val="00926E58"/>
    <w:rsid w:val="00926E67"/>
    <w:rsid w:val="00926F1A"/>
    <w:rsid w:val="0092702E"/>
    <w:rsid w:val="009271F8"/>
    <w:rsid w:val="00927225"/>
    <w:rsid w:val="009272F6"/>
    <w:rsid w:val="0092742C"/>
    <w:rsid w:val="0092743A"/>
    <w:rsid w:val="009274E2"/>
    <w:rsid w:val="00927593"/>
    <w:rsid w:val="0092767E"/>
    <w:rsid w:val="00927781"/>
    <w:rsid w:val="009277B1"/>
    <w:rsid w:val="009277C3"/>
    <w:rsid w:val="00927B09"/>
    <w:rsid w:val="00927B50"/>
    <w:rsid w:val="00927CBD"/>
    <w:rsid w:val="00927CC4"/>
    <w:rsid w:val="00927E57"/>
    <w:rsid w:val="00927FB0"/>
    <w:rsid w:val="0093020B"/>
    <w:rsid w:val="00930222"/>
    <w:rsid w:val="009302DD"/>
    <w:rsid w:val="00930496"/>
    <w:rsid w:val="009305C7"/>
    <w:rsid w:val="00930605"/>
    <w:rsid w:val="00930614"/>
    <w:rsid w:val="00930767"/>
    <w:rsid w:val="00930A3A"/>
    <w:rsid w:val="00930BC1"/>
    <w:rsid w:val="00930CDC"/>
    <w:rsid w:val="00930DD6"/>
    <w:rsid w:val="00930DD7"/>
    <w:rsid w:val="00930FC1"/>
    <w:rsid w:val="009311C1"/>
    <w:rsid w:val="0093125D"/>
    <w:rsid w:val="00931369"/>
    <w:rsid w:val="009314CE"/>
    <w:rsid w:val="00931539"/>
    <w:rsid w:val="00931604"/>
    <w:rsid w:val="0093171A"/>
    <w:rsid w:val="00931726"/>
    <w:rsid w:val="009317A3"/>
    <w:rsid w:val="0093197A"/>
    <w:rsid w:val="00931C5C"/>
    <w:rsid w:val="00931D78"/>
    <w:rsid w:val="00931F37"/>
    <w:rsid w:val="00931F3B"/>
    <w:rsid w:val="00931FF2"/>
    <w:rsid w:val="00932098"/>
    <w:rsid w:val="0093209E"/>
    <w:rsid w:val="009320CB"/>
    <w:rsid w:val="0093237E"/>
    <w:rsid w:val="00932413"/>
    <w:rsid w:val="0093247C"/>
    <w:rsid w:val="00932564"/>
    <w:rsid w:val="009325F5"/>
    <w:rsid w:val="009327A3"/>
    <w:rsid w:val="0093284E"/>
    <w:rsid w:val="00932885"/>
    <w:rsid w:val="00932913"/>
    <w:rsid w:val="00932AD4"/>
    <w:rsid w:val="00932BFC"/>
    <w:rsid w:val="00932CAD"/>
    <w:rsid w:val="00932D64"/>
    <w:rsid w:val="00932E51"/>
    <w:rsid w:val="00932F7B"/>
    <w:rsid w:val="009330DC"/>
    <w:rsid w:val="00933252"/>
    <w:rsid w:val="009332DD"/>
    <w:rsid w:val="009334D8"/>
    <w:rsid w:val="009334F8"/>
    <w:rsid w:val="009335B8"/>
    <w:rsid w:val="00933693"/>
    <w:rsid w:val="009338A8"/>
    <w:rsid w:val="00933921"/>
    <w:rsid w:val="0093395F"/>
    <w:rsid w:val="00933A48"/>
    <w:rsid w:val="00933A74"/>
    <w:rsid w:val="00933C0B"/>
    <w:rsid w:val="00933C9B"/>
    <w:rsid w:val="00933D05"/>
    <w:rsid w:val="00933DA6"/>
    <w:rsid w:val="00933FF1"/>
    <w:rsid w:val="0093411D"/>
    <w:rsid w:val="009342EF"/>
    <w:rsid w:val="00934363"/>
    <w:rsid w:val="0093436C"/>
    <w:rsid w:val="009343FE"/>
    <w:rsid w:val="00934418"/>
    <w:rsid w:val="0093466C"/>
    <w:rsid w:val="009347B0"/>
    <w:rsid w:val="00934840"/>
    <w:rsid w:val="00934912"/>
    <w:rsid w:val="0093499E"/>
    <w:rsid w:val="00934A46"/>
    <w:rsid w:val="00934B4F"/>
    <w:rsid w:val="00934E14"/>
    <w:rsid w:val="00934E83"/>
    <w:rsid w:val="00934F55"/>
    <w:rsid w:val="00934F7C"/>
    <w:rsid w:val="009351EA"/>
    <w:rsid w:val="0093522F"/>
    <w:rsid w:val="00935292"/>
    <w:rsid w:val="009352D0"/>
    <w:rsid w:val="0093540D"/>
    <w:rsid w:val="009354B1"/>
    <w:rsid w:val="009354D3"/>
    <w:rsid w:val="009355F2"/>
    <w:rsid w:val="0093568E"/>
    <w:rsid w:val="00935885"/>
    <w:rsid w:val="009358FA"/>
    <w:rsid w:val="00935AFB"/>
    <w:rsid w:val="00935B2C"/>
    <w:rsid w:val="00935CA0"/>
    <w:rsid w:val="00935D02"/>
    <w:rsid w:val="00935D0C"/>
    <w:rsid w:val="00935D9D"/>
    <w:rsid w:val="00935DD1"/>
    <w:rsid w:val="00935E08"/>
    <w:rsid w:val="00935EC2"/>
    <w:rsid w:val="00935ECD"/>
    <w:rsid w:val="00935FF3"/>
    <w:rsid w:val="00936145"/>
    <w:rsid w:val="00936264"/>
    <w:rsid w:val="0093628E"/>
    <w:rsid w:val="00936519"/>
    <w:rsid w:val="0093656F"/>
    <w:rsid w:val="00936580"/>
    <w:rsid w:val="009365BB"/>
    <w:rsid w:val="00936613"/>
    <w:rsid w:val="0093662D"/>
    <w:rsid w:val="009367B3"/>
    <w:rsid w:val="009367CD"/>
    <w:rsid w:val="009367D1"/>
    <w:rsid w:val="00936883"/>
    <w:rsid w:val="00936A3B"/>
    <w:rsid w:val="00936D02"/>
    <w:rsid w:val="00936E92"/>
    <w:rsid w:val="00936EA3"/>
    <w:rsid w:val="00936EEB"/>
    <w:rsid w:val="00936FB4"/>
    <w:rsid w:val="00936FE3"/>
    <w:rsid w:val="00937236"/>
    <w:rsid w:val="009372A9"/>
    <w:rsid w:val="00937564"/>
    <w:rsid w:val="009375FF"/>
    <w:rsid w:val="009376A3"/>
    <w:rsid w:val="00937715"/>
    <w:rsid w:val="00937881"/>
    <w:rsid w:val="00937B15"/>
    <w:rsid w:val="00937B44"/>
    <w:rsid w:val="00937B8B"/>
    <w:rsid w:val="00937BF9"/>
    <w:rsid w:val="00937E96"/>
    <w:rsid w:val="00940052"/>
    <w:rsid w:val="00940116"/>
    <w:rsid w:val="0094019D"/>
    <w:rsid w:val="00940274"/>
    <w:rsid w:val="009402EE"/>
    <w:rsid w:val="00940327"/>
    <w:rsid w:val="00940477"/>
    <w:rsid w:val="0094058E"/>
    <w:rsid w:val="00940634"/>
    <w:rsid w:val="00940A08"/>
    <w:rsid w:val="00940B32"/>
    <w:rsid w:val="00940F49"/>
    <w:rsid w:val="00940F9B"/>
    <w:rsid w:val="0094100C"/>
    <w:rsid w:val="009410C5"/>
    <w:rsid w:val="00941136"/>
    <w:rsid w:val="0094142B"/>
    <w:rsid w:val="0094150A"/>
    <w:rsid w:val="00941524"/>
    <w:rsid w:val="009418E6"/>
    <w:rsid w:val="00941A66"/>
    <w:rsid w:val="00941AB3"/>
    <w:rsid w:val="00941AC9"/>
    <w:rsid w:val="00941AE2"/>
    <w:rsid w:val="00941B6A"/>
    <w:rsid w:val="00941BCB"/>
    <w:rsid w:val="00941C23"/>
    <w:rsid w:val="00941DC8"/>
    <w:rsid w:val="00941DF5"/>
    <w:rsid w:val="00941ECC"/>
    <w:rsid w:val="00941F28"/>
    <w:rsid w:val="00941F69"/>
    <w:rsid w:val="009421B8"/>
    <w:rsid w:val="009424E3"/>
    <w:rsid w:val="009425E3"/>
    <w:rsid w:val="0094275E"/>
    <w:rsid w:val="009428C6"/>
    <w:rsid w:val="00942967"/>
    <w:rsid w:val="009429F0"/>
    <w:rsid w:val="00942A57"/>
    <w:rsid w:val="00942A88"/>
    <w:rsid w:val="00942B79"/>
    <w:rsid w:val="00942B96"/>
    <w:rsid w:val="00942BFD"/>
    <w:rsid w:val="00942C11"/>
    <w:rsid w:val="00942CDA"/>
    <w:rsid w:val="00942F4A"/>
    <w:rsid w:val="00942F8E"/>
    <w:rsid w:val="00942FE3"/>
    <w:rsid w:val="009430E1"/>
    <w:rsid w:val="0094316F"/>
    <w:rsid w:val="0094318E"/>
    <w:rsid w:val="0094325C"/>
    <w:rsid w:val="00943314"/>
    <w:rsid w:val="0094336B"/>
    <w:rsid w:val="009433AC"/>
    <w:rsid w:val="00943428"/>
    <w:rsid w:val="00943431"/>
    <w:rsid w:val="0094351F"/>
    <w:rsid w:val="009435B1"/>
    <w:rsid w:val="009435C5"/>
    <w:rsid w:val="009435E9"/>
    <w:rsid w:val="00943614"/>
    <w:rsid w:val="00943649"/>
    <w:rsid w:val="0094364B"/>
    <w:rsid w:val="00943667"/>
    <w:rsid w:val="00943797"/>
    <w:rsid w:val="009438F9"/>
    <w:rsid w:val="009439A3"/>
    <w:rsid w:val="00943A94"/>
    <w:rsid w:val="00943C90"/>
    <w:rsid w:val="00943EF7"/>
    <w:rsid w:val="00943F1C"/>
    <w:rsid w:val="00944064"/>
    <w:rsid w:val="0094417D"/>
    <w:rsid w:val="009443EE"/>
    <w:rsid w:val="00944488"/>
    <w:rsid w:val="009444DE"/>
    <w:rsid w:val="00944548"/>
    <w:rsid w:val="0094468C"/>
    <w:rsid w:val="009447EA"/>
    <w:rsid w:val="0094482E"/>
    <w:rsid w:val="00944923"/>
    <w:rsid w:val="00944969"/>
    <w:rsid w:val="00944A93"/>
    <w:rsid w:val="00944B99"/>
    <w:rsid w:val="00944CBE"/>
    <w:rsid w:val="00944CC8"/>
    <w:rsid w:val="00944D26"/>
    <w:rsid w:val="00944D92"/>
    <w:rsid w:val="00944F3E"/>
    <w:rsid w:val="00944FBF"/>
    <w:rsid w:val="00945064"/>
    <w:rsid w:val="009450A9"/>
    <w:rsid w:val="00945162"/>
    <w:rsid w:val="0094516C"/>
    <w:rsid w:val="00945287"/>
    <w:rsid w:val="00945304"/>
    <w:rsid w:val="009453DC"/>
    <w:rsid w:val="009453F0"/>
    <w:rsid w:val="00945650"/>
    <w:rsid w:val="00945656"/>
    <w:rsid w:val="00945867"/>
    <w:rsid w:val="00945B0A"/>
    <w:rsid w:val="00945B44"/>
    <w:rsid w:val="00945C0D"/>
    <w:rsid w:val="00945C2A"/>
    <w:rsid w:val="00945C39"/>
    <w:rsid w:val="00945EA6"/>
    <w:rsid w:val="00945F7A"/>
    <w:rsid w:val="00946054"/>
    <w:rsid w:val="009460F9"/>
    <w:rsid w:val="0094613C"/>
    <w:rsid w:val="009461C0"/>
    <w:rsid w:val="00946258"/>
    <w:rsid w:val="009462A7"/>
    <w:rsid w:val="009462C7"/>
    <w:rsid w:val="00946437"/>
    <w:rsid w:val="00946513"/>
    <w:rsid w:val="009465CB"/>
    <w:rsid w:val="009465CD"/>
    <w:rsid w:val="0094668C"/>
    <w:rsid w:val="009467DA"/>
    <w:rsid w:val="009467E9"/>
    <w:rsid w:val="00946B83"/>
    <w:rsid w:val="00946B9C"/>
    <w:rsid w:val="00946D51"/>
    <w:rsid w:val="00946DA4"/>
    <w:rsid w:val="0094710B"/>
    <w:rsid w:val="00947357"/>
    <w:rsid w:val="00947391"/>
    <w:rsid w:val="009473B1"/>
    <w:rsid w:val="0094758A"/>
    <w:rsid w:val="009477BC"/>
    <w:rsid w:val="00947825"/>
    <w:rsid w:val="009478B1"/>
    <w:rsid w:val="009479F5"/>
    <w:rsid w:val="00947A46"/>
    <w:rsid w:val="00947BD3"/>
    <w:rsid w:val="00947C3F"/>
    <w:rsid w:val="00947C5F"/>
    <w:rsid w:val="00947D03"/>
    <w:rsid w:val="00947D28"/>
    <w:rsid w:val="00947DA7"/>
    <w:rsid w:val="00947DE3"/>
    <w:rsid w:val="00947E28"/>
    <w:rsid w:val="00947F41"/>
    <w:rsid w:val="00947FF3"/>
    <w:rsid w:val="009500A0"/>
    <w:rsid w:val="00950119"/>
    <w:rsid w:val="00950168"/>
    <w:rsid w:val="0095024E"/>
    <w:rsid w:val="00950464"/>
    <w:rsid w:val="009504B7"/>
    <w:rsid w:val="0095075B"/>
    <w:rsid w:val="0095086B"/>
    <w:rsid w:val="009509F1"/>
    <w:rsid w:val="00950A08"/>
    <w:rsid w:val="00950A80"/>
    <w:rsid w:val="00950A8B"/>
    <w:rsid w:val="00950AF3"/>
    <w:rsid w:val="00950B10"/>
    <w:rsid w:val="00950B5F"/>
    <w:rsid w:val="00950B75"/>
    <w:rsid w:val="00950B8D"/>
    <w:rsid w:val="009510FE"/>
    <w:rsid w:val="0095112F"/>
    <w:rsid w:val="009511F0"/>
    <w:rsid w:val="0095142B"/>
    <w:rsid w:val="00951502"/>
    <w:rsid w:val="0095154E"/>
    <w:rsid w:val="009515DE"/>
    <w:rsid w:val="009516C3"/>
    <w:rsid w:val="00951823"/>
    <w:rsid w:val="009518AE"/>
    <w:rsid w:val="00951A89"/>
    <w:rsid w:val="00951AE2"/>
    <w:rsid w:val="00951BBF"/>
    <w:rsid w:val="0095201E"/>
    <w:rsid w:val="0095203F"/>
    <w:rsid w:val="009520E7"/>
    <w:rsid w:val="009522B4"/>
    <w:rsid w:val="009522D9"/>
    <w:rsid w:val="00952478"/>
    <w:rsid w:val="0095249D"/>
    <w:rsid w:val="009524B3"/>
    <w:rsid w:val="00952603"/>
    <w:rsid w:val="00952699"/>
    <w:rsid w:val="009527CB"/>
    <w:rsid w:val="00952821"/>
    <w:rsid w:val="009528B4"/>
    <w:rsid w:val="0095299F"/>
    <w:rsid w:val="009529CD"/>
    <w:rsid w:val="009529E1"/>
    <w:rsid w:val="009529F6"/>
    <w:rsid w:val="00952D5F"/>
    <w:rsid w:val="00952DDC"/>
    <w:rsid w:val="00952EBF"/>
    <w:rsid w:val="00952F5E"/>
    <w:rsid w:val="00952FB2"/>
    <w:rsid w:val="009530C6"/>
    <w:rsid w:val="00953128"/>
    <w:rsid w:val="009531CC"/>
    <w:rsid w:val="0095321C"/>
    <w:rsid w:val="00953226"/>
    <w:rsid w:val="00953366"/>
    <w:rsid w:val="00953487"/>
    <w:rsid w:val="009535DF"/>
    <w:rsid w:val="009535F2"/>
    <w:rsid w:val="00953742"/>
    <w:rsid w:val="0095396B"/>
    <w:rsid w:val="0095397B"/>
    <w:rsid w:val="00953C14"/>
    <w:rsid w:val="00953CC3"/>
    <w:rsid w:val="00953CC9"/>
    <w:rsid w:val="00953D0C"/>
    <w:rsid w:val="00953D22"/>
    <w:rsid w:val="00953D75"/>
    <w:rsid w:val="00954080"/>
    <w:rsid w:val="00954133"/>
    <w:rsid w:val="00954153"/>
    <w:rsid w:val="00954215"/>
    <w:rsid w:val="0095426E"/>
    <w:rsid w:val="0095439A"/>
    <w:rsid w:val="00954471"/>
    <w:rsid w:val="00954498"/>
    <w:rsid w:val="00954573"/>
    <w:rsid w:val="0095459F"/>
    <w:rsid w:val="009545EB"/>
    <w:rsid w:val="009546B2"/>
    <w:rsid w:val="0095478E"/>
    <w:rsid w:val="009547F8"/>
    <w:rsid w:val="0095487F"/>
    <w:rsid w:val="00954935"/>
    <w:rsid w:val="0095493F"/>
    <w:rsid w:val="00954A16"/>
    <w:rsid w:val="00954A51"/>
    <w:rsid w:val="00954AEB"/>
    <w:rsid w:val="00954B8D"/>
    <w:rsid w:val="00954BD8"/>
    <w:rsid w:val="00954D50"/>
    <w:rsid w:val="00954EA9"/>
    <w:rsid w:val="00954EED"/>
    <w:rsid w:val="0095500E"/>
    <w:rsid w:val="0095500F"/>
    <w:rsid w:val="009550E1"/>
    <w:rsid w:val="00955129"/>
    <w:rsid w:val="00955146"/>
    <w:rsid w:val="009553C9"/>
    <w:rsid w:val="00955554"/>
    <w:rsid w:val="00955762"/>
    <w:rsid w:val="009557D8"/>
    <w:rsid w:val="009557E7"/>
    <w:rsid w:val="0095581B"/>
    <w:rsid w:val="009558AE"/>
    <w:rsid w:val="009558B3"/>
    <w:rsid w:val="00955980"/>
    <w:rsid w:val="00955A0E"/>
    <w:rsid w:val="00955A38"/>
    <w:rsid w:val="00955AE7"/>
    <w:rsid w:val="00955B13"/>
    <w:rsid w:val="00955B27"/>
    <w:rsid w:val="00955D29"/>
    <w:rsid w:val="00955E45"/>
    <w:rsid w:val="00956044"/>
    <w:rsid w:val="0095609D"/>
    <w:rsid w:val="009560CB"/>
    <w:rsid w:val="00956267"/>
    <w:rsid w:val="009562C7"/>
    <w:rsid w:val="009562DB"/>
    <w:rsid w:val="0095650C"/>
    <w:rsid w:val="00956592"/>
    <w:rsid w:val="0095666A"/>
    <w:rsid w:val="009566AE"/>
    <w:rsid w:val="009567C4"/>
    <w:rsid w:val="00956850"/>
    <w:rsid w:val="009568E2"/>
    <w:rsid w:val="009569B3"/>
    <w:rsid w:val="00956A72"/>
    <w:rsid w:val="00956AE4"/>
    <w:rsid w:val="00956B51"/>
    <w:rsid w:val="00956BEC"/>
    <w:rsid w:val="00956C00"/>
    <w:rsid w:val="00956C2B"/>
    <w:rsid w:val="00956CBC"/>
    <w:rsid w:val="00956D7A"/>
    <w:rsid w:val="00956D7F"/>
    <w:rsid w:val="00956D9A"/>
    <w:rsid w:val="00956E93"/>
    <w:rsid w:val="00956F54"/>
    <w:rsid w:val="00956FD2"/>
    <w:rsid w:val="0095714A"/>
    <w:rsid w:val="00957303"/>
    <w:rsid w:val="00957529"/>
    <w:rsid w:val="0095773F"/>
    <w:rsid w:val="00957912"/>
    <w:rsid w:val="00957A2D"/>
    <w:rsid w:val="00957A38"/>
    <w:rsid w:val="00957BBF"/>
    <w:rsid w:val="00957C6B"/>
    <w:rsid w:val="00957DE3"/>
    <w:rsid w:val="00957E8D"/>
    <w:rsid w:val="00957EA9"/>
    <w:rsid w:val="00960000"/>
    <w:rsid w:val="00960138"/>
    <w:rsid w:val="00960235"/>
    <w:rsid w:val="009602A0"/>
    <w:rsid w:val="009602B8"/>
    <w:rsid w:val="009604A7"/>
    <w:rsid w:val="009604AD"/>
    <w:rsid w:val="009605D7"/>
    <w:rsid w:val="00960721"/>
    <w:rsid w:val="00960A5C"/>
    <w:rsid w:val="00960A78"/>
    <w:rsid w:val="00960A8A"/>
    <w:rsid w:val="00960CCD"/>
    <w:rsid w:val="00960E50"/>
    <w:rsid w:val="00960F39"/>
    <w:rsid w:val="00960FAE"/>
    <w:rsid w:val="00960FB0"/>
    <w:rsid w:val="009610A8"/>
    <w:rsid w:val="00961213"/>
    <w:rsid w:val="00961318"/>
    <w:rsid w:val="0096134B"/>
    <w:rsid w:val="009616FE"/>
    <w:rsid w:val="0096182C"/>
    <w:rsid w:val="00961847"/>
    <w:rsid w:val="00961890"/>
    <w:rsid w:val="0096190B"/>
    <w:rsid w:val="0096196B"/>
    <w:rsid w:val="009619B2"/>
    <w:rsid w:val="00961A5D"/>
    <w:rsid w:val="00961AF7"/>
    <w:rsid w:val="00961B8C"/>
    <w:rsid w:val="00961C52"/>
    <w:rsid w:val="00961C6A"/>
    <w:rsid w:val="00961D46"/>
    <w:rsid w:val="00961E0A"/>
    <w:rsid w:val="00961E91"/>
    <w:rsid w:val="00961EFE"/>
    <w:rsid w:val="00961F47"/>
    <w:rsid w:val="00961F55"/>
    <w:rsid w:val="00961F96"/>
    <w:rsid w:val="009621B0"/>
    <w:rsid w:val="009621E8"/>
    <w:rsid w:val="00962394"/>
    <w:rsid w:val="009623A9"/>
    <w:rsid w:val="009623FF"/>
    <w:rsid w:val="0096241B"/>
    <w:rsid w:val="009624EF"/>
    <w:rsid w:val="00962512"/>
    <w:rsid w:val="0096273F"/>
    <w:rsid w:val="00962784"/>
    <w:rsid w:val="009627CF"/>
    <w:rsid w:val="009628BB"/>
    <w:rsid w:val="009628EE"/>
    <w:rsid w:val="00962A64"/>
    <w:rsid w:val="00962ACF"/>
    <w:rsid w:val="00962AE3"/>
    <w:rsid w:val="00962B13"/>
    <w:rsid w:val="00962D8C"/>
    <w:rsid w:val="00962E30"/>
    <w:rsid w:val="00962E96"/>
    <w:rsid w:val="00962F04"/>
    <w:rsid w:val="00963087"/>
    <w:rsid w:val="00963236"/>
    <w:rsid w:val="009632BC"/>
    <w:rsid w:val="00963438"/>
    <w:rsid w:val="0096343B"/>
    <w:rsid w:val="009635BA"/>
    <w:rsid w:val="009635BC"/>
    <w:rsid w:val="00963760"/>
    <w:rsid w:val="009637C0"/>
    <w:rsid w:val="00963A4A"/>
    <w:rsid w:val="00963AC5"/>
    <w:rsid w:val="00963B26"/>
    <w:rsid w:val="00963CE3"/>
    <w:rsid w:val="00963D60"/>
    <w:rsid w:val="00963DBD"/>
    <w:rsid w:val="00963DD8"/>
    <w:rsid w:val="00963EDC"/>
    <w:rsid w:val="00963EE5"/>
    <w:rsid w:val="009641AE"/>
    <w:rsid w:val="009643F3"/>
    <w:rsid w:val="00964448"/>
    <w:rsid w:val="0096455F"/>
    <w:rsid w:val="009645D4"/>
    <w:rsid w:val="00964660"/>
    <w:rsid w:val="009646CB"/>
    <w:rsid w:val="0096488D"/>
    <w:rsid w:val="009648A8"/>
    <w:rsid w:val="00964934"/>
    <w:rsid w:val="00964942"/>
    <w:rsid w:val="0096499E"/>
    <w:rsid w:val="00964A47"/>
    <w:rsid w:val="00964A6D"/>
    <w:rsid w:val="00964B9D"/>
    <w:rsid w:val="00964BEC"/>
    <w:rsid w:val="00964C2C"/>
    <w:rsid w:val="00964C74"/>
    <w:rsid w:val="00964D1F"/>
    <w:rsid w:val="00964EC8"/>
    <w:rsid w:val="00965054"/>
    <w:rsid w:val="00965063"/>
    <w:rsid w:val="009650B6"/>
    <w:rsid w:val="0096511A"/>
    <w:rsid w:val="00965263"/>
    <w:rsid w:val="00965361"/>
    <w:rsid w:val="009653CB"/>
    <w:rsid w:val="00965403"/>
    <w:rsid w:val="0096549D"/>
    <w:rsid w:val="00965536"/>
    <w:rsid w:val="0096578C"/>
    <w:rsid w:val="00965BDD"/>
    <w:rsid w:val="00965BE4"/>
    <w:rsid w:val="00965C82"/>
    <w:rsid w:val="00965DF3"/>
    <w:rsid w:val="00965E94"/>
    <w:rsid w:val="00965F88"/>
    <w:rsid w:val="00965FB6"/>
    <w:rsid w:val="00965FBA"/>
    <w:rsid w:val="0096613D"/>
    <w:rsid w:val="00966140"/>
    <w:rsid w:val="00966157"/>
    <w:rsid w:val="00966354"/>
    <w:rsid w:val="009664AE"/>
    <w:rsid w:val="00966A7C"/>
    <w:rsid w:val="00966B17"/>
    <w:rsid w:val="00966B48"/>
    <w:rsid w:val="00966B6A"/>
    <w:rsid w:val="00966B86"/>
    <w:rsid w:val="00966CED"/>
    <w:rsid w:val="00966CEE"/>
    <w:rsid w:val="00966E04"/>
    <w:rsid w:val="00966E3A"/>
    <w:rsid w:val="00966EB0"/>
    <w:rsid w:val="00966EF8"/>
    <w:rsid w:val="00966F69"/>
    <w:rsid w:val="00966FAF"/>
    <w:rsid w:val="00966FD8"/>
    <w:rsid w:val="00966FF7"/>
    <w:rsid w:val="009670A3"/>
    <w:rsid w:val="009670A4"/>
    <w:rsid w:val="0096721D"/>
    <w:rsid w:val="00967380"/>
    <w:rsid w:val="00967452"/>
    <w:rsid w:val="009675E1"/>
    <w:rsid w:val="0096762B"/>
    <w:rsid w:val="009676F6"/>
    <w:rsid w:val="00967885"/>
    <w:rsid w:val="00967991"/>
    <w:rsid w:val="00967A8B"/>
    <w:rsid w:val="00967B7E"/>
    <w:rsid w:val="00967C91"/>
    <w:rsid w:val="00967CAE"/>
    <w:rsid w:val="00967CE9"/>
    <w:rsid w:val="00967E9A"/>
    <w:rsid w:val="00967F0A"/>
    <w:rsid w:val="00967F10"/>
    <w:rsid w:val="00970193"/>
    <w:rsid w:val="009702E0"/>
    <w:rsid w:val="009703DE"/>
    <w:rsid w:val="00970461"/>
    <w:rsid w:val="009704D2"/>
    <w:rsid w:val="009706B0"/>
    <w:rsid w:val="009708A6"/>
    <w:rsid w:val="009708CB"/>
    <w:rsid w:val="00970FEF"/>
    <w:rsid w:val="00971087"/>
    <w:rsid w:val="0097149A"/>
    <w:rsid w:val="009715B5"/>
    <w:rsid w:val="009715EC"/>
    <w:rsid w:val="0097160B"/>
    <w:rsid w:val="0097161C"/>
    <w:rsid w:val="00971644"/>
    <w:rsid w:val="0097176C"/>
    <w:rsid w:val="009717EF"/>
    <w:rsid w:val="00971927"/>
    <w:rsid w:val="00971A31"/>
    <w:rsid w:val="00971A3C"/>
    <w:rsid w:val="00971C55"/>
    <w:rsid w:val="00971E06"/>
    <w:rsid w:val="00971E37"/>
    <w:rsid w:val="00971EF5"/>
    <w:rsid w:val="00971FA6"/>
    <w:rsid w:val="00971FEE"/>
    <w:rsid w:val="009722A2"/>
    <w:rsid w:val="009723B8"/>
    <w:rsid w:val="00972505"/>
    <w:rsid w:val="00972617"/>
    <w:rsid w:val="00972967"/>
    <w:rsid w:val="009729D4"/>
    <w:rsid w:val="00972EB7"/>
    <w:rsid w:val="00972EC7"/>
    <w:rsid w:val="00972ED2"/>
    <w:rsid w:val="00972F01"/>
    <w:rsid w:val="0097318E"/>
    <w:rsid w:val="0097326E"/>
    <w:rsid w:val="009735E7"/>
    <w:rsid w:val="009735F3"/>
    <w:rsid w:val="00973707"/>
    <w:rsid w:val="0097377A"/>
    <w:rsid w:val="009738BC"/>
    <w:rsid w:val="009738CA"/>
    <w:rsid w:val="009739A2"/>
    <w:rsid w:val="00973C19"/>
    <w:rsid w:val="00973C57"/>
    <w:rsid w:val="00973E60"/>
    <w:rsid w:val="00973E88"/>
    <w:rsid w:val="0097400E"/>
    <w:rsid w:val="00974029"/>
    <w:rsid w:val="00974253"/>
    <w:rsid w:val="009742CD"/>
    <w:rsid w:val="0097432A"/>
    <w:rsid w:val="00974351"/>
    <w:rsid w:val="009745CD"/>
    <w:rsid w:val="009746DD"/>
    <w:rsid w:val="009746F7"/>
    <w:rsid w:val="0097476F"/>
    <w:rsid w:val="00974880"/>
    <w:rsid w:val="00974A1C"/>
    <w:rsid w:val="00974A45"/>
    <w:rsid w:val="00974C46"/>
    <w:rsid w:val="00974DD1"/>
    <w:rsid w:val="00974E4C"/>
    <w:rsid w:val="00974F5A"/>
    <w:rsid w:val="00974FAC"/>
    <w:rsid w:val="0097512E"/>
    <w:rsid w:val="009751C2"/>
    <w:rsid w:val="00975206"/>
    <w:rsid w:val="0097538B"/>
    <w:rsid w:val="0097538E"/>
    <w:rsid w:val="0097550D"/>
    <w:rsid w:val="00975526"/>
    <w:rsid w:val="00975534"/>
    <w:rsid w:val="009755BB"/>
    <w:rsid w:val="00975635"/>
    <w:rsid w:val="0097576F"/>
    <w:rsid w:val="0097579A"/>
    <w:rsid w:val="0097595E"/>
    <w:rsid w:val="00975A0B"/>
    <w:rsid w:val="00975AC5"/>
    <w:rsid w:val="00975AE1"/>
    <w:rsid w:val="00975C4D"/>
    <w:rsid w:val="00975DF7"/>
    <w:rsid w:val="00975E00"/>
    <w:rsid w:val="00975E7E"/>
    <w:rsid w:val="00975EBA"/>
    <w:rsid w:val="0097609E"/>
    <w:rsid w:val="009760EB"/>
    <w:rsid w:val="00976319"/>
    <w:rsid w:val="00976480"/>
    <w:rsid w:val="0097655B"/>
    <w:rsid w:val="009765D2"/>
    <w:rsid w:val="009768F9"/>
    <w:rsid w:val="0097693D"/>
    <w:rsid w:val="0097695D"/>
    <w:rsid w:val="00976A78"/>
    <w:rsid w:val="00976AA5"/>
    <w:rsid w:val="00976B03"/>
    <w:rsid w:val="00976BA8"/>
    <w:rsid w:val="00976BF3"/>
    <w:rsid w:val="00976C70"/>
    <w:rsid w:val="00976D49"/>
    <w:rsid w:val="009770B3"/>
    <w:rsid w:val="009770D1"/>
    <w:rsid w:val="00977171"/>
    <w:rsid w:val="0097728C"/>
    <w:rsid w:val="009772C4"/>
    <w:rsid w:val="009772FD"/>
    <w:rsid w:val="00977518"/>
    <w:rsid w:val="00977763"/>
    <w:rsid w:val="0097792B"/>
    <w:rsid w:val="00977A48"/>
    <w:rsid w:val="00977B30"/>
    <w:rsid w:val="00977B31"/>
    <w:rsid w:val="00977B7A"/>
    <w:rsid w:val="00977BAB"/>
    <w:rsid w:val="00977C1E"/>
    <w:rsid w:val="00977D78"/>
    <w:rsid w:val="00977E2E"/>
    <w:rsid w:val="00977F6E"/>
    <w:rsid w:val="00977F7C"/>
    <w:rsid w:val="009800E0"/>
    <w:rsid w:val="009801A7"/>
    <w:rsid w:val="00980298"/>
    <w:rsid w:val="009802CA"/>
    <w:rsid w:val="00980392"/>
    <w:rsid w:val="0098039F"/>
    <w:rsid w:val="009803FB"/>
    <w:rsid w:val="00980440"/>
    <w:rsid w:val="00980541"/>
    <w:rsid w:val="009806E8"/>
    <w:rsid w:val="00980759"/>
    <w:rsid w:val="0098093F"/>
    <w:rsid w:val="0098095F"/>
    <w:rsid w:val="00980A30"/>
    <w:rsid w:val="00980B76"/>
    <w:rsid w:val="00980C91"/>
    <w:rsid w:val="00980D19"/>
    <w:rsid w:val="00980D5F"/>
    <w:rsid w:val="00980D95"/>
    <w:rsid w:val="00980DBE"/>
    <w:rsid w:val="00980E07"/>
    <w:rsid w:val="00980E2D"/>
    <w:rsid w:val="00980E76"/>
    <w:rsid w:val="00980F0C"/>
    <w:rsid w:val="00980F60"/>
    <w:rsid w:val="009810BD"/>
    <w:rsid w:val="00981153"/>
    <w:rsid w:val="0098119A"/>
    <w:rsid w:val="009811BA"/>
    <w:rsid w:val="009814CC"/>
    <w:rsid w:val="009815D4"/>
    <w:rsid w:val="009815E5"/>
    <w:rsid w:val="0098172D"/>
    <w:rsid w:val="009817B0"/>
    <w:rsid w:val="009817BE"/>
    <w:rsid w:val="00981803"/>
    <w:rsid w:val="00981804"/>
    <w:rsid w:val="00981A45"/>
    <w:rsid w:val="00981B7C"/>
    <w:rsid w:val="00981B8A"/>
    <w:rsid w:val="00981BE3"/>
    <w:rsid w:val="00981CC8"/>
    <w:rsid w:val="00981D57"/>
    <w:rsid w:val="00981D9D"/>
    <w:rsid w:val="00981E74"/>
    <w:rsid w:val="00981EE8"/>
    <w:rsid w:val="00981FA4"/>
    <w:rsid w:val="00982106"/>
    <w:rsid w:val="00982143"/>
    <w:rsid w:val="009821CE"/>
    <w:rsid w:val="0098226E"/>
    <w:rsid w:val="0098232B"/>
    <w:rsid w:val="0098245E"/>
    <w:rsid w:val="0098246F"/>
    <w:rsid w:val="00982576"/>
    <w:rsid w:val="009825BE"/>
    <w:rsid w:val="009825DC"/>
    <w:rsid w:val="009826AC"/>
    <w:rsid w:val="009826E2"/>
    <w:rsid w:val="0098270E"/>
    <w:rsid w:val="0098273E"/>
    <w:rsid w:val="009827A0"/>
    <w:rsid w:val="00982897"/>
    <w:rsid w:val="009829B1"/>
    <w:rsid w:val="00982A86"/>
    <w:rsid w:val="00982AA1"/>
    <w:rsid w:val="00982B4C"/>
    <w:rsid w:val="00982BDA"/>
    <w:rsid w:val="00982C0C"/>
    <w:rsid w:val="00982C5B"/>
    <w:rsid w:val="00982D44"/>
    <w:rsid w:val="00982DC6"/>
    <w:rsid w:val="00982EFE"/>
    <w:rsid w:val="00982F00"/>
    <w:rsid w:val="00982F4D"/>
    <w:rsid w:val="0098316E"/>
    <w:rsid w:val="0098317B"/>
    <w:rsid w:val="00983204"/>
    <w:rsid w:val="0098330E"/>
    <w:rsid w:val="009833E5"/>
    <w:rsid w:val="009834A0"/>
    <w:rsid w:val="009835E9"/>
    <w:rsid w:val="009836EB"/>
    <w:rsid w:val="00983968"/>
    <w:rsid w:val="009839F3"/>
    <w:rsid w:val="00983BBC"/>
    <w:rsid w:val="00983BCD"/>
    <w:rsid w:val="00983CA1"/>
    <w:rsid w:val="00983D02"/>
    <w:rsid w:val="00983D1A"/>
    <w:rsid w:val="00983DA2"/>
    <w:rsid w:val="0098428A"/>
    <w:rsid w:val="009842BD"/>
    <w:rsid w:val="00984335"/>
    <w:rsid w:val="00984354"/>
    <w:rsid w:val="00984372"/>
    <w:rsid w:val="009844A5"/>
    <w:rsid w:val="009844E3"/>
    <w:rsid w:val="0098460E"/>
    <w:rsid w:val="0098470A"/>
    <w:rsid w:val="00984725"/>
    <w:rsid w:val="00984982"/>
    <w:rsid w:val="00984A5A"/>
    <w:rsid w:val="00984B46"/>
    <w:rsid w:val="00984C17"/>
    <w:rsid w:val="00984D1C"/>
    <w:rsid w:val="00984D45"/>
    <w:rsid w:val="00984D88"/>
    <w:rsid w:val="00984E81"/>
    <w:rsid w:val="00984E93"/>
    <w:rsid w:val="00984F3B"/>
    <w:rsid w:val="00984FC8"/>
    <w:rsid w:val="00985327"/>
    <w:rsid w:val="009853AE"/>
    <w:rsid w:val="00985605"/>
    <w:rsid w:val="0098565F"/>
    <w:rsid w:val="009857C5"/>
    <w:rsid w:val="00985815"/>
    <w:rsid w:val="0098583C"/>
    <w:rsid w:val="009859D2"/>
    <w:rsid w:val="00985CB9"/>
    <w:rsid w:val="00985CE7"/>
    <w:rsid w:val="00985CF9"/>
    <w:rsid w:val="00985ED5"/>
    <w:rsid w:val="00985EEF"/>
    <w:rsid w:val="00986016"/>
    <w:rsid w:val="0098603D"/>
    <w:rsid w:val="009860B9"/>
    <w:rsid w:val="0098638C"/>
    <w:rsid w:val="009863BF"/>
    <w:rsid w:val="009863F5"/>
    <w:rsid w:val="00986477"/>
    <w:rsid w:val="00986520"/>
    <w:rsid w:val="009865EC"/>
    <w:rsid w:val="00986A3D"/>
    <w:rsid w:val="00986BEC"/>
    <w:rsid w:val="00986C02"/>
    <w:rsid w:val="00986CD0"/>
    <w:rsid w:val="00986CF0"/>
    <w:rsid w:val="00986CF8"/>
    <w:rsid w:val="00986D5D"/>
    <w:rsid w:val="00986E9D"/>
    <w:rsid w:val="0098707A"/>
    <w:rsid w:val="009870DE"/>
    <w:rsid w:val="009871A5"/>
    <w:rsid w:val="00987241"/>
    <w:rsid w:val="00987296"/>
    <w:rsid w:val="00987340"/>
    <w:rsid w:val="0098734D"/>
    <w:rsid w:val="009873BB"/>
    <w:rsid w:val="009873E7"/>
    <w:rsid w:val="00987451"/>
    <w:rsid w:val="009874BE"/>
    <w:rsid w:val="00987544"/>
    <w:rsid w:val="0098755A"/>
    <w:rsid w:val="0098766B"/>
    <w:rsid w:val="00987723"/>
    <w:rsid w:val="009877A5"/>
    <w:rsid w:val="009879C2"/>
    <w:rsid w:val="009879ED"/>
    <w:rsid w:val="00987BA1"/>
    <w:rsid w:val="00987BD9"/>
    <w:rsid w:val="00987BF5"/>
    <w:rsid w:val="00987C84"/>
    <w:rsid w:val="00987F23"/>
    <w:rsid w:val="00990258"/>
    <w:rsid w:val="009902D9"/>
    <w:rsid w:val="009903CD"/>
    <w:rsid w:val="0099044A"/>
    <w:rsid w:val="0099061F"/>
    <w:rsid w:val="009906E3"/>
    <w:rsid w:val="0099073E"/>
    <w:rsid w:val="009907BB"/>
    <w:rsid w:val="00990A53"/>
    <w:rsid w:val="00990CA7"/>
    <w:rsid w:val="00990CF5"/>
    <w:rsid w:val="00990CFB"/>
    <w:rsid w:val="00990ED7"/>
    <w:rsid w:val="00990F7D"/>
    <w:rsid w:val="0099104D"/>
    <w:rsid w:val="0099135C"/>
    <w:rsid w:val="0099154A"/>
    <w:rsid w:val="00991562"/>
    <w:rsid w:val="009915D0"/>
    <w:rsid w:val="00991892"/>
    <w:rsid w:val="00991997"/>
    <w:rsid w:val="00991A86"/>
    <w:rsid w:val="00991B0F"/>
    <w:rsid w:val="00991B53"/>
    <w:rsid w:val="00991BB3"/>
    <w:rsid w:val="00991C01"/>
    <w:rsid w:val="00991CD0"/>
    <w:rsid w:val="00991DDE"/>
    <w:rsid w:val="00991E1E"/>
    <w:rsid w:val="00992031"/>
    <w:rsid w:val="00992064"/>
    <w:rsid w:val="00992216"/>
    <w:rsid w:val="009924AA"/>
    <w:rsid w:val="009924D4"/>
    <w:rsid w:val="009925CB"/>
    <w:rsid w:val="009928BD"/>
    <w:rsid w:val="0099294E"/>
    <w:rsid w:val="00992A17"/>
    <w:rsid w:val="00992B7D"/>
    <w:rsid w:val="00992D08"/>
    <w:rsid w:val="00992DB9"/>
    <w:rsid w:val="00992EAB"/>
    <w:rsid w:val="00992ED1"/>
    <w:rsid w:val="00992F71"/>
    <w:rsid w:val="00993042"/>
    <w:rsid w:val="00993065"/>
    <w:rsid w:val="0099313D"/>
    <w:rsid w:val="00993375"/>
    <w:rsid w:val="009933BC"/>
    <w:rsid w:val="00993440"/>
    <w:rsid w:val="009934B6"/>
    <w:rsid w:val="009935BC"/>
    <w:rsid w:val="009937AE"/>
    <w:rsid w:val="009937BB"/>
    <w:rsid w:val="009937C2"/>
    <w:rsid w:val="009938B2"/>
    <w:rsid w:val="00993B06"/>
    <w:rsid w:val="00993B53"/>
    <w:rsid w:val="00993C31"/>
    <w:rsid w:val="00993CC4"/>
    <w:rsid w:val="00993E1C"/>
    <w:rsid w:val="00993E60"/>
    <w:rsid w:val="00993EF4"/>
    <w:rsid w:val="0099401C"/>
    <w:rsid w:val="00994026"/>
    <w:rsid w:val="00994141"/>
    <w:rsid w:val="0099426A"/>
    <w:rsid w:val="009942D6"/>
    <w:rsid w:val="009943EE"/>
    <w:rsid w:val="0099440E"/>
    <w:rsid w:val="0099449F"/>
    <w:rsid w:val="0099455C"/>
    <w:rsid w:val="009945C3"/>
    <w:rsid w:val="009947D2"/>
    <w:rsid w:val="0099480E"/>
    <w:rsid w:val="00994827"/>
    <w:rsid w:val="009949B8"/>
    <w:rsid w:val="00994ACA"/>
    <w:rsid w:val="00994BA0"/>
    <w:rsid w:val="00994CBA"/>
    <w:rsid w:val="00994D33"/>
    <w:rsid w:val="00994F91"/>
    <w:rsid w:val="00994FB8"/>
    <w:rsid w:val="00995015"/>
    <w:rsid w:val="0099504B"/>
    <w:rsid w:val="00995159"/>
    <w:rsid w:val="00995168"/>
    <w:rsid w:val="00995215"/>
    <w:rsid w:val="00995327"/>
    <w:rsid w:val="00995677"/>
    <w:rsid w:val="00995696"/>
    <w:rsid w:val="0099570F"/>
    <w:rsid w:val="009957B7"/>
    <w:rsid w:val="009958C6"/>
    <w:rsid w:val="0099590C"/>
    <w:rsid w:val="00995ACE"/>
    <w:rsid w:val="00995ADC"/>
    <w:rsid w:val="00995FA4"/>
    <w:rsid w:val="00996201"/>
    <w:rsid w:val="00996205"/>
    <w:rsid w:val="0099622F"/>
    <w:rsid w:val="0099628C"/>
    <w:rsid w:val="0099635B"/>
    <w:rsid w:val="009963C5"/>
    <w:rsid w:val="009964D0"/>
    <w:rsid w:val="00996507"/>
    <w:rsid w:val="009965E2"/>
    <w:rsid w:val="00996657"/>
    <w:rsid w:val="00996696"/>
    <w:rsid w:val="009967B2"/>
    <w:rsid w:val="00996853"/>
    <w:rsid w:val="009968C4"/>
    <w:rsid w:val="0099698A"/>
    <w:rsid w:val="009969FD"/>
    <w:rsid w:val="00996B61"/>
    <w:rsid w:val="00996C04"/>
    <w:rsid w:val="00996D7E"/>
    <w:rsid w:val="00996DBC"/>
    <w:rsid w:val="00996E7C"/>
    <w:rsid w:val="00996E85"/>
    <w:rsid w:val="009970E0"/>
    <w:rsid w:val="00997121"/>
    <w:rsid w:val="009971BA"/>
    <w:rsid w:val="0099732D"/>
    <w:rsid w:val="00997455"/>
    <w:rsid w:val="009974F0"/>
    <w:rsid w:val="0099752C"/>
    <w:rsid w:val="009975EB"/>
    <w:rsid w:val="009976B5"/>
    <w:rsid w:val="009976C1"/>
    <w:rsid w:val="00997809"/>
    <w:rsid w:val="00997922"/>
    <w:rsid w:val="00997930"/>
    <w:rsid w:val="00997CAD"/>
    <w:rsid w:val="00997E56"/>
    <w:rsid w:val="009A015F"/>
    <w:rsid w:val="009A03A9"/>
    <w:rsid w:val="009A048E"/>
    <w:rsid w:val="009A0538"/>
    <w:rsid w:val="009A0655"/>
    <w:rsid w:val="009A0929"/>
    <w:rsid w:val="009A09DA"/>
    <w:rsid w:val="009A0B3D"/>
    <w:rsid w:val="009A0B68"/>
    <w:rsid w:val="009A0B95"/>
    <w:rsid w:val="009A0CA6"/>
    <w:rsid w:val="009A0E70"/>
    <w:rsid w:val="009A0E98"/>
    <w:rsid w:val="009A102E"/>
    <w:rsid w:val="009A108E"/>
    <w:rsid w:val="009A1203"/>
    <w:rsid w:val="009A126E"/>
    <w:rsid w:val="009A13EA"/>
    <w:rsid w:val="009A16DF"/>
    <w:rsid w:val="009A1738"/>
    <w:rsid w:val="009A1788"/>
    <w:rsid w:val="009A17D3"/>
    <w:rsid w:val="009A180B"/>
    <w:rsid w:val="009A184E"/>
    <w:rsid w:val="009A18AB"/>
    <w:rsid w:val="009A1951"/>
    <w:rsid w:val="009A1A98"/>
    <w:rsid w:val="009A1A9C"/>
    <w:rsid w:val="009A1B22"/>
    <w:rsid w:val="009A1B85"/>
    <w:rsid w:val="009A1BF6"/>
    <w:rsid w:val="009A1C83"/>
    <w:rsid w:val="009A1E2D"/>
    <w:rsid w:val="009A1ED1"/>
    <w:rsid w:val="009A20F1"/>
    <w:rsid w:val="009A234C"/>
    <w:rsid w:val="009A2387"/>
    <w:rsid w:val="009A24F3"/>
    <w:rsid w:val="009A277C"/>
    <w:rsid w:val="009A2785"/>
    <w:rsid w:val="009A28E2"/>
    <w:rsid w:val="009A2A1E"/>
    <w:rsid w:val="009A2BE2"/>
    <w:rsid w:val="009A2C24"/>
    <w:rsid w:val="009A2C3D"/>
    <w:rsid w:val="009A2CA5"/>
    <w:rsid w:val="009A2CD8"/>
    <w:rsid w:val="009A2D51"/>
    <w:rsid w:val="009A2DC3"/>
    <w:rsid w:val="009A2E44"/>
    <w:rsid w:val="009A2F73"/>
    <w:rsid w:val="009A2FEB"/>
    <w:rsid w:val="009A313D"/>
    <w:rsid w:val="009A3257"/>
    <w:rsid w:val="009A3290"/>
    <w:rsid w:val="009A32FF"/>
    <w:rsid w:val="009A343D"/>
    <w:rsid w:val="009A35FE"/>
    <w:rsid w:val="009A3623"/>
    <w:rsid w:val="009A366F"/>
    <w:rsid w:val="009A36F7"/>
    <w:rsid w:val="009A3733"/>
    <w:rsid w:val="009A3774"/>
    <w:rsid w:val="009A379D"/>
    <w:rsid w:val="009A389F"/>
    <w:rsid w:val="009A3965"/>
    <w:rsid w:val="009A3A42"/>
    <w:rsid w:val="009A3AD9"/>
    <w:rsid w:val="009A3BAA"/>
    <w:rsid w:val="009A3D09"/>
    <w:rsid w:val="009A4217"/>
    <w:rsid w:val="009A4436"/>
    <w:rsid w:val="009A47FA"/>
    <w:rsid w:val="009A485E"/>
    <w:rsid w:val="009A4B62"/>
    <w:rsid w:val="009A4CE5"/>
    <w:rsid w:val="009A4D4B"/>
    <w:rsid w:val="009A4E05"/>
    <w:rsid w:val="009A4FC5"/>
    <w:rsid w:val="009A50A5"/>
    <w:rsid w:val="009A50FA"/>
    <w:rsid w:val="009A518A"/>
    <w:rsid w:val="009A51C0"/>
    <w:rsid w:val="009A51FE"/>
    <w:rsid w:val="009A5383"/>
    <w:rsid w:val="009A5561"/>
    <w:rsid w:val="009A5751"/>
    <w:rsid w:val="009A597D"/>
    <w:rsid w:val="009A59C3"/>
    <w:rsid w:val="009A5A03"/>
    <w:rsid w:val="009A5EFA"/>
    <w:rsid w:val="009A6037"/>
    <w:rsid w:val="009A6064"/>
    <w:rsid w:val="009A60C7"/>
    <w:rsid w:val="009A60F9"/>
    <w:rsid w:val="009A60FE"/>
    <w:rsid w:val="009A6332"/>
    <w:rsid w:val="009A63F6"/>
    <w:rsid w:val="009A6440"/>
    <w:rsid w:val="009A6510"/>
    <w:rsid w:val="009A6552"/>
    <w:rsid w:val="009A658F"/>
    <w:rsid w:val="009A672D"/>
    <w:rsid w:val="009A6766"/>
    <w:rsid w:val="009A67B6"/>
    <w:rsid w:val="009A67D0"/>
    <w:rsid w:val="009A68FF"/>
    <w:rsid w:val="009A6955"/>
    <w:rsid w:val="009A69E9"/>
    <w:rsid w:val="009A6A92"/>
    <w:rsid w:val="009A6C26"/>
    <w:rsid w:val="009A6EB9"/>
    <w:rsid w:val="009A7001"/>
    <w:rsid w:val="009A7185"/>
    <w:rsid w:val="009A729D"/>
    <w:rsid w:val="009A75FC"/>
    <w:rsid w:val="009A76C5"/>
    <w:rsid w:val="009A76D4"/>
    <w:rsid w:val="009A7760"/>
    <w:rsid w:val="009A77C1"/>
    <w:rsid w:val="009A78F6"/>
    <w:rsid w:val="009A7925"/>
    <w:rsid w:val="009A7A6E"/>
    <w:rsid w:val="009A7AA4"/>
    <w:rsid w:val="009A7BEB"/>
    <w:rsid w:val="009A7C21"/>
    <w:rsid w:val="009A7D09"/>
    <w:rsid w:val="009A7E88"/>
    <w:rsid w:val="009A7EFB"/>
    <w:rsid w:val="009A7FC3"/>
    <w:rsid w:val="009B0025"/>
    <w:rsid w:val="009B0204"/>
    <w:rsid w:val="009B02C1"/>
    <w:rsid w:val="009B039B"/>
    <w:rsid w:val="009B0443"/>
    <w:rsid w:val="009B0561"/>
    <w:rsid w:val="009B0685"/>
    <w:rsid w:val="009B0784"/>
    <w:rsid w:val="009B07CA"/>
    <w:rsid w:val="009B088F"/>
    <w:rsid w:val="009B08B2"/>
    <w:rsid w:val="009B0B58"/>
    <w:rsid w:val="009B0C0C"/>
    <w:rsid w:val="009B0C55"/>
    <w:rsid w:val="009B0C9D"/>
    <w:rsid w:val="009B0D2A"/>
    <w:rsid w:val="009B0DEF"/>
    <w:rsid w:val="009B0E31"/>
    <w:rsid w:val="009B0F59"/>
    <w:rsid w:val="009B0FDE"/>
    <w:rsid w:val="009B14BF"/>
    <w:rsid w:val="009B1660"/>
    <w:rsid w:val="009B16E8"/>
    <w:rsid w:val="009B16FB"/>
    <w:rsid w:val="009B186A"/>
    <w:rsid w:val="009B1887"/>
    <w:rsid w:val="009B199D"/>
    <w:rsid w:val="009B1BB4"/>
    <w:rsid w:val="009B1BD8"/>
    <w:rsid w:val="009B1E01"/>
    <w:rsid w:val="009B1EA4"/>
    <w:rsid w:val="009B1EC0"/>
    <w:rsid w:val="009B1ED4"/>
    <w:rsid w:val="009B1F42"/>
    <w:rsid w:val="009B1F7C"/>
    <w:rsid w:val="009B1F8E"/>
    <w:rsid w:val="009B2103"/>
    <w:rsid w:val="009B2243"/>
    <w:rsid w:val="009B2249"/>
    <w:rsid w:val="009B230C"/>
    <w:rsid w:val="009B237C"/>
    <w:rsid w:val="009B2387"/>
    <w:rsid w:val="009B23E5"/>
    <w:rsid w:val="009B25F5"/>
    <w:rsid w:val="009B262E"/>
    <w:rsid w:val="009B2710"/>
    <w:rsid w:val="009B274E"/>
    <w:rsid w:val="009B279E"/>
    <w:rsid w:val="009B286D"/>
    <w:rsid w:val="009B28A1"/>
    <w:rsid w:val="009B2977"/>
    <w:rsid w:val="009B2B76"/>
    <w:rsid w:val="009B2CAD"/>
    <w:rsid w:val="009B2CB7"/>
    <w:rsid w:val="009B2D1F"/>
    <w:rsid w:val="009B2D65"/>
    <w:rsid w:val="009B2F00"/>
    <w:rsid w:val="009B2F7D"/>
    <w:rsid w:val="009B2FA7"/>
    <w:rsid w:val="009B30AF"/>
    <w:rsid w:val="009B3247"/>
    <w:rsid w:val="009B3258"/>
    <w:rsid w:val="009B3321"/>
    <w:rsid w:val="009B33D4"/>
    <w:rsid w:val="009B3401"/>
    <w:rsid w:val="009B3642"/>
    <w:rsid w:val="009B36BB"/>
    <w:rsid w:val="009B3894"/>
    <w:rsid w:val="009B3B37"/>
    <w:rsid w:val="009B3C6E"/>
    <w:rsid w:val="009B3D5F"/>
    <w:rsid w:val="009B3DD3"/>
    <w:rsid w:val="009B3FCD"/>
    <w:rsid w:val="009B3FE8"/>
    <w:rsid w:val="009B40BB"/>
    <w:rsid w:val="009B40D3"/>
    <w:rsid w:val="009B41C8"/>
    <w:rsid w:val="009B41F5"/>
    <w:rsid w:val="009B4223"/>
    <w:rsid w:val="009B4548"/>
    <w:rsid w:val="009B45F9"/>
    <w:rsid w:val="009B474E"/>
    <w:rsid w:val="009B47B3"/>
    <w:rsid w:val="009B484E"/>
    <w:rsid w:val="009B48B6"/>
    <w:rsid w:val="009B4937"/>
    <w:rsid w:val="009B49E8"/>
    <w:rsid w:val="009B4A32"/>
    <w:rsid w:val="009B4ACC"/>
    <w:rsid w:val="009B4B61"/>
    <w:rsid w:val="009B4BCF"/>
    <w:rsid w:val="009B4C3F"/>
    <w:rsid w:val="009B4C9A"/>
    <w:rsid w:val="009B4DD4"/>
    <w:rsid w:val="009B4E3F"/>
    <w:rsid w:val="009B51BF"/>
    <w:rsid w:val="009B52E9"/>
    <w:rsid w:val="009B5317"/>
    <w:rsid w:val="009B53FF"/>
    <w:rsid w:val="009B542F"/>
    <w:rsid w:val="009B5550"/>
    <w:rsid w:val="009B5564"/>
    <w:rsid w:val="009B56F1"/>
    <w:rsid w:val="009B575D"/>
    <w:rsid w:val="009B57D7"/>
    <w:rsid w:val="009B5802"/>
    <w:rsid w:val="009B5937"/>
    <w:rsid w:val="009B598E"/>
    <w:rsid w:val="009B5999"/>
    <w:rsid w:val="009B5A03"/>
    <w:rsid w:val="009B5A1D"/>
    <w:rsid w:val="009B5A42"/>
    <w:rsid w:val="009B5AC5"/>
    <w:rsid w:val="009B5CB0"/>
    <w:rsid w:val="009B5E07"/>
    <w:rsid w:val="009B60A2"/>
    <w:rsid w:val="009B623A"/>
    <w:rsid w:val="009B63DC"/>
    <w:rsid w:val="009B640E"/>
    <w:rsid w:val="009B6507"/>
    <w:rsid w:val="009B670F"/>
    <w:rsid w:val="009B6757"/>
    <w:rsid w:val="009B695B"/>
    <w:rsid w:val="009B69A0"/>
    <w:rsid w:val="009B6AEF"/>
    <w:rsid w:val="009B6D19"/>
    <w:rsid w:val="009B6D28"/>
    <w:rsid w:val="009B6E42"/>
    <w:rsid w:val="009B6E8A"/>
    <w:rsid w:val="009B7074"/>
    <w:rsid w:val="009B70AE"/>
    <w:rsid w:val="009B70F6"/>
    <w:rsid w:val="009B728A"/>
    <w:rsid w:val="009B72AC"/>
    <w:rsid w:val="009B72DC"/>
    <w:rsid w:val="009B7396"/>
    <w:rsid w:val="009B745C"/>
    <w:rsid w:val="009B7488"/>
    <w:rsid w:val="009B74D6"/>
    <w:rsid w:val="009B752C"/>
    <w:rsid w:val="009B7560"/>
    <w:rsid w:val="009B757E"/>
    <w:rsid w:val="009B7591"/>
    <w:rsid w:val="009B77C0"/>
    <w:rsid w:val="009B78C9"/>
    <w:rsid w:val="009B78FC"/>
    <w:rsid w:val="009B791F"/>
    <w:rsid w:val="009B7972"/>
    <w:rsid w:val="009B79C7"/>
    <w:rsid w:val="009B79F1"/>
    <w:rsid w:val="009B7AA3"/>
    <w:rsid w:val="009B7B89"/>
    <w:rsid w:val="009B7BDB"/>
    <w:rsid w:val="009B7C50"/>
    <w:rsid w:val="009B7C56"/>
    <w:rsid w:val="009B7D38"/>
    <w:rsid w:val="009B7F0D"/>
    <w:rsid w:val="009B7F8D"/>
    <w:rsid w:val="009C0082"/>
    <w:rsid w:val="009C00B6"/>
    <w:rsid w:val="009C016B"/>
    <w:rsid w:val="009C0395"/>
    <w:rsid w:val="009C0520"/>
    <w:rsid w:val="009C054F"/>
    <w:rsid w:val="009C0556"/>
    <w:rsid w:val="009C0611"/>
    <w:rsid w:val="009C061B"/>
    <w:rsid w:val="009C06B3"/>
    <w:rsid w:val="009C0879"/>
    <w:rsid w:val="009C08C1"/>
    <w:rsid w:val="009C097B"/>
    <w:rsid w:val="009C0A76"/>
    <w:rsid w:val="009C0A94"/>
    <w:rsid w:val="009C0B03"/>
    <w:rsid w:val="009C0B51"/>
    <w:rsid w:val="009C0B9F"/>
    <w:rsid w:val="009C0C0D"/>
    <w:rsid w:val="009C0DC9"/>
    <w:rsid w:val="009C0E04"/>
    <w:rsid w:val="009C0E8A"/>
    <w:rsid w:val="009C0ECB"/>
    <w:rsid w:val="009C0F42"/>
    <w:rsid w:val="009C1007"/>
    <w:rsid w:val="009C10B0"/>
    <w:rsid w:val="009C1102"/>
    <w:rsid w:val="009C130D"/>
    <w:rsid w:val="009C130E"/>
    <w:rsid w:val="009C136E"/>
    <w:rsid w:val="009C137B"/>
    <w:rsid w:val="009C142D"/>
    <w:rsid w:val="009C14AD"/>
    <w:rsid w:val="009C1510"/>
    <w:rsid w:val="009C168F"/>
    <w:rsid w:val="009C17AD"/>
    <w:rsid w:val="009C17F7"/>
    <w:rsid w:val="009C1814"/>
    <w:rsid w:val="009C196A"/>
    <w:rsid w:val="009C1997"/>
    <w:rsid w:val="009C1A25"/>
    <w:rsid w:val="009C1C93"/>
    <w:rsid w:val="009C1D34"/>
    <w:rsid w:val="009C1DF5"/>
    <w:rsid w:val="009C25F2"/>
    <w:rsid w:val="009C2992"/>
    <w:rsid w:val="009C2A87"/>
    <w:rsid w:val="009C2AEE"/>
    <w:rsid w:val="009C2BBE"/>
    <w:rsid w:val="009C2C24"/>
    <w:rsid w:val="009C2C81"/>
    <w:rsid w:val="009C2DCD"/>
    <w:rsid w:val="009C2DE4"/>
    <w:rsid w:val="009C2E41"/>
    <w:rsid w:val="009C2E76"/>
    <w:rsid w:val="009C2F56"/>
    <w:rsid w:val="009C2F70"/>
    <w:rsid w:val="009C2FB1"/>
    <w:rsid w:val="009C3082"/>
    <w:rsid w:val="009C31A7"/>
    <w:rsid w:val="009C3227"/>
    <w:rsid w:val="009C3297"/>
    <w:rsid w:val="009C32A9"/>
    <w:rsid w:val="009C32DA"/>
    <w:rsid w:val="009C340B"/>
    <w:rsid w:val="009C3443"/>
    <w:rsid w:val="009C395D"/>
    <w:rsid w:val="009C3AD5"/>
    <w:rsid w:val="009C3AFD"/>
    <w:rsid w:val="009C3B18"/>
    <w:rsid w:val="009C3C7A"/>
    <w:rsid w:val="009C3D53"/>
    <w:rsid w:val="009C3D8C"/>
    <w:rsid w:val="009C414F"/>
    <w:rsid w:val="009C41DE"/>
    <w:rsid w:val="009C4262"/>
    <w:rsid w:val="009C4386"/>
    <w:rsid w:val="009C4405"/>
    <w:rsid w:val="009C459F"/>
    <w:rsid w:val="009C466D"/>
    <w:rsid w:val="009C46C2"/>
    <w:rsid w:val="009C47CB"/>
    <w:rsid w:val="009C484F"/>
    <w:rsid w:val="009C49C7"/>
    <w:rsid w:val="009C4D4B"/>
    <w:rsid w:val="009C4E50"/>
    <w:rsid w:val="009C51E5"/>
    <w:rsid w:val="009C5213"/>
    <w:rsid w:val="009C53E5"/>
    <w:rsid w:val="009C5414"/>
    <w:rsid w:val="009C55B3"/>
    <w:rsid w:val="009C55BA"/>
    <w:rsid w:val="009C5BC5"/>
    <w:rsid w:val="009C5BE1"/>
    <w:rsid w:val="009C5CAE"/>
    <w:rsid w:val="009C5D1F"/>
    <w:rsid w:val="009C5E66"/>
    <w:rsid w:val="009C5F19"/>
    <w:rsid w:val="009C6171"/>
    <w:rsid w:val="009C61AB"/>
    <w:rsid w:val="009C61D1"/>
    <w:rsid w:val="009C620D"/>
    <w:rsid w:val="009C62C4"/>
    <w:rsid w:val="009C63D0"/>
    <w:rsid w:val="009C6483"/>
    <w:rsid w:val="009C64EC"/>
    <w:rsid w:val="009C65E2"/>
    <w:rsid w:val="009C66E3"/>
    <w:rsid w:val="009C67C7"/>
    <w:rsid w:val="009C68C2"/>
    <w:rsid w:val="009C6970"/>
    <w:rsid w:val="009C6A01"/>
    <w:rsid w:val="009C6A74"/>
    <w:rsid w:val="009C6A76"/>
    <w:rsid w:val="009C6AC2"/>
    <w:rsid w:val="009C6C48"/>
    <w:rsid w:val="009C6CE1"/>
    <w:rsid w:val="009C6D1F"/>
    <w:rsid w:val="009C7014"/>
    <w:rsid w:val="009C7114"/>
    <w:rsid w:val="009C71D7"/>
    <w:rsid w:val="009C726F"/>
    <w:rsid w:val="009C72DB"/>
    <w:rsid w:val="009C739A"/>
    <w:rsid w:val="009C7458"/>
    <w:rsid w:val="009C7465"/>
    <w:rsid w:val="009C74D4"/>
    <w:rsid w:val="009C7507"/>
    <w:rsid w:val="009C7A47"/>
    <w:rsid w:val="009C7AF7"/>
    <w:rsid w:val="009C7BF0"/>
    <w:rsid w:val="009C7D58"/>
    <w:rsid w:val="009C7E20"/>
    <w:rsid w:val="009C7E93"/>
    <w:rsid w:val="009C7F3A"/>
    <w:rsid w:val="009C7F95"/>
    <w:rsid w:val="009C7FCA"/>
    <w:rsid w:val="009D0249"/>
    <w:rsid w:val="009D0268"/>
    <w:rsid w:val="009D02B1"/>
    <w:rsid w:val="009D0332"/>
    <w:rsid w:val="009D03AF"/>
    <w:rsid w:val="009D03B4"/>
    <w:rsid w:val="009D056E"/>
    <w:rsid w:val="009D0736"/>
    <w:rsid w:val="009D08FB"/>
    <w:rsid w:val="009D0928"/>
    <w:rsid w:val="009D0967"/>
    <w:rsid w:val="009D0A2D"/>
    <w:rsid w:val="009D0A36"/>
    <w:rsid w:val="009D0CAD"/>
    <w:rsid w:val="009D0CFA"/>
    <w:rsid w:val="009D0DD7"/>
    <w:rsid w:val="009D1122"/>
    <w:rsid w:val="009D1170"/>
    <w:rsid w:val="009D11BD"/>
    <w:rsid w:val="009D11ED"/>
    <w:rsid w:val="009D12B2"/>
    <w:rsid w:val="009D132F"/>
    <w:rsid w:val="009D1337"/>
    <w:rsid w:val="009D1425"/>
    <w:rsid w:val="009D1456"/>
    <w:rsid w:val="009D1526"/>
    <w:rsid w:val="009D1706"/>
    <w:rsid w:val="009D1919"/>
    <w:rsid w:val="009D191E"/>
    <w:rsid w:val="009D1954"/>
    <w:rsid w:val="009D195A"/>
    <w:rsid w:val="009D19A7"/>
    <w:rsid w:val="009D1A01"/>
    <w:rsid w:val="009D1B90"/>
    <w:rsid w:val="009D1D3A"/>
    <w:rsid w:val="009D1D41"/>
    <w:rsid w:val="009D1D48"/>
    <w:rsid w:val="009D1E27"/>
    <w:rsid w:val="009D1E2B"/>
    <w:rsid w:val="009D1F0D"/>
    <w:rsid w:val="009D1F5E"/>
    <w:rsid w:val="009D21C2"/>
    <w:rsid w:val="009D22D3"/>
    <w:rsid w:val="009D2349"/>
    <w:rsid w:val="009D23BA"/>
    <w:rsid w:val="009D23CF"/>
    <w:rsid w:val="009D24F3"/>
    <w:rsid w:val="009D2581"/>
    <w:rsid w:val="009D25B4"/>
    <w:rsid w:val="009D2757"/>
    <w:rsid w:val="009D2773"/>
    <w:rsid w:val="009D27FB"/>
    <w:rsid w:val="009D295F"/>
    <w:rsid w:val="009D2998"/>
    <w:rsid w:val="009D2A85"/>
    <w:rsid w:val="009D2B43"/>
    <w:rsid w:val="009D2C15"/>
    <w:rsid w:val="009D2C4A"/>
    <w:rsid w:val="009D2CFF"/>
    <w:rsid w:val="009D2FBD"/>
    <w:rsid w:val="009D301C"/>
    <w:rsid w:val="009D3021"/>
    <w:rsid w:val="009D3292"/>
    <w:rsid w:val="009D3293"/>
    <w:rsid w:val="009D333F"/>
    <w:rsid w:val="009D33A4"/>
    <w:rsid w:val="009D359F"/>
    <w:rsid w:val="009D37B2"/>
    <w:rsid w:val="009D3870"/>
    <w:rsid w:val="009D3980"/>
    <w:rsid w:val="009D3982"/>
    <w:rsid w:val="009D3992"/>
    <w:rsid w:val="009D3AA3"/>
    <w:rsid w:val="009D3AB8"/>
    <w:rsid w:val="009D3B01"/>
    <w:rsid w:val="009D3B42"/>
    <w:rsid w:val="009D3CF9"/>
    <w:rsid w:val="009D3D82"/>
    <w:rsid w:val="009D3DAC"/>
    <w:rsid w:val="009D3F21"/>
    <w:rsid w:val="009D4180"/>
    <w:rsid w:val="009D42D3"/>
    <w:rsid w:val="009D4443"/>
    <w:rsid w:val="009D44C4"/>
    <w:rsid w:val="009D4593"/>
    <w:rsid w:val="009D4652"/>
    <w:rsid w:val="009D474A"/>
    <w:rsid w:val="009D482D"/>
    <w:rsid w:val="009D484B"/>
    <w:rsid w:val="009D48F6"/>
    <w:rsid w:val="009D4A99"/>
    <w:rsid w:val="009D4BCB"/>
    <w:rsid w:val="009D4C0D"/>
    <w:rsid w:val="009D4C1D"/>
    <w:rsid w:val="009D4D4D"/>
    <w:rsid w:val="009D4F0F"/>
    <w:rsid w:val="009D503E"/>
    <w:rsid w:val="009D516D"/>
    <w:rsid w:val="009D525B"/>
    <w:rsid w:val="009D5581"/>
    <w:rsid w:val="009D5792"/>
    <w:rsid w:val="009D57A6"/>
    <w:rsid w:val="009D5809"/>
    <w:rsid w:val="009D585E"/>
    <w:rsid w:val="009D58F2"/>
    <w:rsid w:val="009D591E"/>
    <w:rsid w:val="009D5A44"/>
    <w:rsid w:val="009D5B20"/>
    <w:rsid w:val="009D5C68"/>
    <w:rsid w:val="009D5D23"/>
    <w:rsid w:val="009D5D67"/>
    <w:rsid w:val="009D5ECB"/>
    <w:rsid w:val="009D5ED7"/>
    <w:rsid w:val="009D5ED9"/>
    <w:rsid w:val="009D5EEF"/>
    <w:rsid w:val="009D5F8E"/>
    <w:rsid w:val="009D5FB2"/>
    <w:rsid w:val="009D6090"/>
    <w:rsid w:val="009D64AE"/>
    <w:rsid w:val="009D68A5"/>
    <w:rsid w:val="009D6939"/>
    <w:rsid w:val="009D6BD7"/>
    <w:rsid w:val="009D6C2E"/>
    <w:rsid w:val="009D6D13"/>
    <w:rsid w:val="009D6DC7"/>
    <w:rsid w:val="009D702F"/>
    <w:rsid w:val="009D708F"/>
    <w:rsid w:val="009D70D9"/>
    <w:rsid w:val="009D71A9"/>
    <w:rsid w:val="009D7267"/>
    <w:rsid w:val="009D7465"/>
    <w:rsid w:val="009D77D7"/>
    <w:rsid w:val="009D782D"/>
    <w:rsid w:val="009D7A24"/>
    <w:rsid w:val="009D7AAC"/>
    <w:rsid w:val="009D7BCA"/>
    <w:rsid w:val="009D7D6D"/>
    <w:rsid w:val="009D7FF8"/>
    <w:rsid w:val="009E00F4"/>
    <w:rsid w:val="009E016A"/>
    <w:rsid w:val="009E02CB"/>
    <w:rsid w:val="009E032D"/>
    <w:rsid w:val="009E0335"/>
    <w:rsid w:val="009E03BF"/>
    <w:rsid w:val="009E0461"/>
    <w:rsid w:val="009E0678"/>
    <w:rsid w:val="009E0723"/>
    <w:rsid w:val="009E0786"/>
    <w:rsid w:val="009E0845"/>
    <w:rsid w:val="009E094D"/>
    <w:rsid w:val="009E0A12"/>
    <w:rsid w:val="009E0A8E"/>
    <w:rsid w:val="009E0BA4"/>
    <w:rsid w:val="009E0BCB"/>
    <w:rsid w:val="009E0C4E"/>
    <w:rsid w:val="009E0CA5"/>
    <w:rsid w:val="009E0ECC"/>
    <w:rsid w:val="009E0F4A"/>
    <w:rsid w:val="009E0F6A"/>
    <w:rsid w:val="009E0F77"/>
    <w:rsid w:val="009E102E"/>
    <w:rsid w:val="009E1076"/>
    <w:rsid w:val="009E10D5"/>
    <w:rsid w:val="009E12DC"/>
    <w:rsid w:val="009E14E4"/>
    <w:rsid w:val="009E1696"/>
    <w:rsid w:val="009E1708"/>
    <w:rsid w:val="009E171B"/>
    <w:rsid w:val="009E1733"/>
    <w:rsid w:val="009E18EC"/>
    <w:rsid w:val="009E1940"/>
    <w:rsid w:val="009E19E6"/>
    <w:rsid w:val="009E1A92"/>
    <w:rsid w:val="009E1CDE"/>
    <w:rsid w:val="009E1D2D"/>
    <w:rsid w:val="009E1E06"/>
    <w:rsid w:val="009E1E79"/>
    <w:rsid w:val="009E1EF9"/>
    <w:rsid w:val="009E1F3D"/>
    <w:rsid w:val="009E20F4"/>
    <w:rsid w:val="009E22C0"/>
    <w:rsid w:val="009E2479"/>
    <w:rsid w:val="009E24FD"/>
    <w:rsid w:val="009E2542"/>
    <w:rsid w:val="009E254C"/>
    <w:rsid w:val="009E27B2"/>
    <w:rsid w:val="009E2964"/>
    <w:rsid w:val="009E2B1A"/>
    <w:rsid w:val="009E2B85"/>
    <w:rsid w:val="009E2DC4"/>
    <w:rsid w:val="009E2E26"/>
    <w:rsid w:val="009E31ED"/>
    <w:rsid w:val="009E32A6"/>
    <w:rsid w:val="009E3392"/>
    <w:rsid w:val="009E33B2"/>
    <w:rsid w:val="009E346A"/>
    <w:rsid w:val="009E34B4"/>
    <w:rsid w:val="009E3524"/>
    <w:rsid w:val="009E35DC"/>
    <w:rsid w:val="009E36FE"/>
    <w:rsid w:val="009E37C5"/>
    <w:rsid w:val="009E3811"/>
    <w:rsid w:val="009E3821"/>
    <w:rsid w:val="009E388D"/>
    <w:rsid w:val="009E3900"/>
    <w:rsid w:val="009E3901"/>
    <w:rsid w:val="009E3B3D"/>
    <w:rsid w:val="009E3D16"/>
    <w:rsid w:val="009E3D78"/>
    <w:rsid w:val="009E3E59"/>
    <w:rsid w:val="009E3EFC"/>
    <w:rsid w:val="009E3F84"/>
    <w:rsid w:val="009E3FD8"/>
    <w:rsid w:val="009E41AC"/>
    <w:rsid w:val="009E41BD"/>
    <w:rsid w:val="009E43AA"/>
    <w:rsid w:val="009E43D3"/>
    <w:rsid w:val="009E43E9"/>
    <w:rsid w:val="009E43FE"/>
    <w:rsid w:val="009E45B7"/>
    <w:rsid w:val="009E46FA"/>
    <w:rsid w:val="009E470C"/>
    <w:rsid w:val="009E47AC"/>
    <w:rsid w:val="009E47CF"/>
    <w:rsid w:val="009E488C"/>
    <w:rsid w:val="009E48D2"/>
    <w:rsid w:val="009E4965"/>
    <w:rsid w:val="009E4BFA"/>
    <w:rsid w:val="009E4C43"/>
    <w:rsid w:val="009E4D7B"/>
    <w:rsid w:val="009E4EAE"/>
    <w:rsid w:val="009E503C"/>
    <w:rsid w:val="009E519C"/>
    <w:rsid w:val="009E5205"/>
    <w:rsid w:val="009E524B"/>
    <w:rsid w:val="009E54FD"/>
    <w:rsid w:val="009E56AE"/>
    <w:rsid w:val="009E5786"/>
    <w:rsid w:val="009E57B0"/>
    <w:rsid w:val="009E5A8C"/>
    <w:rsid w:val="009E5B23"/>
    <w:rsid w:val="009E5C88"/>
    <w:rsid w:val="009E5D8D"/>
    <w:rsid w:val="009E5E0C"/>
    <w:rsid w:val="009E6215"/>
    <w:rsid w:val="009E6279"/>
    <w:rsid w:val="009E646D"/>
    <w:rsid w:val="009E64E1"/>
    <w:rsid w:val="009E6547"/>
    <w:rsid w:val="009E6558"/>
    <w:rsid w:val="009E6590"/>
    <w:rsid w:val="009E65C0"/>
    <w:rsid w:val="009E65D7"/>
    <w:rsid w:val="009E6632"/>
    <w:rsid w:val="009E6802"/>
    <w:rsid w:val="009E684C"/>
    <w:rsid w:val="009E6886"/>
    <w:rsid w:val="009E6928"/>
    <w:rsid w:val="009E6984"/>
    <w:rsid w:val="009E69E7"/>
    <w:rsid w:val="009E6AD9"/>
    <w:rsid w:val="009E6B3D"/>
    <w:rsid w:val="009E6BD8"/>
    <w:rsid w:val="009E6BE7"/>
    <w:rsid w:val="009E6D73"/>
    <w:rsid w:val="009E6DDD"/>
    <w:rsid w:val="009E6EFA"/>
    <w:rsid w:val="009E6F4C"/>
    <w:rsid w:val="009E7068"/>
    <w:rsid w:val="009E71F8"/>
    <w:rsid w:val="009E72A2"/>
    <w:rsid w:val="009E737C"/>
    <w:rsid w:val="009E7383"/>
    <w:rsid w:val="009E73BC"/>
    <w:rsid w:val="009E742E"/>
    <w:rsid w:val="009E74D1"/>
    <w:rsid w:val="009E76DD"/>
    <w:rsid w:val="009E77FF"/>
    <w:rsid w:val="009E7828"/>
    <w:rsid w:val="009E7908"/>
    <w:rsid w:val="009E79C9"/>
    <w:rsid w:val="009E7A0A"/>
    <w:rsid w:val="009E7A1E"/>
    <w:rsid w:val="009E7AA4"/>
    <w:rsid w:val="009E7B23"/>
    <w:rsid w:val="009E7B60"/>
    <w:rsid w:val="009E7CA1"/>
    <w:rsid w:val="009E7D6E"/>
    <w:rsid w:val="009E7DAD"/>
    <w:rsid w:val="009E7F21"/>
    <w:rsid w:val="009E7F46"/>
    <w:rsid w:val="009E7F48"/>
    <w:rsid w:val="009E7F73"/>
    <w:rsid w:val="009F00AB"/>
    <w:rsid w:val="009F020F"/>
    <w:rsid w:val="009F047B"/>
    <w:rsid w:val="009F05B4"/>
    <w:rsid w:val="009F05DC"/>
    <w:rsid w:val="009F0710"/>
    <w:rsid w:val="009F0955"/>
    <w:rsid w:val="009F099A"/>
    <w:rsid w:val="009F0A3E"/>
    <w:rsid w:val="009F0AE9"/>
    <w:rsid w:val="009F0B64"/>
    <w:rsid w:val="009F0B8E"/>
    <w:rsid w:val="009F0C88"/>
    <w:rsid w:val="009F0C9A"/>
    <w:rsid w:val="009F0DB9"/>
    <w:rsid w:val="009F0E98"/>
    <w:rsid w:val="009F0EBC"/>
    <w:rsid w:val="009F0EDE"/>
    <w:rsid w:val="009F10EF"/>
    <w:rsid w:val="009F1142"/>
    <w:rsid w:val="009F1338"/>
    <w:rsid w:val="009F139D"/>
    <w:rsid w:val="009F1467"/>
    <w:rsid w:val="009F156F"/>
    <w:rsid w:val="009F163E"/>
    <w:rsid w:val="009F16CE"/>
    <w:rsid w:val="009F1889"/>
    <w:rsid w:val="009F1AC8"/>
    <w:rsid w:val="009F1B61"/>
    <w:rsid w:val="009F1D24"/>
    <w:rsid w:val="009F1D50"/>
    <w:rsid w:val="009F1E5C"/>
    <w:rsid w:val="009F1F06"/>
    <w:rsid w:val="009F1FD0"/>
    <w:rsid w:val="009F213D"/>
    <w:rsid w:val="009F216D"/>
    <w:rsid w:val="009F222F"/>
    <w:rsid w:val="009F258D"/>
    <w:rsid w:val="009F28CC"/>
    <w:rsid w:val="009F29CD"/>
    <w:rsid w:val="009F2AD2"/>
    <w:rsid w:val="009F2BE3"/>
    <w:rsid w:val="009F2C42"/>
    <w:rsid w:val="009F2E03"/>
    <w:rsid w:val="009F2F1B"/>
    <w:rsid w:val="009F303F"/>
    <w:rsid w:val="009F3155"/>
    <w:rsid w:val="009F3186"/>
    <w:rsid w:val="009F31A6"/>
    <w:rsid w:val="009F31DC"/>
    <w:rsid w:val="009F3258"/>
    <w:rsid w:val="009F3280"/>
    <w:rsid w:val="009F33C0"/>
    <w:rsid w:val="009F3400"/>
    <w:rsid w:val="009F3475"/>
    <w:rsid w:val="009F354D"/>
    <w:rsid w:val="009F3779"/>
    <w:rsid w:val="009F37EF"/>
    <w:rsid w:val="009F3808"/>
    <w:rsid w:val="009F39D5"/>
    <w:rsid w:val="009F3A24"/>
    <w:rsid w:val="009F3B70"/>
    <w:rsid w:val="009F3DF1"/>
    <w:rsid w:val="009F3E22"/>
    <w:rsid w:val="009F43A6"/>
    <w:rsid w:val="009F43BC"/>
    <w:rsid w:val="009F4449"/>
    <w:rsid w:val="009F45E2"/>
    <w:rsid w:val="009F46EF"/>
    <w:rsid w:val="009F479D"/>
    <w:rsid w:val="009F4846"/>
    <w:rsid w:val="009F487D"/>
    <w:rsid w:val="009F4A74"/>
    <w:rsid w:val="009F4AF4"/>
    <w:rsid w:val="009F4BE2"/>
    <w:rsid w:val="009F4C98"/>
    <w:rsid w:val="009F4D5C"/>
    <w:rsid w:val="009F5256"/>
    <w:rsid w:val="009F52BF"/>
    <w:rsid w:val="009F530F"/>
    <w:rsid w:val="009F557E"/>
    <w:rsid w:val="009F5648"/>
    <w:rsid w:val="009F57B5"/>
    <w:rsid w:val="009F5804"/>
    <w:rsid w:val="009F59C3"/>
    <w:rsid w:val="009F5A31"/>
    <w:rsid w:val="009F5A4C"/>
    <w:rsid w:val="009F5A6B"/>
    <w:rsid w:val="009F5AF6"/>
    <w:rsid w:val="009F5C0A"/>
    <w:rsid w:val="009F5E65"/>
    <w:rsid w:val="009F60E9"/>
    <w:rsid w:val="009F6144"/>
    <w:rsid w:val="009F62A2"/>
    <w:rsid w:val="009F641F"/>
    <w:rsid w:val="009F642E"/>
    <w:rsid w:val="009F6529"/>
    <w:rsid w:val="009F65FE"/>
    <w:rsid w:val="009F668D"/>
    <w:rsid w:val="009F6789"/>
    <w:rsid w:val="009F6893"/>
    <w:rsid w:val="009F6894"/>
    <w:rsid w:val="009F6B8A"/>
    <w:rsid w:val="009F6C40"/>
    <w:rsid w:val="009F6CE9"/>
    <w:rsid w:val="009F6E26"/>
    <w:rsid w:val="009F70E9"/>
    <w:rsid w:val="009F71E2"/>
    <w:rsid w:val="009F721D"/>
    <w:rsid w:val="009F72DD"/>
    <w:rsid w:val="009F7576"/>
    <w:rsid w:val="009F774C"/>
    <w:rsid w:val="009F77F0"/>
    <w:rsid w:val="009F7839"/>
    <w:rsid w:val="009F78D3"/>
    <w:rsid w:val="009F7971"/>
    <w:rsid w:val="009F7997"/>
    <w:rsid w:val="009F7CC8"/>
    <w:rsid w:val="009F7CEE"/>
    <w:rsid w:val="009F7DFD"/>
    <w:rsid w:val="009F7E93"/>
    <w:rsid w:val="009F7ECC"/>
    <w:rsid w:val="009F7F26"/>
    <w:rsid w:val="00A00056"/>
    <w:rsid w:val="00A000EF"/>
    <w:rsid w:val="00A00285"/>
    <w:rsid w:val="00A0033A"/>
    <w:rsid w:val="00A00354"/>
    <w:rsid w:val="00A0047F"/>
    <w:rsid w:val="00A004B2"/>
    <w:rsid w:val="00A004E4"/>
    <w:rsid w:val="00A00574"/>
    <w:rsid w:val="00A007AE"/>
    <w:rsid w:val="00A007D4"/>
    <w:rsid w:val="00A008AA"/>
    <w:rsid w:val="00A00916"/>
    <w:rsid w:val="00A00932"/>
    <w:rsid w:val="00A00A7C"/>
    <w:rsid w:val="00A00B04"/>
    <w:rsid w:val="00A00B74"/>
    <w:rsid w:val="00A00CB3"/>
    <w:rsid w:val="00A00CD5"/>
    <w:rsid w:val="00A00E5B"/>
    <w:rsid w:val="00A00EC4"/>
    <w:rsid w:val="00A00FAC"/>
    <w:rsid w:val="00A01046"/>
    <w:rsid w:val="00A0107A"/>
    <w:rsid w:val="00A01149"/>
    <w:rsid w:val="00A011C2"/>
    <w:rsid w:val="00A01203"/>
    <w:rsid w:val="00A012D8"/>
    <w:rsid w:val="00A014C7"/>
    <w:rsid w:val="00A015B9"/>
    <w:rsid w:val="00A015D1"/>
    <w:rsid w:val="00A015E8"/>
    <w:rsid w:val="00A01617"/>
    <w:rsid w:val="00A01651"/>
    <w:rsid w:val="00A017E3"/>
    <w:rsid w:val="00A019A1"/>
    <w:rsid w:val="00A019E2"/>
    <w:rsid w:val="00A01A7E"/>
    <w:rsid w:val="00A01BBF"/>
    <w:rsid w:val="00A01C2D"/>
    <w:rsid w:val="00A01C75"/>
    <w:rsid w:val="00A01CAA"/>
    <w:rsid w:val="00A01CF3"/>
    <w:rsid w:val="00A01DEF"/>
    <w:rsid w:val="00A01E75"/>
    <w:rsid w:val="00A01E81"/>
    <w:rsid w:val="00A01F17"/>
    <w:rsid w:val="00A0212C"/>
    <w:rsid w:val="00A0235F"/>
    <w:rsid w:val="00A02518"/>
    <w:rsid w:val="00A0256A"/>
    <w:rsid w:val="00A0279E"/>
    <w:rsid w:val="00A02881"/>
    <w:rsid w:val="00A02888"/>
    <w:rsid w:val="00A02A70"/>
    <w:rsid w:val="00A02CE0"/>
    <w:rsid w:val="00A02D61"/>
    <w:rsid w:val="00A030B7"/>
    <w:rsid w:val="00A030DE"/>
    <w:rsid w:val="00A0317B"/>
    <w:rsid w:val="00A03217"/>
    <w:rsid w:val="00A0357D"/>
    <w:rsid w:val="00A03718"/>
    <w:rsid w:val="00A0371C"/>
    <w:rsid w:val="00A03776"/>
    <w:rsid w:val="00A03778"/>
    <w:rsid w:val="00A03796"/>
    <w:rsid w:val="00A0384E"/>
    <w:rsid w:val="00A038CB"/>
    <w:rsid w:val="00A03982"/>
    <w:rsid w:val="00A039B7"/>
    <w:rsid w:val="00A03A12"/>
    <w:rsid w:val="00A03A8F"/>
    <w:rsid w:val="00A03C4D"/>
    <w:rsid w:val="00A03C55"/>
    <w:rsid w:val="00A03C9E"/>
    <w:rsid w:val="00A03D5B"/>
    <w:rsid w:val="00A03F46"/>
    <w:rsid w:val="00A03F54"/>
    <w:rsid w:val="00A04080"/>
    <w:rsid w:val="00A040F9"/>
    <w:rsid w:val="00A041B1"/>
    <w:rsid w:val="00A042F8"/>
    <w:rsid w:val="00A0454A"/>
    <w:rsid w:val="00A0454F"/>
    <w:rsid w:val="00A04738"/>
    <w:rsid w:val="00A04794"/>
    <w:rsid w:val="00A047F3"/>
    <w:rsid w:val="00A047F5"/>
    <w:rsid w:val="00A04827"/>
    <w:rsid w:val="00A0486F"/>
    <w:rsid w:val="00A048C1"/>
    <w:rsid w:val="00A049B1"/>
    <w:rsid w:val="00A04A60"/>
    <w:rsid w:val="00A04B59"/>
    <w:rsid w:val="00A04CF5"/>
    <w:rsid w:val="00A04CF9"/>
    <w:rsid w:val="00A04DFA"/>
    <w:rsid w:val="00A04E52"/>
    <w:rsid w:val="00A04E6F"/>
    <w:rsid w:val="00A04F95"/>
    <w:rsid w:val="00A051C8"/>
    <w:rsid w:val="00A05428"/>
    <w:rsid w:val="00A054B9"/>
    <w:rsid w:val="00A05545"/>
    <w:rsid w:val="00A055C2"/>
    <w:rsid w:val="00A05681"/>
    <w:rsid w:val="00A057F1"/>
    <w:rsid w:val="00A05864"/>
    <w:rsid w:val="00A05879"/>
    <w:rsid w:val="00A05A30"/>
    <w:rsid w:val="00A05DDD"/>
    <w:rsid w:val="00A05EFF"/>
    <w:rsid w:val="00A05F20"/>
    <w:rsid w:val="00A05F36"/>
    <w:rsid w:val="00A0607F"/>
    <w:rsid w:val="00A0609E"/>
    <w:rsid w:val="00A060B4"/>
    <w:rsid w:val="00A06176"/>
    <w:rsid w:val="00A06304"/>
    <w:rsid w:val="00A0632A"/>
    <w:rsid w:val="00A064FE"/>
    <w:rsid w:val="00A06548"/>
    <w:rsid w:val="00A06556"/>
    <w:rsid w:val="00A065EA"/>
    <w:rsid w:val="00A06632"/>
    <w:rsid w:val="00A066EE"/>
    <w:rsid w:val="00A06A23"/>
    <w:rsid w:val="00A06A68"/>
    <w:rsid w:val="00A06AD6"/>
    <w:rsid w:val="00A06D46"/>
    <w:rsid w:val="00A06DBD"/>
    <w:rsid w:val="00A06DD3"/>
    <w:rsid w:val="00A06F06"/>
    <w:rsid w:val="00A06F3B"/>
    <w:rsid w:val="00A06F88"/>
    <w:rsid w:val="00A06FB7"/>
    <w:rsid w:val="00A06FEE"/>
    <w:rsid w:val="00A0702D"/>
    <w:rsid w:val="00A07063"/>
    <w:rsid w:val="00A0761B"/>
    <w:rsid w:val="00A0762D"/>
    <w:rsid w:val="00A07639"/>
    <w:rsid w:val="00A0767B"/>
    <w:rsid w:val="00A076AB"/>
    <w:rsid w:val="00A07842"/>
    <w:rsid w:val="00A078A2"/>
    <w:rsid w:val="00A0798E"/>
    <w:rsid w:val="00A079D0"/>
    <w:rsid w:val="00A07B13"/>
    <w:rsid w:val="00A07BFF"/>
    <w:rsid w:val="00A07C0B"/>
    <w:rsid w:val="00A07D47"/>
    <w:rsid w:val="00A07D9A"/>
    <w:rsid w:val="00A07DE6"/>
    <w:rsid w:val="00A07E4E"/>
    <w:rsid w:val="00A07FC1"/>
    <w:rsid w:val="00A1041D"/>
    <w:rsid w:val="00A10593"/>
    <w:rsid w:val="00A105C2"/>
    <w:rsid w:val="00A106AB"/>
    <w:rsid w:val="00A10812"/>
    <w:rsid w:val="00A1086B"/>
    <w:rsid w:val="00A10951"/>
    <w:rsid w:val="00A10B6E"/>
    <w:rsid w:val="00A10CCE"/>
    <w:rsid w:val="00A10E59"/>
    <w:rsid w:val="00A10E60"/>
    <w:rsid w:val="00A10EB7"/>
    <w:rsid w:val="00A10ED0"/>
    <w:rsid w:val="00A110B8"/>
    <w:rsid w:val="00A110D0"/>
    <w:rsid w:val="00A11296"/>
    <w:rsid w:val="00A11343"/>
    <w:rsid w:val="00A113BE"/>
    <w:rsid w:val="00A113F4"/>
    <w:rsid w:val="00A114FB"/>
    <w:rsid w:val="00A11557"/>
    <w:rsid w:val="00A11612"/>
    <w:rsid w:val="00A11721"/>
    <w:rsid w:val="00A117D1"/>
    <w:rsid w:val="00A119C3"/>
    <w:rsid w:val="00A11A8D"/>
    <w:rsid w:val="00A11CE7"/>
    <w:rsid w:val="00A11DFA"/>
    <w:rsid w:val="00A11E6F"/>
    <w:rsid w:val="00A11EB1"/>
    <w:rsid w:val="00A11F7D"/>
    <w:rsid w:val="00A11FAF"/>
    <w:rsid w:val="00A12032"/>
    <w:rsid w:val="00A1213C"/>
    <w:rsid w:val="00A1242F"/>
    <w:rsid w:val="00A12493"/>
    <w:rsid w:val="00A124B9"/>
    <w:rsid w:val="00A126FF"/>
    <w:rsid w:val="00A1276F"/>
    <w:rsid w:val="00A12770"/>
    <w:rsid w:val="00A1291F"/>
    <w:rsid w:val="00A12ADD"/>
    <w:rsid w:val="00A12BBC"/>
    <w:rsid w:val="00A12C9E"/>
    <w:rsid w:val="00A12D22"/>
    <w:rsid w:val="00A12F62"/>
    <w:rsid w:val="00A12F9F"/>
    <w:rsid w:val="00A12FB9"/>
    <w:rsid w:val="00A13004"/>
    <w:rsid w:val="00A131BE"/>
    <w:rsid w:val="00A13209"/>
    <w:rsid w:val="00A13388"/>
    <w:rsid w:val="00A134B6"/>
    <w:rsid w:val="00A134CA"/>
    <w:rsid w:val="00A13790"/>
    <w:rsid w:val="00A137B3"/>
    <w:rsid w:val="00A138C7"/>
    <w:rsid w:val="00A13950"/>
    <w:rsid w:val="00A13A09"/>
    <w:rsid w:val="00A13B3B"/>
    <w:rsid w:val="00A13BA0"/>
    <w:rsid w:val="00A13BA1"/>
    <w:rsid w:val="00A13C8C"/>
    <w:rsid w:val="00A13D05"/>
    <w:rsid w:val="00A13EC8"/>
    <w:rsid w:val="00A13F67"/>
    <w:rsid w:val="00A14118"/>
    <w:rsid w:val="00A14180"/>
    <w:rsid w:val="00A14585"/>
    <w:rsid w:val="00A1463E"/>
    <w:rsid w:val="00A14907"/>
    <w:rsid w:val="00A14D2A"/>
    <w:rsid w:val="00A14F07"/>
    <w:rsid w:val="00A14FE9"/>
    <w:rsid w:val="00A150F6"/>
    <w:rsid w:val="00A15140"/>
    <w:rsid w:val="00A15174"/>
    <w:rsid w:val="00A151CD"/>
    <w:rsid w:val="00A153A3"/>
    <w:rsid w:val="00A156FA"/>
    <w:rsid w:val="00A159AB"/>
    <w:rsid w:val="00A15AA1"/>
    <w:rsid w:val="00A15AD9"/>
    <w:rsid w:val="00A15ADA"/>
    <w:rsid w:val="00A15AF1"/>
    <w:rsid w:val="00A15BF4"/>
    <w:rsid w:val="00A15C6E"/>
    <w:rsid w:val="00A15D2F"/>
    <w:rsid w:val="00A15D42"/>
    <w:rsid w:val="00A15E47"/>
    <w:rsid w:val="00A15F95"/>
    <w:rsid w:val="00A1600D"/>
    <w:rsid w:val="00A16027"/>
    <w:rsid w:val="00A16112"/>
    <w:rsid w:val="00A161C9"/>
    <w:rsid w:val="00A162B0"/>
    <w:rsid w:val="00A163D6"/>
    <w:rsid w:val="00A16542"/>
    <w:rsid w:val="00A165A3"/>
    <w:rsid w:val="00A1673F"/>
    <w:rsid w:val="00A1689F"/>
    <w:rsid w:val="00A16AA7"/>
    <w:rsid w:val="00A16AD7"/>
    <w:rsid w:val="00A16B33"/>
    <w:rsid w:val="00A16B3E"/>
    <w:rsid w:val="00A16CC0"/>
    <w:rsid w:val="00A16D92"/>
    <w:rsid w:val="00A16E3A"/>
    <w:rsid w:val="00A16E78"/>
    <w:rsid w:val="00A16ECB"/>
    <w:rsid w:val="00A16F76"/>
    <w:rsid w:val="00A1703E"/>
    <w:rsid w:val="00A17159"/>
    <w:rsid w:val="00A176F8"/>
    <w:rsid w:val="00A17709"/>
    <w:rsid w:val="00A177B8"/>
    <w:rsid w:val="00A177F3"/>
    <w:rsid w:val="00A17803"/>
    <w:rsid w:val="00A17B0A"/>
    <w:rsid w:val="00A17B73"/>
    <w:rsid w:val="00A17C94"/>
    <w:rsid w:val="00A17CDB"/>
    <w:rsid w:val="00A17D9F"/>
    <w:rsid w:val="00A17E95"/>
    <w:rsid w:val="00A17FE5"/>
    <w:rsid w:val="00A20056"/>
    <w:rsid w:val="00A2007A"/>
    <w:rsid w:val="00A203A1"/>
    <w:rsid w:val="00A203CA"/>
    <w:rsid w:val="00A203E5"/>
    <w:rsid w:val="00A20852"/>
    <w:rsid w:val="00A20863"/>
    <w:rsid w:val="00A208E8"/>
    <w:rsid w:val="00A209C4"/>
    <w:rsid w:val="00A20A19"/>
    <w:rsid w:val="00A20AC3"/>
    <w:rsid w:val="00A20C5E"/>
    <w:rsid w:val="00A20C98"/>
    <w:rsid w:val="00A20D4E"/>
    <w:rsid w:val="00A20E55"/>
    <w:rsid w:val="00A20E5F"/>
    <w:rsid w:val="00A20F2B"/>
    <w:rsid w:val="00A20F77"/>
    <w:rsid w:val="00A2102C"/>
    <w:rsid w:val="00A21092"/>
    <w:rsid w:val="00A210DA"/>
    <w:rsid w:val="00A21183"/>
    <w:rsid w:val="00A21211"/>
    <w:rsid w:val="00A212AC"/>
    <w:rsid w:val="00A21348"/>
    <w:rsid w:val="00A21379"/>
    <w:rsid w:val="00A213CD"/>
    <w:rsid w:val="00A21451"/>
    <w:rsid w:val="00A2148B"/>
    <w:rsid w:val="00A21690"/>
    <w:rsid w:val="00A21862"/>
    <w:rsid w:val="00A218B1"/>
    <w:rsid w:val="00A218E9"/>
    <w:rsid w:val="00A21A14"/>
    <w:rsid w:val="00A21A4C"/>
    <w:rsid w:val="00A21A59"/>
    <w:rsid w:val="00A21B85"/>
    <w:rsid w:val="00A21CE4"/>
    <w:rsid w:val="00A21D22"/>
    <w:rsid w:val="00A21D2A"/>
    <w:rsid w:val="00A21D74"/>
    <w:rsid w:val="00A21DD0"/>
    <w:rsid w:val="00A21EB0"/>
    <w:rsid w:val="00A21EFD"/>
    <w:rsid w:val="00A21F1B"/>
    <w:rsid w:val="00A22030"/>
    <w:rsid w:val="00A2221E"/>
    <w:rsid w:val="00A22276"/>
    <w:rsid w:val="00A2245C"/>
    <w:rsid w:val="00A2252D"/>
    <w:rsid w:val="00A22543"/>
    <w:rsid w:val="00A225F0"/>
    <w:rsid w:val="00A225FD"/>
    <w:rsid w:val="00A2268B"/>
    <w:rsid w:val="00A226E9"/>
    <w:rsid w:val="00A22755"/>
    <w:rsid w:val="00A22790"/>
    <w:rsid w:val="00A22946"/>
    <w:rsid w:val="00A22A33"/>
    <w:rsid w:val="00A22A50"/>
    <w:rsid w:val="00A22A61"/>
    <w:rsid w:val="00A22F03"/>
    <w:rsid w:val="00A22F07"/>
    <w:rsid w:val="00A22FFA"/>
    <w:rsid w:val="00A2305F"/>
    <w:rsid w:val="00A230B6"/>
    <w:rsid w:val="00A23132"/>
    <w:rsid w:val="00A231B6"/>
    <w:rsid w:val="00A2323D"/>
    <w:rsid w:val="00A23278"/>
    <w:rsid w:val="00A2329E"/>
    <w:rsid w:val="00A233C7"/>
    <w:rsid w:val="00A233DD"/>
    <w:rsid w:val="00A23464"/>
    <w:rsid w:val="00A2348F"/>
    <w:rsid w:val="00A234C1"/>
    <w:rsid w:val="00A2356F"/>
    <w:rsid w:val="00A2359B"/>
    <w:rsid w:val="00A236BB"/>
    <w:rsid w:val="00A236CA"/>
    <w:rsid w:val="00A237DF"/>
    <w:rsid w:val="00A23804"/>
    <w:rsid w:val="00A23908"/>
    <w:rsid w:val="00A23C2F"/>
    <w:rsid w:val="00A23CE3"/>
    <w:rsid w:val="00A23D71"/>
    <w:rsid w:val="00A23E62"/>
    <w:rsid w:val="00A23ED8"/>
    <w:rsid w:val="00A2411B"/>
    <w:rsid w:val="00A24124"/>
    <w:rsid w:val="00A2417E"/>
    <w:rsid w:val="00A2420B"/>
    <w:rsid w:val="00A2424E"/>
    <w:rsid w:val="00A2450D"/>
    <w:rsid w:val="00A246A9"/>
    <w:rsid w:val="00A246BD"/>
    <w:rsid w:val="00A24819"/>
    <w:rsid w:val="00A24960"/>
    <w:rsid w:val="00A24C15"/>
    <w:rsid w:val="00A24CD5"/>
    <w:rsid w:val="00A24DCC"/>
    <w:rsid w:val="00A24F33"/>
    <w:rsid w:val="00A24FE8"/>
    <w:rsid w:val="00A2502A"/>
    <w:rsid w:val="00A25378"/>
    <w:rsid w:val="00A253FC"/>
    <w:rsid w:val="00A25521"/>
    <w:rsid w:val="00A2552B"/>
    <w:rsid w:val="00A255AA"/>
    <w:rsid w:val="00A25661"/>
    <w:rsid w:val="00A25725"/>
    <w:rsid w:val="00A2575B"/>
    <w:rsid w:val="00A257C5"/>
    <w:rsid w:val="00A259B7"/>
    <w:rsid w:val="00A25C53"/>
    <w:rsid w:val="00A25CAB"/>
    <w:rsid w:val="00A25DCF"/>
    <w:rsid w:val="00A25E34"/>
    <w:rsid w:val="00A26139"/>
    <w:rsid w:val="00A2617F"/>
    <w:rsid w:val="00A2628C"/>
    <w:rsid w:val="00A2636E"/>
    <w:rsid w:val="00A26447"/>
    <w:rsid w:val="00A26668"/>
    <w:rsid w:val="00A26672"/>
    <w:rsid w:val="00A26778"/>
    <w:rsid w:val="00A267A2"/>
    <w:rsid w:val="00A26839"/>
    <w:rsid w:val="00A26B99"/>
    <w:rsid w:val="00A26D63"/>
    <w:rsid w:val="00A26DB9"/>
    <w:rsid w:val="00A26EA7"/>
    <w:rsid w:val="00A2706E"/>
    <w:rsid w:val="00A27137"/>
    <w:rsid w:val="00A271F8"/>
    <w:rsid w:val="00A27238"/>
    <w:rsid w:val="00A2726E"/>
    <w:rsid w:val="00A272C2"/>
    <w:rsid w:val="00A27315"/>
    <w:rsid w:val="00A273A9"/>
    <w:rsid w:val="00A27446"/>
    <w:rsid w:val="00A27469"/>
    <w:rsid w:val="00A2770C"/>
    <w:rsid w:val="00A27888"/>
    <w:rsid w:val="00A2791D"/>
    <w:rsid w:val="00A27924"/>
    <w:rsid w:val="00A27D8D"/>
    <w:rsid w:val="00A27DAC"/>
    <w:rsid w:val="00A27E13"/>
    <w:rsid w:val="00A27E86"/>
    <w:rsid w:val="00A27FDD"/>
    <w:rsid w:val="00A30088"/>
    <w:rsid w:val="00A300AC"/>
    <w:rsid w:val="00A301C7"/>
    <w:rsid w:val="00A301DB"/>
    <w:rsid w:val="00A3046B"/>
    <w:rsid w:val="00A30479"/>
    <w:rsid w:val="00A30520"/>
    <w:rsid w:val="00A30945"/>
    <w:rsid w:val="00A309DD"/>
    <w:rsid w:val="00A30A60"/>
    <w:rsid w:val="00A30A7A"/>
    <w:rsid w:val="00A30BC4"/>
    <w:rsid w:val="00A30D28"/>
    <w:rsid w:val="00A30E0F"/>
    <w:rsid w:val="00A30F65"/>
    <w:rsid w:val="00A30FEF"/>
    <w:rsid w:val="00A31107"/>
    <w:rsid w:val="00A3121E"/>
    <w:rsid w:val="00A31274"/>
    <w:rsid w:val="00A31315"/>
    <w:rsid w:val="00A31348"/>
    <w:rsid w:val="00A3139F"/>
    <w:rsid w:val="00A31505"/>
    <w:rsid w:val="00A31536"/>
    <w:rsid w:val="00A31550"/>
    <w:rsid w:val="00A3162A"/>
    <w:rsid w:val="00A317EB"/>
    <w:rsid w:val="00A31814"/>
    <w:rsid w:val="00A31972"/>
    <w:rsid w:val="00A31993"/>
    <w:rsid w:val="00A31A36"/>
    <w:rsid w:val="00A31AEB"/>
    <w:rsid w:val="00A31AFF"/>
    <w:rsid w:val="00A31B71"/>
    <w:rsid w:val="00A31BB8"/>
    <w:rsid w:val="00A31C08"/>
    <w:rsid w:val="00A31CA4"/>
    <w:rsid w:val="00A31F7E"/>
    <w:rsid w:val="00A31FF9"/>
    <w:rsid w:val="00A32108"/>
    <w:rsid w:val="00A3236D"/>
    <w:rsid w:val="00A3239C"/>
    <w:rsid w:val="00A32429"/>
    <w:rsid w:val="00A32529"/>
    <w:rsid w:val="00A327F8"/>
    <w:rsid w:val="00A3281E"/>
    <w:rsid w:val="00A329AB"/>
    <w:rsid w:val="00A32A6D"/>
    <w:rsid w:val="00A32A99"/>
    <w:rsid w:val="00A32BE9"/>
    <w:rsid w:val="00A32BEB"/>
    <w:rsid w:val="00A32D2E"/>
    <w:rsid w:val="00A32DB4"/>
    <w:rsid w:val="00A32ECE"/>
    <w:rsid w:val="00A32F03"/>
    <w:rsid w:val="00A3302A"/>
    <w:rsid w:val="00A33239"/>
    <w:rsid w:val="00A333BD"/>
    <w:rsid w:val="00A33437"/>
    <w:rsid w:val="00A33896"/>
    <w:rsid w:val="00A338BF"/>
    <w:rsid w:val="00A33B81"/>
    <w:rsid w:val="00A33C38"/>
    <w:rsid w:val="00A33D32"/>
    <w:rsid w:val="00A33D36"/>
    <w:rsid w:val="00A33DD5"/>
    <w:rsid w:val="00A33EAC"/>
    <w:rsid w:val="00A33FC8"/>
    <w:rsid w:val="00A340A6"/>
    <w:rsid w:val="00A34118"/>
    <w:rsid w:val="00A34180"/>
    <w:rsid w:val="00A34188"/>
    <w:rsid w:val="00A34320"/>
    <w:rsid w:val="00A34331"/>
    <w:rsid w:val="00A34434"/>
    <w:rsid w:val="00A34447"/>
    <w:rsid w:val="00A3449B"/>
    <w:rsid w:val="00A347B6"/>
    <w:rsid w:val="00A34805"/>
    <w:rsid w:val="00A34921"/>
    <w:rsid w:val="00A3492F"/>
    <w:rsid w:val="00A34C31"/>
    <w:rsid w:val="00A34D9F"/>
    <w:rsid w:val="00A34DA1"/>
    <w:rsid w:val="00A34E45"/>
    <w:rsid w:val="00A34EB6"/>
    <w:rsid w:val="00A34EB8"/>
    <w:rsid w:val="00A35064"/>
    <w:rsid w:val="00A350EC"/>
    <w:rsid w:val="00A35239"/>
    <w:rsid w:val="00A35387"/>
    <w:rsid w:val="00A353AB"/>
    <w:rsid w:val="00A35467"/>
    <w:rsid w:val="00A358E9"/>
    <w:rsid w:val="00A35A2D"/>
    <w:rsid w:val="00A35A74"/>
    <w:rsid w:val="00A35A78"/>
    <w:rsid w:val="00A35AA4"/>
    <w:rsid w:val="00A35B0E"/>
    <w:rsid w:val="00A35CE1"/>
    <w:rsid w:val="00A35F21"/>
    <w:rsid w:val="00A35F30"/>
    <w:rsid w:val="00A3620D"/>
    <w:rsid w:val="00A3620F"/>
    <w:rsid w:val="00A362B1"/>
    <w:rsid w:val="00A365AE"/>
    <w:rsid w:val="00A365B5"/>
    <w:rsid w:val="00A36623"/>
    <w:rsid w:val="00A36838"/>
    <w:rsid w:val="00A369DD"/>
    <w:rsid w:val="00A36AE7"/>
    <w:rsid w:val="00A36C2D"/>
    <w:rsid w:val="00A36E88"/>
    <w:rsid w:val="00A36EF2"/>
    <w:rsid w:val="00A36F2B"/>
    <w:rsid w:val="00A3702D"/>
    <w:rsid w:val="00A3704A"/>
    <w:rsid w:val="00A370C6"/>
    <w:rsid w:val="00A37138"/>
    <w:rsid w:val="00A371DD"/>
    <w:rsid w:val="00A372E5"/>
    <w:rsid w:val="00A3730E"/>
    <w:rsid w:val="00A3738F"/>
    <w:rsid w:val="00A373BC"/>
    <w:rsid w:val="00A3749B"/>
    <w:rsid w:val="00A375C8"/>
    <w:rsid w:val="00A3764C"/>
    <w:rsid w:val="00A377E5"/>
    <w:rsid w:val="00A37891"/>
    <w:rsid w:val="00A379B5"/>
    <w:rsid w:val="00A37BE3"/>
    <w:rsid w:val="00A37C51"/>
    <w:rsid w:val="00A37C78"/>
    <w:rsid w:val="00A37C7E"/>
    <w:rsid w:val="00A37CD4"/>
    <w:rsid w:val="00A37D56"/>
    <w:rsid w:val="00A37D87"/>
    <w:rsid w:val="00A37E58"/>
    <w:rsid w:val="00A37ECA"/>
    <w:rsid w:val="00A37FBD"/>
    <w:rsid w:val="00A40206"/>
    <w:rsid w:val="00A402B8"/>
    <w:rsid w:val="00A40354"/>
    <w:rsid w:val="00A404D8"/>
    <w:rsid w:val="00A4057E"/>
    <w:rsid w:val="00A406EA"/>
    <w:rsid w:val="00A40791"/>
    <w:rsid w:val="00A4088F"/>
    <w:rsid w:val="00A40934"/>
    <w:rsid w:val="00A409A9"/>
    <w:rsid w:val="00A409CD"/>
    <w:rsid w:val="00A40B3C"/>
    <w:rsid w:val="00A40C16"/>
    <w:rsid w:val="00A40C3C"/>
    <w:rsid w:val="00A40DCF"/>
    <w:rsid w:val="00A40E12"/>
    <w:rsid w:val="00A40E8E"/>
    <w:rsid w:val="00A40F60"/>
    <w:rsid w:val="00A40FAE"/>
    <w:rsid w:val="00A41210"/>
    <w:rsid w:val="00A41265"/>
    <w:rsid w:val="00A4134A"/>
    <w:rsid w:val="00A413A8"/>
    <w:rsid w:val="00A41693"/>
    <w:rsid w:val="00A41735"/>
    <w:rsid w:val="00A41822"/>
    <w:rsid w:val="00A418B7"/>
    <w:rsid w:val="00A41913"/>
    <w:rsid w:val="00A4191A"/>
    <w:rsid w:val="00A41928"/>
    <w:rsid w:val="00A41A20"/>
    <w:rsid w:val="00A41EBC"/>
    <w:rsid w:val="00A41F57"/>
    <w:rsid w:val="00A41FDB"/>
    <w:rsid w:val="00A420CE"/>
    <w:rsid w:val="00A42102"/>
    <w:rsid w:val="00A42130"/>
    <w:rsid w:val="00A4214B"/>
    <w:rsid w:val="00A422E1"/>
    <w:rsid w:val="00A42408"/>
    <w:rsid w:val="00A4247D"/>
    <w:rsid w:val="00A42514"/>
    <w:rsid w:val="00A42886"/>
    <w:rsid w:val="00A42A24"/>
    <w:rsid w:val="00A42A30"/>
    <w:rsid w:val="00A42ACE"/>
    <w:rsid w:val="00A42B6D"/>
    <w:rsid w:val="00A42CCB"/>
    <w:rsid w:val="00A42D98"/>
    <w:rsid w:val="00A42EC3"/>
    <w:rsid w:val="00A42F67"/>
    <w:rsid w:val="00A43001"/>
    <w:rsid w:val="00A4307F"/>
    <w:rsid w:val="00A432A2"/>
    <w:rsid w:val="00A433FE"/>
    <w:rsid w:val="00A4345C"/>
    <w:rsid w:val="00A435BD"/>
    <w:rsid w:val="00A435E1"/>
    <w:rsid w:val="00A43677"/>
    <w:rsid w:val="00A438CB"/>
    <w:rsid w:val="00A43904"/>
    <w:rsid w:val="00A43999"/>
    <w:rsid w:val="00A43A2D"/>
    <w:rsid w:val="00A43B6B"/>
    <w:rsid w:val="00A43EDC"/>
    <w:rsid w:val="00A440D2"/>
    <w:rsid w:val="00A44161"/>
    <w:rsid w:val="00A443CC"/>
    <w:rsid w:val="00A444E4"/>
    <w:rsid w:val="00A4455B"/>
    <w:rsid w:val="00A445EC"/>
    <w:rsid w:val="00A44669"/>
    <w:rsid w:val="00A446FA"/>
    <w:rsid w:val="00A44888"/>
    <w:rsid w:val="00A44932"/>
    <w:rsid w:val="00A44A18"/>
    <w:rsid w:val="00A44AA8"/>
    <w:rsid w:val="00A44B76"/>
    <w:rsid w:val="00A44BCF"/>
    <w:rsid w:val="00A44C4E"/>
    <w:rsid w:val="00A44D27"/>
    <w:rsid w:val="00A44D70"/>
    <w:rsid w:val="00A44D9E"/>
    <w:rsid w:val="00A44FDE"/>
    <w:rsid w:val="00A45063"/>
    <w:rsid w:val="00A4507F"/>
    <w:rsid w:val="00A453E8"/>
    <w:rsid w:val="00A45418"/>
    <w:rsid w:val="00A454F1"/>
    <w:rsid w:val="00A456FE"/>
    <w:rsid w:val="00A45BEF"/>
    <w:rsid w:val="00A45C6A"/>
    <w:rsid w:val="00A45C73"/>
    <w:rsid w:val="00A45C81"/>
    <w:rsid w:val="00A45D93"/>
    <w:rsid w:val="00A45DCA"/>
    <w:rsid w:val="00A45EE0"/>
    <w:rsid w:val="00A46087"/>
    <w:rsid w:val="00A460B2"/>
    <w:rsid w:val="00A4619F"/>
    <w:rsid w:val="00A461EB"/>
    <w:rsid w:val="00A462CC"/>
    <w:rsid w:val="00A4653D"/>
    <w:rsid w:val="00A46584"/>
    <w:rsid w:val="00A46713"/>
    <w:rsid w:val="00A4674E"/>
    <w:rsid w:val="00A467A1"/>
    <w:rsid w:val="00A46877"/>
    <w:rsid w:val="00A4689B"/>
    <w:rsid w:val="00A469D5"/>
    <w:rsid w:val="00A46C22"/>
    <w:rsid w:val="00A46DF3"/>
    <w:rsid w:val="00A46F08"/>
    <w:rsid w:val="00A46FA0"/>
    <w:rsid w:val="00A46FBC"/>
    <w:rsid w:val="00A4701D"/>
    <w:rsid w:val="00A470E0"/>
    <w:rsid w:val="00A471DD"/>
    <w:rsid w:val="00A47357"/>
    <w:rsid w:val="00A47381"/>
    <w:rsid w:val="00A47552"/>
    <w:rsid w:val="00A4756F"/>
    <w:rsid w:val="00A47630"/>
    <w:rsid w:val="00A47667"/>
    <w:rsid w:val="00A476C4"/>
    <w:rsid w:val="00A477E8"/>
    <w:rsid w:val="00A47836"/>
    <w:rsid w:val="00A479B1"/>
    <w:rsid w:val="00A479E4"/>
    <w:rsid w:val="00A47A59"/>
    <w:rsid w:val="00A47C47"/>
    <w:rsid w:val="00A47CD7"/>
    <w:rsid w:val="00A47CF9"/>
    <w:rsid w:val="00A47E9B"/>
    <w:rsid w:val="00A47F71"/>
    <w:rsid w:val="00A50044"/>
    <w:rsid w:val="00A500E0"/>
    <w:rsid w:val="00A50111"/>
    <w:rsid w:val="00A5014D"/>
    <w:rsid w:val="00A5015B"/>
    <w:rsid w:val="00A5023D"/>
    <w:rsid w:val="00A5030E"/>
    <w:rsid w:val="00A506C9"/>
    <w:rsid w:val="00A5071E"/>
    <w:rsid w:val="00A50970"/>
    <w:rsid w:val="00A50971"/>
    <w:rsid w:val="00A50AE7"/>
    <w:rsid w:val="00A50B13"/>
    <w:rsid w:val="00A50B6D"/>
    <w:rsid w:val="00A50D88"/>
    <w:rsid w:val="00A50DEB"/>
    <w:rsid w:val="00A5105A"/>
    <w:rsid w:val="00A510A6"/>
    <w:rsid w:val="00A511F3"/>
    <w:rsid w:val="00A5132B"/>
    <w:rsid w:val="00A51392"/>
    <w:rsid w:val="00A513A4"/>
    <w:rsid w:val="00A513BE"/>
    <w:rsid w:val="00A5158E"/>
    <w:rsid w:val="00A51614"/>
    <w:rsid w:val="00A51651"/>
    <w:rsid w:val="00A5167A"/>
    <w:rsid w:val="00A51726"/>
    <w:rsid w:val="00A517B2"/>
    <w:rsid w:val="00A517C7"/>
    <w:rsid w:val="00A51853"/>
    <w:rsid w:val="00A5185E"/>
    <w:rsid w:val="00A51AC0"/>
    <w:rsid w:val="00A51D77"/>
    <w:rsid w:val="00A51DAC"/>
    <w:rsid w:val="00A51DB7"/>
    <w:rsid w:val="00A51DB8"/>
    <w:rsid w:val="00A51F0B"/>
    <w:rsid w:val="00A5203A"/>
    <w:rsid w:val="00A52180"/>
    <w:rsid w:val="00A52199"/>
    <w:rsid w:val="00A52207"/>
    <w:rsid w:val="00A5244C"/>
    <w:rsid w:val="00A5245F"/>
    <w:rsid w:val="00A5247A"/>
    <w:rsid w:val="00A52532"/>
    <w:rsid w:val="00A5260B"/>
    <w:rsid w:val="00A52619"/>
    <w:rsid w:val="00A52650"/>
    <w:rsid w:val="00A52674"/>
    <w:rsid w:val="00A52744"/>
    <w:rsid w:val="00A5276C"/>
    <w:rsid w:val="00A52773"/>
    <w:rsid w:val="00A52818"/>
    <w:rsid w:val="00A528A2"/>
    <w:rsid w:val="00A52A63"/>
    <w:rsid w:val="00A52B10"/>
    <w:rsid w:val="00A52B74"/>
    <w:rsid w:val="00A52B7F"/>
    <w:rsid w:val="00A52C1D"/>
    <w:rsid w:val="00A52DA8"/>
    <w:rsid w:val="00A531B2"/>
    <w:rsid w:val="00A532F7"/>
    <w:rsid w:val="00A533F8"/>
    <w:rsid w:val="00A53429"/>
    <w:rsid w:val="00A5346F"/>
    <w:rsid w:val="00A53510"/>
    <w:rsid w:val="00A537A2"/>
    <w:rsid w:val="00A53ABC"/>
    <w:rsid w:val="00A53ADD"/>
    <w:rsid w:val="00A53BB9"/>
    <w:rsid w:val="00A53BBE"/>
    <w:rsid w:val="00A53C06"/>
    <w:rsid w:val="00A53D59"/>
    <w:rsid w:val="00A53D65"/>
    <w:rsid w:val="00A53E7C"/>
    <w:rsid w:val="00A54050"/>
    <w:rsid w:val="00A541FB"/>
    <w:rsid w:val="00A54229"/>
    <w:rsid w:val="00A5432A"/>
    <w:rsid w:val="00A5438A"/>
    <w:rsid w:val="00A5446C"/>
    <w:rsid w:val="00A5464B"/>
    <w:rsid w:val="00A54654"/>
    <w:rsid w:val="00A5487B"/>
    <w:rsid w:val="00A54A31"/>
    <w:rsid w:val="00A54AD6"/>
    <w:rsid w:val="00A54B58"/>
    <w:rsid w:val="00A54C10"/>
    <w:rsid w:val="00A54C2B"/>
    <w:rsid w:val="00A54E48"/>
    <w:rsid w:val="00A54ED6"/>
    <w:rsid w:val="00A54F62"/>
    <w:rsid w:val="00A54FB8"/>
    <w:rsid w:val="00A5501D"/>
    <w:rsid w:val="00A55075"/>
    <w:rsid w:val="00A55084"/>
    <w:rsid w:val="00A555CE"/>
    <w:rsid w:val="00A55659"/>
    <w:rsid w:val="00A557FD"/>
    <w:rsid w:val="00A55869"/>
    <w:rsid w:val="00A558D3"/>
    <w:rsid w:val="00A558EF"/>
    <w:rsid w:val="00A5590C"/>
    <w:rsid w:val="00A55981"/>
    <w:rsid w:val="00A55A6C"/>
    <w:rsid w:val="00A55AEC"/>
    <w:rsid w:val="00A55AF9"/>
    <w:rsid w:val="00A55C24"/>
    <w:rsid w:val="00A55EA9"/>
    <w:rsid w:val="00A561B6"/>
    <w:rsid w:val="00A5626F"/>
    <w:rsid w:val="00A56351"/>
    <w:rsid w:val="00A56449"/>
    <w:rsid w:val="00A564D5"/>
    <w:rsid w:val="00A564EF"/>
    <w:rsid w:val="00A5662A"/>
    <w:rsid w:val="00A567C9"/>
    <w:rsid w:val="00A56812"/>
    <w:rsid w:val="00A56833"/>
    <w:rsid w:val="00A568AA"/>
    <w:rsid w:val="00A56923"/>
    <w:rsid w:val="00A56AD1"/>
    <w:rsid w:val="00A56C26"/>
    <w:rsid w:val="00A56DAE"/>
    <w:rsid w:val="00A56F75"/>
    <w:rsid w:val="00A570F1"/>
    <w:rsid w:val="00A570F6"/>
    <w:rsid w:val="00A5719C"/>
    <w:rsid w:val="00A571D5"/>
    <w:rsid w:val="00A57247"/>
    <w:rsid w:val="00A572FB"/>
    <w:rsid w:val="00A5736A"/>
    <w:rsid w:val="00A57400"/>
    <w:rsid w:val="00A57512"/>
    <w:rsid w:val="00A57769"/>
    <w:rsid w:val="00A57786"/>
    <w:rsid w:val="00A57886"/>
    <w:rsid w:val="00A5789E"/>
    <w:rsid w:val="00A5795F"/>
    <w:rsid w:val="00A57A17"/>
    <w:rsid w:val="00A57B27"/>
    <w:rsid w:val="00A57BA7"/>
    <w:rsid w:val="00A57CC7"/>
    <w:rsid w:val="00A57D2E"/>
    <w:rsid w:val="00A57F57"/>
    <w:rsid w:val="00A57F77"/>
    <w:rsid w:val="00A60215"/>
    <w:rsid w:val="00A602D5"/>
    <w:rsid w:val="00A603AD"/>
    <w:rsid w:val="00A60422"/>
    <w:rsid w:val="00A604CE"/>
    <w:rsid w:val="00A6054E"/>
    <w:rsid w:val="00A606A1"/>
    <w:rsid w:val="00A6081C"/>
    <w:rsid w:val="00A609D2"/>
    <w:rsid w:val="00A60A21"/>
    <w:rsid w:val="00A60AED"/>
    <w:rsid w:val="00A60B4E"/>
    <w:rsid w:val="00A60DB9"/>
    <w:rsid w:val="00A60DF7"/>
    <w:rsid w:val="00A60E44"/>
    <w:rsid w:val="00A60EE1"/>
    <w:rsid w:val="00A60F37"/>
    <w:rsid w:val="00A60F3D"/>
    <w:rsid w:val="00A60FA6"/>
    <w:rsid w:val="00A610B9"/>
    <w:rsid w:val="00A613AA"/>
    <w:rsid w:val="00A61432"/>
    <w:rsid w:val="00A61492"/>
    <w:rsid w:val="00A6154F"/>
    <w:rsid w:val="00A61586"/>
    <w:rsid w:val="00A61719"/>
    <w:rsid w:val="00A61887"/>
    <w:rsid w:val="00A61888"/>
    <w:rsid w:val="00A61A37"/>
    <w:rsid w:val="00A61B1D"/>
    <w:rsid w:val="00A61BF0"/>
    <w:rsid w:val="00A61C25"/>
    <w:rsid w:val="00A61C4D"/>
    <w:rsid w:val="00A61C90"/>
    <w:rsid w:val="00A62096"/>
    <w:rsid w:val="00A62159"/>
    <w:rsid w:val="00A62291"/>
    <w:rsid w:val="00A6238F"/>
    <w:rsid w:val="00A62487"/>
    <w:rsid w:val="00A624DF"/>
    <w:rsid w:val="00A62606"/>
    <w:rsid w:val="00A626BA"/>
    <w:rsid w:val="00A6272F"/>
    <w:rsid w:val="00A627D1"/>
    <w:rsid w:val="00A628A5"/>
    <w:rsid w:val="00A62A4B"/>
    <w:rsid w:val="00A62C21"/>
    <w:rsid w:val="00A62E42"/>
    <w:rsid w:val="00A630E2"/>
    <w:rsid w:val="00A63114"/>
    <w:rsid w:val="00A63166"/>
    <w:rsid w:val="00A631AD"/>
    <w:rsid w:val="00A635D2"/>
    <w:rsid w:val="00A635F1"/>
    <w:rsid w:val="00A637A4"/>
    <w:rsid w:val="00A63801"/>
    <w:rsid w:val="00A638BC"/>
    <w:rsid w:val="00A63936"/>
    <w:rsid w:val="00A639EA"/>
    <w:rsid w:val="00A63A91"/>
    <w:rsid w:val="00A63B90"/>
    <w:rsid w:val="00A63BD6"/>
    <w:rsid w:val="00A63C55"/>
    <w:rsid w:val="00A63E83"/>
    <w:rsid w:val="00A63F20"/>
    <w:rsid w:val="00A64094"/>
    <w:rsid w:val="00A64169"/>
    <w:rsid w:val="00A6440B"/>
    <w:rsid w:val="00A64430"/>
    <w:rsid w:val="00A64561"/>
    <w:rsid w:val="00A64565"/>
    <w:rsid w:val="00A645EC"/>
    <w:rsid w:val="00A64688"/>
    <w:rsid w:val="00A649F3"/>
    <w:rsid w:val="00A64A71"/>
    <w:rsid w:val="00A64B9A"/>
    <w:rsid w:val="00A64D61"/>
    <w:rsid w:val="00A64DB2"/>
    <w:rsid w:val="00A64EF5"/>
    <w:rsid w:val="00A64FBE"/>
    <w:rsid w:val="00A6501B"/>
    <w:rsid w:val="00A65020"/>
    <w:rsid w:val="00A6516A"/>
    <w:rsid w:val="00A654AC"/>
    <w:rsid w:val="00A655AA"/>
    <w:rsid w:val="00A65601"/>
    <w:rsid w:val="00A6564A"/>
    <w:rsid w:val="00A65761"/>
    <w:rsid w:val="00A65784"/>
    <w:rsid w:val="00A6589F"/>
    <w:rsid w:val="00A65B11"/>
    <w:rsid w:val="00A65BEF"/>
    <w:rsid w:val="00A65D1C"/>
    <w:rsid w:val="00A65E8D"/>
    <w:rsid w:val="00A66029"/>
    <w:rsid w:val="00A66075"/>
    <w:rsid w:val="00A6669D"/>
    <w:rsid w:val="00A66980"/>
    <w:rsid w:val="00A6699B"/>
    <w:rsid w:val="00A669A1"/>
    <w:rsid w:val="00A66A46"/>
    <w:rsid w:val="00A66B61"/>
    <w:rsid w:val="00A66B64"/>
    <w:rsid w:val="00A66B6A"/>
    <w:rsid w:val="00A66C6E"/>
    <w:rsid w:val="00A66D5B"/>
    <w:rsid w:val="00A66D68"/>
    <w:rsid w:val="00A66D6C"/>
    <w:rsid w:val="00A66D82"/>
    <w:rsid w:val="00A66EF0"/>
    <w:rsid w:val="00A66F3E"/>
    <w:rsid w:val="00A66F62"/>
    <w:rsid w:val="00A67057"/>
    <w:rsid w:val="00A67073"/>
    <w:rsid w:val="00A670AF"/>
    <w:rsid w:val="00A6710A"/>
    <w:rsid w:val="00A671A5"/>
    <w:rsid w:val="00A6724E"/>
    <w:rsid w:val="00A67313"/>
    <w:rsid w:val="00A6733B"/>
    <w:rsid w:val="00A67635"/>
    <w:rsid w:val="00A677B7"/>
    <w:rsid w:val="00A67AB7"/>
    <w:rsid w:val="00A67CD9"/>
    <w:rsid w:val="00A67D44"/>
    <w:rsid w:val="00A67DE2"/>
    <w:rsid w:val="00A67E3D"/>
    <w:rsid w:val="00A67E9C"/>
    <w:rsid w:val="00A67F58"/>
    <w:rsid w:val="00A70139"/>
    <w:rsid w:val="00A701FC"/>
    <w:rsid w:val="00A703D1"/>
    <w:rsid w:val="00A706AC"/>
    <w:rsid w:val="00A7078B"/>
    <w:rsid w:val="00A707D9"/>
    <w:rsid w:val="00A70844"/>
    <w:rsid w:val="00A708A1"/>
    <w:rsid w:val="00A708F5"/>
    <w:rsid w:val="00A70AE6"/>
    <w:rsid w:val="00A70BA7"/>
    <w:rsid w:val="00A70CFB"/>
    <w:rsid w:val="00A70DC3"/>
    <w:rsid w:val="00A70DEA"/>
    <w:rsid w:val="00A70EF4"/>
    <w:rsid w:val="00A70FBE"/>
    <w:rsid w:val="00A7100A"/>
    <w:rsid w:val="00A71020"/>
    <w:rsid w:val="00A71077"/>
    <w:rsid w:val="00A71255"/>
    <w:rsid w:val="00A7133A"/>
    <w:rsid w:val="00A713FE"/>
    <w:rsid w:val="00A7144E"/>
    <w:rsid w:val="00A71528"/>
    <w:rsid w:val="00A715AC"/>
    <w:rsid w:val="00A7169F"/>
    <w:rsid w:val="00A71897"/>
    <w:rsid w:val="00A718AB"/>
    <w:rsid w:val="00A718C8"/>
    <w:rsid w:val="00A71961"/>
    <w:rsid w:val="00A71AF5"/>
    <w:rsid w:val="00A71B3B"/>
    <w:rsid w:val="00A71C09"/>
    <w:rsid w:val="00A71DA1"/>
    <w:rsid w:val="00A71F32"/>
    <w:rsid w:val="00A72052"/>
    <w:rsid w:val="00A72079"/>
    <w:rsid w:val="00A721D4"/>
    <w:rsid w:val="00A72250"/>
    <w:rsid w:val="00A72352"/>
    <w:rsid w:val="00A7236C"/>
    <w:rsid w:val="00A723A5"/>
    <w:rsid w:val="00A723B6"/>
    <w:rsid w:val="00A723C6"/>
    <w:rsid w:val="00A72407"/>
    <w:rsid w:val="00A724B2"/>
    <w:rsid w:val="00A7253F"/>
    <w:rsid w:val="00A725D1"/>
    <w:rsid w:val="00A725FA"/>
    <w:rsid w:val="00A72717"/>
    <w:rsid w:val="00A72773"/>
    <w:rsid w:val="00A727C9"/>
    <w:rsid w:val="00A7284E"/>
    <w:rsid w:val="00A72863"/>
    <w:rsid w:val="00A72877"/>
    <w:rsid w:val="00A728F5"/>
    <w:rsid w:val="00A72960"/>
    <w:rsid w:val="00A72A4F"/>
    <w:rsid w:val="00A72BEB"/>
    <w:rsid w:val="00A72D70"/>
    <w:rsid w:val="00A72D8F"/>
    <w:rsid w:val="00A72D9D"/>
    <w:rsid w:val="00A72EA0"/>
    <w:rsid w:val="00A72EAE"/>
    <w:rsid w:val="00A72EEA"/>
    <w:rsid w:val="00A72F73"/>
    <w:rsid w:val="00A73202"/>
    <w:rsid w:val="00A7323B"/>
    <w:rsid w:val="00A732A5"/>
    <w:rsid w:val="00A732FB"/>
    <w:rsid w:val="00A73351"/>
    <w:rsid w:val="00A734B5"/>
    <w:rsid w:val="00A735D1"/>
    <w:rsid w:val="00A7393E"/>
    <w:rsid w:val="00A73B1B"/>
    <w:rsid w:val="00A73B6C"/>
    <w:rsid w:val="00A73B8D"/>
    <w:rsid w:val="00A73C94"/>
    <w:rsid w:val="00A73CAD"/>
    <w:rsid w:val="00A73CB1"/>
    <w:rsid w:val="00A73CCC"/>
    <w:rsid w:val="00A73CFD"/>
    <w:rsid w:val="00A73D9D"/>
    <w:rsid w:val="00A73DA7"/>
    <w:rsid w:val="00A73ED7"/>
    <w:rsid w:val="00A73F69"/>
    <w:rsid w:val="00A7436B"/>
    <w:rsid w:val="00A74403"/>
    <w:rsid w:val="00A7441E"/>
    <w:rsid w:val="00A744C5"/>
    <w:rsid w:val="00A7479E"/>
    <w:rsid w:val="00A74815"/>
    <w:rsid w:val="00A74867"/>
    <w:rsid w:val="00A74F9E"/>
    <w:rsid w:val="00A7504E"/>
    <w:rsid w:val="00A7524C"/>
    <w:rsid w:val="00A75365"/>
    <w:rsid w:val="00A75372"/>
    <w:rsid w:val="00A753C2"/>
    <w:rsid w:val="00A753E1"/>
    <w:rsid w:val="00A75568"/>
    <w:rsid w:val="00A75625"/>
    <w:rsid w:val="00A75969"/>
    <w:rsid w:val="00A75AB8"/>
    <w:rsid w:val="00A75AF1"/>
    <w:rsid w:val="00A75B28"/>
    <w:rsid w:val="00A75B93"/>
    <w:rsid w:val="00A75BB5"/>
    <w:rsid w:val="00A75CE2"/>
    <w:rsid w:val="00A75CED"/>
    <w:rsid w:val="00A75D81"/>
    <w:rsid w:val="00A75E2B"/>
    <w:rsid w:val="00A75EBD"/>
    <w:rsid w:val="00A75F09"/>
    <w:rsid w:val="00A75F65"/>
    <w:rsid w:val="00A75F91"/>
    <w:rsid w:val="00A760D1"/>
    <w:rsid w:val="00A76189"/>
    <w:rsid w:val="00A761D9"/>
    <w:rsid w:val="00A76218"/>
    <w:rsid w:val="00A76394"/>
    <w:rsid w:val="00A7649C"/>
    <w:rsid w:val="00A76556"/>
    <w:rsid w:val="00A765C6"/>
    <w:rsid w:val="00A7668E"/>
    <w:rsid w:val="00A76736"/>
    <w:rsid w:val="00A76767"/>
    <w:rsid w:val="00A76795"/>
    <w:rsid w:val="00A767F4"/>
    <w:rsid w:val="00A76865"/>
    <w:rsid w:val="00A769C3"/>
    <w:rsid w:val="00A76A67"/>
    <w:rsid w:val="00A76B18"/>
    <w:rsid w:val="00A76B49"/>
    <w:rsid w:val="00A76BBE"/>
    <w:rsid w:val="00A76EE1"/>
    <w:rsid w:val="00A76EEA"/>
    <w:rsid w:val="00A76F1F"/>
    <w:rsid w:val="00A7709F"/>
    <w:rsid w:val="00A77117"/>
    <w:rsid w:val="00A771A7"/>
    <w:rsid w:val="00A771C4"/>
    <w:rsid w:val="00A771FA"/>
    <w:rsid w:val="00A7721A"/>
    <w:rsid w:val="00A7724F"/>
    <w:rsid w:val="00A77297"/>
    <w:rsid w:val="00A7731A"/>
    <w:rsid w:val="00A77528"/>
    <w:rsid w:val="00A7763B"/>
    <w:rsid w:val="00A77715"/>
    <w:rsid w:val="00A778BB"/>
    <w:rsid w:val="00A778E8"/>
    <w:rsid w:val="00A779BD"/>
    <w:rsid w:val="00A77CC1"/>
    <w:rsid w:val="00A77DF1"/>
    <w:rsid w:val="00A77DF3"/>
    <w:rsid w:val="00A77E52"/>
    <w:rsid w:val="00A77ED1"/>
    <w:rsid w:val="00A80089"/>
    <w:rsid w:val="00A80260"/>
    <w:rsid w:val="00A80334"/>
    <w:rsid w:val="00A803D4"/>
    <w:rsid w:val="00A80440"/>
    <w:rsid w:val="00A8057A"/>
    <w:rsid w:val="00A80A5D"/>
    <w:rsid w:val="00A80AE2"/>
    <w:rsid w:val="00A80B0B"/>
    <w:rsid w:val="00A80CBA"/>
    <w:rsid w:val="00A80D33"/>
    <w:rsid w:val="00A80DCF"/>
    <w:rsid w:val="00A80E72"/>
    <w:rsid w:val="00A80EAC"/>
    <w:rsid w:val="00A80F61"/>
    <w:rsid w:val="00A81074"/>
    <w:rsid w:val="00A810BF"/>
    <w:rsid w:val="00A810D3"/>
    <w:rsid w:val="00A81555"/>
    <w:rsid w:val="00A815C3"/>
    <w:rsid w:val="00A816D9"/>
    <w:rsid w:val="00A817F4"/>
    <w:rsid w:val="00A818AD"/>
    <w:rsid w:val="00A819CF"/>
    <w:rsid w:val="00A81A92"/>
    <w:rsid w:val="00A81B2C"/>
    <w:rsid w:val="00A81B7A"/>
    <w:rsid w:val="00A81D97"/>
    <w:rsid w:val="00A81DAC"/>
    <w:rsid w:val="00A81DD2"/>
    <w:rsid w:val="00A81F6F"/>
    <w:rsid w:val="00A81FA7"/>
    <w:rsid w:val="00A82017"/>
    <w:rsid w:val="00A82160"/>
    <w:rsid w:val="00A821EC"/>
    <w:rsid w:val="00A822A6"/>
    <w:rsid w:val="00A8241B"/>
    <w:rsid w:val="00A824A9"/>
    <w:rsid w:val="00A824E9"/>
    <w:rsid w:val="00A824F9"/>
    <w:rsid w:val="00A82571"/>
    <w:rsid w:val="00A8258D"/>
    <w:rsid w:val="00A82658"/>
    <w:rsid w:val="00A8278C"/>
    <w:rsid w:val="00A827AC"/>
    <w:rsid w:val="00A82856"/>
    <w:rsid w:val="00A82963"/>
    <w:rsid w:val="00A829D8"/>
    <w:rsid w:val="00A82D20"/>
    <w:rsid w:val="00A82DC0"/>
    <w:rsid w:val="00A82E9D"/>
    <w:rsid w:val="00A82EAB"/>
    <w:rsid w:val="00A82F54"/>
    <w:rsid w:val="00A82F56"/>
    <w:rsid w:val="00A831BF"/>
    <w:rsid w:val="00A832B2"/>
    <w:rsid w:val="00A83348"/>
    <w:rsid w:val="00A833DE"/>
    <w:rsid w:val="00A83436"/>
    <w:rsid w:val="00A837FB"/>
    <w:rsid w:val="00A83822"/>
    <w:rsid w:val="00A8397B"/>
    <w:rsid w:val="00A83A4E"/>
    <w:rsid w:val="00A83BCF"/>
    <w:rsid w:val="00A83CFD"/>
    <w:rsid w:val="00A83EC6"/>
    <w:rsid w:val="00A83F50"/>
    <w:rsid w:val="00A84028"/>
    <w:rsid w:val="00A8412C"/>
    <w:rsid w:val="00A8419F"/>
    <w:rsid w:val="00A841AD"/>
    <w:rsid w:val="00A84253"/>
    <w:rsid w:val="00A843DF"/>
    <w:rsid w:val="00A843F3"/>
    <w:rsid w:val="00A84475"/>
    <w:rsid w:val="00A84497"/>
    <w:rsid w:val="00A844B9"/>
    <w:rsid w:val="00A84558"/>
    <w:rsid w:val="00A84706"/>
    <w:rsid w:val="00A84770"/>
    <w:rsid w:val="00A84834"/>
    <w:rsid w:val="00A84A3D"/>
    <w:rsid w:val="00A84B2D"/>
    <w:rsid w:val="00A84B62"/>
    <w:rsid w:val="00A84BB9"/>
    <w:rsid w:val="00A84C1D"/>
    <w:rsid w:val="00A84E3B"/>
    <w:rsid w:val="00A84EF2"/>
    <w:rsid w:val="00A85055"/>
    <w:rsid w:val="00A85189"/>
    <w:rsid w:val="00A85250"/>
    <w:rsid w:val="00A8529A"/>
    <w:rsid w:val="00A853AF"/>
    <w:rsid w:val="00A854F7"/>
    <w:rsid w:val="00A855C8"/>
    <w:rsid w:val="00A85736"/>
    <w:rsid w:val="00A857AB"/>
    <w:rsid w:val="00A85817"/>
    <w:rsid w:val="00A8581A"/>
    <w:rsid w:val="00A858D6"/>
    <w:rsid w:val="00A85921"/>
    <w:rsid w:val="00A8599B"/>
    <w:rsid w:val="00A859C9"/>
    <w:rsid w:val="00A85BCB"/>
    <w:rsid w:val="00A85BEA"/>
    <w:rsid w:val="00A85C0C"/>
    <w:rsid w:val="00A85CAF"/>
    <w:rsid w:val="00A85E42"/>
    <w:rsid w:val="00A85F55"/>
    <w:rsid w:val="00A85FA3"/>
    <w:rsid w:val="00A860CF"/>
    <w:rsid w:val="00A86119"/>
    <w:rsid w:val="00A86327"/>
    <w:rsid w:val="00A86439"/>
    <w:rsid w:val="00A865EB"/>
    <w:rsid w:val="00A86628"/>
    <w:rsid w:val="00A866FE"/>
    <w:rsid w:val="00A8670C"/>
    <w:rsid w:val="00A86767"/>
    <w:rsid w:val="00A86834"/>
    <w:rsid w:val="00A8684F"/>
    <w:rsid w:val="00A8685D"/>
    <w:rsid w:val="00A869D1"/>
    <w:rsid w:val="00A86A00"/>
    <w:rsid w:val="00A86BDE"/>
    <w:rsid w:val="00A86F81"/>
    <w:rsid w:val="00A87035"/>
    <w:rsid w:val="00A87077"/>
    <w:rsid w:val="00A871BA"/>
    <w:rsid w:val="00A871DC"/>
    <w:rsid w:val="00A87228"/>
    <w:rsid w:val="00A87310"/>
    <w:rsid w:val="00A875FD"/>
    <w:rsid w:val="00A87829"/>
    <w:rsid w:val="00A87905"/>
    <w:rsid w:val="00A87AE6"/>
    <w:rsid w:val="00A87BA0"/>
    <w:rsid w:val="00A87D30"/>
    <w:rsid w:val="00A87E37"/>
    <w:rsid w:val="00A87F41"/>
    <w:rsid w:val="00A90014"/>
    <w:rsid w:val="00A9001E"/>
    <w:rsid w:val="00A90071"/>
    <w:rsid w:val="00A900E8"/>
    <w:rsid w:val="00A90304"/>
    <w:rsid w:val="00A903EC"/>
    <w:rsid w:val="00A9042F"/>
    <w:rsid w:val="00A904A7"/>
    <w:rsid w:val="00A904C0"/>
    <w:rsid w:val="00A90513"/>
    <w:rsid w:val="00A9090F"/>
    <w:rsid w:val="00A90AA2"/>
    <w:rsid w:val="00A90AAC"/>
    <w:rsid w:val="00A90AB7"/>
    <w:rsid w:val="00A90B2A"/>
    <w:rsid w:val="00A90D3A"/>
    <w:rsid w:val="00A90D3D"/>
    <w:rsid w:val="00A90D6B"/>
    <w:rsid w:val="00A90D9E"/>
    <w:rsid w:val="00A90E35"/>
    <w:rsid w:val="00A90E8D"/>
    <w:rsid w:val="00A910C7"/>
    <w:rsid w:val="00A912F3"/>
    <w:rsid w:val="00A913E1"/>
    <w:rsid w:val="00A91417"/>
    <w:rsid w:val="00A9177A"/>
    <w:rsid w:val="00A91B4B"/>
    <w:rsid w:val="00A91C3A"/>
    <w:rsid w:val="00A91C80"/>
    <w:rsid w:val="00A91DEC"/>
    <w:rsid w:val="00A92034"/>
    <w:rsid w:val="00A9205D"/>
    <w:rsid w:val="00A92062"/>
    <w:rsid w:val="00A9211E"/>
    <w:rsid w:val="00A92298"/>
    <w:rsid w:val="00A922A4"/>
    <w:rsid w:val="00A92340"/>
    <w:rsid w:val="00A9235B"/>
    <w:rsid w:val="00A923BC"/>
    <w:rsid w:val="00A923CB"/>
    <w:rsid w:val="00A9265C"/>
    <w:rsid w:val="00A926E9"/>
    <w:rsid w:val="00A92795"/>
    <w:rsid w:val="00A92BE7"/>
    <w:rsid w:val="00A92C35"/>
    <w:rsid w:val="00A92DA1"/>
    <w:rsid w:val="00A92DC1"/>
    <w:rsid w:val="00A92F7E"/>
    <w:rsid w:val="00A92FE4"/>
    <w:rsid w:val="00A9301B"/>
    <w:rsid w:val="00A9323A"/>
    <w:rsid w:val="00A93366"/>
    <w:rsid w:val="00A93401"/>
    <w:rsid w:val="00A934FF"/>
    <w:rsid w:val="00A93550"/>
    <w:rsid w:val="00A936C3"/>
    <w:rsid w:val="00A936CE"/>
    <w:rsid w:val="00A9376E"/>
    <w:rsid w:val="00A937B2"/>
    <w:rsid w:val="00A938CE"/>
    <w:rsid w:val="00A93D1B"/>
    <w:rsid w:val="00A93EC4"/>
    <w:rsid w:val="00A93FF4"/>
    <w:rsid w:val="00A941A1"/>
    <w:rsid w:val="00A94221"/>
    <w:rsid w:val="00A943AF"/>
    <w:rsid w:val="00A94408"/>
    <w:rsid w:val="00A945C6"/>
    <w:rsid w:val="00A945F5"/>
    <w:rsid w:val="00A94612"/>
    <w:rsid w:val="00A94779"/>
    <w:rsid w:val="00A947B5"/>
    <w:rsid w:val="00A9496C"/>
    <w:rsid w:val="00A949FE"/>
    <w:rsid w:val="00A94A07"/>
    <w:rsid w:val="00A94ADE"/>
    <w:rsid w:val="00A94AE2"/>
    <w:rsid w:val="00A94AF2"/>
    <w:rsid w:val="00A94BAA"/>
    <w:rsid w:val="00A94D7B"/>
    <w:rsid w:val="00A94FB6"/>
    <w:rsid w:val="00A95060"/>
    <w:rsid w:val="00A950A6"/>
    <w:rsid w:val="00A95122"/>
    <w:rsid w:val="00A9523D"/>
    <w:rsid w:val="00A9538E"/>
    <w:rsid w:val="00A9548E"/>
    <w:rsid w:val="00A95505"/>
    <w:rsid w:val="00A95563"/>
    <w:rsid w:val="00A95620"/>
    <w:rsid w:val="00A956D6"/>
    <w:rsid w:val="00A959EF"/>
    <w:rsid w:val="00A95B2D"/>
    <w:rsid w:val="00A95F2D"/>
    <w:rsid w:val="00A95F5F"/>
    <w:rsid w:val="00A95FA5"/>
    <w:rsid w:val="00A960A4"/>
    <w:rsid w:val="00A9614C"/>
    <w:rsid w:val="00A9617B"/>
    <w:rsid w:val="00A961A2"/>
    <w:rsid w:val="00A96359"/>
    <w:rsid w:val="00A96448"/>
    <w:rsid w:val="00A9644C"/>
    <w:rsid w:val="00A96686"/>
    <w:rsid w:val="00A966F3"/>
    <w:rsid w:val="00A966F4"/>
    <w:rsid w:val="00A96722"/>
    <w:rsid w:val="00A9675B"/>
    <w:rsid w:val="00A96814"/>
    <w:rsid w:val="00A968D2"/>
    <w:rsid w:val="00A968F6"/>
    <w:rsid w:val="00A96909"/>
    <w:rsid w:val="00A96A05"/>
    <w:rsid w:val="00A96A3C"/>
    <w:rsid w:val="00A96A71"/>
    <w:rsid w:val="00A96AC4"/>
    <w:rsid w:val="00A96B82"/>
    <w:rsid w:val="00A96B8C"/>
    <w:rsid w:val="00A96CF8"/>
    <w:rsid w:val="00A96E3A"/>
    <w:rsid w:val="00A96F75"/>
    <w:rsid w:val="00A97012"/>
    <w:rsid w:val="00A9705D"/>
    <w:rsid w:val="00A97155"/>
    <w:rsid w:val="00A97160"/>
    <w:rsid w:val="00A971EE"/>
    <w:rsid w:val="00A973D4"/>
    <w:rsid w:val="00A9743A"/>
    <w:rsid w:val="00A97456"/>
    <w:rsid w:val="00A97543"/>
    <w:rsid w:val="00A97579"/>
    <w:rsid w:val="00A9763E"/>
    <w:rsid w:val="00A97705"/>
    <w:rsid w:val="00A9776B"/>
    <w:rsid w:val="00A977E4"/>
    <w:rsid w:val="00A97808"/>
    <w:rsid w:val="00A97A90"/>
    <w:rsid w:val="00A97BEA"/>
    <w:rsid w:val="00A97C06"/>
    <w:rsid w:val="00A97CC1"/>
    <w:rsid w:val="00A97D8B"/>
    <w:rsid w:val="00A97DB3"/>
    <w:rsid w:val="00A97F1D"/>
    <w:rsid w:val="00AA015B"/>
    <w:rsid w:val="00AA038C"/>
    <w:rsid w:val="00AA03CE"/>
    <w:rsid w:val="00AA03E2"/>
    <w:rsid w:val="00AA054D"/>
    <w:rsid w:val="00AA05BB"/>
    <w:rsid w:val="00AA06B5"/>
    <w:rsid w:val="00AA07B9"/>
    <w:rsid w:val="00AA07E4"/>
    <w:rsid w:val="00AA07E8"/>
    <w:rsid w:val="00AA097E"/>
    <w:rsid w:val="00AA0B60"/>
    <w:rsid w:val="00AA0D9B"/>
    <w:rsid w:val="00AA0DC6"/>
    <w:rsid w:val="00AA0EF4"/>
    <w:rsid w:val="00AA0F30"/>
    <w:rsid w:val="00AA0FC9"/>
    <w:rsid w:val="00AA1029"/>
    <w:rsid w:val="00AA1236"/>
    <w:rsid w:val="00AA1246"/>
    <w:rsid w:val="00AA1358"/>
    <w:rsid w:val="00AA1780"/>
    <w:rsid w:val="00AA17F9"/>
    <w:rsid w:val="00AA191B"/>
    <w:rsid w:val="00AA19A2"/>
    <w:rsid w:val="00AA1AF5"/>
    <w:rsid w:val="00AA1B7D"/>
    <w:rsid w:val="00AA1CBE"/>
    <w:rsid w:val="00AA1D95"/>
    <w:rsid w:val="00AA1DFC"/>
    <w:rsid w:val="00AA1E79"/>
    <w:rsid w:val="00AA1EB8"/>
    <w:rsid w:val="00AA1EBD"/>
    <w:rsid w:val="00AA1EFE"/>
    <w:rsid w:val="00AA2017"/>
    <w:rsid w:val="00AA2086"/>
    <w:rsid w:val="00AA2261"/>
    <w:rsid w:val="00AA2286"/>
    <w:rsid w:val="00AA22A5"/>
    <w:rsid w:val="00AA22CF"/>
    <w:rsid w:val="00AA22F3"/>
    <w:rsid w:val="00AA22F6"/>
    <w:rsid w:val="00AA23BE"/>
    <w:rsid w:val="00AA2493"/>
    <w:rsid w:val="00AA255A"/>
    <w:rsid w:val="00AA266E"/>
    <w:rsid w:val="00AA2771"/>
    <w:rsid w:val="00AA2773"/>
    <w:rsid w:val="00AA2974"/>
    <w:rsid w:val="00AA2995"/>
    <w:rsid w:val="00AA2A58"/>
    <w:rsid w:val="00AA2B3F"/>
    <w:rsid w:val="00AA2B9E"/>
    <w:rsid w:val="00AA2D72"/>
    <w:rsid w:val="00AA2E0F"/>
    <w:rsid w:val="00AA2EB1"/>
    <w:rsid w:val="00AA2EF3"/>
    <w:rsid w:val="00AA2F8C"/>
    <w:rsid w:val="00AA30E3"/>
    <w:rsid w:val="00AA3140"/>
    <w:rsid w:val="00AA32B9"/>
    <w:rsid w:val="00AA33C4"/>
    <w:rsid w:val="00AA3431"/>
    <w:rsid w:val="00AA34E4"/>
    <w:rsid w:val="00AA356A"/>
    <w:rsid w:val="00AA366B"/>
    <w:rsid w:val="00AA36D9"/>
    <w:rsid w:val="00AA37D1"/>
    <w:rsid w:val="00AA3803"/>
    <w:rsid w:val="00AA382C"/>
    <w:rsid w:val="00AA39D6"/>
    <w:rsid w:val="00AA3A1E"/>
    <w:rsid w:val="00AA3A5C"/>
    <w:rsid w:val="00AA3A6D"/>
    <w:rsid w:val="00AA3ADE"/>
    <w:rsid w:val="00AA3AE7"/>
    <w:rsid w:val="00AA3C26"/>
    <w:rsid w:val="00AA3C52"/>
    <w:rsid w:val="00AA3CFE"/>
    <w:rsid w:val="00AA3D87"/>
    <w:rsid w:val="00AA3F56"/>
    <w:rsid w:val="00AA3FA2"/>
    <w:rsid w:val="00AA4027"/>
    <w:rsid w:val="00AA41A3"/>
    <w:rsid w:val="00AA42BB"/>
    <w:rsid w:val="00AA43A1"/>
    <w:rsid w:val="00AA4471"/>
    <w:rsid w:val="00AA478F"/>
    <w:rsid w:val="00AA484D"/>
    <w:rsid w:val="00AA48B6"/>
    <w:rsid w:val="00AA4A0A"/>
    <w:rsid w:val="00AA4B1D"/>
    <w:rsid w:val="00AA4BAF"/>
    <w:rsid w:val="00AA4BF8"/>
    <w:rsid w:val="00AA4CF4"/>
    <w:rsid w:val="00AA4D17"/>
    <w:rsid w:val="00AA4DC4"/>
    <w:rsid w:val="00AA4DD1"/>
    <w:rsid w:val="00AA4E01"/>
    <w:rsid w:val="00AA4E4F"/>
    <w:rsid w:val="00AA5177"/>
    <w:rsid w:val="00AA529D"/>
    <w:rsid w:val="00AA538E"/>
    <w:rsid w:val="00AA540B"/>
    <w:rsid w:val="00AA5475"/>
    <w:rsid w:val="00AA547B"/>
    <w:rsid w:val="00AA5546"/>
    <w:rsid w:val="00AA576D"/>
    <w:rsid w:val="00AA5906"/>
    <w:rsid w:val="00AA598B"/>
    <w:rsid w:val="00AA5AED"/>
    <w:rsid w:val="00AA5C18"/>
    <w:rsid w:val="00AA5C3E"/>
    <w:rsid w:val="00AA5C6F"/>
    <w:rsid w:val="00AA5CEB"/>
    <w:rsid w:val="00AA5F5E"/>
    <w:rsid w:val="00AA6138"/>
    <w:rsid w:val="00AA624A"/>
    <w:rsid w:val="00AA6298"/>
    <w:rsid w:val="00AA6442"/>
    <w:rsid w:val="00AA64E1"/>
    <w:rsid w:val="00AA6600"/>
    <w:rsid w:val="00AA6631"/>
    <w:rsid w:val="00AA6639"/>
    <w:rsid w:val="00AA66A1"/>
    <w:rsid w:val="00AA6947"/>
    <w:rsid w:val="00AA6A19"/>
    <w:rsid w:val="00AA6AA6"/>
    <w:rsid w:val="00AA6AAC"/>
    <w:rsid w:val="00AA6BAD"/>
    <w:rsid w:val="00AA6CA3"/>
    <w:rsid w:val="00AA6D14"/>
    <w:rsid w:val="00AA6EF4"/>
    <w:rsid w:val="00AA6F9F"/>
    <w:rsid w:val="00AA6FB5"/>
    <w:rsid w:val="00AA7127"/>
    <w:rsid w:val="00AA7270"/>
    <w:rsid w:val="00AA737C"/>
    <w:rsid w:val="00AA748D"/>
    <w:rsid w:val="00AA753A"/>
    <w:rsid w:val="00AA75EE"/>
    <w:rsid w:val="00AA767D"/>
    <w:rsid w:val="00AA76D3"/>
    <w:rsid w:val="00AA76D6"/>
    <w:rsid w:val="00AA76FB"/>
    <w:rsid w:val="00AA777B"/>
    <w:rsid w:val="00AA77A2"/>
    <w:rsid w:val="00AA77E6"/>
    <w:rsid w:val="00AA782C"/>
    <w:rsid w:val="00AA7CEB"/>
    <w:rsid w:val="00AA7E4C"/>
    <w:rsid w:val="00AA7EE6"/>
    <w:rsid w:val="00AA7EEC"/>
    <w:rsid w:val="00AA7EF7"/>
    <w:rsid w:val="00AB0052"/>
    <w:rsid w:val="00AB0252"/>
    <w:rsid w:val="00AB0571"/>
    <w:rsid w:val="00AB05DC"/>
    <w:rsid w:val="00AB06A0"/>
    <w:rsid w:val="00AB07CE"/>
    <w:rsid w:val="00AB07E0"/>
    <w:rsid w:val="00AB0A18"/>
    <w:rsid w:val="00AB0D38"/>
    <w:rsid w:val="00AB0D74"/>
    <w:rsid w:val="00AB1088"/>
    <w:rsid w:val="00AB1135"/>
    <w:rsid w:val="00AB1241"/>
    <w:rsid w:val="00AB126B"/>
    <w:rsid w:val="00AB128A"/>
    <w:rsid w:val="00AB13C5"/>
    <w:rsid w:val="00AB14E1"/>
    <w:rsid w:val="00AB162E"/>
    <w:rsid w:val="00AB1758"/>
    <w:rsid w:val="00AB179B"/>
    <w:rsid w:val="00AB1875"/>
    <w:rsid w:val="00AB1882"/>
    <w:rsid w:val="00AB18D7"/>
    <w:rsid w:val="00AB19AD"/>
    <w:rsid w:val="00AB1C00"/>
    <w:rsid w:val="00AB1C95"/>
    <w:rsid w:val="00AB1C96"/>
    <w:rsid w:val="00AB1D48"/>
    <w:rsid w:val="00AB1D9E"/>
    <w:rsid w:val="00AB1FA6"/>
    <w:rsid w:val="00AB1FFB"/>
    <w:rsid w:val="00AB2179"/>
    <w:rsid w:val="00AB2228"/>
    <w:rsid w:val="00AB25BC"/>
    <w:rsid w:val="00AB2601"/>
    <w:rsid w:val="00AB27F7"/>
    <w:rsid w:val="00AB2980"/>
    <w:rsid w:val="00AB2A1E"/>
    <w:rsid w:val="00AB2AEB"/>
    <w:rsid w:val="00AB2B61"/>
    <w:rsid w:val="00AB2E52"/>
    <w:rsid w:val="00AB30E5"/>
    <w:rsid w:val="00AB3151"/>
    <w:rsid w:val="00AB324F"/>
    <w:rsid w:val="00AB336B"/>
    <w:rsid w:val="00AB3395"/>
    <w:rsid w:val="00AB3422"/>
    <w:rsid w:val="00AB3490"/>
    <w:rsid w:val="00AB34B7"/>
    <w:rsid w:val="00AB3559"/>
    <w:rsid w:val="00AB357D"/>
    <w:rsid w:val="00AB36C0"/>
    <w:rsid w:val="00AB36CD"/>
    <w:rsid w:val="00AB37A5"/>
    <w:rsid w:val="00AB38CA"/>
    <w:rsid w:val="00AB38DE"/>
    <w:rsid w:val="00AB3A4F"/>
    <w:rsid w:val="00AB3B0D"/>
    <w:rsid w:val="00AB3BF0"/>
    <w:rsid w:val="00AB3C1A"/>
    <w:rsid w:val="00AB3C1E"/>
    <w:rsid w:val="00AB3C25"/>
    <w:rsid w:val="00AB4046"/>
    <w:rsid w:val="00AB41A9"/>
    <w:rsid w:val="00AB4272"/>
    <w:rsid w:val="00AB4273"/>
    <w:rsid w:val="00AB4299"/>
    <w:rsid w:val="00AB4300"/>
    <w:rsid w:val="00AB44DE"/>
    <w:rsid w:val="00AB451D"/>
    <w:rsid w:val="00AB45A6"/>
    <w:rsid w:val="00AB4674"/>
    <w:rsid w:val="00AB46FA"/>
    <w:rsid w:val="00AB49FA"/>
    <w:rsid w:val="00AB4A27"/>
    <w:rsid w:val="00AB4AB9"/>
    <w:rsid w:val="00AB4D37"/>
    <w:rsid w:val="00AB4D42"/>
    <w:rsid w:val="00AB5028"/>
    <w:rsid w:val="00AB509B"/>
    <w:rsid w:val="00AB51E3"/>
    <w:rsid w:val="00AB5227"/>
    <w:rsid w:val="00AB52FB"/>
    <w:rsid w:val="00AB53D1"/>
    <w:rsid w:val="00AB53FA"/>
    <w:rsid w:val="00AB550E"/>
    <w:rsid w:val="00AB572F"/>
    <w:rsid w:val="00AB576E"/>
    <w:rsid w:val="00AB5A6C"/>
    <w:rsid w:val="00AB5AC7"/>
    <w:rsid w:val="00AB5B01"/>
    <w:rsid w:val="00AB5C98"/>
    <w:rsid w:val="00AB5E03"/>
    <w:rsid w:val="00AB5FCF"/>
    <w:rsid w:val="00AB61BC"/>
    <w:rsid w:val="00AB6252"/>
    <w:rsid w:val="00AB62AE"/>
    <w:rsid w:val="00AB6405"/>
    <w:rsid w:val="00AB66A5"/>
    <w:rsid w:val="00AB66C4"/>
    <w:rsid w:val="00AB682B"/>
    <w:rsid w:val="00AB68CA"/>
    <w:rsid w:val="00AB6904"/>
    <w:rsid w:val="00AB6A01"/>
    <w:rsid w:val="00AB6A07"/>
    <w:rsid w:val="00AB6AFA"/>
    <w:rsid w:val="00AB6BE6"/>
    <w:rsid w:val="00AB6C91"/>
    <w:rsid w:val="00AB6C94"/>
    <w:rsid w:val="00AB6CCC"/>
    <w:rsid w:val="00AB6DAB"/>
    <w:rsid w:val="00AB6DE5"/>
    <w:rsid w:val="00AB6EDA"/>
    <w:rsid w:val="00AB70FF"/>
    <w:rsid w:val="00AB7152"/>
    <w:rsid w:val="00AB7180"/>
    <w:rsid w:val="00AB71A8"/>
    <w:rsid w:val="00AB7265"/>
    <w:rsid w:val="00AB7392"/>
    <w:rsid w:val="00AB73AD"/>
    <w:rsid w:val="00AB7453"/>
    <w:rsid w:val="00AB74C6"/>
    <w:rsid w:val="00AB75E3"/>
    <w:rsid w:val="00AB78BB"/>
    <w:rsid w:val="00AB78BC"/>
    <w:rsid w:val="00AB7AB7"/>
    <w:rsid w:val="00AB7CAB"/>
    <w:rsid w:val="00AB7CBB"/>
    <w:rsid w:val="00AB7D62"/>
    <w:rsid w:val="00AB7F37"/>
    <w:rsid w:val="00AC01F4"/>
    <w:rsid w:val="00AC0258"/>
    <w:rsid w:val="00AC04F4"/>
    <w:rsid w:val="00AC0500"/>
    <w:rsid w:val="00AC054F"/>
    <w:rsid w:val="00AC05AE"/>
    <w:rsid w:val="00AC08B7"/>
    <w:rsid w:val="00AC0921"/>
    <w:rsid w:val="00AC0928"/>
    <w:rsid w:val="00AC0A92"/>
    <w:rsid w:val="00AC0B45"/>
    <w:rsid w:val="00AC0CAE"/>
    <w:rsid w:val="00AC0E1E"/>
    <w:rsid w:val="00AC0EE4"/>
    <w:rsid w:val="00AC0F8C"/>
    <w:rsid w:val="00AC11A7"/>
    <w:rsid w:val="00AC11CD"/>
    <w:rsid w:val="00AC11DD"/>
    <w:rsid w:val="00AC11ED"/>
    <w:rsid w:val="00AC121A"/>
    <w:rsid w:val="00AC130B"/>
    <w:rsid w:val="00AC137A"/>
    <w:rsid w:val="00AC13CC"/>
    <w:rsid w:val="00AC13D6"/>
    <w:rsid w:val="00AC1429"/>
    <w:rsid w:val="00AC143A"/>
    <w:rsid w:val="00AC15A8"/>
    <w:rsid w:val="00AC1605"/>
    <w:rsid w:val="00AC1641"/>
    <w:rsid w:val="00AC177C"/>
    <w:rsid w:val="00AC17A7"/>
    <w:rsid w:val="00AC18AD"/>
    <w:rsid w:val="00AC18EE"/>
    <w:rsid w:val="00AC18F3"/>
    <w:rsid w:val="00AC1B2C"/>
    <w:rsid w:val="00AC1B84"/>
    <w:rsid w:val="00AC1CCE"/>
    <w:rsid w:val="00AC1D30"/>
    <w:rsid w:val="00AC1E6D"/>
    <w:rsid w:val="00AC1EDA"/>
    <w:rsid w:val="00AC1FA6"/>
    <w:rsid w:val="00AC2057"/>
    <w:rsid w:val="00AC209A"/>
    <w:rsid w:val="00AC21B7"/>
    <w:rsid w:val="00AC2297"/>
    <w:rsid w:val="00AC2639"/>
    <w:rsid w:val="00AC265B"/>
    <w:rsid w:val="00AC2731"/>
    <w:rsid w:val="00AC27E6"/>
    <w:rsid w:val="00AC2B96"/>
    <w:rsid w:val="00AC2BFD"/>
    <w:rsid w:val="00AC2CBB"/>
    <w:rsid w:val="00AC2D74"/>
    <w:rsid w:val="00AC2E50"/>
    <w:rsid w:val="00AC2F66"/>
    <w:rsid w:val="00AC2F8B"/>
    <w:rsid w:val="00AC30AD"/>
    <w:rsid w:val="00AC30E0"/>
    <w:rsid w:val="00AC3196"/>
    <w:rsid w:val="00AC329A"/>
    <w:rsid w:val="00AC33F9"/>
    <w:rsid w:val="00AC3409"/>
    <w:rsid w:val="00AC34C1"/>
    <w:rsid w:val="00AC362D"/>
    <w:rsid w:val="00AC36C7"/>
    <w:rsid w:val="00AC37D8"/>
    <w:rsid w:val="00AC39A2"/>
    <w:rsid w:val="00AC3A87"/>
    <w:rsid w:val="00AC3AD6"/>
    <w:rsid w:val="00AC3BD7"/>
    <w:rsid w:val="00AC3C56"/>
    <w:rsid w:val="00AC3C76"/>
    <w:rsid w:val="00AC3C9F"/>
    <w:rsid w:val="00AC3D4D"/>
    <w:rsid w:val="00AC3DF8"/>
    <w:rsid w:val="00AC3E6C"/>
    <w:rsid w:val="00AC3FC0"/>
    <w:rsid w:val="00AC402E"/>
    <w:rsid w:val="00AC4065"/>
    <w:rsid w:val="00AC407D"/>
    <w:rsid w:val="00AC4183"/>
    <w:rsid w:val="00AC41D3"/>
    <w:rsid w:val="00AC4241"/>
    <w:rsid w:val="00AC43F6"/>
    <w:rsid w:val="00AC440F"/>
    <w:rsid w:val="00AC445F"/>
    <w:rsid w:val="00AC44DA"/>
    <w:rsid w:val="00AC479C"/>
    <w:rsid w:val="00AC481F"/>
    <w:rsid w:val="00AC4892"/>
    <w:rsid w:val="00AC49FB"/>
    <w:rsid w:val="00AC4A9B"/>
    <w:rsid w:val="00AC4BA4"/>
    <w:rsid w:val="00AC4C7E"/>
    <w:rsid w:val="00AC4EBE"/>
    <w:rsid w:val="00AC4F1C"/>
    <w:rsid w:val="00AC513F"/>
    <w:rsid w:val="00AC5256"/>
    <w:rsid w:val="00AC538F"/>
    <w:rsid w:val="00AC546D"/>
    <w:rsid w:val="00AC55EB"/>
    <w:rsid w:val="00AC5611"/>
    <w:rsid w:val="00AC56E6"/>
    <w:rsid w:val="00AC5708"/>
    <w:rsid w:val="00AC577E"/>
    <w:rsid w:val="00AC58CC"/>
    <w:rsid w:val="00AC59D1"/>
    <w:rsid w:val="00AC5BE0"/>
    <w:rsid w:val="00AC5C4B"/>
    <w:rsid w:val="00AC5C71"/>
    <w:rsid w:val="00AC5D0E"/>
    <w:rsid w:val="00AC5D7E"/>
    <w:rsid w:val="00AC5DEE"/>
    <w:rsid w:val="00AC5EFD"/>
    <w:rsid w:val="00AC5F25"/>
    <w:rsid w:val="00AC5F5D"/>
    <w:rsid w:val="00AC6003"/>
    <w:rsid w:val="00AC6362"/>
    <w:rsid w:val="00AC636C"/>
    <w:rsid w:val="00AC63F7"/>
    <w:rsid w:val="00AC66BB"/>
    <w:rsid w:val="00AC6975"/>
    <w:rsid w:val="00AC6AAB"/>
    <w:rsid w:val="00AC6FB6"/>
    <w:rsid w:val="00AC7061"/>
    <w:rsid w:val="00AC70AE"/>
    <w:rsid w:val="00AC70CA"/>
    <w:rsid w:val="00AC70F8"/>
    <w:rsid w:val="00AC7114"/>
    <w:rsid w:val="00AC7180"/>
    <w:rsid w:val="00AC7207"/>
    <w:rsid w:val="00AC728D"/>
    <w:rsid w:val="00AC7455"/>
    <w:rsid w:val="00AC7551"/>
    <w:rsid w:val="00AC7561"/>
    <w:rsid w:val="00AC758C"/>
    <w:rsid w:val="00AC75E2"/>
    <w:rsid w:val="00AC765C"/>
    <w:rsid w:val="00AC769E"/>
    <w:rsid w:val="00AC76DB"/>
    <w:rsid w:val="00AC7737"/>
    <w:rsid w:val="00AC777F"/>
    <w:rsid w:val="00AC790D"/>
    <w:rsid w:val="00AC7978"/>
    <w:rsid w:val="00AC79AF"/>
    <w:rsid w:val="00AC79FA"/>
    <w:rsid w:val="00AC7A9C"/>
    <w:rsid w:val="00AC7AE9"/>
    <w:rsid w:val="00AC7C30"/>
    <w:rsid w:val="00AC7D44"/>
    <w:rsid w:val="00AC7ECE"/>
    <w:rsid w:val="00AC7FC9"/>
    <w:rsid w:val="00AD0056"/>
    <w:rsid w:val="00AD00AE"/>
    <w:rsid w:val="00AD0107"/>
    <w:rsid w:val="00AD019F"/>
    <w:rsid w:val="00AD031C"/>
    <w:rsid w:val="00AD03E1"/>
    <w:rsid w:val="00AD0412"/>
    <w:rsid w:val="00AD04E5"/>
    <w:rsid w:val="00AD050B"/>
    <w:rsid w:val="00AD058C"/>
    <w:rsid w:val="00AD0857"/>
    <w:rsid w:val="00AD0A13"/>
    <w:rsid w:val="00AD0A91"/>
    <w:rsid w:val="00AD0AE2"/>
    <w:rsid w:val="00AD0BE9"/>
    <w:rsid w:val="00AD0C5C"/>
    <w:rsid w:val="00AD0C97"/>
    <w:rsid w:val="00AD0CC2"/>
    <w:rsid w:val="00AD0DF8"/>
    <w:rsid w:val="00AD0DFA"/>
    <w:rsid w:val="00AD0E2B"/>
    <w:rsid w:val="00AD1020"/>
    <w:rsid w:val="00AD105E"/>
    <w:rsid w:val="00AD11E0"/>
    <w:rsid w:val="00AD1212"/>
    <w:rsid w:val="00AD137C"/>
    <w:rsid w:val="00AD1500"/>
    <w:rsid w:val="00AD162E"/>
    <w:rsid w:val="00AD1642"/>
    <w:rsid w:val="00AD168F"/>
    <w:rsid w:val="00AD1732"/>
    <w:rsid w:val="00AD17C7"/>
    <w:rsid w:val="00AD188D"/>
    <w:rsid w:val="00AD1C53"/>
    <w:rsid w:val="00AD1D01"/>
    <w:rsid w:val="00AD1D81"/>
    <w:rsid w:val="00AD1D93"/>
    <w:rsid w:val="00AD1E06"/>
    <w:rsid w:val="00AD1E5C"/>
    <w:rsid w:val="00AD1E64"/>
    <w:rsid w:val="00AD1EC5"/>
    <w:rsid w:val="00AD1FA8"/>
    <w:rsid w:val="00AD1FFC"/>
    <w:rsid w:val="00AD2058"/>
    <w:rsid w:val="00AD2127"/>
    <w:rsid w:val="00AD2182"/>
    <w:rsid w:val="00AD21AC"/>
    <w:rsid w:val="00AD21F0"/>
    <w:rsid w:val="00AD24EA"/>
    <w:rsid w:val="00AD2718"/>
    <w:rsid w:val="00AD277B"/>
    <w:rsid w:val="00AD296B"/>
    <w:rsid w:val="00AD2B92"/>
    <w:rsid w:val="00AD2C2A"/>
    <w:rsid w:val="00AD2D2C"/>
    <w:rsid w:val="00AD2DD7"/>
    <w:rsid w:val="00AD2F20"/>
    <w:rsid w:val="00AD2F3A"/>
    <w:rsid w:val="00AD2F4A"/>
    <w:rsid w:val="00AD3089"/>
    <w:rsid w:val="00AD340D"/>
    <w:rsid w:val="00AD343C"/>
    <w:rsid w:val="00AD346C"/>
    <w:rsid w:val="00AD360E"/>
    <w:rsid w:val="00AD37E9"/>
    <w:rsid w:val="00AD3A40"/>
    <w:rsid w:val="00AD3B2B"/>
    <w:rsid w:val="00AD3EDE"/>
    <w:rsid w:val="00AD3F76"/>
    <w:rsid w:val="00AD3FA2"/>
    <w:rsid w:val="00AD3FF4"/>
    <w:rsid w:val="00AD404F"/>
    <w:rsid w:val="00AD40A3"/>
    <w:rsid w:val="00AD41EF"/>
    <w:rsid w:val="00AD42B8"/>
    <w:rsid w:val="00AD4353"/>
    <w:rsid w:val="00AD43C3"/>
    <w:rsid w:val="00AD43FD"/>
    <w:rsid w:val="00AD4669"/>
    <w:rsid w:val="00AD4675"/>
    <w:rsid w:val="00AD4999"/>
    <w:rsid w:val="00AD4A4E"/>
    <w:rsid w:val="00AD4A8A"/>
    <w:rsid w:val="00AD4BB5"/>
    <w:rsid w:val="00AD4CFF"/>
    <w:rsid w:val="00AD4D51"/>
    <w:rsid w:val="00AD4D92"/>
    <w:rsid w:val="00AD4E1B"/>
    <w:rsid w:val="00AD50EE"/>
    <w:rsid w:val="00AD51A7"/>
    <w:rsid w:val="00AD51C0"/>
    <w:rsid w:val="00AD5714"/>
    <w:rsid w:val="00AD5843"/>
    <w:rsid w:val="00AD585A"/>
    <w:rsid w:val="00AD599B"/>
    <w:rsid w:val="00AD59E9"/>
    <w:rsid w:val="00AD5C29"/>
    <w:rsid w:val="00AD5CE9"/>
    <w:rsid w:val="00AD5D6A"/>
    <w:rsid w:val="00AD5E33"/>
    <w:rsid w:val="00AD5EDD"/>
    <w:rsid w:val="00AD60A2"/>
    <w:rsid w:val="00AD60C8"/>
    <w:rsid w:val="00AD6203"/>
    <w:rsid w:val="00AD62B7"/>
    <w:rsid w:val="00AD62D3"/>
    <w:rsid w:val="00AD6439"/>
    <w:rsid w:val="00AD6595"/>
    <w:rsid w:val="00AD65F0"/>
    <w:rsid w:val="00AD6682"/>
    <w:rsid w:val="00AD6703"/>
    <w:rsid w:val="00AD6711"/>
    <w:rsid w:val="00AD6962"/>
    <w:rsid w:val="00AD6973"/>
    <w:rsid w:val="00AD6976"/>
    <w:rsid w:val="00AD69AC"/>
    <w:rsid w:val="00AD6A39"/>
    <w:rsid w:val="00AD6B6D"/>
    <w:rsid w:val="00AD6EA0"/>
    <w:rsid w:val="00AD6EBB"/>
    <w:rsid w:val="00AD714A"/>
    <w:rsid w:val="00AD7348"/>
    <w:rsid w:val="00AD76D4"/>
    <w:rsid w:val="00AD783D"/>
    <w:rsid w:val="00AD7845"/>
    <w:rsid w:val="00AD7947"/>
    <w:rsid w:val="00AD7AFD"/>
    <w:rsid w:val="00AD7D7A"/>
    <w:rsid w:val="00AD7DD1"/>
    <w:rsid w:val="00AD7F03"/>
    <w:rsid w:val="00AD7FC2"/>
    <w:rsid w:val="00AD7FF6"/>
    <w:rsid w:val="00AE0098"/>
    <w:rsid w:val="00AE014D"/>
    <w:rsid w:val="00AE0247"/>
    <w:rsid w:val="00AE0264"/>
    <w:rsid w:val="00AE0311"/>
    <w:rsid w:val="00AE0338"/>
    <w:rsid w:val="00AE033A"/>
    <w:rsid w:val="00AE03AA"/>
    <w:rsid w:val="00AE048E"/>
    <w:rsid w:val="00AE04D1"/>
    <w:rsid w:val="00AE04F7"/>
    <w:rsid w:val="00AE052F"/>
    <w:rsid w:val="00AE056F"/>
    <w:rsid w:val="00AE059F"/>
    <w:rsid w:val="00AE05AB"/>
    <w:rsid w:val="00AE0637"/>
    <w:rsid w:val="00AE06D8"/>
    <w:rsid w:val="00AE071C"/>
    <w:rsid w:val="00AE0816"/>
    <w:rsid w:val="00AE085E"/>
    <w:rsid w:val="00AE08F4"/>
    <w:rsid w:val="00AE08FB"/>
    <w:rsid w:val="00AE0A53"/>
    <w:rsid w:val="00AE0B25"/>
    <w:rsid w:val="00AE0B7E"/>
    <w:rsid w:val="00AE0C25"/>
    <w:rsid w:val="00AE0C92"/>
    <w:rsid w:val="00AE0CEC"/>
    <w:rsid w:val="00AE0DE8"/>
    <w:rsid w:val="00AE0F2C"/>
    <w:rsid w:val="00AE0F82"/>
    <w:rsid w:val="00AE0F95"/>
    <w:rsid w:val="00AE1188"/>
    <w:rsid w:val="00AE11EE"/>
    <w:rsid w:val="00AE1232"/>
    <w:rsid w:val="00AE127D"/>
    <w:rsid w:val="00AE1299"/>
    <w:rsid w:val="00AE129A"/>
    <w:rsid w:val="00AE12EB"/>
    <w:rsid w:val="00AE1409"/>
    <w:rsid w:val="00AE145D"/>
    <w:rsid w:val="00AE157C"/>
    <w:rsid w:val="00AE15E3"/>
    <w:rsid w:val="00AE1698"/>
    <w:rsid w:val="00AE1743"/>
    <w:rsid w:val="00AE197A"/>
    <w:rsid w:val="00AE1A0A"/>
    <w:rsid w:val="00AE1B57"/>
    <w:rsid w:val="00AE1B6B"/>
    <w:rsid w:val="00AE1CDA"/>
    <w:rsid w:val="00AE1D53"/>
    <w:rsid w:val="00AE1D62"/>
    <w:rsid w:val="00AE1D6B"/>
    <w:rsid w:val="00AE1E6C"/>
    <w:rsid w:val="00AE1FAD"/>
    <w:rsid w:val="00AE2097"/>
    <w:rsid w:val="00AE2180"/>
    <w:rsid w:val="00AE21B0"/>
    <w:rsid w:val="00AE22FE"/>
    <w:rsid w:val="00AE249C"/>
    <w:rsid w:val="00AE24F1"/>
    <w:rsid w:val="00AE2647"/>
    <w:rsid w:val="00AE2682"/>
    <w:rsid w:val="00AE26CB"/>
    <w:rsid w:val="00AE27F2"/>
    <w:rsid w:val="00AE285C"/>
    <w:rsid w:val="00AE29E6"/>
    <w:rsid w:val="00AE2B7C"/>
    <w:rsid w:val="00AE2EAA"/>
    <w:rsid w:val="00AE2F67"/>
    <w:rsid w:val="00AE2F90"/>
    <w:rsid w:val="00AE313E"/>
    <w:rsid w:val="00AE3173"/>
    <w:rsid w:val="00AE32BF"/>
    <w:rsid w:val="00AE33D8"/>
    <w:rsid w:val="00AE3489"/>
    <w:rsid w:val="00AE348C"/>
    <w:rsid w:val="00AE34F2"/>
    <w:rsid w:val="00AE3584"/>
    <w:rsid w:val="00AE3591"/>
    <w:rsid w:val="00AE368F"/>
    <w:rsid w:val="00AE36FD"/>
    <w:rsid w:val="00AE3745"/>
    <w:rsid w:val="00AE3894"/>
    <w:rsid w:val="00AE38AC"/>
    <w:rsid w:val="00AE396A"/>
    <w:rsid w:val="00AE39B8"/>
    <w:rsid w:val="00AE39E4"/>
    <w:rsid w:val="00AE3A1F"/>
    <w:rsid w:val="00AE3A92"/>
    <w:rsid w:val="00AE3B52"/>
    <w:rsid w:val="00AE3D47"/>
    <w:rsid w:val="00AE3EEF"/>
    <w:rsid w:val="00AE3FCF"/>
    <w:rsid w:val="00AE4022"/>
    <w:rsid w:val="00AE4042"/>
    <w:rsid w:val="00AE415E"/>
    <w:rsid w:val="00AE4208"/>
    <w:rsid w:val="00AE42E9"/>
    <w:rsid w:val="00AE4335"/>
    <w:rsid w:val="00AE4406"/>
    <w:rsid w:val="00AE4492"/>
    <w:rsid w:val="00AE44FB"/>
    <w:rsid w:val="00AE4687"/>
    <w:rsid w:val="00AE4778"/>
    <w:rsid w:val="00AE4876"/>
    <w:rsid w:val="00AE4A02"/>
    <w:rsid w:val="00AE4AB6"/>
    <w:rsid w:val="00AE4AD0"/>
    <w:rsid w:val="00AE4B68"/>
    <w:rsid w:val="00AE4BB2"/>
    <w:rsid w:val="00AE4C4D"/>
    <w:rsid w:val="00AE505D"/>
    <w:rsid w:val="00AE51C0"/>
    <w:rsid w:val="00AE5251"/>
    <w:rsid w:val="00AE55FD"/>
    <w:rsid w:val="00AE5846"/>
    <w:rsid w:val="00AE58ED"/>
    <w:rsid w:val="00AE5952"/>
    <w:rsid w:val="00AE5C90"/>
    <w:rsid w:val="00AE5DD8"/>
    <w:rsid w:val="00AE5E3A"/>
    <w:rsid w:val="00AE612B"/>
    <w:rsid w:val="00AE6272"/>
    <w:rsid w:val="00AE6293"/>
    <w:rsid w:val="00AE65A3"/>
    <w:rsid w:val="00AE65FB"/>
    <w:rsid w:val="00AE6640"/>
    <w:rsid w:val="00AE668A"/>
    <w:rsid w:val="00AE6769"/>
    <w:rsid w:val="00AE6A19"/>
    <w:rsid w:val="00AE6A6E"/>
    <w:rsid w:val="00AE6AF0"/>
    <w:rsid w:val="00AE6D00"/>
    <w:rsid w:val="00AE6DF5"/>
    <w:rsid w:val="00AE6E62"/>
    <w:rsid w:val="00AE6F36"/>
    <w:rsid w:val="00AE71A6"/>
    <w:rsid w:val="00AE7277"/>
    <w:rsid w:val="00AE7291"/>
    <w:rsid w:val="00AE72A1"/>
    <w:rsid w:val="00AE72BD"/>
    <w:rsid w:val="00AE7383"/>
    <w:rsid w:val="00AE744D"/>
    <w:rsid w:val="00AE7477"/>
    <w:rsid w:val="00AE758C"/>
    <w:rsid w:val="00AE75BD"/>
    <w:rsid w:val="00AE76E7"/>
    <w:rsid w:val="00AE7A03"/>
    <w:rsid w:val="00AE7A20"/>
    <w:rsid w:val="00AE7A7B"/>
    <w:rsid w:val="00AE7A9E"/>
    <w:rsid w:val="00AE7B24"/>
    <w:rsid w:val="00AE7C55"/>
    <w:rsid w:val="00AE7CD6"/>
    <w:rsid w:val="00AE7CF7"/>
    <w:rsid w:val="00AE7DFE"/>
    <w:rsid w:val="00AE7E87"/>
    <w:rsid w:val="00AF012C"/>
    <w:rsid w:val="00AF01BB"/>
    <w:rsid w:val="00AF030B"/>
    <w:rsid w:val="00AF0432"/>
    <w:rsid w:val="00AF04CB"/>
    <w:rsid w:val="00AF04DA"/>
    <w:rsid w:val="00AF050E"/>
    <w:rsid w:val="00AF056D"/>
    <w:rsid w:val="00AF059B"/>
    <w:rsid w:val="00AF09D6"/>
    <w:rsid w:val="00AF0A45"/>
    <w:rsid w:val="00AF0B65"/>
    <w:rsid w:val="00AF0B7E"/>
    <w:rsid w:val="00AF0B8D"/>
    <w:rsid w:val="00AF0C5B"/>
    <w:rsid w:val="00AF0CF2"/>
    <w:rsid w:val="00AF1005"/>
    <w:rsid w:val="00AF10C2"/>
    <w:rsid w:val="00AF1243"/>
    <w:rsid w:val="00AF1357"/>
    <w:rsid w:val="00AF147C"/>
    <w:rsid w:val="00AF1502"/>
    <w:rsid w:val="00AF1503"/>
    <w:rsid w:val="00AF1533"/>
    <w:rsid w:val="00AF1574"/>
    <w:rsid w:val="00AF1AE3"/>
    <w:rsid w:val="00AF1B9E"/>
    <w:rsid w:val="00AF1C28"/>
    <w:rsid w:val="00AF1C7C"/>
    <w:rsid w:val="00AF1CD3"/>
    <w:rsid w:val="00AF1CE5"/>
    <w:rsid w:val="00AF1D39"/>
    <w:rsid w:val="00AF2002"/>
    <w:rsid w:val="00AF209A"/>
    <w:rsid w:val="00AF2310"/>
    <w:rsid w:val="00AF23F7"/>
    <w:rsid w:val="00AF24A4"/>
    <w:rsid w:val="00AF26C7"/>
    <w:rsid w:val="00AF270A"/>
    <w:rsid w:val="00AF275C"/>
    <w:rsid w:val="00AF2960"/>
    <w:rsid w:val="00AF2962"/>
    <w:rsid w:val="00AF29CD"/>
    <w:rsid w:val="00AF2A54"/>
    <w:rsid w:val="00AF2C62"/>
    <w:rsid w:val="00AF2CB6"/>
    <w:rsid w:val="00AF2E58"/>
    <w:rsid w:val="00AF3065"/>
    <w:rsid w:val="00AF3071"/>
    <w:rsid w:val="00AF32AA"/>
    <w:rsid w:val="00AF332E"/>
    <w:rsid w:val="00AF33E1"/>
    <w:rsid w:val="00AF3501"/>
    <w:rsid w:val="00AF354C"/>
    <w:rsid w:val="00AF35AF"/>
    <w:rsid w:val="00AF35CD"/>
    <w:rsid w:val="00AF3726"/>
    <w:rsid w:val="00AF377A"/>
    <w:rsid w:val="00AF37D8"/>
    <w:rsid w:val="00AF3835"/>
    <w:rsid w:val="00AF39BD"/>
    <w:rsid w:val="00AF3A51"/>
    <w:rsid w:val="00AF3B3C"/>
    <w:rsid w:val="00AF3BDE"/>
    <w:rsid w:val="00AF3D01"/>
    <w:rsid w:val="00AF3F70"/>
    <w:rsid w:val="00AF3FB9"/>
    <w:rsid w:val="00AF4113"/>
    <w:rsid w:val="00AF41E0"/>
    <w:rsid w:val="00AF4507"/>
    <w:rsid w:val="00AF4673"/>
    <w:rsid w:val="00AF4878"/>
    <w:rsid w:val="00AF496F"/>
    <w:rsid w:val="00AF4A86"/>
    <w:rsid w:val="00AF4AA4"/>
    <w:rsid w:val="00AF4B5C"/>
    <w:rsid w:val="00AF4BB9"/>
    <w:rsid w:val="00AF4CB1"/>
    <w:rsid w:val="00AF4D94"/>
    <w:rsid w:val="00AF4EEE"/>
    <w:rsid w:val="00AF5074"/>
    <w:rsid w:val="00AF514F"/>
    <w:rsid w:val="00AF51D5"/>
    <w:rsid w:val="00AF53B8"/>
    <w:rsid w:val="00AF540E"/>
    <w:rsid w:val="00AF5499"/>
    <w:rsid w:val="00AF54A9"/>
    <w:rsid w:val="00AF54FB"/>
    <w:rsid w:val="00AF553A"/>
    <w:rsid w:val="00AF5594"/>
    <w:rsid w:val="00AF5595"/>
    <w:rsid w:val="00AF55DD"/>
    <w:rsid w:val="00AF55FD"/>
    <w:rsid w:val="00AF56DC"/>
    <w:rsid w:val="00AF56E8"/>
    <w:rsid w:val="00AF5729"/>
    <w:rsid w:val="00AF57D1"/>
    <w:rsid w:val="00AF5AA6"/>
    <w:rsid w:val="00AF5C17"/>
    <w:rsid w:val="00AF5C9D"/>
    <w:rsid w:val="00AF5CB1"/>
    <w:rsid w:val="00AF5CC6"/>
    <w:rsid w:val="00AF5E5B"/>
    <w:rsid w:val="00AF5EA6"/>
    <w:rsid w:val="00AF5EE6"/>
    <w:rsid w:val="00AF5FD3"/>
    <w:rsid w:val="00AF620F"/>
    <w:rsid w:val="00AF6390"/>
    <w:rsid w:val="00AF642F"/>
    <w:rsid w:val="00AF6584"/>
    <w:rsid w:val="00AF6606"/>
    <w:rsid w:val="00AF66B4"/>
    <w:rsid w:val="00AF66EB"/>
    <w:rsid w:val="00AF6715"/>
    <w:rsid w:val="00AF68F4"/>
    <w:rsid w:val="00AF6B0C"/>
    <w:rsid w:val="00AF6C95"/>
    <w:rsid w:val="00AF7290"/>
    <w:rsid w:val="00AF7444"/>
    <w:rsid w:val="00AF7701"/>
    <w:rsid w:val="00AF7A33"/>
    <w:rsid w:val="00AF7C8C"/>
    <w:rsid w:val="00AF7EAB"/>
    <w:rsid w:val="00AF7F5B"/>
    <w:rsid w:val="00AF7F67"/>
    <w:rsid w:val="00B000E8"/>
    <w:rsid w:val="00B00101"/>
    <w:rsid w:val="00B002C3"/>
    <w:rsid w:val="00B003E8"/>
    <w:rsid w:val="00B0044E"/>
    <w:rsid w:val="00B004D5"/>
    <w:rsid w:val="00B00507"/>
    <w:rsid w:val="00B00606"/>
    <w:rsid w:val="00B009AC"/>
    <w:rsid w:val="00B00A13"/>
    <w:rsid w:val="00B00A3A"/>
    <w:rsid w:val="00B00A81"/>
    <w:rsid w:val="00B00A8C"/>
    <w:rsid w:val="00B00CB2"/>
    <w:rsid w:val="00B00D03"/>
    <w:rsid w:val="00B00D6A"/>
    <w:rsid w:val="00B00DF9"/>
    <w:rsid w:val="00B00E20"/>
    <w:rsid w:val="00B00F69"/>
    <w:rsid w:val="00B011B2"/>
    <w:rsid w:val="00B0124E"/>
    <w:rsid w:val="00B012D8"/>
    <w:rsid w:val="00B01433"/>
    <w:rsid w:val="00B014B2"/>
    <w:rsid w:val="00B01545"/>
    <w:rsid w:val="00B0160D"/>
    <w:rsid w:val="00B018F9"/>
    <w:rsid w:val="00B01A22"/>
    <w:rsid w:val="00B01BB9"/>
    <w:rsid w:val="00B01C17"/>
    <w:rsid w:val="00B01E5F"/>
    <w:rsid w:val="00B01FB3"/>
    <w:rsid w:val="00B02094"/>
    <w:rsid w:val="00B02164"/>
    <w:rsid w:val="00B02240"/>
    <w:rsid w:val="00B023D0"/>
    <w:rsid w:val="00B024A0"/>
    <w:rsid w:val="00B024DC"/>
    <w:rsid w:val="00B02566"/>
    <w:rsid w:val="00B0268F"/>
    <w:rsid w:val="00B02731"/>
    <w:rsid w:val="00B027E5"/>
    <w:rsid w:val="00B0280B"/>
    <w:rsid w:val="00B028D3"/>
    <w:rsid w:val="00B028E2"/>
    <w:rsid w:val="00B029F3"/>
    <w:rsid w:val="00B02BA6"/>
    <w:rsid w:val="00B02BDE"/>
    <w:rsid w:val="00B02E93"/>
    <w:rsid w:val="00B02EDF"/>
    <w:rsid w:val="00B030BA"/>
    <w:rsid w:val="00B031C6"/>
    <w:rsid w:val="00B0324F"/>
    <w:rsid w:val="00B033FD"/>
    <w:rsid w:val="00B0347B"/>
    <w:rsid w:val="00B0354B"/>
    <w:rsid w:val="00B03568"/>
    <w:rsid w:val="00B03656"/>
    <w:rsid w:val="00B03705"/>
    <w:rsid w:val="00B03727"/>
    <w:rsid w:val="00B03737"/>
    <w:rsid w:val="00B03867"/>
    <w:rsid w:val="00B03912"/>
    <w:rsid w:val="00B03B8F"/>
    <w:rsid w:val="00B03CE6"/>
    <w:rsid w:val="00B03D59"/>
    <w:rsid w:val="00B03DD6"/>
    <w:rsid w:val="00B043BD"/>
    <w:rsid w:val="00B04417"/>
    <w:rsid w:val="00B0463B"/>
    <w:rsid w:val="00B04679"/>
    <w:rsid w:val="00B04823"/>
    <w:rsid w:val="00B0489B"/>
    <w:rsid w:val="00B048C7"/>
    <w:rsid w:val="00B04902"/>
    <w:rsid w:val="00B0498D"/>
    <w:rsid w:val="00B04B45"/>
    <w:rsid w:val="00B04D8C"/>
    <w:rsid w:val="00B04F6A"/>
    <w:rsid w:val="00B04FDC"/>
    <w:rsid w:val="00B05327"/>
    <w:rsid w:val="00B05502"/>
    <w:rsid w:val="00B0553A"/>
    <w:rsid w:val="00B05885"/>
    <w:rsid w:val="00B05940"/>
    <w:rsid w:val="00B05A39"/>
    <w:rsid w:val="00B05A4A"/>
    <w:rsid w:val="00B05D56"/>
    <w:rsid w:val="00B05D8D"/>
    <w:rsid w:val="00B05DE5"/>
    <w:rsid w:val="00B05DFD"/>
    <w:rsid w:val="00B05E91"/>
    <w:rsid w:val="00B05FAE"/>
    <w:rsid w:val="00B05FAF"/>
    <w:rsid w:val="00B062C6"/>
    <w:rsid w:val="00B0684A"/>
    <w:rsid w:val="00B06909"/>
    <w:rsid w:val="00B0691F"/>
    <w:rsid w:val="00B06DB9"/>
    <w:rsid w:val="00B06F47"/>
    <w:rsid w:val="00B07003"/>
    <w:rsid w:val="00B07243"/>
    <w:rsid w:val="00B072CF"/>
    <w:rsid w:val="00B0734A"/>
    <w:rsid w:val="00B073F6"/>
    <w:rsid w:val="00B07444"/>
    <w:rsid w:val="00B07445"/>
    <w:rsid w:val="00B0755F"/>
    <w:rsid w:val="00B0756D"/>
    <w:rsid w:val="00B07828"/>
    <w:rsid w:val="00B07863"/>
    <w:rsid w:val="00B0790F"/>
    <w:rsid w:val="00B0799B"/>
    <w:rsid w:val="00B07A5C"/>
    <w:rsid w:val="00B07E0F"/>
    <w:rsid w:val="00B07E70"/>
    <w:rsid w:val="00B07EA6"/>
    <w:rsid w:val="00B07F62"/>
    <w:rsid w:val="00B10179"/>
    <w:rsid w:val="00B1025C"/>
    <w:rsid w:val="00B102C8"/>
    <w:rsid w:val="00B1038E"/>
    <w:rsid w:val="00B103FC"/>
    <w:rsid w:val="00B104F0"/>
    <w:rsid w:val="00B10718"/>
    <w:rsid w:val="00B10861"/>
    <w:rsid w:val="00B108BF"/>
    <w:rsid w:val="00B108F2"/>
    <w:rsid w:val="00B10921"/>
    <w:rsid w:val="00B10AB8"/>
    <w:rsid w:val="00B10B5B"/>
    <w:rsid w:val="00B10B65"/>
    <w:rsid w:val="00B10D16"/>
    <w:rsid w:val="00B10DD0"/>
    <w:rsid w:val="00B10DDC"/>
    <w:rsid w:val="00B10F7C"/>
    <w:rsid w:val="00B10FBB"/>
    <w:rsid w:val="00B11006"/>
    <w:rsid w:val="00B11103"/>
    <w:rsid w:val="00B111D0"/>
    <w:rsid w:val="00B114BD"/>
    <w:rsid w:val="00B1151F"/>
    <w:rsid w:val="00B115AA"/>
    <w:rsid w:val="00B115B2"/>
    <w:rsid w:val="00B115F3"/>
    <w:rsid w:val="00B116B6"/>
    <w:rsid w:val="00B1177A"/>
    <w:rsid w:val="00B1177C"/>
    <w:rsid w:val="00B11790"/>
    <w:rsid w:val="00B11800"/>
    <w:rsid w:val="00B1183A"/>
    <w:rsid w:val="00B118FD"/>
    <w:rsid w:val="00B11A9E"/>
    <w:rsid w:val="00B11C5D"/>
    <w:rsid w:val="00B11CA3"/>
    <w:rsid w:val="00B11D9C"/>
    <w:rsid w:val="00B11E49"/>
    <w:rsid w:val="00B11F1A"/>
    <w:rsid w:val="00B11FF0"/>
    <w:rsid w:val="00B11FF3"/>
    <w:rsid w:val="00B12028"/>
    <w:rsid w:val="00B12180"/>
    <w:rsid w:val="00B121FB"/>
    <w:rsid w:val="00B12259"/>
    <w:rsid w:val="00B12356"/>
    <w:rsid w:val="00B125E8"/>
    <w:rsid w:val="00B126FE"/>
    <w:rsid w:val="00B127A8"/>
    <w:rsid w:val="00B12888"/>
    <w:rsid w:val="00B12898"/>
    <w:rsid w:val="00B1292D"/>
    <w:rsid w:val="00B12A7A"/>
    <w:rsid w:val="00B12B8A"/>
    <w:rsid w:val="00B12CBF"/>
    <w:rsid w:val="00B12FA3"/>
    <w:rsid w:val="00B12FD9"/>
    <w:rsid w:val="00B130B6"/>
    <w:rsid w:val="00B13258"/>
    <w:rsid w:val="00B134D0"/>
    <w:rsid w:val="00B1355A"/>
    <w:rsid w:val="00B135CD"/>
    <w:rsid w:val="00B137D5"/>
    <w:rsid w:val="00B138F6"/>
    <w:rsid w:val="00B1394D"/>
    <w:rsid w:val="00B13A1C"/>
    <w:rsid w:val="00B13B45"/>
    <w:rsid w:val="00B13B88"/>
    <w:rsid w:val="00B13DB2"/>
    <w:rsid w:val="00B13E1E"/>
    <w:rsid w:val="00B13E53"/>
    <w:rsid w:val="00B13E7C"/>
    <w:rsid w:val="00B13F40"/>
    <w:rsid w:val="00B13FA9"/>
    <w:rsid w:val="00B13FD9"/>
    <w:rsid w:val="00B14219"/>
    <w:rsid w:val="00B142B7"/>
    <w:rsid w:val="00B143B4"/>
    <w:rsid w:val="00B14517"/>
    <w:rsid w:val="00B14597"/>
    <w:rsid w:val="00B1464D"/>
    <w:rsid w:val="00B14711"/>
    <w:rsid w:val="00B1474A"/>
    <w:rsid w:val="00B14794"/>
    <w:rsid w:val="00B147D5"/>
    <w:rsid w:val="00B14845"/>
    <w:rsid w:val="00B148B2"/>
    <w:rsid w:val="00B14922"/>
    <w:rsid w:val="00B14980"/>
    <w:rsid w:val="00B14C1C"/>
    <w:rsid w:val="00B14DA1"/>
    <w:rsid w:val="00B14E6A"/>
    <w:rsid w:val="00B15012"/>
    <w:rsid w:val="00B15097"/>
    <w:rsid w:val="00B150DE"/>
    <w:rsid w:val="00B152B2"/>
    <w:rsid w:val="00B1541C"/>
    <w:rsid w:val="00B154C0"/>
    <w:rsid w:val="00B15552"/>
    <w:rsid w:val="00B1563F"/>
    <w:rsid w:val="00B156D0"/>
    <w:rsid w:val="00B156DF"/>
    <w:rsid w:val="00B15706"/>
    <w:rsid w:val="00B15899"/>
    <w:rsid w:val="00B158E3"/>
    <w:rsid w:val="00B15921"/>
    <w:rsid w:val="00B15A25"/>
    <w:rsid w:val="00B15B69"/>
    <w:rsid w:val="00B15D4C"/>
    <w:rsid w:val="00B15E8E"/>
    <w:rsid w:val="00B15F15"/>
    <w:rsid w:val="00B1601D"/>
    <w:rsid w:val="00B1605A"/>
    <w:rsid w:val="00B1624B"/>
    <w:rsid w:val="00B1629C"/>
    <w:rsid w:val="00B164D7"/>
    <w:rsid w:val="00B164EE"/>
    <w:rsid w:val="00B165F2"/>
    <w:rsid w:val="00B165F7"/>
    <w:rsid w:val="00B166D3"/>
    <w:rsid w:val="00B1670B"/>
    <w:rsid w:val="00B16861"/>
    <w:rsid w:val="00B16937"/>
    <w:rsid w:val="00B16A8F"/>
    <w:rsid w:val="00B16AA7"/>
    <w:rsid w:val="00B16CD5"/>
    <w:rsid w:val="00B16E64"/>
    <w:rsid w:val="00B16F6B"/>
    <w:rsid w:val="00B16F6F"/>
    <w:rsid w:val="00B1703E"/>
    <w:rsid w:val="00B170A7"/>
    <w:rsid w:val="00B170AE"/>
    <w:rsid w:val="00B17108"/>
    <w:rsid w:val="00B1711C"/>
    <w:rsid w:val="00B1713D"/>
    <w:rsid w:val="00B17178"/>
    <w:rsid w:val="00B17316"/>
    <w:rsid w:val="00B1732C"/>
    <w:rsid w:val="00B1736D"/>
    <w:rsid w:val="00B17378"/>
    <w:rsid w:val="00B17484"/>
    <w:rsid w:val="00B175BD"/>
    <w:rsid w:val="00B175C8"/>
    <w:rsid w:val="00B17704"/>
    <w:rsid w:val="00B17800"/>
    <w:rsid w:val="00B1782E"/>
    <w:rsid w:val="00B1784B"/>
    <w:rsid w:val="00B179BE"/>
    <w:rsid w:val="00B17A89"/>
    <w:rsid w:val="00B17FE1"/>
    <w:rsid w:val="00B20052"/>
    <w:rsid w:val="00B202A2"/>
    <w:rsid w:val="00B20460"/>
    <w:rsid w:val="00B205E7"/>
    <w:rsid w:val="00B20704"/>
    <w:rsid w:val="00B20727"/>
    <w:rsid w:val="00B20A5D"/>
    <w:rsid w:val="00B20A5E"/>
    <w:rsid w:val="00B20BB1"/>
    <w:rsid w:val="00B20DFC"/>
    <w:rsid w:val="00B20E27"/>
    <w:rsid w:val="00B20E7F"/>
    <w:rsid w:val="00B20E98"/>
    <w:rsid w:val="00B2103A"/>
    <w:rsid w:val="00B210F8"/>
    <w:rsid w:val="00B211DD"/>
    <w:rsid w:val="00B2126A"/>
    <w:rsid w:val="00B2142C"/>
    <w:rsid w:val="00B214C6"/>
    <w:rsid w:val="00B217D7"/>
    <w:rsid w:val="00B217FE"/>
    <w:rsid w:val="00B218FC"/>
    <w:rsid w:val="00B21B0B"/>
    <w:rsid w:val="00B21B63"/>
    <w:rsid w:val="00B21E01"/>
    <w:rsid w:val="00B21F3D"/>
    <w:rsid w:val="00B21FAD"/>
    <w:rsid w:val="00B21FCE"/>
    <w:rsid w:val="00B2202D"/>
    <w:rsid w:val="00B22106"/>
    <w:rsid w:val="00B221FE"/>
    <w:rsid w:val="00B22214"/>
    <w:rsid w:val="00B22234"/>
    <w:rsid w:val="00B2223F"/>
    <w:rsid w:val="00B222EC"/>
    <w:rsid w:val="00B22337"/>
    <w:rsid w:val="00B22521"/>
    <w:rsid w:val="00B225A7"/>
    <w:rsid w:val="00B226B6"/>
    <w:rsid w:val="00B22768"/>
    <w:rsid w:val="00B227DD"/>
    <w:rsid w:val="00B22A14"/>
    <w:rsid w:val="00B22A74"/>
    <w:rsid w:val="00B22B11"/>
    <w:rsid w:val="00B22B51"/>
    <w:rsid w:val="00B22BCA"/>
    <w:rsid w:val="00B22BFB"/>
    <w:rsid w:val="00B22C6B"/>
    <w:rsid w:val="00B22E3E"/>
    <w:rsid w:val="00B22F08"/>
    <w:rsid w:val="00B22FC0"/>
    <w:rsid w:val="00B23002"/>
    <w:rsid w:val="00B2317D"/>
    <w:rsid w:val="00B231C0"/>
    <w:rsid w:val="00B23255"/>
    <w:rsid w:val="00B23341"/>
    <w:rsid w:val="00B23357"/>
    <w:rsid w:val="00B2342B"/>
    <w:rsid w:val="00B23505"/>
    <w:rsid w:val="00B236F5"/>
    <w:rsid w:val="00B23717"/>
    <w:rsid w:val="00B23728"/>
    <w:rsid w:val="00B23731"/>
    <w:rsid w:val="00B23782"/>
    <w:rsid w:val="00B237E5"/>
    <w:rsid w:val="00B239F7"/>
    <w:rsid w:val="00B23A35"/>
    <w:rsid w:val="00B23C39"/>
    <w:rsid w:val="00B23CC1"/>
    <w:rsid w:val="00B23CDD"/>
    <w:rsid w:val="00B23D43"/>
    <w:rsid w:val="00B23D82"/>
    <w:rsid w:val="00B23F66"/>
    <w:rsid w:val="00B23F8C"/>
    <w:rsid w:val="00B23FFF"/>
    <w:rsid w:val="00B2403C"/>
    <w:rsid w:val="00B2412E"/>
    <w:rsid w:val="00B241A5"/>
    <w:rsid w:val="00B2420F"/>
    <w:rsid w:val="00B24240"/>
    <w:rsid w:val="00B24322"/>
    <w:rsid w:val="00B2438D"/>
    <w:rsid w:val="00B243DE"/>
    <w:rsid w:val="00B243FE"/>
    <w:rsid w:val="00B24586"/>
    <w:rsid w:val="00B24690"/>
    <w:rsid w:val="00B24757"/>
    <w:rsid w:val="00B24775"/>
    <w:rsid w:val="00B24889"/>
    <w:rsid w:val="00B248E3"/>
    <w:rsid w:val="00B24D0F"/>
    <w:rsid w:val="00B24D7D"/>
    <w:rsid w:val="00B24F7C"/>
    <w:rsid w:val="00B24FAC"/>
    <w:rsid w:val="00B25112"/>
    <w:rsid w:val="00B251E7"/>
    <w:rsid w:val="00B251E9"/>
    <w:rsid w:val="00B2527C"/>
    <w:rsid w:val="00B25449"/>
    <w:rsid w:val="00B25513"/>
    <w:rsid w:val="00B2556A"/>
    <w:rsid w:val="00B2556D"/>
    <w:rsid w:val="00B25644"/>
    <w:rsid w:val="00B25647"/>
    <w:rsid w:val="00B25830"/>
    <w:rsid w:val="00B259AD"/>
    <w:rsid w:val="00B25C13"/>
    <w:rsid w:val="00B25C57"/>
    <w:rsid w:val="00B25D0B"/>
    <w:rsid w:val="00B25F18"/>
    <w:rsid w:val="00B25FDD"/>
    <w:rsid w:val="00B26048"/>
    <w:rsid w:val="00B26148"/>
    <w:rsid w:val="00B26236"/>
    <w:rsid w:val="00B26277"/>
    <w:rsid w:val="00B26380"/>
    <w:rsid w:val="00B263BE"/>
    <w:rsid w:val="00B26423"/>
    <w:rsid w:val="00B26495"/>
    <w:rsid w:val="00B264A6"/>
    <w:rsid w:val="00B264AE"/>
    <w:rsid w:val="00B264BD"/>
    <w:rsid w:val="00B26522"/>
    <w:rsid w:val="00B2663F"/>
    <w:rsid w:val="00B267F9"/>
    <w:rsid w:val="00B26853"/>
    <w:rsid w:val="00B26923"/>
    <w:rsid w:val="00B26AF1"/>
    <w:rsid w:val="00B26B03"/>
    <w:rsid w:val="00B26C4E"/>
    <w:rsid w:val="00B26C8D"/>
    <w:rsid w:val="00B26D3B"/>
    <w:rsid w:val="00B26D7D"/>
    <w:rsid w:val="00B26DB7"/>
    <w:rsid w:val="00B26DF1"/>
    <w:rsid w:val="00B26F3B"/>
    <w:rsid w:val="00B2704B"/>
    <w:rsid w:val="00B272DB"/>
    <w:rsid w:val="00B27333"/>
    <w:rsid w:val="00B27391"/>
    <w:rsid w:val="00B275DA"/>
    <w:rsid w:val="00B27655"/>
    <w:rsid w:val="00B27672"/>
    <w:rsid w:val="00B276E6"/>
    <w:rsid w:val="00B279CC"/>
    <w:rsid w:val="00B279DE"/>
    <w:rsid w:val="00B279FF"/>
    <w:rsid w:val="00B27A99"/>
    <w:rsid w:val="00B27B19"/>
    <w:rsid w:val="00B27DE2"/>
    <w:rsid w:val="00B27EC9"/>
    <w:rsid w:val="00B27FD8"/>
    <w:rsid w:val="00B3004E"/>
    <w:rsid w:val="00B3013C"/>
    <w:rsid w:val="00B30184"/>
    <w:rsid w:val="00B30222"/>
    <w:rsid w:val="00B30242"/>
    <w:rsid w:val="00B30344"/>
    <w:rsid w:val="00B30434"/>
    <w:rsid w:val="00B30516"/>
    <w:rsid w:val="00B305A0"/>
    <w:rsid w:val="00B3065D"/>
    <w:rsid w:val="00B30674"/>
    <w:rsid w:val="00B30679"/>
    <w:rsid w:val="00B3081B"/>
    <w:rsid w:val="00B30883"/>
    <w:rsid w:val="00B308FE"/>
    <w:rsid w:val="00B30914"/>
    <w:rsid w:val="00B3098C"/>
    <w:rsid w:val="00B309BA"/>
    <w:rsid w:val="00B30A99"/>
    <w:rsid w:val="00B30B09"/>
    <w:rsid w:val="00B30BCC"/>
    <w:rsid w:val="00B30CDF"/>
    <w:rsid w:val="00B30DA0"/>
    <w:rsid w:val="00B30E78"/>
    <w:rsid w:val="00B3101C"/>
    <w:rsid w:val="00B31257"/>
    <w:rsid w:val="00B3132E"/>
    <w:rsid w:val="00B31372"/>
    <w:rsid w:val="00B3144B"/>
    <w:rsid w:val="00B314EB"/>
    <w:rsid w:val="00B31682"/>
    <w:rsid w:val="00B31730"/>
    <w:rsid w:val="00B3175E"/>
    <w:rsid w:val="00B31A41"/>
    <w:rsid w:val="00B31E30"/>
    <w:rsid w:val="00B31E6A"/>
    <w:rsid w:val="00B31F2A"/>
    <w:rsid w:val="00B31F63"/>
    <w:rsid w:val="00B32102"/>
    <w:rsid w:val="00B3218C"/>
    <w:rsid w:val="00B3226B"/>
    <w:rsid w:val="00B3238E"/>
    <w:rsid w:val="00B323B9"/>
    <w:rsid w:val="00B3254A"/>
    <w:rsid w:val="00B32597"/>
    <w:rsid w:val="00B3262E"/>
    <w:rsid w:val="00B326A5"/>
    <w:rsid w:val="00B327CF"/>
    <w:rsid w:val="00B327D8"/>
    <w:rsid w:val="00B32932"/>
    <w:rsid w:val="00B329DC"/>
    <w:rsid w:val="00B32A31"/>
    <w:rsid w:val="00B32BC5"/>
    <w:rsid w:val="00B32C87"/>
    <w:rsid w:val="00B32CEC"/>
    <w:rsid w:val="00B32DA0"/>
    <w:rsid w:val="00B32DB5"/>
    <w:rsid w:val="00B32DF6"/>
    <w:rsid w:val="00B32E7F"/>
    <w:rsid w:val="00B32EC2"/>
    <w:rsid w:val="00B32EFB"/>
    <w:rsid w:val="00B32F82"/>
    <w:rsid w:val="00B331B0"/>
    <w:rsid w:val="00B3321A"/>
    <w:rsid w:val="00B3325E"/>
    <w:rsid w:val="00B33278"/>
    <w:rsid w:val="00B334E3"/>
    <w:rsid w:val="00B334E9"/>
    <w:rsid w:val="00B334F9"/>
    <w:rsid w:val="00B3356B"/>
    <w:rsid w:val="00B335F5"/>
    <w:rsid w:val="00B33749"/>
    <w:rsid w:val="00B33782"/>
    <w:rsid w:val="00B33893"/>
    <w:rsid w:val="00B338CB"/>
    <w:rsid w:val="00B339B2"/>
    <w:rsid w:val="00B33A30"/>
    <w:rsid w:val="00B33AA4"/>
    <w:rsid w:val="00B33BC0"/>
    <w:rsid w:val="00B33BC3"/>
    <w:rsid w:val="00B33BD1"/>
    <w:rsid w:val="00B33C36"/>
    <w:rsid w:val="00B33C6E"/>
    <w:rsid w:val="00B33CE1"/>
    <w:rsid w:val="00B33ED4"/>
    <w:rsid w:val="00B33FE0"/>
    <w:rsid w:val="00B34136"/>
    <w:rsid w:val="00B34141"/>
    <w:rsid w:val="00B342A4"/>
    <w:rsid w:val="00B342B5"/>
    <w:rsid w:val="00B342DA"/>
    <w:rsid w:val="00B3458C"/>
    <w:rsid w:val="00B346F3"/>
    <w:rsid w:val="00B34864"/>
    <w:rsid w:val="00B3499D"/>
    <w:rsid w:val="00B34A59"/>
    <w:rsid w:val="00B34A6F"/>
    <w:rsid w:val="00B34B24"/>
    <w:rsid w:val="00B34BB7"/>
    <w:rsid w:val="00B34BC5"/>
    <w:rsid w:val="00B34C07"/>
    <w:rsid w:val="00B34C26"/>
    <w:rsid w:val="00B34C77"/>
    <w:rsid w:val="00B34D18"/>
    <w:rsid w:val="00B34D3B"/>
    <w:rsid w:val="00B34E38"/>
    <w:rsid w:val="00B34FAD"/>
    <w:rsid w:val="00B35242"/>
    <w:rsid w:val="00B3528E"/>
    <w:rsid w:val="00B3532D"/>
    <w:rsid w:val="00B35392"/>
    <w:rsid w:val="00B35439"/>
    <w:rsid w:val="00B3558B"/>
    <w:rsid w:val="00B356B4"/>
    <w:rsid w:val="00B356EF"/>
    <w:rsid w:val="00B356F4"/>
    <w:rsid w:val="00B3583B"/>
    <w:rsid w:val="00B3583C"/>
    <w:rsid w:val="00B35AA9"/>
    <w:rsid w:val="00B35AB4"/>
    <w:rsid w:val="00B35C35"/>
    <w:rsid w:val="00B35DAF"/>
    <w:rsid w:val="00B35E0D"/>
    <w:rsid w:val="00B35E19"/>
    <w:rsid w:val="00B35EBF"/>
    <w:rsid w:val="00B36082"/>
    <w:rsid w:val="00B36297"/>
    <w:rsid w:val="00B364D8"/>
    <w:rsid w:val="00B36611"/>
    <w:rsid w:val="00B366FE"/>
    <w:rsid w:val="00B36712"/>
    <w:rsid w:val="00B36AE7"/>
    <w:rsid w:val="00B36BDF"/>
    <w:rsid w:val="00B36C7F"/>
    <w:rsid w:val="00B36D84"/>
    <w:rsid w:val="00B36E14"/>
    <w:rsid w:val="00B36F10"/>
    <w:rsid w:val="00B36FCE"/>
    <w:rsid w:val="00B370B9"/>
    <w:rsid w:val="00B37143"/>
    <w:rsid w:val="00B3760D"/>
    <w:rsid w:val="00B378B8"/>
    <w:rsid w:val="00B378E2"/>
    <w:rsid w:val="00B37A01"/>
    <w:rsid w:val="00B37A8F"/>
    <w:rsid w:val="00B37BD7"/>
    <w:rsid w:val="00B37C22"/>
    <w:rsid w:val="00B37C5C"/>
    <w:rsid w:val="00B37C7A"/>
    <w:rsid w:val="00B37D77"/>
    <w:rsid w:val="00B37D90"/>
    <w:rsid w:val="00B37F4C"/>
    <w:rsid w:val="00B37FC7"/>
    <w:rsid w:val="00B4007C"/>
    <w:rsid w:val="00B40125"/>
    <w:rsid w:val="00B40160"/>
    <w:rsid w:val="00B40244"/>
    <w:rsid w:val="00B40261"/>
    <w:rsid w:val="00B402B0"/>
    <w:rsid w:val="00B4036C"/>
    <w:rsid w:val="00B40386"/>
    <w:rsid w:val="00B403A8"/>
    <w:rsid w:val="00B405B1"/>
    <w:rsid w:val="00B405CA"/>
    <w:rsid w:val="00B405F6"/>
    <w:rsid w:val="00B40762"/>
    <w:rsid w:val="00B407FC"/>
    <w:rsid w:val="00B40BFE"/>
    <w:rsid w:val="00B40C0C"/>
    <w:rsid w:val="00B40D84"/>
    <w:rsid w:val="00B40DF5"/>
    <w:rsid w:val="00B40F09"/>
    <w:rsid w:val="00B40FFF"/>
    <w:rsid w:val="00B4151C"/>
    <w:rsid w:val="00B41520"/>
    <w:rsid w:val="00B415E6"/>
    <w:rsid w:val="00B41701"/>
    <w:rsid w:val="00B41757"/>
    <w:rsid w:val="00B417B1"/>
    <w:rsid w:val="00B41892"/>
    <w:rsid w:val="00B41944"/>
    <w:rsid w:val="00B41978"/>
    <w:rsid w:val="00B419F6"/>
    <w:rsid w:val="00B41A87"/>
    <w:rsid w:val="00B41B09"/>
    <w:rsid w:val="00B41D99"/>
    <w:rsid w:val="00B41EC9"/>
    <w:rsid w:val="00B41EEB"/>
    <w:rsid w:val="00B41F9B"/>
    <w:rsid w:val="00B41FF9"/>
    <w:rsid w:val="00B42015"/>
    <w:rsid w:val="00B420F0"/>
    <w:rsid w:val="00B4219E"/>
    <w:rsid w:val="00B42235"/>
    <w:rsid w:val="00B4238F"/>
    <w:rsid w:val="00B423A5"/>
    <w:rsid w:val="00B42432"/>
    <w:rsid w:val="00B42533"/>
    <w:rsid w:val="00B42684"/>
    <w:rsid w:val="00B426C0"/>
    <w:rsid w:val="00B427B9"/>
    <w:rsid w:val="00B427C4"/>
    <w:rsid w:val="00B428A1"/>
    <w:rsid w:val="00B428D4"/>
    <w:rsid w:val="00B42994"/>
    <w:rsid w:val="00B429C9"/>
    <w:rsid w:val="00B42A1D"/>
    <w:rsid w:val="00B42A23"/>
    <w:rsid w:val="00B42AD4"/>
    <w:rsid w:val="00B42B03"/>
    <w:rsid w:val="00B42BC0"/>
    <w:rsid w:val="00B42C2F"/>
    <w:rsid w:val="00B42D4A"/>
    <w:rsid w:val="00B42D5C"/>
    <w:rsid w:val="00B42E0F"/>
    <w:rsid w:val="00B42E13"/>
    <w:rsid w:val="00B42E90"/>
    <w:rsid w:val="00B42EFE"/>
    <w:rsid w:val="00B42FBB"/>
    <w:rsid w:val="00B42FED"/>
    <w:rsid w:val="00B43148"/>
    <w:rsid w:val="00B43394"/>
    <w:rsid w:val="00B434CF"/>
    <w:rsid w:val="00B4366A"/>
    <w:rsid w:val="00B4368A"/>
    <w:rsid w:val="00B43694"/>
    <w:rsid w:val="00B436DB"/>
    <w:rsid w:val="00B4385B"/>
    <w:rsid w:val="00B4388C"/>
    <w:rsid w:val="00B438C0"/>
    <w:rsid w:val="00B438DA"/>
    <w:rsid w:val="00B43999"/>
    <w:rsid w:val="00B43A5F"/>
    <w:rsid w:val="00B43A83"/>
    <w:rsid w:val="00B43B0B"/>
    <w:rsid w:val="00B43B29"/>
    <w:rsid w:val="00B43B87"/>
    <w:rsid w:val="00B43B8C"/>
    <w:rsid w:val="00B43CE2"/>
    <w:rsid w:val="00B43D03"/>
    <w:rsid w:val="00B43D31"/>
    <w:rsid w:val="00B43D7E"/>
    <w:rsid w:val="00B43E7D"/>
    <w:rsid w:val="00B44359"/>
    <w:rsid w:val="00B443B3"/>
    <w:rsid w:val="00B443BF"/>
    <w:rsid w:val="00B44448"/>
    <w:rsid w:val="00B44746"/>
    <w:rsid w:val="00B44919"/>
    <w:rsid w:val="00B44A6A"/>
    <w:rsid w:val="00B44A8D"/>
    <w:rsid w:val="00B44C3C"/>
    <w:rsid w:val="00B44E89"/>
    <w:rsid w:val="00B44EB7"/>
    <w:rsid w:val="00B44ED9"/>
    <w:rsid w:val="00B45097"/>
    <w:rsid w:val="00B4510C"/>
    <w:rsid w:val="00B451EB"/>
    <w:rsid w:val="00B452E3"/>
    <w:rsid w:val="00B452EB"/>
    <w:rsid w:val="00B45362"/>
    <w:rsid w:val="00B454C8"/>
    <w:rsid w:val="00B45575"/>
    <w:rsid w:val="00B4562F"/>
    <w:rsid w:val="00B45728"/>
    <w:rsid w:val="00B457D9"/>
    <w:rsid w:val="00B457F1"/>
    <w:rsid w:val="00B45832"/>
    <w:rsid w:val="00B45846"/>
    <w:rsid w:val="00B45965"/>
    <w:rsid w:val="00B4599C"/>
    <w:rsid w:val="00B45A37"/>
    <w:rsid w:val="00B45A68"/>
    <w:rsid w:val="00B45B38"/>
    <w:rsid w:val="00B45BB6"/>
    <w:rsid w:val="00B45BC3"/>
    <w:rsid w:val="00B45BDA"/>
    <w:rsid w:val="00B45CF4"/>
    <w:rsid w:val="00B460A8"/>
    <w:rsid w:val="00B462E4"/>
    <w:rsid w:val="00B4638B"/>
    <w:rsid w:val="00B466B7"/>
    <w:rsid w:val="00B46732"/>
    <w:rsid w:val="00B467A7"/>
    <w:rsid w:val="00B46895"/>
    <w:rsid w:val="00B468E9"/>
    <w:rsid w:val="00B46901"/>
    <w:rsid w:val="00B46A56"/>
    <w:rsid w:val="00B46B7A"/>
    <w:rsid w:val="00B46CD9"/>
    <w:rsid w:val="00B46DE8"/>
    <w:rsid w:val="00B46F2D"/>
    <w:rsid w:val="00B46F69"/>
    <w:rsid w:val="00B4708D"/>
    <w:rsid w:val="00B470E9"/>
    <w:rsid w:val="00B471F9"/>
    <w:rsid w:val="00B47313"/>
    <w:rsid w:val="00B4735A"/>
    <w:rsid w:val="00B47423"/>
    <w:rsid w:val="00B474C4"/>
    <w:rsid w:val="00B4759E"/>
    <w:rsid w:val="00B475A3"/>
    <w:rsid w:val="00B47658"/>
    <w:rsid w:val="00B47688"/>
    <w:rsid w:val="00B4772A"/>
    <w:rsid w:val="00B479B8"/>
    <w:rsid w:val="00B479BC"/>
    <w:rsid w:val="00B479CD"/>
    <w:rsid w:val="00B47A1C"/>
    <w:rsid w:val="00B47AC8"/>
    <w:rsid w:val="00B47C63"/>
    <w:rsid w:val="00B47CAC"/>
    <w:rsid w:val="00B47DDA"/>
    <w:rsid w:val="00B47FD4"/>
    <w:rsid w:val="00B502E5"/>
    <w:rsid w:val="00B503E9"/>
    <w:rsid w:val="00B5044D"/>
    <w:rsid w:val="00B5061D"/>
    <w:rsid w:val="00B50692"/>
    <w:rsid w:val="00B5071D"/>
    <w:rsid w:val="00B5075A"/>
    <w:rsid w:val="00B507A2"/>
    <w:rsid w:val="00B507E1"/>
    <w:rsid w:val="00B507F7"/>
    <w:rsid w:val="00B50833"/>
    <w:rsid w:val="00B50941"/>
    <w:rsid w:val="00B50952"/>
    <w:rsid w:val="00B50AC4"/>
    <w:rsid w:val="00B50C83"/>
    <w:rsid w:val="00B50E9A"/>
    <w:rsid w:val="00B50EA7"/>
    <w:rsid w:val="00B510C0"/>
    <w:rsid w:val="00B510E2"/>
    <w:rsid w:val="00B51353"/>
    <w:rsid w:val="00B5138E"/>
    <w:rsid w:val="00B51664"/>
    <w:rsid w:val="00B5172D"/>
    <w:rsid w:val="00B517A4"/>
    <w:rsid w:val="00B51883"/>
    <w:rsid w:val="00B518DD"/>
    <w:rsid w:val="00B519AC"/>
    <w:rsid w:val="00B51A6B"/>
    <w:rsid w:val="00B51A9F"/>
    <w:rsid w:val="00B51B35"/>
    <w:rsid w:val="00B51B36"/>
    <w:rsid w:val="00B51E38"/>
    <w:rsid w:val="00B51E62"/>
    <w:rsid w:val="00B52002"/>
    <w:rsid w:val="00B52123"/>
    <w:rsid w:val="00B5219B"/>
    <w:rsid w:val="00B52239"/>
    <w:rsid w:val="00B522B4"/>
    <w:rsid w:val="00B523AE"/>
    <w:rsid w:val="00B52508"/>
    <w:rsid w:val="00B52608"/>
    <w:rsid w:val="00B527AD"/>
    <w:rsid w:val="00B52877"/>
    <w:rsid w:val="00B528DB"/>
    <w:rsid w:val="00B52972"/>
    <w:rsid w:val="00B52C1E"/>
    <w:rsid w:val="00B52EE1"/>
    <w:rsid w:val="00B530B8"/>
    <w:rsid w:val="00B53128"/>
    <w:rsid w:val="00B531B9"/>
    <w:rsid w:val="00B5321C"/>
    <w:rsid w:val="00B532AA"/>
    <w:rsid w:val="00B534FE"/>
    <w:rsid w:val="00B5362B"/>
    <w:rsid w:val="00B53869"/>
    <w:rsid w:val="00B5397E"/>
    <w:rsid w:val="00B539DE"/>
    <w:rsid w:val="00B53B85"/>
    <w:rsid w:val="00B53C3F"/>
    <w:rsid w:val="00B53E73"/>
    <w:rsid w:val="00B53F59"/>
    <w:rsid w:val="00B541BA"/>
    <w:rsid w:val="00B5428A"/>
    <w:rsid w:val="00B542BE"/>
    <w:rsid w:val="00B542E0"/>
    <w:rsid w:val="00B54573"/>
    <w:rsid w:val="00B54706"/>
    <w:rsid w:val="00B54961"/>
    <w:rsid w:val="00B5496E"/>
    <w:rsid w:val="00B54A1E"/>
    <w:rsid w:val="00B54A23"/>
    <w:rsid w:val="00B54AF5"/>
    <w:rsid w:val="00B54B66"/>
    <w:rsid w:val="00B54BE0"/>
    <w:rsid w:val="00B54DEA"/>
    <w:rsid w:val="00B54DF9"/>
    <w:rsid w:val="00B54E1E"/>
    <w:rsid w:val="00B54F6A"/>
    <w:rsid w:val="00B54FEE"/>
    <w:rsid w:val="00B55002"/>
    <w:rsid w:val="00B5502B"/>
    <w:rsid w:val="00B550C9"/>
    <w:rsid w:val="00B55154"/>
    <w:rsid w:val="00B551C9"/>
    <w:rsid w:val="00B552F4"/>
    <w:rsid w:val="00B5539A"/>
    <w:rsid w:val="00B553BB"/>
    <w:rsid w:val="00B553CD"/>
    <w:rsid w:val="00B553F5"/>
    <w:rsid w:val="00B5546D"/>
    <w:rsid w:val="00B55655"/>
    <w:rsid w:val="00B557A0"/>
    <w:rsid w:val="00B557B2"/>
    <w:rsid w:val="00B55865"/>
    <w:rsid w:val="00B558E6"/>
    <w:rsid w:val="00B55940"/>
    <w:rsid w:val="00B55947"/>
    <w:rsid w:val="00B55B04"/>
    <w:rsid w:val="00B55CA9"/>
    <w:rsid w:val="00B55CF8"/>
    <w:rsid w:val="00B55DED"/>
    <w:rsid w:val="00B5602D"/>
    <w:rsid w:val="00B56097"/>
    <w:rsid w:val="00B560DF"/>
    <w:rsid w:val="00B56142"/>
    <w:rsid w:val="00B561AA"/>
    <w:rsid w:val="00B56205"/>
    <w:rsid w:val="00B56257"/>
    <w:rsid w:val="00B56444"/>
    <w:rsid w:val="00B5656C"/>
    <w:rsid w:val="00B56696"/>
    <w:rsid w:val="00B566DD"/>
    <w:rsid w:val="00B5670E"/>
    <w:rsid w:val="00B5674D"/>
    <w:rsid w:val="00B567EA"/>
    <w:rsid w:val="00B568AC"/>
    <w:rsid w:val="00B569A2"/>
    <w:rsid w:val="00B56C9B"/>
    <w:rsid w:val="00B56D32"/>
    <w:rsid w:val="00B56EBD"/>
    <w:rsid w:val="00B570CA"/>
    <w:rsid w:val="00B570CE"/>
    <w:rsid w:val="00B571CB"/>
    <w:rsid w:val="00B5743F"/>
    <w:rsid w:val="00B57592"/>
    <w:rsid w:val="00B57626"/>
    <w:rsid w:val="00B5763E"/>
    <w:rsid w:val="00B576A7"/>
    <w:rsid w:val="00B57811"/>
    <w:rsid w:val="00B57820"/>
    <w:rsid w:val="00B578BA"/>
    <w:rsid w:val="00B57976"/>
    <w:rsid w:val="00B579E9"/>
    <w:rsid w:val="00B57B50"/>
    <w:rsid w:val="00B57B79"/>
    <w:rsid w:val="00B57C6D"/>
    <w:rsid w:val="00B60038"/>
    <w:rsid w:val="00B600C8"/>
    <w:rsid w:val="00B60169"/>
    <w:rsid w:val="00B603B7"/>
    <w:rsid w:val="00B603C7"/>
    <w:rsid w:val="00B603C8"/>
    <w:rsid w:val="00B605DB"/>
    <w:rsid w:val="00B60752"/>
    <w:rsid w:val="00B60CB2"/>
    <w:rsid w:val="00B60CD6"/>
    <w:rsid w:val="00B60F2F"/>
    <w:rsid w:val="00B61165"/>
    <w:rsid w:val="00B61234"/>
    <w:rsid w:val="00B614DC"/>
    <w:rsid w:val="00B6169A"/>
    <w:rsid w:val="00B616B0"/>
    <w:rsid w:val="00B617A2"/>
    <w:rsid w:val="00B618BC"/>
    <w:rsid w:val="00B61912"/>
    <w:rsid w:val="00B61918"/>
    <w:rsid w:val="00B61A0E"/>
    <w:rsid w:val="00B61AED"/>
    <w:rsid w:val="00B61B88"/>
    <w:rsid w:val="00B61BE0"/>
    <w:rsid w:val="00B61C6A"/>
    <w:rsid w:val="00B61D69"/>
    <w:rsid w:val="00B61E92"/>
    <w:rsid w:val="00B61EF2"/>
    <w:rsid w:val="00B620BB"/>
    <w:rsid w:val="00B6217C"/>
    <w:rsid w:val="00B6221F"/>
    <w:rsid w:val="00B62407"/>
    <w:rsid w:val="00B62550"/>
    <w:rsid w:val="00B62561"/>
    <w:rsid w:val="00B62661"/>
    <w:rsid w:val="00B62698"/>
    <w:rsid w:val="00B626DA"/>
    <w:rsid w:val="00B6271D"/>
    <w:rsid w:val="00B6279C"/>
    <w:rsid w:val="00B62832"/>
    <w:rsid w:val="00B62835"/>
    <w:rsid w:val="00B62848"/>
    <w:rsid w:val="00B62A61"/>
    <w:rsid w:val="00B62B53"/>
    <w:rsid w:val="00B62BBE"/>
    <w:rsid w:val="00B62C1B"/>
    <w:rsid w:val="00B62CAB"/>
    <w:rsid w:val="00B62DDF"/>
    <w:rsid w:val="00B62F2D"/>
    <w:rsid w:val="00B633E0"/>
    <w:rsid w:val="00B63411"/>
    <w:rsid w:val="00B6341D"/>
    <w:rsid w:val="00B63550"/>
    <w:rsid w:val="00B63757"/>
    <w:rsid w:val="00B63838"/>
    <w:rsid w:val="00B63985"/>
    <w:rsid w:val="00B639EE"/>
    <w:rsid w:val="00B63A38"/>
    <w:rsid w:val="00B63AB0"/>
    <w:rsid w:val="00B63B60"/>
    <w:rsid w:val="00B63C76"/>
    <w:rsid w:val="00B63D66"/>
    <w:rsid w:val="00B63E49"/>
    <w:rsid w:val="00B63F7D"/>
    <w:rsid w:val="00B640F8"/>
    <w:rsid w:val="00B64181"/>
    <w:rsid w:val="00B641F9"/>
    <w:rsid w:val="00B642C4"/>
    <w:rsid w:val="00B6431B"/>
    <w:rsid w:val="00B643EF"/>
    <w:rsid w:val="00B64428"/>
    <w:rsid w:val="00B64489"/>
    <w:rsid w:val="00B64622"/>
    <w:rsid w:val="00B646C7"/>
    <w:rsid w:val="00B6478A"/>
    <w:rsid w:val="00B64995"/>
    <w:rsid w:val="00B649F6"/>
    <w:rsid w:val="00B64B1F"/>
    <w:rsid w:val="00B64B54"/>
    <w:rsid w:val="00B64C50"/>
    <w:rsid w:val="00B64C7D"/>
    <w:rsid w:val="00B64DF1"/>
    <w:rsid w:val="00B65078"/>
    <w:rsid w:val="00B65124"/>
    <w:rsid w:val="00B651E0"/>
    <w:rsid w:val="00B6533B"/>
    <w:rsid w:val="00B65347"/>
    <w:rsid w:val="00B65385"/>
    <w:rsid w:val="00B65440"/>
    <w:rsid w:val="00B6553F"/>
    <w:rsid w:val="00B655CA"/>
    <w:rsid w:val="00B65610"/>
    <w:rsid w:val="00B6569A"/>
    <w:rsid w:val="00B65A41"/>
    <w:rsid w:val="00B65A87"/>
    <w:rsid w:val="00B65B1B"/>
    <w:rsid w:val="00B65BB4"/>
    <w:rsid w:val="00B65DE1"/>
    <w:rsid w:val="00B65E01"/>
    <w:rsid w:val="00B65E69"/>
    <w:rsid w:val="00B65EE3"/>
    <w:rsid w:val="00B65F7C"/>
    <w:rsid w:val="00B66086"/>
    <w:rsid w:val="00B660A3"/>
    <w:rsid w:val="00B6616C"/>
    <w:rsid w:val="00B663F4"/>
    <w:rsid w:val="00B66436"/>
    <w:rsid w:val="00B66551"/>
    <w:rsid w:val="00B6673D"/>
    <w:rsid w:val="00B66962"/>
    <w:rsid w:val="00B66982"/>
    <w:rsid w:val="00B66A32"/>
    <w:rsid w:val="00B66B33"/>
    <w:rsid w:val="00B66BC9"/>
    <w:rsid w:val="00B66CBD"/>
    <w:rsid w:val="00B66E0E"/>
    <w:rsid w:val="00B66E2C"/>
    <w:rsid w:val="00B66EC1"/>
    <w:rsid w:val="00B66FFE"/>
    <w:rsid w:val="00B670AC"/>
    <w:rsid w:val="00B670C2"/>
    <w:rsid w:val="00B670D0"/>
    <w:rsid w:val="00B67117"/>
    <w:rsid w:val="00B6712B"/>
    <w:rsid w:val="00B67264"/>
    <w:rsid w:val="00B672C6"/>
    <w:rsid w:val="00B673AB"/>
    <w:rsid w:val="00B6744D"/>
    <w:rsid w:val="00B6745F"/>
    <w:rsid w:val="00B677D2"/>
    <w:rsid w:val="00B6782B"/>
    <w:rsid w:val="00B67835"/>
    <w:rsid w:val="00B679EC"/>
    <w:rsid w:val="00B67C73"/>
    <w:rsid w:val="00B67C89"/>
    <w:rsid w:val="00B67D85"/>
    <w:rsid w:val="00B67E57"/>
    <w:rsid w:val="00B67EC1"/>
    <w:rsid w:val="00B67F48"/>
    <w:rsid w:val="00B67FF2"/>
    <w:rsid w:val="00B700A1"/>
    <w:rsid w:val="00B7010B"/>
    <w:rsid w:val="00B70245"/>
    <w:rsid w:val="00B70377"/>
    <w:rsid w:val="00B7048E"/>
    <w:rsid w:val="00B70531"/>
    <w:rsid w:val="00B7053C"/>
    <w:rsid w:val="00B70589"/>
    <w:rsid w:val="00B705EF"/>
    <w:rsid w:val="00B705F1"/>
    <w:rsid w:val="00B706AC"/>
    <w:rsid w:val="00B706E2"/>
    <w:rsid w:val="00B7089A"/>
    <w:rsid w:val="00B70A4E"/>
    <w:rsid w:val="00B70C06"/>
    <w:rsid w:val="00B70D1D"/>
    <w:rsid w:val="00B70D72"/>
    <w:rsid w:val="00B70D91"/>
    <w:rsid w:val="00B70DDB"/>
    <w:rsid w:val="00B70DE2"/>
    <w:rsid w:val="00B710A0"/>
    <w:rsid w:val="00B7129F"/>
    <w:rsid w:val="00B71674"/>
    <w:rsid w:val="00B71AAF"/>
    <w:rsid w:val="00B71AD3"/>
    <w:rsid w:val="00B71B33"/>
    <w:rsid w:val="00B71BA1"/>
    <w:rsid w:val="00B71D5F"/>
    <w:rsid w:val="00B71E0E"/>
    <w:rsid w:val="00B71EDB"/>
    <w:rsid w:val="00B71F49"/>
    <w:rsid w:val="00B71F73"/>
    <w:rsid w:val="00B71FA2"/>
    <w:rsid w:val="00B71FB6"/>
    <w:rsid w:val="00B7215E"/>
    <w:rsid w:val="00B721A9"/>
    <w:rsid w:val="00B72233"/>
    <w:rsid w:val="00B72297"/>
    <w:rsid w:val="00B72438"/>
    <w:rsid w:val="00B7247D"/>
    <w:rsid w:val="00B724BF"/>
    <w:rsid w:val="00B72531"/>
    <w:rsid w:val="00B725A5"/>
    <w:rsid w:val="00B725E4"/>
    <w:rsid w:val="00B7284A"/>
    <w:rsid w:val="00B728CE"/>
    <w:rsid w:val="00B72989"/>
    <w:rsid w:val="00B72A87"/>
    <w:rsid w:val="00B72A93"/>
    <w:rsid w:val="00B72ADE"/>
    <w:rsid w:val="00B72AF0"/>
    <w:rsid w:val="00B72CF0"/>
    <w:rsid w:val="00B72D95"/>
    <w:rsid w:val="00B72E3E"/>
    <w:rsid w:val="00B72ED2"/>
    <w:rsid w:val="00B731A9"/>
    <w:rsid w:val="00B7332C"/>
    <w:rsid w:val="00B7343A"/>
    <w:rsid w:val="00B73440"/>
    <w:rsid w:val="00B734F8"/>
    <w:rsid w:val="00B73677"/>
    <w:rsid w:val="00B7367F"/>
    <w:rsid w:val="00B737BB"/>
    <w:rsid w:val="00B737EB"/>
    <w:rsid w:val="00B737F5"/>
    <w:rsid w:val="00B73843"/>
    <w:rsid w:val="00B73977"/>
    <w:rsid w:val="00B73AFA"/>
    <w:rsid w:val="00B73B00"/>
    <w:rsid w:val="00B73BF2"/>
    <w:rsid w:val="00B73D2A"/>
    <w:rsid w:val="00B73FB1"/>
    <w:rsid w:val="00B74043"/>
    <w:rsid w:val="00B740AB"/>
    <w:rsid w:val="00B74108"/>
    <w:rsid w:val="00B74186"/>
    <w:rsid w:val="00B74245"/>
    <w:rsid w:val="00B742CC"/>
    <w:rsid w:val="00B742F6"/>
    <w:rsid w:val="00B743D0"/>
    <w:rsid w:val="00B7444A"/>
    <w:rsid w:val="00B7446A"/>
    <w:rsid w:val="00B7457C"/>
    <w:rsid w:val="00B745DC"/>
    <w:rsid w:val="00B7461B"/>
    <w:rsid w:val="00B7465B"/>
    <w:rsid w:val="00B746FB"/>
    <w:rsid w:val="00B7474D"/>
    <w:rsid w:val="00B74826"/>
    <w:rsid w:val="00B74931"/>
    <w:rsid w:val="00B749DF"/>
    <w:rsid w:val="00B74A92"/>
    <w:rsid w:val="00B74BB2"/>
    <w:rsid w:val="00B74BF8"/>
    <w:rsid w:val="00B74C3A"/>
    <w:rsid w:val="00B74CAF"/>
    <w:rsid w:val="00B74D68"/>
    <w:rsid w:val="00B74DC9"/>
    <w:rsid w:val="00B74E98"/>
    <w:rsid w:val="00B7507F"/>
    <w:rsid w:val="00B75114"/>
    <w:rsid w:val="00B751F1"/>
    <w:rsid w:val="00B75356"/>
    <w:rsid w:val="00B7540F"/>
    <w:rsid w:val="00B7552E"/>
    <w:rsid w:val="00B75540"/>
    <w:rsid w:val="00B755D2"/>
    <w:rsid w:val="00B75645"/>
    <w:rsid w:val="00B756B7"/>
    <w:rsid w:val="00B7575E"/>
    <w:rsid w:val="00B75776"/>
    <w:rsid w:val="00B7594D"/>
    <w:rsid w:val="00B75D9E"/>
    <w:rsid w:val="00B75DFF"/>
    <w:rsid w:val="00B75E17"/>
    <w:rsid w:val="00B75E4E"/>
    <w:rsid w:val="00B75EAD"/>
    <w:rsid w:val="00B75F62"/>
    <w:rsid w:val="00B75FAE"/>
    <w:rsid w:val="00B75FCB"/>
    <w:rsid w:val="00B760D1"/>
    <w:rsid w:val="00B7613E"/>
    <w:rsid w:val="00B76169"/>
    <w:rsid w:val="00B7632D"/>
    <w:rsid w:val="00B76389"/>
    <w:rsid w:val="00B76417"/>
    <w:rsid w:val="00B76455"/>
    <w:rsid w:val="00B76467"/>
    <w:rsid w:val="00B76520"/>
    <w:rsid w:val="00B765AF"/>
    <w:rsid w:val="00B7668F"/>
    <w:rsid w:val="00B766E6"/>
    <w:rsid w:val="00B7677D"/>
    <w:rsid w:val="00B767CC"/>
    <w:rsid w:val="00B769E0"/>
    <w:rsid w:val="00B76A54"/>
    <w:rsid w:val="00B76AED"/>
    <w:rsid w:val="00B76D73"/>
    <w:rsid w:val="00B76FAA"/>
    <w:rsid w:val="00B76FAB"/>
    <w:rsid w:val="00B76FD8"/>
    <w:rsid w:val="00B77067"/>
    <w:rsid w:val="00B77236"/>
    <w:rsid w:val="00B7723A"/>
    <w:rsid w:val="00B7727C"/>
    <w:rsid w:val="00B77387"/>
    <w:rsid w:val="00B77419"/>
    <w:rsid w:val="00B775EE"/>
    <w:rsid w:val="00B77601"/>
    <w:rsid w:val="00B77728"/>
    <w:rsid w:val="00B77739"/>
    <w:rsid w:val="00B777FE"/>
    <w:rsid w:val="00B778A1"/>
    <w:rsid w:val="00B778E4"/>
    <w:rsid w:val="00B77999"/>
    <w:rsid w:val="00B77A9D"/>
    <w:rsid w:val="00B77D5C"/>
    <w:rsid w:val="00B77D77"/>
    <w:rsid w:val="00B77EE3"/>
    <w:rsid w:val="00B80018"/>
    <w:rsid w:val="00B8002D"/>
    <w:rsid w:val="00B80073"/>
    <w:rsid w:val="00B80094"/>
    <w:rsid w:val="00B80467"/>
    <w:rsid w:val="00B8061D"/>
    <w:rsid w:val="00B806E7"/>
    <w:rsid w:val="00B8070F"/>
    <w:rsid w:val="00B8075E"/>
    <w:rsid w:val="00B8077E"/>
    <w:rsid w:val="00B807B2"/>
    <w:rsid w:val="00B8081C"/>
    <w:rsid w:val="00B80911"/>
    <w:rsid w:val="00B80971"/>
    <w:rsid w:val="00B80A14"/>
    <w:rsid w:val="00B80A6A"/>
    <w:rsid w:val="00B80B12"/>
    <w:rsid w:val="00B80B31"/>
    <w:rsid w:val="00B80BBB"/>
    <w:rsid w:val="00B80C31"/>
    <w:rsid w:val="00B80DC6"/>
    <w:rsid w:val="00B80F13"/>
    <w:rsid w:val="00B80F80"/>
    <w:rsid w:val="00B80FDD"/>
    <w:rsid w:val="00B810E4"/>
    <w:rsid w:val="00B8114A"/>
    <w:rsid w:val="00B811D1"/>
    <w:rsid w:val="00B812C9"/>
    <w:rsid w:val="00B81375"/>
    <w:rsid w:val="00B81398"/>
    <w:rsid w:val="00B813CC"/>
    <w:rsid w:val="00B81725"/>
    <w:rsid w:val="00B81916"/>
    <w:rsid w:val="00B819D2"/>
    <w:rsid w:val="00B819F5"/>
    <w:rsid w:val="00B81E8F"/>
    <w:rsid w:val="00B81FE0"/>
    <w:rsid w:val="00B82397"/>
    <w:rsid w:val="00B8245E"/>
    <w:rsid w:val="00B8256C"/>
    <w:rsid w:val="00B825DB"/>
    <w:rsid w:val="00B82621"/>
    <w:rsid w:val="00B8262A"/>
    <w:rsid w:val="00B827DB"/>
    <w:rsid w:val="00B828CF"/>
    <w:rsid w:val="00B82A74"/>
    <w:rsid w:val="00B82B8A"/>
    <w:rsid w:val="00B82D4B"/>
    <w:rsid w:val="00B82E31"/>
    <w:rsid w:val="00B82F1D"/>
    <w:rsid w:val="00B8306B"/>
    <w:rsid w:val="00B83075"/>
    <w:rsid w:val="00B8313A"/>
    <w:rsid w:val="00B8330B"/>
    <w:rsid w:val="00B833EC"/>
    <w:rsid w:val="00B834EB"/>
    <w:rsid w:val="00B836A0"/>
    <w:rsid w:val="00B8370E"/>
    <w:rsid w:val="00B8379A"/>
    <w:rsid w:val="00B8384A"/>
    <w:rsid w:val="00B83875"/>
    <w:rsid w:val="00B8388B"/>
    <w:rsid w:val="00B839AC"/>
    <w:rsid w:val="00B839F2"/>
    <w:rsid w:val="00B83D6F"/>
    <w:rsid w:val="00B83DB4"/>
    <w:rsid w:val="00B83E73"/>
    <w:rsid w:val="00B83EBD"/>
    <w:rsid w:val="00B83EF5"/>
    <w:rsid w:val="00B84068"/>
    <w:rsid w:val="00B842A3"/>
    <w:rsid w:val="00B8431D"/>
    <w:rsid w:val="00B84333"/>
    <w:rsid w:val="00B845CE"/>
    <w:rsid w:val="00B8471E"/>
    <w:rsid w:val="00B84748"/>
    <w:rsid w:val="00B84969"/>
    <w:rsid w:val="00B849AA"/>
    <w:rsid w:val="00B84A17"/>
    <w:rsid w:val="00B84A99"/>
    <w:rsid w:val="00B84B35"/>
    <w:rsid w:val="00B84C38"/>
    <w:rsid w:val="00B84C3F"/>
    <w:rsid w:val="00B84D27"/>
    <w:rsid w:val="00B84E74"/>
    <w:rsid w:val="00B84F20"/>
    <w:rsid w:val="00B85032"/>
    <w:rsid w:val="00B85087"/>
    <w:rsid w:val="00B85109"/>
    <w:rsid w:val="00B851BA"/>
    <w:rsid w:val="00B851D4"/>
    <w:rsid w:val="00B852D2"/>
    <w:rsid w:val="00B85355"/>
    <w:rsid w:val="00B8562D"/>
    <w:rsid w:val="00B858EC"/>
    <w:rsid w:val="00B859A3"/>
    <w:rsid w:val="00B85ABF"/>
    <w:rsid w:val="00B85B73"/>
    <w:rsid w:val="00B85CC7"/>
    <w:rsid w:val="00B85DE1"/>
    <w:rsid w:val="00B86198"/>
    <w:rsid w:val="00B8624B"/>
    <w:rsid w:val="00B8628D"/>
    <w:rsid w:val="00B86379"/>
    <w:rsid w:val="00B864C1"/>
    <w:rsid w:val="00B864E8"/>
    <w:rsid w:val="00B86854"/>
    <w:rsid w:val="00B8686F"/>
    <w:rsid w:val="00B868EA"/>
    <w:rsid w:val="00B86C53"/>
    <w:rsid w:val="00B86C6C"/>
    <w:rsid w:val="00B86CA1"/>
    <w:rsid w:val="00B86D84"/>
    <w:rsid w:val="00B86E82"/>
    <w:rsid w:val="00B87142"/>
    <w:rsid w:val="00B87143"/>
    <w:rsid w:val="00B8714E"/>
    <w:rsid w:val="00B8724D"/>
    <w:rsid w:val="00B874B3"/>
    <w:rsid w:val="00B874EF"/>
    <w:rsid w:val="00B87826"/>
    <w:rsid w:val="00B878E7"/>
    <w:rsid w:val="00B87911"/>
    <w:rsid w:val="00B87927"/>
    <w:rsid w:val="00B87A0B"/>
    <w:rsid w:val="00B87DA0"/>
    <w:rsid w:val="00B87DD6"/>
    <w:rsid w:val="00B87E3C"/>
    <w:rsid w:val="00B87F6D"/>
    <w:rsid w:val="00B87F79"/>
    <w:rsid w:val="00B90005"/>
    <w:rsid w:val="00B90049"/>
    <w:rsid w:val="00B900FD"/>
    <w:rsid w:val="00B901A5"/>
    <w:rsid w:val="00B901FC"/>
    <w:rsid w:val="00B90288"/>
    <w:rsid w:val="00B902A5"/>
    <w:rsid w:val="00B9044A"/>
    <w:rsid w:val="00B9046E"/>
    <w:rsid w:val="00B9055E"/>
    <w:rsid w:val="00B9071C"/>
    <w:rsid w:val="00B907B1"/>
    <w:rsid w:val="00B907D8"/>
    <w:rsid w:val="00B9080F"/>
    <w:rsid w:val="00B90AD0"/>
    <w:rsid w:val="00B90BD3"/>
    <w:rsid w:val="00B90C41"/>
    <w:rsid w:val="00B90D2E"/>
    <w:rsid w:val="00B90D89"/>
    <w:rsid w:val="00B90F76"/>
    <w:rsid w:val="00B90FEB"/>
    <w:rsid w:val="00B91380"/>
    <w:rsid w:val="00B914C9"/>
    <w:rsid w:val="00B91756"/>
    <w:rsid w:val="00B91785"/>
    <w:rsid w:val="00B917DF"/>
    <w:rsid w:val="00B91804"/>
    <w:rsid w:val="00B91A4E"/>
    <w:rsid w:val="00B91A62"/>
    <w:rsid w:val="00B91B48"/>
    <w:rsid w:val="00B91C4B"/>
    <w:rsid w:val="00B91E92"/>
    <w:rsid w:val="00B91ED6"/>
    <w:rsid w:val="00B92438"/>
    <w:rsid w:val="00B92444"/>
    <w:rsid w:val="00B92981"/>
    <w:rsid w:val="00B92A06"/>
    <w:rsid w:val="00B92A9D"/>
    <w:rsid w:val="00B92C93"/>
    <w:rsid w:val="00B92E86"/>
    <w:rsid w:val="00B92EF9"/>
    <w:rsid w:val="00B92FD8"/>
    <w:rsid w:val="00B930A0"/>
    <w:rsid w:val="00B931B0"/>
    <w:rsid w:val="00B93216"/>
    <w:rsid w:val="00B9327D"/>
    <w:rsid w:val="00B932C2"/>
    <w:rsid w:val="00B932DA"/>
    <w:rsid w:val="00B9330D"/>
    <w:rsid w:val="00B9335B"/>
    <w:rsid w:val="00B934FE"/>
    <w:rsid w:val="00B93679"/>
    <w:rsid w:val="00B939D6"/>
    <w:rsid w:val="00B93AE9"/>
    <w:rsid w:val="00B93BF5"/>
    <w:rsid w:val="00B93C31"/>
    <w:rsid w:val="00B93C68"/>
    <w:rsid w:val="00B93C69"/>
    <w:rsid w:val="00B93C86"/>
    <w:rsid w:val="00B93D61"/>
    <w:rsid w:val="00B93F09"/>
    <w:rsid w:val="00B93F2D"/>
    <w:rsid w:val="00B93F40"/>
    <w:rsid w:val="00B940A0"/>
    <w:rsid w:val="00B94121"/>
    <w:rsid w:val="00B943A3"/>
    <w:rsid w:val="00B945F1"/>
    <w:rsid w:val="00B94610"/>
    <w:rsid w:val="00B946A7"/>
    <w:rsid w:val="00B946B7"/>
    <w:rsid w:val="00B94B26"/>
    <w:rsid w:val="00B94CC9"/>
    <w:rsid w:val="00B94DF6"/>
    <w:rsid w:val="00B94FBA"/>
    <w:rsid w:val="00B95028"/>
    <w:rsid w:val="00B9504A"/>
    <w:rsid w:val="00B95148"/>
    <w:rsid w:val="00B952AA"/>
    <w:rsid w:val="00B954A5"/>
    <w:rsid w:val="00B958FF"/>
    <w:rsid w:val="00B95951"/>
    <w:rsid w:val="00B9595F"/>
    <w:rsid w:val="00B959AE"/>
    <w:rsid w:val="00B959C1"/>
    <w:rsid w:val="00B95A24"/>
    <w:rsid w:val="00B95B5A"/>
    <w:rsid w:val="00B95C45"/>
    <w:rsid w:val="00B95C8B"/>
    <w:rsid w:val="00B95E28"/>
    <w:rsid w:val="00B95E3C"/>
    <w:rsid w:val="00B96134"/>
    <w:rsid w:val="00B96141"/>
    <w:rsid w:val="00B96453"/>
    <w:rsid w:val="00B964B2"/>
    <w:rsid w:val="00B964DA"/>
    <w:rsid w:val="00B96539"/>
    <w:rsid w:val="00B9679E"/>
    <w:rsid w:val="00B968F0"/>
    <w:rsid w:val="00B969EB"/>
    <w:rsid w:val="00B96B1C"/>
    <w:rsid w:val="00B96C39"/>
    <w:rsid w:val="00B96CEB"/>
    <w:rsid w:val="00B96D86"/>
    <w:rsid w:val="00B96F1C"/>
    <w:rsid w:val="00B970D3"/>
    <w:rsid w:val="00B9717F"/>
    <w:rsid w:val="00B97569"/>
    <w:rsid w:val="00B976DA"/>
    <w:rsid w:val="00B97A8B"/>
    <w:rsid w:val="00B97C3F"/>
    <w:rsid w:val="00B97ECB"/>
    <w:rsid w:val="00B97F9F"/>
    <w:rsid w:val="00BA0077"/>
    <w:rsid w:val="00BA01B2"/>
    <w:rsid w:val="00BA02D5"/>
    <w:rsid w:val="00BA043C"/>
    <w:rsid w:val="00BA047F"/>
    <w:rsid w:val="00BA04E4"/>
    <w:rsid w:val="00BA0534"/>
    <w:rsid w:val="00BA0560"/>
    <w:rsid w:val="00BA05DE"/>
    <w:rsid w:val="00BA0612"/>
    <w:rsid w:val="00BA0630"/>
    <w:rsid w:val="00BA0798"/>
    <w:rsid w:val="00BA0837"/>
    <w:rsid w:val="00BA0871"/>
    <w:rsid w:val="00BA088A"/>
    <w:rsid w:val="00BA08ED"/>
    <w:rsid w:val="00BA0922"/>
    <w:rsid w:val="00BA0A75"/>
    <w:rsid w:val="00BA0AD1"/>
    <w:rsid w:val="00BA0BED"/>
    <w:rsid w:val="00BA0CF0"/>
    <w:rsid w:val="00BA0DAF"/>
    <w:rsid w:val="00BA0FA7"/>
    <w:rsid w:val="00BA1012"/>
    <w:rsid w:val="00BA10D9"/>
    <w:rsid w:val="00BA1115"/>
    <w:rsid w:val="00BA1203"/>
    <w:rsid w:val="00BA1437"/>
    <w:rsid w:val="00BA1453"/>
    <w:rsid w:val="00BA1559"/>
    <w:rsid w:val="00BA1758"/>
    <w:rsid w:val="00BA17F4"/>
    <w:rsid w:val="00BA181C"/>
    <w:rsid w:val="00BA1B4D"/>
    <w:rsid w:val="00BA1C90"/>
    <w:rsid w:val="00BA1D48"/>
    <w:rsid w:val="00BA1E01"/>
    <w:rsid w:val="00BA1EE3"/>
    <w:rsid w:val="00BA1EFC"/>
    <w:rsid w:val="00BA20E2"/>
    <w:rsid w:val="00BA2113"/>
    <w:rsid w:val="00BA24DD"/>
    <w:rsid w:val="00BA2608"/>
    <w:rsid w:val="00BA2AF3"/>
    <w:rsid w:val="00BA2B14"/>
    <w:rsid w:val="00BA2DD6"/>
    <w:rsid w:val="00BA2E97"/>
    <w:rsid w:val="00BA2E99"/>
    <w:rsid w:val="00BA2FA4"/>
    <w:rsid w:val="00BA30E4"/>
    <w:rsid w:val="00BA31EA"/>
    <w:rsid w:val="00BA338E"/>
    <w:rsid w:val="00BA35AF"/>
    <w:rsid w:val="00BA35CF"/>
    <w:rsid w:val="00BA3601"/>
    <w:rsid w:val="00BA36E7"/>
    <w:rsid w:val="00BA3761"/>
    <w:rsid w:val="00BA37C9"/>
    <w:rsid w:val="00BA3811"/>
    <w:rsid w:val="00BA3827"/>
    <w:rsid w:val="00BA3895"/>
    <w:rsid w:val="00BA390D"/>
    <w:rsid w:val="00BA392C"/>
    <w:rsid w:val="00BA396D"/>
    <w:rsid w:val="00BA39F2"/>
    <w:rsid w:val="00BA39FE"/>
    <w:rsid w:val="00BA3A56"/>
    <w:rsid w:val="00BA3A65"/>
    <w:rsid w:val="00BA3BAF"/>
    <w:rsid w:val="00BA3E61"/>
    <w:rsid w:val="00BA3F6C"/>
    <w:rsid w:val="00BA4084"/>
    <w:rsid w:val="00BA4145"/>
    <w:rsid w:val="00BA4285"/>
    <w:rsid w:val="00BA4297"/>
    <w:rsid w:val="00BA42E4"/>
    <w:rsid w:val="00BA4325"/>
    <w:rsid w:val="00BA4340"/>
    <w:rsid w:val="00BA43B8"/>
    <w:rsid w:val="00BA43BC"/>
    <w:rsid w:val="00BA4579"/>
    <w:rsid w:val="00BA458F"/>
    <w:rsid w:val="00BA4630"/>
    <w:rsid w:val="00BA46D7"/>
    <w:rsid w:val="00BA46EF"/>
    <w:rsid w:val="00BA475A"/>
    <w:rsid w:val="00BA488B"/>
    <w:rsid w:val="00BA4A4C"/>
    <w:rsid w:val="00BA4AF5"/>
    <w:rsid w:val="00BA4B4B"/>
    <w:rsid w:val="00BA4C56"/>
    <w:rsid w:val="00BA4E64"/>
    <w:rsid w:val="00BA4F15"/>
    <w:rsid w:val="00BA4F5F"/>
    <w:rsid w:val="00BA501B"/>
    <w:rsid w:val="00BA50E7"/>
    <w:rsid w:val="00BA5372"/>
    <w:rsid w:val="00BA53B2"/>
    <w:rsid w:val="00BA5467"/>
    <w:rsid w:val="00BA54A2"/>
    <w:rsid w:val="00BA5627"/>
    <w:rsid w:val="00BA5781"/>
    <w:rsid w:val="00BA5800"/>
    <w:rsid w:val="00BA5847"/>
    <w:rsid w:val="00BA58D1"/>
    <w:rsid w:val="00BA5909"/>
    <w:rsid w:val="00BA5947"/>
    <w:rsid w:val="00BA5A92"/>
    <w:rsid w:val="00BA5AAF"/>
    <w:rsid w:val="00BA5AFE"/>
    <w:rsid w:val="00BA5C5C"/>
    <w:rsid w:val="00BA5DE7"/>
    <w:rsid w:val="00BA5F33"/>
    <w:rsid w:val="00BA5F41"/>
    <w:rsid w:val="00BA5FF5"/>
    <w:rsid w:val="00BA6034"/>
    <w:rsid w:val="00BA6164"/>
    <w:rsid w:val="00BA61F6"/>
    <w:rsid w:val="00BA6218"/>
    <w:rsid w:val="00BA6265"/>
    <w:rsid w:val="00BA62D3"/>
    <w:rsid w:val="00BA6403"/>
    <w:rsid w:val="00BA6439"/>
    <w:rsid w:val="00BA6477"/>
    <w:rsid w:val="00BA6614"/>
    <w:rsid w:val="00BA661B"/>
    <w:rsid w:val="00BA68DE"/>
    <w:rsid w:val="00BA6B45"/>
    <w:rsid w:val="00BA6B9A"/>
    <w:rsid w:val="00BA6C29"/>
    <w:rsid w:val="00BA6D81"/>
    <w:rsid w:val="00BA6EAE"/>
    <w:rsid w:val="00BA6FAF"/>
    <w:rsid w:val="00BA7121"/>
    <w:rsid w:val="00BA71EA"/>
    <w:rsid w:val="00BA7594"/>
    <w:rsid w:val="00BA75A0"/>
    <w:rsid w:val="00BA785D"/>
    <w:rsid w:val="00BA79AE"/>
    <w:rsid w:val="00BA7A25"/>
    <w:rsid w:val="00BA7AEA"/>
    <w:rsid w:val="00BA7E03"/>
    <w:rsid w:val="00BA7EA3"/>
    <w:rsid w:val="00BA7EB8"/>
    <w:rsid w:val="00BB00F3"/>
    <w:rsid w:val="00BB01D0"/>
    <w:rsid w:val="00BB02F9"/>
    <w:rsid w:val="00BB0420"/>
    <w:rsid w:val="00BB059C"/>
    <w:rsid w:val="00BB0665"/>
    <w:rsid w:val="00BB06BC"/>
    <w:rsid w:val="00BB0921"/>
    <w:rsid w:val="00BB099B"/>
    <w:rsid w:val="00BB0AC5"/>
    <w:rsid w:val="00BB0B49"/>
    <w:rsid w:val="00BB0C0B"/>
    <w:rsid w:val="00BB0CBA"/>
    <w:rsid w:val="00BB0D0A"/>
    <w:rsid w:val="00BB0D85"/>
    <w:rsid w:val="00BB0F18"/>
    <w:rsid w:val="00BB0F8D"/>
    <w:rsid w:val="00BB1049"/>
    <w:rsid w:val="00BB105B"/>
    <w:rsid w:val="00BB127B"/>
    <w:rsid w:val="00BB12FD"/>
    <w:rsid w:val="00BB140A"/>
    <w:rsid w:val="00BB1471"/>
    <w:rsid w:val="00BB1691"/>
    <w:rsid w:val="00BB188B"/>
    <w:rsid w:val="00BB198C"/>
    <w:rsid w:val="00BB1A19"/>
    <w:rsid w:val="00BB1BF1"/>
    <w:rsid w:val="00BB1D31"/>
    <w:rsid w:val="00BB1D41"/>
    <w:rsid w:val="00BB1D5B"/>
    <w:rsid w:val="00BB1DCD"/>
    <w:rsid w:val="00BB1EE4"/>
    <w:rsid w:val="00BB1F3C"/>
    <w:rsid w:val="00BB2032"/>
    <w:rsid w:val="00BB20F0"/>
    <w:rsid w:val="00BB2258"/>
    <w:rsid w:val="00BB227C"/>
    <w:rsid w:val="00BB22B8"/>
    <w:rsid w:val="00BB2483"/>
    <w:rsid w:val="00BB25B0"/>
    <w:rsid w:val="00BB264F"/>
    <w:rsid w:val="00BB27B5"/>
    <w:rsid w:val="00BB27C3"/>
    <w:rsid w:val="00BB2938"/>
    <w:rsid w:val="00BB2A78"/>
    <w:rsid w:val="00BB2B36"/>
    <w:rsid w:val="00BB2C47"/>
    <w:rsid w:val="00BB2DB9"/>
    <w:rsid w:val="00BB2E0D"/>
    <w:rsid w:val="00BB2E46"/>
    <w:rsid w:val="00BB2ED6"/>
    <w:rsid w:val="00BB2F3E"/>
    <w:rsid w:val="00BB2F59"/>
    <w:rsid w:val="00BB2F6F"/>
    <w:rsid w:val="00BB3074"/>
    <w:rsid w:val="00BB30C8"/>
    <w:rsid w:val="00BB3314"/>
    <w:rsid w:val="00BB3321"/>
    <w:rsid w:val="00BB3479"/>
    <w:rsid w:val="00BB361E"/>
    <w:rsid w:val="00BB3714"/>
    <w:rsid w:val="00BB373C"/>
    <w:rsid w:val="00BB37DC"/>
    <w:rsid w:val="00BB3856"/>
    <w:rsid w:val="00BB391B"/>
    <w:rsid w:val="00BB39FD"/>
    <w:rsid w:val="00BB3A3F"/>
    <w:rsid w:val="00BB3A8E"/>
    <w:rsid w:val="00BB3AC5"/>
    <w:rsid w:val="00BB3B5C"/>
    <w:rsid w:val="00BB3BDF"/>
    <w:rsid w:val="00BB3BEF"/>
    <w:rsid w:val="00BB3CDB"/>
    <w:rsid w:val="00BB3FBD"/>
    <w:rsid w:val="00BB437D"/>
    <w:rsid w:val="00BB439E"/>
    <w:rsid w:val="00BB448D"/>
    <w:rsid w:val="00BB44DD"/>
    <w:rsid w:val="00BB459B"/>
    <w:rsid w:val="00BB482F"/>
    <w:rsid w:val="00BB4878"/>
    <w:rsid w:val="00BB4915"/>
    <w:rsid w:val="00BB49AC"/>
    <w:rsid w:val="00BB4B4B"/>
    <w:rsid w:val="00BB4B98"/>
    <w:rsid w:val="00BB4C49"/>
    <w:rsid w:val="00BB4C55"/>
    <w:rsid w:val="00BB4D96"/>
    <w:rsid w:val="00BB4E4D"/>
    <w:rsid w:val="00BB4EBF"/>
    <w:rsid w:val="00BB4F84"/>
    <w:rsid w:val="00BB4FFB"/>
    <w:rsid w:val="00BB5030"/>
    <w:rsid w:val="00BB506C"/>
    <w:rsid w:val="00BB50F1"/>
    <w:rsid w:val="00BB511B"/>
    <w:rsid w:val="00BB51DB"/>
    <w:rsid w:val="00BB52F5"/>
    <w:rsid w:val="00BB53DF"/>
    <w:rsid w:val="00BB543B"/>
    <w:rsid w:val="00BB545B"/>
    <w:rsid w:val="00BB550B"/>
    <w:rsid w:val="00BB5559"/>
    <w:rsid w:val="00BB5664"/>
    <w:rsid w:val="00BB5798"/>
    <w:rsid w:val="00BB5992"/>
    <w:rsid w:val="00BB5B42"/>
    <w:rsid w:val="00BB5DD6"/>
    <w:rsid w:val="00BB5E1C"/>
    <w:rsid w:val="00BB5EA9"/>
    <w:rsid w:val="00BB5EC1"/>
    <w:rsid w:val="00BB5FA0"/>
    <w:rsid w:val="00BB60BD"/>
    <w:rsid w:val="00BB60FC"/>
    <w:rsid w:val="00BB6156"/>
    <w:rsid w:val="00BB61A2"/>
    <w:rsid w:val="00BB6415"/>
    <w:rsid w:val="00BB648E"/>
    <w:rsid w:val="00BB65AA"/>
    <w:rsid w:val="00BB6791"/>
    <w:rsid w:val="00BB682B"/>
    <w:rsid w:val="00BB69C0"/>
    <w:rsid w:val="00BB6B68"/>
    <w:rsid w:val="00BB6E54"/>
    <w:rsid w:val="00BB6E5B"/>
    <w:rsid w:val="00BB6E82"/>
    <w:rsid w:val="00BB70BF"/>
    <w:rsid w:val="00BB7124"/>
    <w:rsid w:val="00BB7160"/>
    <w:rsid w:val="00BB7298"/>
    <w:rsid w:val="00BB74E7"/>
    <w:rsid w:val="00BB7669"/>
    <w:rsid w:val="00BB77EE"/>
    <w:rsid w:val="00BB782F"/>
    <w:rsid w:val="00BB7D1C"/>
    <w:rsid w:val="00BB7E76"/>
    <w:rsid w:val="00BB7E77"/>
    <w:rsid w:val="00BC0048"/>
    <w:rsid w:val="00BC00AC"/>
    <w:rsid w:val="00BC0146"/>
    <w:rsid w:val="00BC017B"/>
    <w:rsid w:val="00BC0282"/>
    <w:rsid w:val="00BC03FF"/>
    <w:rsid w:val="00BC040D"/>
    <w:rsid w:val="00BC0426"/>
    <w:rsid w:val="00BC0479"/>
    <w:rsid w:val="00BC05BB"/>
    <w:rsid w:val="00BC06C2"/>
    <w:rsid w:val="00BC07BD"/>
    <w:rsid w:val="00BC07C0"/>
    <w:rsid w:val="00BC08E5"/>
    <w:rsid w:val="00BC0AF7"/>
    <w:rsid w:val="00BC0B7C"/>
    <w:rsid w:val="00BC0CDA"/>
    <w:rsid w:val="00BC0DD0"/>
    <w:rsid w:val="00BC0E84"/>
    <w:rsid w:val="00BC0FA2"/>
    <w:rsid w:val="00BC10AB"/>
    <w:rsid w:val="00BC10C9"/>
    <w:rsid w:val="00BC10DA"/>
    <w:rsid w:val="00BC12DE"/>
    <w:rsid w:val="00BC1628"/>
    <w:rsid w:val="00BC16EB"/>
    <w:rsid w:val="00BC17A8"/>
    <w:rsid w:val="00BC1833"/>
    <w:rsid w:val="00BC184B"/>
    <w:rsid w:val="00BC1BF0"/>
    <w:rsid w:val="00BC1C13"/>
    <w:rsid w:val="00BC1C2B"/>
    <w:rsid w:val="00BC1DDD"/>
    <w:rsid w:val="00BC1F32"/>
    <w:rsid w:val="00BC21B7"/>
    <w:rsid w:val="00BC2330"/>
    <w:rsid w:val="00BC2445"/>
    <w:rsid w:val="00BC247F"/>
    <w:rsid w:val="00BC253C"/>
    <w:rsid w:val="00BC25C6"/>
    <w:rsid w:val="00BC26CD"/>
    <w:rsid w:val="00BC2734"/>
    <w:rsid w:val="00BC294F"/>
    <w:rsid w:val="00BC29BE"/>
    <w:rsid w:val="00BC2B23"/>
    <w:rsid w:val="00BC2BCD"/>
    <w:rsid w:val="00BC2BE2"/>
    <w:rsid w:val="00BC2C9D"/>
    <w:rsid w:val="00BC2D79"/>
    <w:rsid w:val="00BC2D97"/>
    <w:rsid w:val="00BC2E4F"/>
    <w:rsid w:val="00BC2F23"/>
    <w:rsid w:val="00BC2F90"/>
    <w:rsid w:val="00BC2FD4"/>
    <w:rsid w:val="00BC30B4"/>
    <w:rsid w:val="00BC3274"/>
    <w:rsid w:val="00BC3289"/>
    <w:rsid w:val="00BC3572"/>
    <w:rsid w:val="00BC35DF"/>
    <w:rsid w:val="00BC360B"/>
    <w:rsid w:val="00BC3908"/>
    <w:rsid w:val="00BC3A0C"/>
    <w:rsid w:val="00BC3CAF"/>
    <w:rsid w:val="00BC3DFC"/>
    <w:rsid w:val="00BC3F4F"/>
    <w:rsid w:val="00BC40C1"/>
    <w:rsid w:val="00BC40C5"/>
    <w:rsid w:val="00BC40D9"/>
    <w:rsid w:val="00BC4115"/>
    <w:rsid w:val="00BC4283"/>
    <w:rsid w:val="00BC42F8"/>
    <w:rsid w:val="00BC4320"/>
    <w:rsid w:val="00BC43C1"/>
    <w:rsid w:val="00BC449E"/>
    <w:rsid w:val="00BC452A"/>
    <w:rsid w:val="00BC45B0"/>
    <w:rsid w:val="00BC46AF"/>
    <w:rsid w:val="00BC4716"/>
    <w:rsid w:val="00BC47F1"/>
    <w:rsid w:val="00BC4879"/>
    <w:rsid w:val="00BC48CA"/>
    <w:rsid w:val="00BC4932"/>
    <w:rsid w:val="00BC4CC3"/>
    <w:rsid w:val="00BC4D02"/>
    <w:rsid w:val="00BC4D2B"/>
    <w:rsid w:val="00BC4D4B"/>
    <w:rsid w:val="00BC4DAF"/>
    <w:rsid w:val="00BC4E14"/>
    <w:rsid w:val="00BC4E2A"/>
    <w:rsid w:val="00BC4E9F"/>
    <w:rsid w:val="00BC4EAE"/>
    <w:rsid w:val="00BC4EE5"/>
    <w:rsid w:val="00BC4EED"/>
    <w:rsid w:val="00BC4EFF"/>
    <w:rsid w:val="00BC4F2A"/>
    <w:rsid w:val="00BC4F4C"/>
    <w:rsid w:val="00BC4FBF"/>
    <w:rsid w:val="00BC4FC0"/>
    <w:rsid w:val="00BC5087"/>
    <w:rsid w:val="00BC515C"/>
    <w:rsid w:val="00BC52AF"/>
    <w:rsid w:val="00BC532A"/>
    <w:rsid w:val="00BC5362"/>
    <w:rsid w:val="00BC538C"/>
    <w:rsid w:val="00BC53B5"/>
    <w:rsid w:val="00BC5452"/>
    <w:rsid w:val="00BC57C3"/>
    <w:rsid w:val="00BC58C8"/>
    <w:rsid w:val="00BC59F7"/>
    <w:rsid w:val="00BC5A06"/>
    <w:rsid w:val="00BC5AEE"/>
    <w:rsid w:val="00BC5C9F"/>
    <w:rsid w:val="00BC5DCA"/>
    <w:rsid w:val="00BC5FAD"/>
    <w:rsid w:val="00BC5FB2"/>
    <w:rsid w:val="00BC5FBD"/>
    <w:rsid w:val="00BC60B1"/>
    <w:rsid w:val="00BC60ED"/>
    <w:rsid w:val="00BC615F"/>
    <w:rsid w:val="00BC61C8"/>
    <w:rsid w:val="00BC61DE"/>
    <w:rsid w:val="00BC63F1"/>
    <w:rsid w:val="00BC6461"/>
    <w:rsid w:val="00BC648D"/>
    <w:rsid w:val="00BC6504"/>
    <w:rsid w:val="00BC663F"/>
    <w:rsid w:val="00BC67A7"/>
    <w:rsid w:val="00BC689F"/>
    <w:rsid w:val="00BC68FC"/>
    <w:rsid w:val="00BC6909"/>
    <w:rsid w:val="00BC6971"/>
    <w:rsid w:val="00BC6AAF"/>
    <w:rsid w:val="00BC6C61"/>
    <w:rsid w:val="00BC6C81"/>
    <w:rsid w:val="00BC6E69"/>
    <w:rsid w:val="00BC6F5D"/>
    <w:rsid w:val="00BC7031"/>
    <w:rsid w:val="00BC7083"/>
    <w:rsid w:val="00BC7108"/>
    <w:rsid w:val="00BC726A"/>
    <w:rsid w:val="00BC7332"/>
    <w:rsid w:val="00BC7335"/>
    <w:rsid w:val="00BC74D4"/>
    <w:rsid w:val="00BC74DF"/>
    <w:rsid w:val="00BC7687"/>
    <w:rsid w:val="00BC7865"/>
    <w:rsid w:val="00BC791A"/>
    <w:rsid w:val="00BC7954"/>
    <w:rsid w:val="00BC7AA5"/>
    <w:rsid w:val="00BC7BCE"/>
    <w:rsid w:val="00BC7CB8"/>
    <w:rsid w:val="00BC7CCC"/>
    <w:rsid w:val="00BC7D6B"/>
    <w:rsid w:val="00BC7DD5"/>
    <w:rsid w:val="00BC7DEB"/>
    <w:rsid w:val="00BC7F99"/>
    <w:rsid w:val="00BD00C8"/>
    <w:rsid w:val="00BD00EB"/>
    <w:rsid w:val="00BD0299"/>
    <w:rsid w:val="00BD02AF"/>
    <w:rsid w:val="00BD0616"/>
    <w:rsid w:val="00BD0A49"/>
    <w:rsid w:val="00BD0AB9"/>
    <w:rsid w:val="00BD0B48"/>
    <w:rsid w:val="00BD0D05"/>
    <w:rsid w:val="00BD0DDA"/>
    <w:rsid w:val="00BD0E29"/>
    <w:rsid w:val="00BD0F1D"/>
    <w:rsid w:val="00BD1055"/>
    <w:rsid w:val="00BD109D"/>
    <w:rsid w:val="00BD1145"/>
    <w:rsid w:val="00BD115F"/>
    <w:rsid w:val="00BD1193"/>
    <w:rsid w:val="00BD12EA"/>
    <w:rsid w:val="00BD14CF"/>
    <w:rsid w:val="00BD1663"/>
    <w:rsid w:val="00BD178B"/>
    <w:rsid w:val="00BD18F1"/>
    <w:rsid w:val="00BD1918"/>
    <w:rsid w:val="00BD19AC"/>
    <w:rsid w:val="00BD19AF"/>
    <w:rsid w:val="00BD1A4C"/>
    <w:rsid w:val="00BD1A52"/>
    <w:rsid w:val="00BD1C32"/>
    <w:rsid w:val="00BD210C"/>
    <w:rsid w:val="00BD214B"/>
    <w:rsid w:val="00BD226D"/>
    <w:rsid w:val="00BD23B2"/>
    <w:rsid w:val="00BD2508"/>
    <w:rsid w:val="00BD253E"/>
    <w:rsid w:val="00BD261D"/>
    <w:rsid w:val="00BD26AA"/>
    <w:rsid w:val="00BD26EF"/>
    <w:rsid w:val="00BD26F5"/>
    <w:rsid w:val="00BD2778"/>
    <w:rsid w:val="00BD2949"/>
    <w:rsid w:val="00BD2A5C"/>
    <w:rsid w:val="00BD2B12"/>
    <w:rsid w:val="00BD2C42"/>
    <w:rsid w:val="00BD36FB"/>
    <w:rsid w:val="00BD3724"/>
    <w:rsid w:val="00BD3889"/>
    <w:rsid w:val="00BD3B54"/>
    <w:rsid w:val="00BD3B76"/>
    <w:rsid w:val="00BD3C12"/>
    <w:rsid w:val="00BD3DD4"/>
    <w:rsid w:val="00BD3F6F"/>
    <w:rsid w:val="00BD41F4"/>
    <w:rsid w:val="00BD4264"/>
    <w:rsid w:val="00BD42C3"/>
    <w:rsid w:val="00BD445A"/>
    <w:rsid w:val="00BD454F"/>
    <w:rsid w:val="00BD467C"/>
    <w:rsid w:val="00BD4747"/>
    <w:rsid w:val="00BD4925"/>
    <w:rsid w:val="00BD4BC5"/>
    <w:rsid w:val="00BD4CC2"/>
    <w:rsid w:val="00BD4D4D"/>
    <w:rsid w:val="00BD4FFB"/>
    <w:rsid w:val="00BD5212"/>
    <w:rsid w:val="00BD52FA"/>
    <w:rsid w:val="00BD53C4"/>
    <w:rsid w:val="00BD5455"/>
    <w:rsid w:val="00BD5512"/>
    <w:rsid w:val="00BD5646"/>
    <w:rsid w:val="00BD564C"/>
    <w:rsid w:val="00BD56B6"/>
    <w:rsid w:val="00BD57AA"/>
    <w:rsid w:val="00BD57D1"/>
    <w:rsid w:val="00BD584B"/>
    <w:rsid w:val="00BD59A1"/>
    <w:rsid w:val="00BD5B35"/>
    <w:rsid w:val="00BD5BF9"/>
    <w:rsid w:val="00BD5EA4"/>
    <w:rsid w:val="00BD5ECB"/>
    <w:rsid w:val="00BD5EDB"/>
    <w:rsid w:val="00BD60CF"/>
    <w:rsid w:val="00BD630E"/>
    <w:rsid w:val="00BD6349"/>
    <w:rsid w:val="00BD6443"/>
    <w:rsid w:val="00BD6448"/>
    <w:rsid w:val="00BD68A8"/>
    <w:rsid w:val="00BD6968"/>
    <w:rsid w:val="00BD6B8D"/>
    <w:rsid w:val="00BD6D28"/>
    <w:rsid w:val="00BD6E7C"/>
    <w:rsid w:val="00BD6FF2"/>
    <w:rsid w:val="00BD7104"/>
    <w:rsid w:val="00BD751D"/>
    <w:rsid w:val="00BD75F5"/>
    <w:rsid w:val="00BD76B9"/>
    <w:rsid w:val="00BD77E4"/>
    <w:rsid w:val="00BD7843"/>
    <w:rsid w:val="00BD7884"/>
    <w:rsid w:val="00BD7912"/>
    <w:rsid w:val="00BD794A"/>
    <w:rsid w:val="00BD794C"/>
    <w:rsid w:val="00BD79A6"/>
    <w:rsid w:val="00BD79FF"/>
    <w:rsid w:val="00BD7ADE"/>
    <w:rsid w:val="00BD7CBC"/>
    <w:rsid w:val="00BD7D19"/>
    <w:rsid w:val="00BD7D86"/>
    <w:rsid w:val="00BD7F09"/>
    <w:rsid w:val="00BD7FBD"/>
    <w:rsid w:val="00BD7FFE"/>
    <w:rsid w:val="00BE002F"/>
    <w:rsid w:val="00BE0034"/>
    <w:rsid w:val="00BE006C"/>
    <w:rsid w:val="00BE00F9"/>
    <w:rsid w:val="00BE02F0"/>
    <w:rsid w:val="00BE0303"/>
    <w:rsid w:val="00BE037D"/>
    <w:rsid w:val="00BE0398"/>
    <w:rsid w:val="00BE0462"/>
    <w:rsid w:val="00BE04A7"/>
    <w:rsid w:val="00BE04FC"/>
    <w:rsid w:val="00BE0508"/>
    <w:rsid w:val="00BE055F"/>
    <w:rsid w:val="00BE063E"/>
    <w:rsid w:val="00BE0761"/>
    <w:rsid w:val="00BE0815"/>
    <w:rsid w:val="00BE09BB"/>
    <w:rsid w:val="00BE0A4E"/>
    <w:rsid w:val="00BE0A54"/>
    <w:rsid w:val="00BE0C94"/>
    <w:rsid w:val="00BE0D4C"/>
    <w:rsid w:val="00BE0DA2"/>
    <w:rsid w:val="00BE0DBB"/>
    <w:rsid w:val="00BE0FBC"/>
    <w:rsid w:val="00BE102A"/>
    <w:rsid w:val="00BE1041"/>
    <w:rsid w:val="00BE108F"/>
    <w:rsid w:val="00BE12C7"/>
    <w:rsid w:val="00BE12FC"/>
    <w:rsid w:val="00BE1581"/>
    <w:rsid w:val="00BE188E"/>
    <w:rsid w:val="00BE193E"/>
    <w:rsid w:val="00BE197B"/>
    <w:rsid w:val="00BE1A0F"/>
    <w:rsid w:val="00BE1B87"/>
    <w:rsid w:val="00BE1D2E"/>
    <w:rsid w:val="00BE1D79"/>
    <w:rsid w:val="00BE1E92"/>
    <w:rsid w:val="00BE22C5"/>
    <w:rsid w:val="00BE22CE"/>
    <w:rsid w:val="00BE22F6"/>
    <w:rsid w:val="00BE2455"/>
    <w:rsid w:val="00BE26BD"/>
    <w:rsid w:val="00BE2802"/>
    <w:rsid w:val="00BE2881"/>
    <w:rsid w:val="00BE29CC"/>
    <w:rsid w:val="00BE2A2D"/>
    <w:rsid w:val="00BE2ED1"/>
    <w:rsid w:val="00BE2F99"/>
    <w:rsid w:val="00BE31E0"/>
    <w:rsid w:val="00BE325C"/>
    <w:rsid w:val="00BE343E"/>
    <w:rsid w:val="00BE35C0"/>
    <w:rsid w:val="00BE35F6"/>
    <w:rsid w:val="00BE3630"/>
    <w:rsid w:val="00BE38DA"/>
    <w:rsid w:val="00BE38FB"/>
    <w:rsid w:val="00BE39E1"/>
    <w:rsid w:val="00BE3B73"/>
    <w:rsid w:val="00BE3CC3"/>
    <w:rsid w:val="00BE3E67"/>
    <w:rsid w:val="00BE3ED7"/>
    <w:rsid w:val="00BE3FF4"/>
    <w:rsid w:val="00BE411B"/>
    <w:rsid w:val="00BE428D"/>
    <w:rsid w:val="00BE44B4"/>
    <w:rsid w:val="00BE4778"/>
    <w:rsid w:val="00BE47BE"/>
    <w:rsid w:val="00BE4852"/>
    <w:rsid w:val="00BE49FB"/>
    <w:rsid w:val="00BE4A63"/>
    <w:rsid w:val="00BE4A69"/>
    <w:rsid w:val="00BE4B28"/>
    <w:rsid w:val="00BE4BBC"/>
    <w:rsid w:val="00BE4F41"/>
    <w:rsid w:val="00BE504A"/>
    <w:rsid w:val="00BE50B9"/>
    <w:rsid w:val="00BE50DB"/>
    <w:rsid w:val="00BE50F0"/>
    <w:rsid w:val="00BE5104"/>
    <w:rsid w:val="00BE51BF"/>
    <w:rsid w:val="00BE5288"/>
    <w:rsid w:val="00BE53B6"/>
    <w:rsid w:val="00BE53E0"/>
    <w:rsid w:val="00BE53EB"/>
    <w:rsid w:val="00BE54A0"/>
    <w:rsid w:val="00BE556D"/>
    <w:rsid w:val="00BE57B1"/>
    <w:rsid w:val="00BE580E"/>
    <w:rsid w:val="00BE58F6"/>
    <w:rsid w:val="00BE59D4"/>
    <w:rsid w:val="00BE5AF3"/>
    <w:rsid w:val="00BE5BEF"/>
    <w:rsid w:val="00BE5C5D"/>
    <w:rsid w:val="00BE5D23"/>
    <w:rsid w:val="00BE5D3A"/>
    <w:rsid w:val="00BE5D4B"/>
    <w:rsid w:val="00BE5DF5"/>
    <w:rsid w:val="00BE5E52"/>
    <w:rsid w:val="00BE5E96"/>
    <w:rsid w:val="00BE5F6F"/>
    <w:rsid w:val="00BE5F90"/>
    <w:rsid w:val="00BE6001"/>
    <w:rsid w:val="00BE6341"/>
    <w:rsid w:val="00BE6682"/>
    <w:rsid w:val="00BE6698"/>
    <w:rsid w:val="00BE68FA"/>
    <w:rsid w:val="00BE697B"/>
    <w:rsid w:val="00BE699C"/>
    <w:rsid w:val="00BE6A8B"/>
    <w:rsid w:val="00BE6B19"/>
    <w:rsid w:val="00BE6BF1"/>
    <w:rsid w:val="00BE6CB8"/>
    <w:rsid w:val="00BE6E1F"/>
    <w:rsid w:val="00BE6F1C"/>
    <w:rsid w:val="00BE6FDD"/>
    <w:rsid w:val="00BE70D0"/>
    <w:rsid w:val="00BE7125"/>
    <w:rsid w:val="00BE71F4"/>
    <w:rsid w:val="00BE7241"/>
    <w:rsid w:val="00BE72C0"/>
    <w:rsid w:val="00BE734B"/>
    <w:rsid w:val="00BE73F3"/>
    <w:rsid w:val="00BE7454"/>
    <w:rsid w:val="00BE7496"/>
    <w:rsid w:val="00BE7524"/>
    <w:rsid w:val="00BE75A1"/>
    <w:rsid w:val="00BE7786"/>
    <w:rsid w:val="00BE79FB"/>
    <w:rsid w:val="00BE7B31"/>
    <w:rsid w:val="00BE7B4F"/>
    <w:rsid w:val="00BE7BD7"/>
    <w:rsid w:val="00BE7D09"/>
    <w:rsid w:val="00BE7E4C"/>
    <w:rsid w:val="00BE7EA5"/>
    <w:rsid w:val="00BE7F45"/>
    <w:rsid w:val="00BE7F49"/>
    <w:rsid w:val="00BF0243"/>
    <w:rsid w:val="00BF0342"/>
    <w:rsid w:val="00BF0382"/>
    <w:rsid w:val="00BF03A8"/>
    <w:rsid w:val="00BF04AE"/>
    <w:rsid w:val="00BF04CB"/>
    <w:rsid w:val="00BF0671"/>
    <w:rsid w:val="00BF0718"/>
    <w:rsid w:val="00BF072D"/>
    <w:rsid w:val="00BF0733"/>
    <w:rsid w:val="00BF0784"/>
    <w:rsid w:val="00BF07BD"/>
    <w:rsid w:val="00BF07D0"/>
    <w:rsid w:val="00BF0941"/>
    <w:rsid w:val="00BF0A24"/>
    <w:rsid w:val="00BF0A65"/>
    <w:rsid w:val="00BF0B7B"/>
    <w:rsid w:val="00BF0B85"/>
    <w:rsid w:val="00BF0D80"/>
    <w:rsid w:val="00BF0DA8"/>
    <w:rsid w:val="00BF0EAB"/>
    <w:rsid w:val="00BF0F11"/>
    <w:rsid w:val="00BF108E"/>
    <w:rsid w:val="00BF127A"/>
    <w:rsid w:val="00BF12AF"/>
    <w:rsid w:val="00BF12BD"/>
    <w:rsid w:val="00BF12C9"/>
    <w:rsid w:val="00BF141F"/>
    <w:rsid w:val="00BF1444"/>
    <w:rsid w:val="00BF1494"/>
    <w:rsid w:val="00BF1568"/>
    <w:rsid w:val="00BF181F"/>
    <w:rsid w:val="00BF18E7"/>
    <w:rsid w:val="00BF1B21"/>
    <w:rsid w:val="00BF1D3F"/>
    <w:rsid w:val="00BF1EF2"/>
    <w:rsid w:val="00BF1FEF"/>
    <w:rsid w:val="00BF2178"/>
    <w:rsid w:val="00BF2200"/>
    <w:rsid w:val="00BF249C"/>
    <w:rsid w:val="00BF2517"/>
    <w:rsid w:val="00BF2541"/>
    <w:rsid w:val="00BF25BD"/>
    <w:rsid w:val="00BF25C5"/>
    <w:rsid w:val="00BF26E2"/>
    <w:rsid w:val="00BF278E"/>
    <w:rsid w:val="00BF2866"/>
    <w:rsid w:val="00BF28FF"/>
    <w:rsid w:val="00BF2922"/>
    <w:rsid w:val="00BF2A60"/>
    <w:rsid w:val="00BF2C16"/>
    <w:rsid w:val="00BF2C90"/>
    <w:rsid w:val="00BF2D6B"/>
    <w:rsid w:val="00BF2E68"/>
    <w:rsid w:val="00BF3171"/>
    <w:rsid w:val="00BF3227"/>
    <w:rsid w:val="00BF3380"/>
    <w:rsid w:val="00BF340D"/>
    <w:rsid w:val="00BF345D"/>
    <w:rsid w:val="00BF35AB"/>
    <w:rsid w:val="00BF374B"/>
    <w:rsid w:val="00BF3764"/>
    <w:rsid w:val="00BF38FD"/>
    <w:rsid w:val="00BF392C"/>
    <w:rsid w:val="00BF3981"/>
    <w:rsid w:val="00BF3ABE"/>
    <w:rsid w:val="00BF3F6D"/>
    <w:rsid w:val="00BF4008"/>
    <w:rsid w:val="00BF40C1"/>
    <w:rsid w:val="00BF43D3"/>
    <w:rsid w:val="00BF443E"/>
    <w:rsid w:val="00BF4557"/>
    <w:rsid w:val="00BF46F2"/>
    <w:rsid w:val="00BF476C"/>
    <w:rsid w:val="00BF47A3"/>
    <w:rsid w:val="00BF4848"/>
    <w:rsid w:val="00BF48DF"/>
    <w:rsid w:val="00BF490B"/>
    <w:rsid w:val="00BF4915"/>
    <w:rsid w:val="00BF498D"/>
    <w:rsid w:val="00BF49A3"/>
    <w:rsid w:val="00BF49B9"/>
    <w:rsid w:val="00BF4AEA"/>
    <w:rsid w:val="00BF4DE2"/>
    <w:rsid w:val="00BF4E1D"/>
    <w:rsid w:val="00BF4E50"/>
    <w:rsid w:val="00BF4F2E"/>
    <w:rsid w:val="00BF4FD0"/>
    <w:rsid w:val="00BF50E4"/>
    <w:rsid w:val="00BF522F"/>
    <w:rsid w:val="00BF5303"/>
    <w:rsid w:val="00BF54AC"/>
    <w:rsid w:val="00BF5544"/>
    <w:rsid w:val="00BF55F3"/>
    <w:rsid w:val="00BF57B7"/>
    <w:rsid w:val="00BF57EC"/>
    <w:rsid w:val="00BF5878"/>
    <w:rsid w:val="00BF58BC"/>
    <w:rsid w:val="00BF5B26"/>
    <w:rsid w:val="00BF5BA4"/>
    <w:rsid w:val="00BF5CB3"/>
    <w:rsid w:val="00BF5DEC"/>
    <w:rsid w:val="00BF5E8F"/>
    <w:rsid w:val="00BF5F08"/>
    <w:rsid w:val="00BF5F43"/>
    <w:rsid w:val="00BF604D"/>
    <w:rsid w:val="00BF60D7"/>
    <w:rsid w:val="00BF626B"/>
    <w:rsid w:val="00BF62ED"/>
    <w:rsid w:val="00BF631B"/>
    <w:rsid w:val="00BF6448"/>
    <w:rsid w:val="00BF6672"/>
    <w:rsid w:val="00BF680E"/>
    <w:rsid w:val="00BF68DF"/>
    <w:rsid w:val="00BF68E1"/>
    <w:rsid w:val="00BF6B32"/>
    <w:rsid w:val="00BF6B85"/>
    <w:rsid w:val="00BF6C8D"/>
    <w:rsid w:val="00BF6CAC"/>
    <w:rsid w:val="00BF6F3C"/>
    <w:rsid w:val="00BF6FB3"/>
    <w:rsid w:val="00BF6FBE"/>
    <w:rsid w:val="00BF6FC3"/>
    <w:rsid w:val="00BF70BC"/>
    <w:rsid w:val="00BF7311"/>
    <w:rsid w:val="00BF7355"/>
    <w:rsid w:val="00BF76D2"/>
    <w:rsid w:val="00BF7822"/>
    <w:rsid w:val="00BF7924"/>
    <w:rsid w:val="00BF7BF6"/>
    <w:rsid w:val="00BF7E2A"/>
    <w:rsid w:val="00BF7F08"/>
    <w:rsid w:val="00BF7F82"/>
    <w:rsid w:val="00BF7FC3"/>
    <w:rsid w:val="00BFDEB9"/>
    <w:rsid w:val="00C00027"/>
    <w:rsid w:val="00C00269"/>
    <w:rsid w:val="00C00280"/>
    <w:rsid w:val="00C0032E"/>
    <w:rsid w:val="00C00834"/>
    <w:rsid w:val="00C00A22"/>
    <w:rsid w:val="00C00C23"/>
    <w:rsid w:val="00C00C96"/>
    <w:rsid w:val="00C00D27"/>
    <w:rsid w:val="00C00DEB"/>
    <w:rsid w:val="00C01073"/>
    <w:rsid w:val="00C011D8"/>
    <w:rsid w:val="00C0128D"/>
    <w:rsid w:val="00C012F8"/>
    <w:rsid w:val="00C01518"/>
    <w:rsid w:val="00C01668"/>
    <w:rsid w:val="00C01853"/>
    <w:rsid w:val="00C018C6"/>
    <w:rsid w:val="00C01981"/>
    <w:rsid w:val="00C019A9"/>
    <w:rsid w:val="00C01A5C"/>
    <w:rsid w:val="00C01A7F"/>
    <w:rsid w:val="00C01BA4"/>
    <w:rsid w:val="00C01BC7"/>
    <w:rsid w:val="00C01C7F"/>
    <w:rsid w:val="00C01D75"/>
    <w:rsid w:val="00C01DA2"/>
    <w:rsid w:val="00C01DCC"/>
    <w:rsid w:val="00C01E14"/>
    <w:rsid w:val="00C01EB3"/>
    <w:rsid w:val="00C01EFE"/>
    <w:rsid w:val="00C01FAD"/>
    <w:rsid w:val="00C0211F"/>
    <w:rsid w:val="00C0222B"/>
    <w:rsid w:val="00C022A4"/>
    <w:rsid w:val="00C023E4"/>
    <w:rsid w:val="00C0269D"/>
    <w:rsid w:val="00C026A4"/>
    <w:rsid w:val="00C027E5"/>
    <w:rsid w:val="00C02902"/>
    <w:rsid w:val="00C0291E"/>
    <w:rsid w:val="00C02921"/>
    <w:rsid w:val="00C029FB"/>
    <w:rsid w:val="00C02B06"/>
    <w:rsid w:val="00C02B94"/>
    <w:rsid w:val="00C02BF8"/>
    <w:rsid w:val="00C02D2D"/>
    <w:rsid w:val="00C02D79"/>
    <w:rsid w:val="00C02E52"/>
    <w:rsid w:val="00C02F18"/>
    <w:rsid w:val="00C02FF4"/>
    <w:rsid w:val="00C0306E"/>
    <w:rsid w:val="00C0310F"/>
    <w:rsid w:val="00C03142"/>
    <w:rsid w:val="00C031B3"/>
    <w:rsid w:val="00C03239"/>
    <w:rsid w:val="00C03394"/>
    <w:rsid w:val="00C03458"/>
    <w:rsid w:val="00C03570"/>
    <w:rsid w:val="00C0357E"/>
    <w:rsid w:val="00C035C1"/>
    <w:rsid w:val="00C035C3"/>
    <w:rsid w:val="00C0360F"/>
    <w:rsid w:val="00C03659"/>
    <w:rsid w:val="00C036F2"/>
    <w:rsid w:val="00C037F8"/>
    <w:rsid w:val="00C038AC"/>
    <w:rsid w:val="00C038DC"/>
    <w:rsid w:val="00C03944"/>
    <w:rsid w:val="00C03AE3"/>
    <w:rsid w:val="00C03C0C"/>
    <w:rsid w:val="00C03C4B"/>
    <w:rsid w:val="00C03DEE"/>
    <w:rsid w:val="00C03E7A"/>
    <w:rsid w:val="00C03E8A"/>
    <w:rsid w:val="00C03FE8"/>
    <w:rsid w:val="00C04375"/>
    <w:rsid w:val="00C04494"/>
    <w:rsid w:val="00C04713"/>
    <w:rsid w:val="00C0475B"/>
    <w:rsid w:val="00C047C7"/>
    <w:rsid w:val="00C047D9"/>
    <w:rsid w:val="00C04816"/>
    <w:rsid w:val="00C048FB"/>
    <w:rsid w:val="00C04B0E"/>
    <w:rsid w:val="00C04C3C"/>
    <w:rsid w:val="00C04E41"/>
    <w:rsid w:val="00C05066"/>
    <w:rsid w:val="00C0506E"/>
    <w:rsid w:val="00C050BB"/>
    <w:rsid w:val="00C050BE"/>
    <w:rsid w:val="00C0512B"/>
    <w:rsid w:val="00C051CE"/>
    <w:rsid w:val="00C05238"/>
    <w:rsid w:val="00C0524C"/>
    <w:rsid w:val="00C05300"/>
    <w:rsid w:val="00C0532D"/>
    <w:rsid w:val="00C0555F"/>
    <w:rsid w:val="00C0564B"/>
    <w:rsid w:val="00C0568F"/>
    <w:rsid w:val="00C05834"/>
    <w:rsid w:val="00C0594F"/>
    <w:rsid w:val="00C05AEE"/>
    <w:rsid w:val="00C05B66"/>
    <w:rsid w:val="00C05C9E"/>
    <w:rsid w:val="00C05D1F"/>
    <w:rsid w:val="00C05DCE"/>
    <w:rsid w:val="00C05E96"/>
    <w:rsid w:val="00C05F40"/>
    <w:rsid w:val="00C0600E"/>
    <w:rsid w:val="00C0606F"/>
    <w:rsid w:val="00C0631B"/>
    <w:rsid w:val="00C0642D"/>
    <w:rsid w:val="00C064B0"/>
    <w:rsid w:val="00C06663"/>
    <w:rsid w:val="00C067F4"/>
    <w:rsid w:val="00C06919"/>
    <w:rsid w:val="00C06981"/>
    <w:rsid w:val="00C069C7"/>
    <w:rsid w:val="00C06A73"/>
    <w:rsid w:val="00C06B39"/>
    <w:rsid w:val="00C06CC8"/>
    <w:rsid w:val="00C06CCF"/>
    <w:rsid w:val="00C06CEB"/>
    <w:rsid w:val="00C06EBD"/>
    <w:rsid w:val="00C0700E"/>
    <w:rsid w:val="00C07024"/>
    <w:rsid w:val="00C0718E"/>
    <w:rsid w:val="00C0721A"/>
    <w:rsid w:val="00C0736D"/>
    <w:rsid w:val="00C073C2"/>
    <w:rsid w:val="00C073E9"/>
    <w:rsid w:val="00C074D0"/>
    <w:rsid w:val="00C0750B"/>
    <w:rsid w:val="00C0752F"/>
    <w:rsid w:val="00C0758C"/>
    <w:rsid w:val="00C0775E"/>
    <w:rsid w:val="00C07AA3"/>
    <w:rsid w:val="00C07AE7"/>
    <w:rsid w:val="00C07B27"/>
    <w:rsid w:val="00C07B29"/>
    <w:rsid w:val="00C07B76"/>
    <w:rsid w:val="00C07C81"/>
    <w:rsid w:val="00C07CF2"/>
    <w:rsid w:val="00C07F6B"/>
    <w:rsid w:val="00C07FB0"/>
    <w:rsid w:val="00C1000D"/>
    <w:rsid w:val="00C10085"/>
    <w:rsid w:val="00C102DE"/>
    <w:rsid w:val="00C10361"/>
    <w:rsid w:val="00C1047A"/>
    <w:rsid w:val="00C10548"/>
    <w:rsid w:val="00C105B6"/>
    <w:rsid w:val="00C105BF"/>
    <w:rsid w:val="00C105F1"/>
    <w:rsid w:val="00C10649"/>
    <w:rsid w:val="00C10682"/>
    <w:rsid w:val="00C1075A"/>
    <w:rsid w:val="00C1076F"/>
    <w:rsid w:val="00C107D5"/>
    <w:rsid w:val="00C107EB"/>
    <w:rsid w:val="00C10890"/>
    <w:rsid w:val="00C108E0"/>
    <w:rsid w:val="00C109C7"/>
    <w:rsid w:val="00C10A2C"/>
    <w:rsid w:val="00C10DF3"/>
    <w:rsid w:val="00C10E30"/>
    <w:rsid w:val="00C10E76"/>
    <w:rsid w:val="00C11135"/>
    <w:rsid w:val="00C11175"/>
    <w:rsid w:val="00C1144B"/>
    <w:rsid w:val="00C1146A"/>
    <w:rsid w:val="00C114AF"/>
    <w:rsid w:val="00C11687"/>
    <w:rsid w:val="00C11941"/>
    <w:rsid w:val="00C11B3F"/>
    <w:rsid w:val="00C11B42"/>
    <w:rsid w:val="00C11CD0"/>
    <w:rsid w:val="00C11D34"/>
    <w:rsid w:val="00C11D38"/>
    <w:rsid w:val="00C11DD1"/>
    <w:rsid w:val="00C11F4C"/>
    <w:rsid w:val="00C11FB2"/>
    <w:rsid w:val="00C1206D"/>
    <w:rsid w:val="00C1208F"/>
    <w:rsid w:val="00C12094"/>
    <w:rsid w:val="00C120BD"/>
    <w:rsid w:val="00C120EE"/>
    <w:rsid w:val="00C12152"/>
    <w:rsid w:val="00C12198"/>
    <w:rsid w:val="00C1227A"/>
    <w:rsid w:val="00C12389"/>
    <w:rsid w:val="00C123EA"/>
    <w:rsid w:val="00C12410"/>
    <w:rsid w:val="00C1252E"/>
    <w:rsid w:val="00C12648"/>
    <w:rsid w:val="00C12981"/>
    <w:rsid w:val="00C12A57"/>
    <w:rsid w:val="00C12C07"/>
    <w:rsid w:val="00C12C2D"/>
    <w:rsid w:val="00C12C30"/>
    <w:rsid w:val="00C12CC0"/>
    <w:rsid w:val="00C13199"/>
    <w:rsid w:val="00C131A9"/>
    <w:rsid w:val="00C133A4"/>
    <w:rsid w:val="00C1356A"/>
    <w:rsid w:val="00C135FA"/>
    <w:rsid w:val="00C139AA"/>
    <w:rsid w:val="00C13C81"/>
    <w:rsid w:val="00C13E37"/>
    <w:rsid w:val="00C13F5D"/>
    <w:rsid w:val="00C14058"/>
    <w:rsid w:val="00C1407A"/>
    <w:rsid w:val="00C14289"/>
    <w:rsid w:val="00C14292"/>
    <w:rsid w:val="00C142F5"/>
    <w:rsid w:val="00C14482"/>
    <w:rsid w:val="00C145E1"/>
    <w:rsid w:val="00C14740"/>
    <w:rsid w:val="00C147A5"/>
    <w:rsid w:val="00C149AF"/>
    <w:rsid w:val="00C149B0"/>
    <w:rsid w:val="00C149EA"/>
    <w:rsid w:val="00C14A8B"/>
    <w:rsid w:val="00C14AE5"/>
    <w:rsid w:val="00C14C67"/>
    <w:rsid w:val="00C14E11"/>
    <w:rsid w:val="00C151F3"/>
    <w:rsid w:val="00C15294"/>
    <w:rsid w:val="00C152C3"/>
    <w:rsid w:val="00C15535"/>
    <w:rsid w:val="00C1554D"/>
    <w:rsid w:val="00C1572E"/>
    <w:rsid w:val="00C15750"/>
    <w:rsid w:val="00C15787"/>
    <w:rsid w:val="00C158CA"/>
    <w:rsid w:val="00C1594A"/>
    <w:rsid w:val="00C159C6"/>
    <w:rsid w:val="00C159DE"/>
    <w:rsid w:val="00C159F3"/>
    <w:rsid w:val="00C15C7E"/>
    <w:rsid w:val="00C15D60"/>
    <w:rsid w:val="00C15D6D"/>
    <w:rsid w:val="00C15EE4"/>
    <w:rsid w:val="00C15F03"/>
    <w:rsid w:val="00C1617E"/>
    <w:rsid w:val="00C16241"/>
    <w:rsid w:val="00C1642B"/>
    <w:rsid w:val="00C1647C"/>
    <w:rsid w:val="00C1650E"/>
    <w:rsid w:val="00C166EA"/>
    <w:rsid w:val="00C16974"/>
    <w:rsid w:val="00C16985"/>
    <w:rsid w:val="00C169B5"/>
    <w:rsid w:val="00C16BA6"/>
    <w:rsid w:val="00C16C40"/>
    <w:rsid w:val="00C16C96"/>
    <w:rsid w:val="00C16D7E"/>
    <w:rsid w:val="00C16DF5"/>
    <w:rsid w:val="00C16E1E"/>
    <w:rsid w:val="00C16ED6"/>
    <w:rsid w:val="00C16F25"/>
    <w:rsid w:val="00C16F51"/>
    <w:rsid w:val="00C170D9"/>
    <w:rsid w:val="00C1716C"/>
    <w:rsid w:val="00C172F5"/>
    <w:rsid w:val="00C1732E"/>
    <w:rsid w:val="00C17368"/>
    <w:rsid w:val="00C173A6"/>
    <w:rsid w:val="00C173E2"/>
    <w:rsid w:val="00C1744E"/>
    <w:rsid w:val="00C174F9"/>
    <w:rsid w:val="00C17516"/>
    <w:rsid w:val="00C17526"/>
    <w:rsid w:val="00C17581"/>
    <w:rsid w:val="00C17628"/>
    <w:rsid w:val="00C177E4"/>
    <w:rsid w:val="00C17895"/>
    <w:rsid w:val="00C17B67"/>
    <w:rsid w:val="00C17C31"/>
    <w:rsid w:val="00C17CDD"/>
    <w:rsid w:val="00C17DB5"/>
    <w:rsid w:val="00C17E31"/>
    <w:rsid w:val="00C17E5F"/>
    <w:rsid w:val="00C17E76"/>
    <w:rsid w:val="00C17E7C"/>
    <w:rsid w:val="00C17EBF"/>
    <w:rsid w:val="00C17F06"/>
    <w:rsid w:val="00C20256"/>
    <w:rsid w:val="00C20265"/>
    <w:rsid w:val="00C20268"/>
    <w:rsid w:val="00C202B3"/>
    <w:rsid w:val="00C20455"/>
    <w:rsid w:val="00C2058A"/>
    <w:rsid w:val="00C206B7"/>
    <w:rsid w:val="00C207EF"/>
    <w:rsid w:val="00C20888"/>
    <w:rsid w:val="00C208D4"/>
    <w:rsid w:val="00C20B96"/>
    <w:rsid w:val="00C20BA0"/>
    <w:rsid w:val="00C20C47"/>
    <w:rsid w:val="00C20C77"/>
    <w:rsid w:val="00C20D1F"/>
    <w:rsid w:val="00C20EB8"/>
    <w:rsid w:val="00C20FC3"/>
    <w:rsid w:val="00C210F2"/>
    <w:rsid w:val="00C2117D"/>
    <w:rsid w:val="00C21199"/>
    <w:rsid w:val="00C214BA"/>
    <w:rsid w:val="00C214E5"/>
    <w:rsid w:val="00C21691"/>
    <w:rsid w:val="00C216B9"/>
    <w:rsid w:val="00C21725"/>
    <w:rsid w:val="00C21791"/>
    <w:rsid w:val="00C217A5"/>
    <w:rsid w:val="00C21966"/>
    <w:rsid w:val="00C21A6E"/>
    <w:rsid w:val="00C21A95"/>
    <w:rsid w:val="00C21B69"/>
    <w:rsid w:val="00C21C46"/>
    <w:rsid w:val="00C21CA1"/>
    <w:rsid w:val="00C21CB7"/>
    <w:rsid w:val="00C21CE0"/>
    <w:rsid w:val="00C21D09"/>
    <w:rsid w:val="00C21DB8"/>
    <w:rsid w:val="00C21EE0"/>
    <w:rsid w:val="00C21F56"/>
    <w:rsid w:val="00C21FA6"/>
    <w:rsid w:val="00C22022"/>
    <w:rsid w:val="00C22195"/>
    <w:rsid w:val="00C221D4"/>
    <w:rsid w:val="00C2232C"/>
    <w:rsid w:val="00C223F1"/>
    <w:rsid w:val="00C226BE"/>
    <w:rsid w:val="00C2283D"/>
    <w:rsid w:val="00C2286C"/>
    <w:rsid w:val="00C2286D"/>
    <w:rsid w:val="00C2298A"/>
    <w:rsid w:val="00C22A0E"/>
    <w:rsid w:val="00C22A9E"/>
    <w:rsid w:val="00C22B16"/>
    <w:rsid w:val="00C22C75"/>
    <w:rsid w:val="00C22DBC"/>
    <w:rsid w:val="00C22FBE"/>
    <w:rsid w:val="00C230EA"/>
    <w:rsid w:val="00C2312B"/>
    <w:rsid w:val="00C2315D"/>
    <w:rsid w:val="00C23174"/>
    <w:rsid w:val="00C231A5"/>
    <w:rsid w:val="00C2330B"/>
    <w:rsid w:val="00C23331"/>
    <w:rsid w:val="00C2342D"/>
    <w:rsid w:val="00C23595"/>
    <w:rsid w:val="00C23633"/>
    <w:rsid w:val="00C23810"/>
    <w:rsid w:val="00C23CC4"/>
    <w:rsid w:val="00C23D01"/>
    <w:rsid w:val="00C23D12"/>
    <w:rsid w:val="00C23F02"/>
    <w:rsid w:val="00C23FEE"/>
    <w:rsid w:val="00C2425C"/>
    <w:rsid w:val="00C242AC"/>
    <w:rsid w:val="00C24481"/>
    <w:rsid w:val="00C244D3"/>
    <w:rsid w:val="00C244E2"/>
    <w:rsid w:val="00C246FA"/>
    <w:rsid w:val="00C24794"/>
    <w:rsid w:val="00C24812"/>
    <w:rsid w:val="00C24935"/>
    <w:rsid w:val="00C24AE9"/>
    <w:rsid w:val="00C24B47"/>
    <w:rsid w:val="00C24B4F"/>
    <w:rsid w:val="00C24C64"/>
    <w:rsid w:val="00C24E7F"/>
    <w:rsid w:val="00C24E87"/>
    <w:rsid w:val="00C251E3"/>
    <w:rsid w:val="00C25300"/>
    <w:rsid w:val="00C25303"/>
    <w:rsid w:val="00C25313"/>
    <w:rsid w:val="00C2552A"/>
    <w:rsid w:val="00C2558C"/>
    <w:rsid w:val="00C25700"/>
    <w:rsid w:val="00C257E1"/>
    <w:rsid w:val="00C258B3"/>
    <w:rsid w:val="00C25C87"/>
    <w:rsid w:val="00C25CEC"/>
    <w:rsid w:val="00C25CF9"/>
    <w:rsid w:val="00C25D27"/>
    <w:rsid w:val="00C25FD4"/>
    <w:rsid w:val="00C2602D"/>
    <w:rsid w:val="00C26058"/>
    <w:rsid w:val="00C26201"/>
    <w:rsid w:val="00C26286"/>
    <w:rsid w:val="00C262A6"/>
    <w:rsid w:val="00C2645F"/>
    <w:rsid w:val="00C264E0"/>
    <w:rsid w:val="00C26535"/>
    <w:rsid w:val="00C266B7"/>
    <w:rsid w:val="00C26879"/>
    <w:rsid w:val="00C269D5"/>
    <w:rsid w:val="00C26AC2"/>
    <w:rsid w:val="00C26B00"/>
    <w:rsid w:val="00C26B04"/>
    <w:rsid w:val="00C26C6A"/>
    <w:rsid w:val="00C26D7F"/>
    <w:rsid w:val="00C26DB0"/>
    <w:rsid w:val="00C26DBC"/>
    <w:rsid w:val="00C27001"/>
    <w:rsid w:val="00C27115"/>
    <w:rsid w:val="00C27404"/>
    <w:rsid w:val="00C2740E"/>
    <w:rsid w:val="00C27460"/>
    <w:rsid w:val="00C274C4"/>
    <w:rsid w:val="00C274F9"/>
    <w:rsid w:val="00C2754F"/>
    <w:rsid w:val="00C27555"/>
    <w:rsid w:val="00C276C8"/>
    <w:rsid w:val="00C276F6"/>
    <w:rsid w:val="00C27717"/>
    <w:rsid w:val="00C27724"/>
    <w:rsid w:val="00C27762"/>
    <w:rsid w:val="00C2787D"/>
    <w:rsid w:val="00C27956"/>
    <w:rsid w:val="00C27963"/>
    <w:rsid w:val="00C27A99"/>
    <w:rsid w:val="00C27B5C"/>
    <w:rsid w:val="00C3010F"/>
    <w:rsid w:val="00C301D7"/>
    <w:rsid w:val="00C30297"/>
    <w:rsid w:val="00C305CB"/>
    <w:rsid w:val="00C30678"/>
    <w:rsid w:val="00C30694"/>
    <w:rsid w:val="00C30780"/>
    <w:rsid w:val="00C30930"/>
    <w:rsid w:val="00C30941"/>
    <w:rsid w:val="00C30AA3"/>
    <w:rsid w:val="00C30AF0"/>
    <w:rsid w:val="00C30E3F"/>
    <w:rsid w:val="00C30F05"/>
    <w:rsid w:val="00C310C1"/>
    <w:rsid w:val="00C31142"/>
    <w:rsid w:val="00C311CA"/>
    <w:rsid w:val="00C313E8"/>
    <w:rsid w:val="00C3145B"/>
    <w:rsid w:val="00C31525"/>
    <w:rsid w:val="00C31572"/>
    <w:rsid w:val="00C31762"/>
    <w:rsid w:val="00C31833"/>
    <w:rsid w:val="00C31A33"/>
    <w:rsid w:val="00C31B32"/>
    <w:rsid w:val="00C31C51"/>
    <w:rsid w:val="00C320A0"/>
    <w:rsid w:val="00C32131"/>
    <w:rsid w:val="00C32138"/>
    <w:rsid w:val="00C3214C"/>
    <w:rsid w:val="00C32174"/>
    <w:rsid w:val="00C3225D"/>
    <w:rsid w:val="00C32366"/>
    <w:rsid w:val="00C32386"/>
    <w:rsid w:val="00C323E5"/>
    <w:rsid w:val="00C32540"/>
    <w:rsid w:val="00C325E3"/>
    <w:rsid w:val="00C325FE"/>
    <w:rsid w:val="00C326A7"/>
    <w:rsid w:val="00C326FB"/>
    <w:rsid w:val="00C327B1"/>
    <w:rsid w:val="00C327C0"/>
    <w:rsid w:val="00C32903"/>
    <w:rsid w:val="00C3292E"/>
    <w:rsid w:val="00C32BD2"/>
    <w:rsid w:val="00C32C4F"/>
    <w:rsid w:val="00C32C7F"/>
    <w:rsid w:val="00C32D83"/>
    <w:rsid w:val="00C32D9E"/>
    <w:rsid w:val="00C32F4F"/>
    <w:rsid w:val="00C33014"/>
    <w:rsid w:val="00C333CC"/>
    <w:rsid w:val="00C33460"/>
    <w:rsid w:val="00C334AF"/>
    <w:rsid w:val="00C334EC"/>
    <w:rsid w:val="00C3353B"/>
    <w:rsid w:val="00C33716"/>
    <w:rsid w:val="00C3378C"/>
    <w:rsid w:val="00C33A47"/>
    <w:rsid w:val="00C33AAB"/>
    <w:rsid w:val="00C33F15"/>
    <w:rsid w:val="00C33F75"/>
    <w:rsid w:val="00C3404B"/>
    <w:rsid w:val="00C34135"/>
    <w:rsid w:val="00C3416E"/>
    <w:rsid w:val="00C34353"/>
    <w:rsid w:val="00C3447A"/>
    <w:rsid w:val="00C345D0"/>
    <w:rsid w:val="00C347A6"/>
    <w:rsid w:val="00C34805"/>
    <w:rsid w:val="00C348BA"/>
    <w:rsid w:val="00C348CF"/>
    <w:rsid w:val="00C348D1"/>
    <w:rsid w:val="00C34A08"/>
    <w:rsid w:val="00C34A53"/>
    <w:rsid w:val="00C34A83"/>
    <w:rsid w:val="00C34BAD"/>
    <w:rsid w:val="00C34C69"/>
    <w:rsid w:val="00C34CA0"/>
    <w:rsid w:val="00C34CAA"/>
    <w:rsid w:val="00C34DA0"/>
    <w:rsid w:val="00C34F2E"/>
    <w:rsid w:val="00C34F2F"/>
    <w:rsid w:val="00C34F77"/>
    <w:rsid w:val="00C34F7B"/>
    <w:rsid w:val="00C35009"/>
    <w:rsid w:val="00C350FA"/>
    <w:rsid w:val="00C351AA"/>
    <w:rsid w:val="00C352D5"/>
    <w:rsid w:val="00C35325"/>
    <w:rsid w:val="00C35446"/>
    <w:rsid w:val="00C3560B"/>
    <w:rsid w:val="00C35622"/>
    <w:rsid w:val="00C3580C"/>
    <w:rsid w:val="00C359C2"/>
    <w:rsid w:val="00C35BCF"/>
    <w:rsid w:val="00C35C45"/>
    <w:rsid w:val="00C35C78"/>
    <w:rsid w:val="00C35D94"/>
    <w:rsid w:val="00C35E9A"/>
    <w:rsid w:val="00C35FA1"/>
    <w:rsid w:val="00C3600C"/>
    <w:rsid w:val="00C3604C"/>
    <w:rsid w:val="00C36105"/>
    <w:rsid w:val="00C36175"/>
    <w:rsid w:val="00C36366"/>
    <w:rsid w:val="00C3636D"/>
    <w:rsid w:val="00C363CB"/>
    <w:rsid w:val="00C3650D"/>
    <w:rsid w:val="00C3651C"/>
    <w:rsid w:val="00C3651F"/>
    <w:rsid w:val="00C36662"/>
    <w:rsid w:val="00C36683"/>
    <w:rsid w:val="00C368E1"/>
    <w:rsid w:val="00C36909"/>
    <w:rsid w:val="00C36952"/>
    <w:rsid w:val="00C369AE"/>
    <w:rsid w:val="00C36A5C"/>
    <w:rsid w:val="00C36B78"/>
    <w:rsid w:val="00C36D65"/>
    <w:rsid w:val="00C3705B"/>
    <w:rsid w:val="00C37099"/>
    <w:rsid w:val="00C370A2"/>
    <w:rsid w:val="00C3725C"/>
    <w:rsid w:val="00C372A0"/>
    <w:rsid w:val="00C37324"/>
    <w:rsid w:val="00C3735D"/>
    <w:rsid w:val="00C373DB"/>
    <w:rsid w:val="00C374B8"/>
    <w:rsid w:val="00C37550"/>
    <w:rsid w:val="00C37609"/>
    <w:rsid w:val="00C37690"/>
    <w:rsid w:val="00C376EE"/>
    <w:rsid w:val="00C3776E"/>
    <w:rsid w:val="00C377E7"/>
    <w:rsid w:val="00C37833"/>
    <w:rsid w:val="00C37857"/>
    <w:rsid w:val="00C37878"/>
    <w:rsid w:val="00C37924"/>
    <w:rsid w:val="00C379B7"/>
    <w:rsid w:val="00C37A8D"/>
    <w:rsid w:val="00C37A98"/>
    <w:rsid w:val="00C37B84"/>
    <w:rsid w:val="00C37D64"/>
    <w:rsid w:val="00C37ECD"/>
    <w:rsid w:val="00C4005D"/>
    <w:rsid w:val="00C4010A"/>
    <w:rsid w:val="00C40315"/>
    <w:rsid w:val="00C4040B"/>
    <w:rsid w:val="00C4057A"/>
    <w:rsid w:val="00C40697"/>
    <w:rsid w:val="00C40716"/>
    <w:rsid w:val="00C40729"/>
    <w:rsid w:val="00C408FC"/>
    <w:rsid w:val="00C4097B"/>
    <w:rsid w:val="00C40A0B"/>
    <w:rsid w:val="00C40A75"/>
    <w:rsid w:val="00C40B13"/>
    <w:rsid w:val="00C40B61"/>
    <w:rsid w:val="00C40C0C"/>
    <w:rsid w:val="00C40D21"/>
    <w:rsid w:val="00C40D49"/>
    <w:rsid w:val="00C40E9B"/>
    <w:rsid w:val="00C40FB0"/>
    <w:rsid w:val="00C4117F"/>
    <w:rsid w:val="00C411AA"/>
    <w:rsid w:val="00C411F9"/>
    <w:rsid w:val="00C412B7"/>
    <w:rsid w:val="00C41302"/>
    <w:rsid w:val="00C41447"/>
    <w:rsid w:val="00C41462"/>
    <w:rsid w:val="00C4149B"/>
    <w:rsid w:val="00C4151E"/>
    <w:rsid w:val="00C41535"/>
    <w:rsid w:val="00C41549"/>
    <w:rsid w:val="00C4170B"/>
    <w:rsid w:val="00C418C8"/>
    <w:rsid w:val="00C418D6"/>
    <w:rsid w:val="00C41935"/>
    <w:rsid w:val="00C41A65"/>
    <w:rsid w:val="00C41B07"/>
    <w:rsid w:val="00C41B6D"/>
    <w:rsid w:val="00C41D99"/>
    <w:rsid w:val="00C41DF9"/>
    <w:rsid w:val="00C41F44"/>
    <w:rsid w:val="00C4210F"/>
    <w:rsid w:val="00C4234C"/>
    <w:rsid w:val="00C42626"/>
    <w:rsid w:val="00C42798"/>
    <w:rsid w:val="00C428A4"/>
    <w:rsid w:val="00C428CF"/>
    <w:rsid w:val="00C429DD"/>
    <w:rsid w:val="00C42A4F"/>
    <w:rsid w:val="00C42A55"/>
    <w:rsid w:val="00C42ABF"/>
    <w:rsid w:val="00C42AC2"/>
    <w:rsid w:val="00C42B69"/>
    <w:rsid w:val="00C42B73"/>
    <w:rsid w:val="00C42D23"/>
    <w:rsid w:val="00C42D42"/>
    <w:rsid w:val="00C42D9C"/>
    <w:rsid w:val="00C43064"/>
    <w:rsid w:val="00C4323C"/>
    <w:rsid w:val="00C43297"/>
    <w:rsid w:val="00C432EA"/>
    <w:rsid w:val="00C435C1"/>
    <w:rsid w:val="00C435D4"/>
    <w:rsid w:val="00C4360A"/>
    <w:rsid w:val="00C4361C"/>
    <w:rsid w:val="00C4384D"/>
    <w:rsid w:val="00C43CE5"/>
    <w:rsid w:val="00C43E1B"/>
    <w:rsid w:val="00C43F3A"/>
    <w:rsid w:val="00C4411D"/>
    <w:rsid w:val="00C441D3"/>
    <w:rsid w:val="00C44227"/>
    <w:rsid w:val="00C442E6"/>
    <w:rsid w:val="00C4462F"/>
    <w:rsid w:val="00C44712"/>
    <w:rsid w:val="00C447A9"/>
    <w:rsid w:val="00C44876"/>
    <w:rsid w:val="00C44998"/>
    <w:rsid w:val="00C44A47"/>
    <w:rsid w:val="00C44B33"/>
    <w:rsid w:val="00C44C52"/>
    <w:rsid w:val="00C44C69"/>
    <w:rsid w:val="00C44DBF"/>
    <w:rsid w:val="00C44E37"/>
    <w:rsid w:val="00C44E3C"/>
    <w:rsid w:val="00C44E5B"/>
    <w:rsid w:val="00C44F8B"/>
    <w:rsid w:val="00C450CB"/>
    <w:rsid w:val="00C450F4"/>
    <w:rsid w:val="00C4510C"/>
    <w:rsid w:val="00C451AE"/>
    <w:rsid w:val="00C45296"/>
    <w:rsid w:val="00C452B9"/>
    <w:rsid w:val="00C45593"/>
    <w:rsid w:val="00C457BD"/>
    <w:rsid w:val="00C4584B"/>
    <w:rsid w:val="00C4585B"/>
    <w:rsid w:val="00C45896"/>
    <w:rsid w:val="00C458C1"/>
    <w:rsid w:val="00C4591D"/>
    <w:rsid w:val="00C4592B"/>
    <w:rsid w:val="00C45A7B"/>
    <w:rsid w:val="00C45C25"/>
    <w:rsid w:val="00C45C28"/>
    <w:rsid w:val="00C45D62"/>
    <w:rsid w:val="00C45D8F"/>
    <w:rsid w:val="00C45E41"/>
    <w:rsid w:val="00C45F0C"/>
    <w:rsid w:val="00C462D1"/>
    <w:rsid w:val="00C46585"/>
    <w:rsid w:val="00C46759"/>
    <w:rsid w:val="00C46915"/>
    <w:rsid w:val="00C4697C"/>
    <w:rsid w:val="00C46BB8"/>
    <w:rsid w:val="00C46D21"/>
    <w:rsid w:val="00C46D28"/>
    <w:rsid w:val="00C46D44"/>
    <w:rsid w:val="00C46D7D"/>
    <w:rsid w:val="00C46F81"/>
    <w:rsid w:val="00C46FF3"/>
    <w:rsid w:val="00C4700E"/>
    <w:rsid w:val="00C473BF"/>
    <w:rsid w:val="00C47409"/>
    <w:rsid w:val="00C474F9"/>
    <w:rsid w:val="00C476FA"/>
    <w:rsid w:val="00C478C3"/>
    <w:rsid w:val="00C47968"/>
    <w:rsid w:val="00C47987"/>
    <w:rsid w:val="00C4798D"/>
    <w:rsid w:val="00C47B51"/>
    <w:rsid w:val="00C47BAA"/>
    <w:rsid w:val="00C47D57"/>
    <w:rsid w:val="00C47DAA"/>
    <w:rsid w:val="00C47E1D"/>
    <w:rsid w:val="00C47EC3"/>
    <w:rsid w:val="00C47F41"/>
    <w:rsid w:val="00C47FEC"/>
    <w:rsid w:val="00C5005A"/>
    <w:rsid w:val="00C5017F"/>
    <w:rsid w:val="00C50289"/>
    <w:rsid w:val="00C502FA"/>
    <w:rsid w:val="00C5038F"/>
    <w:rsid w:val="00C50421"/>
    <w:rsid w:val="00C50465"/>
    <w:rsid w:val="00C50502"/>
    <w:rsid w:val="00C50627"/>
    <w:rsid w:val="00C50659"/>
    <w:rsid w:val="00C5077C"/>
    <w:rsid w:val="00C507C2"/>
    <w:rsid w:val="00C50830"/>
    <w:rsid w:val="00C50844"/>
    <w:rsid w:val="00C50976"/>
    <w:rsid w:val="00C509A6"/>
    <w:rsid w:val="00C50A05"/>
    <w:rsid w:val="00C50B48"/>
    <w:rsid w:val="00C50CDC"/>
    <w:rsid w:val="00C50DB1"/>
    <w:rsid w:val="00C50F37"/>
    <w:rsid w:val="00C50F76"/>
    <w:rsid w:val="00C5100E"/>
    <w:rsid w:val="00C510D6"/>
    <w:rsid w:val="00C510D8"/>
    <w:rsid w:val="00C5122B"/>
    <w:rsid w:val="00C51300"/>
    <w:rsid w:val="00C513B9"/>
    <w:rsid w:val="00C513CD"/>
    <w:rsid w:val="00C51490"/>
    <w:rsid w:val="00C514E8"/>
    <w:rsid w:val="00C515C1"/>
    <w:rsid w:val="00C517BD"/>
    <w:rsid w:val="00C51833"/>
    <w:rsid w:val="00C5185E"/>
    <w:rsid w:val="00C5186F"/>
    <w:rsid w:val="00C5188A"/>
    <w:rsid w:val="00C518E7"/>
    <w:rsid w:val="00C51928"/>
    <w:rsid w:val="00C51AA4"/>
    <w:rsid w:val="00C51AED"/>
    <w:rsid w:val="00C51BA4"/>
    <w:rsid w:val="00C51E46"/>
    <w:rsid w:val="00C51EC4"/>
    <w:rsid w:val="00C52147"/>
    <w:rsid w:val="00C521A0"/>
    <w:rsid w:val="00C521B2"/>
    <w:rsid w:val="00C521CD"/>
    <w:rsid w:val="00C5227E"/>
    <w:rsid w:val="00C52503"/>
    <w:rsid w:val="00C52505"/>
    <w:rsid w:val="00C525EC"/>
    <w:rsid w:val="00C52605"/>
    <w:rsid w:val="00C52670"/>
    <w:rsid w:val="00C52723"/>
    <w:rsid w:val="00C529AD"/>
    <w:rsid w:val="00C52AC4"/>
    <w:rsid w:val="00C52B68"/>
    <w:rsid w:val="00C52B9D"/>
    <w:rsid w:val="00C52C6B"/>
    <w:rsid w:val="00C52E65"/>
    <w:rsid w:val="00C52E88"/>
    <w:rsid w:val="00C52EEC"/>
    <w:rsid w:val="00C530F5"/>
    <w:rsid w:val="00C531FB"/>
    <w:rsid w:val="00C53328"/>
    <w:rsid w:val="00C533C8"/>
    <w:rsid w:val="00C53765"/>
    <w:rsid w:val="00C53848"/>
    <w:rsid w:val="00C5384E"/>
    <w:rsid w:val="00C53867"/>
    <w:rsid w:val="00C53A13"/>
    <w:rsid w:val="00C53A7C"/>
    <w:rsid w:val="00C53B03"/>
    <w:rsid w:val="00C53C07"/>
    <w:rsid w:val="00C53DAE"/>
    <w:rsid w:val="00C53FF8"/>
    <w:rsid w:val="00C54196"/>
    <w:rsid w:val="00C54332"/>
    <w:rsid w:val="00C54345"/>
    <w:rsid w:val="00C5468F"/>
    <w:rsid w:val="00C546E0"/>
    <w:rsid w:val="00C5499C"/>
    <w:rsid w:val="00C54A27"/>
    <w:rsid w:val="00C54A4C"/>
    <w:rsid w:val="00C54A92"/>
    <w:rsid w:val="00C54C64"/>
    <w:rsid w:val="00C54CEF"/>
    <w:rsid w:val="00C54D41"/>
    <w:rsid w:val="00C54D9F"/>
    <w:rsid w:val="00C54F32"/>
    <w:rsid w:val="00C54F46"/>
    <w:rsid w:val="00C54F9D"/>
    <w:rsid w:val="00C5501E"/>
    <w:rsid w:val="00C55208"/>
    <w:rsid w:val="00C5523E"/>
    <w:rsid w:val="00C5531F"/>
    <w:rsid w:val="00C55342"/>
    <w:rsid w:val="00C55417"/>
    <w:rsid w:val="00C5542A"/>
    <w:rsid w:val="00C555AC"/>
    <w:rsid w:val="00C55690"/>
    <w:rsid w:val="00C556A9"/>
    <w:rsid w:val="00C5575C"/>
    <w:rsid w:val="00C55788"/>
    <w:rsid w:val="00C5579C"/>
    <w:rsid w:val="00C557C1"/>
    <w:rsid w:val="00C5584F"/>
    <w:rsid w:val="00C558B5"/>
    <w:rsid w:val="00C55981"/>
    <w:rsid w:val="00C559B2"/>
    <w:rsid w:val="00C55A37"/>
    <w:rsid w:val="00C55AB7"/>
    <w:rsid w:val="00C55AF0"/>
    <w:rsid w:val="00C55B6F"/>
    <w:rsid w:val="00C55C29"/>
    <w:rsid w:val="00C55CB0"/>
    <w:rsid w:val="00C55DCC"/>
    <w:rsid w:val="00C55EA8"/>
    <w:rsid w:val="00C55EC3"/>
    <w:rsid w:val="00C55EFE"/>
    <w:rsid w:val="00C55F3A"/>
    <w:rsid w:val="00C55FE3"/>
    <w:rsid w:val="00C5610D"/>
    <w:rsid w:val="00C563D4"/>
    <w:rsid w:val="00C56444"/>
    <w:rsid w:val="00C5653C"/>
    <w:rsid w:val="00C56592"/>
    <w:rsid w:val="00C5660A"/>
    <w:rsid w:val="00C566C0"/>
    <w:rsid w:val="00C567B6"/>
    <w:rsid w:val="00C567DF"/>
    <w:rsid w:val="00C568A9"/>
    <w:rsid w:val="00C5691B"/>
    <w:rsid w:val="00C5696B"/>
    <w:rsid w:val="00C56B99"/>
    <w:rsid w:val="00C56CC5"/>
    <w:rsid w:val="00C56DD6"/>
    <w:rsid w:val="00C56F07"/>
    <w:rsid w:val="00C5700D"/>
    <w:rsid w:val="00C5707D"/>
    <w:rsid w:val="00C57468"/>
    <w:rsid w:val="00C57489"/>
    <w:rsid w:val="00C574B4"/>
    <w:rsid w:val="00C57820"/>
    <w:rsid w:val="00C57838"/>
    <w:rsid w:val="00C5789E"/>
    <w:rsid w:val="00C57909"/>
    <w:rsid w:val="00C57916"/>
    <w:rsid w:val="00C57978"/>
    <w:rsid w:val="00C57A19"/>
    <w:rsid w:val="00C57AF2"/>
    <w:rsid w:val="00C57E94"/>
    <w:rsid w:val="00C57F64"/>
    <w:rsid w:val="00C57F69"/>
    <w:rsid w:val="00C57FC7"/>
    <w:rsid w:val="00C600B5"/>
    <w:rsid w:val="00C600C9"/>
    <w:rsid w:val="00C60136"/>
    <w:rsid w:val="00C601CB"/>
    <w:rsid w:val="00C60246"/>
    <w:rsid w:val="00C6024F"/>
    <w:rsid w:val="00C6029B"/>
    <w:rsid w:val="00C602BD"/>
    <w:rsid w:val="00C60457"/>
    <w:rsid w:val="00C60560"/>
    <w:rsid w:val="00C6057C"/>
    <w:rsid w:val="00C605CC"/>
    <w:rsid w:val="00C60660"/>
    <w:rsid w:val="00C6066B"/>
    <w:rsid w:val="00C608A7"/>
    <w:rsid w:val="00C60930"/>
    <w:rsid w:val="00C60C1C"/>
    <w:rsid w:val="00C60C25"/>
    <w:rsid w:val="00C60D3A"/>
    <w:rsid w:val="00C6105B"/>
    <w:rsid w:val="00C6105E"/>
    <w:rsid w:val="00C610EC"/>
    <w:rsid w:val="00C613C3"/>
    <w:rsid w:val="00C61488"/>
    <w:rsid w:val="00C614A9"/>
    <w:rsid w:val="00C61566"/>
    <w:rsid w:val="00C61567"/>
    <w:rsid w:val="00C616E8"/>
    <w:rsid w:val="00C6186F"/>
    <w:rsid w:val="00C619F6"/>
    <w:rsid w:val="00C61A84"/>
    <w:rsid w:val="00C61AF4"/>
    <w:rsid w:val="00C61C9D"/>
    <w:rsid w:val="00C61D97"/>
    <w:rsid w:val="00C61DAA"/>
    <w:rsid w:val="00C61DE6"/>
    <w:rsid w:val="00C61E4F"/>
    <w:rsid w:val="00C61F0B"/>
    <w:rsid w:val="00C62015"/>
    <w:rsid w:val="00C6215F"/>
    <w:rsid w:val="00C6218A"/>
    <w:rsid w:val="00C622B7"/>
    <w:rsid w:val="00C627A8"/>
    <w:rsid w:val="00C627AA"/>
    <w:rsid w:val="00C62836"/>
    <w:rsid w:val="00C628A8"/>
    <w:rsid w:val="00C6291C"/>
    <w:rsid w:val="00C62AD6"/>
    <w:rsid w:val="00C62AF7"/>
    <w:rsid w:val="00C62C8E"/>
    <w:rsid w:val="00C62D75"/>
    <w:rsid w:val="00C62DAE"/>
    <w:rsid w:val="00C62DEE"/>
    <w:rsid w:val="00C62E0E"/>
    <w:rsid w:val="00C62EE6"/>
    <w:rsid w:val="00C63264"/>
    <w:rsid w:val="00C63275"/>
    <w:rsid w:val="00C63331"/>
    <w:rsid w:val="00C633E6"/>
    <w:rsid w:val="00C63497"/>
    <w:rsid w:val="00C634E2"/>
    <w:rsid w:val="00C6356B"/>
    <w:rsid w:val="00C63792"/>
    <w:rsid w:val="00C639CF"/>
    <w:rsid w:val="00C63ABD"/>
    <w:rsid w:val="00C63C1A"/>
    <w:rsid w:val="00C63C47"/>
    <w:rsid w:val="00C63C4F"/>
    <w:rsid w:val="00C63C55"/>
    <w:rsid w:val="00C63CD2"/>
    <w:rsid w:val="00C63D68"/>
    <w:rsid w:val="00C64038"/>
    <w:rsid w:val="00C64092"/>
    <w:rsid w:val="00C640C5"/>
    <w:rsid w:val="00C640F4"/>
    <w:rsid w:val="00C64317"/>
    <w:rsid w:val="00C64398"/>
    <w:rsid w:val="00C644E3"/>
    <w:rsid w:val="00C644F6"/>
    <w:rsid w:val="00C645D1"/>
    <w:rsid w:val="00C6484F"/>
    <w:rsid w:val="00C648D7"/>
    <w:rsid w:val="00C6494C"/>
    <w:rsid w:val="00C64A3A"/>
    <w:rsid w:val="00C64A3D"/>
    <w:rsid w:val="00C64BC2"/>
    <w:rsid w:val="00C64F14"/>
    <w:rsid w:val="00C64F34"/>
    <w:rsid w:val="00C64F7D"/>
    <w:rsid w:val="00C64FB3"/>
    <w:rsid w:val="00C65034"/>
    <w:rsid w:val="00C650B4"/>
    <w:rsid w:val="00C653B3"/>
    <w:rsid w:val="00C6562D"/>
    <w:rsid w:val="00C65745"/>
    <w:rsid w:val="00C65886"/>
    <w:rsid w:val="00C65A78"/>
    <w:rsid w:val="00C65AA6"/>
    <w:rsid w:val="00C65B45"/>
    <w:rsid w:val="00C65C45"/>
    <w:rsid w:val="00C65C74"/>
    <w:rsid w:val="00C660DB"/>
    <w:rsid w:val="00C66115"/>
    <w:rsid w:val="00C66188"/>
    <w:rsid w:val="00C66226"/>
    <w:rsid w:val="00C66250"/>
    <w:rsid w:val="00C662EC"/>
    <w:rsid w:val="00C66304"/>
    <w:rsid w:val="00C66339"/>
    <w:rsid w:val="00C66535"/>
    <w:rsid w:val="00C667BD"/>
    <w:rsid w:val="00C66800"/>
    <w:rsid w:val="00C6686D"/>
    <w:rsid w:val="00C66875"/>
    <w:rsid w:val="00C6693D"/>
    <w:rsid w:val="00C669D4"/>
    <w:rsid w:val="00C669F3"/>
    <w:rsid w:val="00C66B96"/>
    <w:rsid w:val="00C66D0A"/>
    <w:rsid w:val="00C66D93"/>
    <w:rsid w:val="00C66DA4"/>
    <w:rsid w:val="00C66E06"/>
    <w:rsid w:val="00C66EB7"/>
    <w:rsid w:val="00C66EE8"/>
    <w:rsid w:val="00C66FF5"/>
    <w:rsid w:val="00C670D2"/>
    <w:rsid w:val="00C672DE"/>
    <w:rsid w:val="00C67336"/>
    <w:rsid w:val="00C67382"/>
    <w:rsid w:val="00C67384"/>
    <w:rsid w:val="00C67390"/>
    <w:rsid w:val="00C67418"/>
    <w:rsid w:val="00C67493"/>
    <w:rsid w:val="00C676F6"/>
    <w:rsid w:val="00C677BD"/>
    <w:rsid w:val="00C6782E"/>
    <w:rsid w:val="00C678CA"/>
    <w:rsid w:val="00C679E8"/>
    <w:rsid w:val="00C67AFC"/>
    <w:rsid w:val="00C67B08"/>
    <w:rsid w:val="00C67BF1"/>
    <w:rsid w:val="00C67C3C"/>
    <w:rsid w:val="00C67DBF"/>
    <w:rsid w:val="00C67E09"/>
    <w:rsid w:val="00C67E47"/>
    <w:rsid w:val="00C67EB2"/>
    <w:rsid w:val="00C67F55"/>
    <w:rsid w:val="00C67F77"/>
    <w:rsid w:val="00C7008F"/>
    <w:rsid w:val="00C7015E"/>
    <w:rsid w:val="00C701F1"/>
    <w:rsid w:val="00C70547"/>
    <w:rsid w:val="00C705A9"/>
    <w:rsid w:val="00C705BA"/>
    <w:rsid w:val="00C7066D"/>
    <w:rsid w:val="00C70849"/>
    <w:rsid w:val="00C7084F"/>
    <w:rsid w:val="00C70966"/>
    <w:rsid w:val="00C70A60"/>
    <w:rsid w:val="00C70A84"/>
    <w:rsid w:val="00C70ABD"/>
    <w:rsid w:val="00C70CC3"/>
    <w:rsid w:val="00C70D83"/>
    <w:rsid w:val="00C70D97"/>
    <w:rsid w:val="00C70E7D"/>
    <w:rsid w:val="00C70F5D"/>
    <w:rsid w:val="00C71031"/>
    <w:rsid w:val="00C710D3"/>
    <w:rsid w:val="00C713AF"/>
    <w:rsid w:val="00C713ED"/>
    <w:rsid w:val="00C7150B"/>
    <w:rsid w:val="00C71521"/>
    <w:rsid w:val="00C715B0"/>
    <w:rsid w:val="00C71679"/>
    <w:rsid w:val="00C7176E"/>
    <w:rsid w:val="00C71776"/>
    <w:rsid w:val="00C717A0"/>
    <w:rsid w:val="00C718D7"/>
    <w:rsid w:val="00C71C00"/>
    <w:rsid w:val="00C71C49"/>
    <w:rsid w:val="00C71E7C"/>
    <w:rsid w:val="00C72046"/>
    <w:rsid w:val="00C7228C"/>
    <w:rsid w:val="00C722DA"/>
    <w:rsid w:val="00C72318"/>
    <w:rsid w:val="00C7233B"/>
    <w:rsid w:val="00C723C7"/>
    <w:rsid w:val="00C723DC"/>
    <w:rsid w:val="00C724D4"/>
    <w:rsid w:val="00C724E6"/>
    <w:rsid w:val="00C7257A"/>
    <w:rsid w:val="00C72604"/>
    <w:rsid w:val="00C726E3"/>
    <w:rsid w:val="00C7277C"/>
    <w:rsid w:val="00C727F3"/>
    <w:rsid w:val="00C72932"/>
    <w:rsid w:val="00C729D3"/>
    <w:rsid w:val="00C729F8"/>
    <w:rsid w:val="00C72A48"/>
    <w:rsid w:val="00C72BB4"/>
    <w:rsid w:val="00C72DDF"/>
    <w:rsid w:val="00C72DF3"/>
    <w:rsid w:val="00C72F8F"/>
    <w:rsid w:val="00C72FF0"/>
    <w:rsid w:val="00C7309D"/>
    <w:rsid w:val="00C73134"/>
    <w:rsid w:val="00C7315E"/>
    <w:rsid w:val="00C73195"/>
    <w:rsid w:val="00C73216"/>
    <w:rsid w:val="00C73268"/>
    <w:rsid w:val="00C7328E"/>
    <w:rsid w:val="00C73524"/>
    <w:rsid w:val="00C73540"/>
    <w:rsid w:val="00C73624"/>
    <w:rsid w:val="00C737B3"/>
    <w:rsid w:val="00C73800"/>
    <w:rsid w:val="00C739C5"/>
    <w:rsid w:val="00C73C7F"/>
    <w:rsid w:val="00C73CD2"/>
    <w:rsid w:val="00C73CD3"/>
    <w:rsid w:val="00C73CDC"/>
    <w:rsid w:val="00C73E39"/>
    <w:rsid w:val="00C73F0D"/>
    <w:rsid w:val="00C740C0"/>
    <w:rsid w:val="00C740E1"/>
    <w:rsid w:val="00C7410A"/>
    <w:rsid w:val="00C7437D"/>
    <w:rsid w:val="00C744C7"/>
    <w:rsid w:val="00C74565"/>
    <w:rsid w:val="00C7466C"/>
    <w:rsid w:val="00C746B4"/>
    <w:rsid w:val="00C747A5"/>
    <w:rsid w:val="00C74894"/>
    <w:rsid w:val="00C748BA"/>
    <w:rsid w:val="00C74AA6"/>
    <w:rsid w:val="00C74CD5"/>
    <w:rsid w:val="00C74CDC"/>
    <w:rsid w:val="00C74E29"/>
    <w:rsid w:val="00C74E86"/>
    <w:rsid w:val="00C74EE8"/>
    <w:rsid w:val="00C75049"/>
    <w:rsid w:val="00C75166"/>
    <w:rsid w:val="00C7518A"/>
    <w:rsid w:val="00C751E2"/>
    <w:rsid w:val="00C75620"/>
    <w:rsid w:val="00C756D3"/>
    <w:rsid w:val="00C75759"/>
    <w:rsid w:val="00C75771"/>
    <w:rsid w:val="00C758FD"/>
    <w:rsid w:val="00C7592D"/>
    <w:rsid w:val="00C7593A"/>
    <w:rsid w:val="00C7594C"/>
    <w:rsid w:val="00C75A07"/>
    <w:rsid w:val="00C75A09"/>
    <w:rsid w:val="00C75B6D"/>
    <w:rsid w:val="00C75CF0"/>
    <w:rsid w:val="00C75EC6"/>
    <w:rsid w:val="00C76013"/>
    <w:rsid w:val="00C760CE"/>
    <w:rsid w:val="00C7616B"/>
    <w:rsid w:val="00C762E8"/>
    <w:rsid w:val="00C76354"/>
    <w:rsid w:val="00C763D7"/>
    <w:rsid w:val="00C76463"/>
    <w:rsid w:val="00C765D1"/>
    <w:rsid w:val="00C767AE"/>
    <w:rsid w:val="00C767CE"/>
    <w:rsid w:val="00C7684F"/>
    <w:rsid w:val="00C7689A"/>
    <w:rsid w:val="00C769D4"/>
    <w:rsid w:val="00C769D8"/>
    <w:rsid w:val="00C76D00"/>
    <w:rsid w:val="00C76D92"/>
    <w:rsid w:val="00C76DA3"/>
    <w:rsid w:val="00C76DA5"/>
    <w:rsid w:val="00C76DE5"/>
    <w:rsid w:val="00C76F66"/>
    <w:rsid w:val="00C76FB3"/>
    <w:rsid w:val="00C76FD6"/>
    <w:rsid w:val="00C770F9"/>
    <w:rsid w:val="00C7719E"/>
    <w:rsid w:val="00C772AA"/>
    <w:rsid w:val="00C77389"/>
    <w:rsid w:val="00C773AA"/>
    <w:rsid w:val="00C77845"/>
    <w:rsid w:val="00C77907"/>
    <w:rsid w:val="00C77918"/>
    <w:rsid w:val="00C77A63"/>
    <w:rsid w:val="00C77AC7"/>
    <w:rsid w:val="00C77B8F"/>
    <w:rsid w:val="00C77C05"/>
    <w:rsid w:val="00C77C8A"/>
    <w:rsid w:val="00C77E88"/>
    <w:rsid w:val="00C800A7"/>
    <w:rsid w:val="00C80105"/>
    <w:rsid w:val="00C802B7"/>
    <w:rsid w:val="00C80497"/>
    <w:rsid w:val="00C8050F"/>
    <w:rsid w:val="00C80522"/>
    <w:rsid w:val="00C8057F"/>
    <w:rsid w:val="00C805D9"/>
    <w:rsid w:val="00C8063A"/>
    <w:rsid w:val="00C80653"/>
    <w:rsid w:val="00C80781"/>
    <w:rsid w:val="00C80791"/>
    <w:rsid w:val="00C80960"/>
    <w:rsid w:val="00C80A2A"/>
    <w:rsid w:val="00C80A4D"/>
    <w:rsid w:val="00C80CA6"/>
    <w:rsid w:val="00C80E38"/>
    <w:rsid w:val="00C80F68"/>
    <w:rsid w:val="00C81017"/>
    <w:rsid w:val="00C8125F"/>
    <w:rsid w:val="00C8133F"/>
    <w:rsid w:val="00C81412"/>
    <w:rsid w:val="00C8147D"/>
    <w:rsid w:val="00C8150B"/>
    <w:rsid w:val="00C815ED"/>
    <w:rsid w:val="00C816D7"/>
    <w:rsid w:val="00C819AA"/>
    <w:rsid w:val="00C819AB"/>
    <w:rsid w:val="00C819FA"/>
    <w:rsid w:val="00C81BE1"/>
    <w:rsid w:val="00C81C1A"/>
    <w:rsid w:val="00C81CDF"/>
    <w:rsid w:val="00C81D80"/>
    <w:rsid w:val="00C81D9F"/>
    <w:rsid w:val="00C81DA6"/>
    <w:rsid w:val="00C81DA8"/>
    <w:rsid w:val="00C81E3B"/>
    <w:rsid w:val="00C81EE2"/>
    <w:rsid w:val="00C82165"/>
    <w:rsid w:val="00C821F0"/>
    <w:rsid w:val="00C822C4"/>
    <w:rsid w:val="00C8236F"/>
    <w:rsid w:val="00C82427"/>
    <w:rsid w:val="00C8245E"/>
    <w:rsid w:val="00C82533"/>
    <w:rsid w:val="00C825FE"/>
    <w:rsid w:val="00C8262D"/>
    <w:rsid w:val="00C8276A"/>
    <w:rsid w:val="00C82805"/>
    <w:rsid w:val="00C8286A"/>
    <w:rsid w:val="00C82916"/>
    <w:rsid w:val="00C829CB"/>
    <w:rsid w:val="00C82A16"/>
    <w:rsid w:val="00C82A45"/>
    <w:rsid w:val="00C82A57"/>
    <w:rsid w:val="00C82A7D"/>
    <w:rsid w:val="00C82A87"/>
    <w:rsid w:val="00C82BC3"/>
    <w:rsid w:val="00C82CB2"/>
    <w:rsid w:val="00C82D13"/>
    <w:rsid w:val="00C82EF3"/>
    <w:rsid w:val="00C82F2A"/>
    <w:rsid w:val="00C82F5E"/>
    <w:rsid w:val="00C8312F"/>
    <w:rsid w:val="00C83179"/>
    <w:rsid w:val="00C83531"/>
    <w:rsid w:val="00C835D8"/>
    <w:rsid w:val="00C836BB"/>
    <w:rsid w:val="00C83791"/>
    <w:rsid w:val="00C837F4"/>
    <w:rsid w:val="00C8381C"/>
    <w:rsid w:val="00C838E4"/>
    <w:rsid w:val="00C838ED"/>
    <w:rsid w:val="00C838F7"/>
    <w:rsid w:val="00C839BA"/>
    <w:rsid w:val="00C83A15"/>
    <w:rsid w:val="00C83B1E"/>
    <w:rsid w:val="00C83B89"/>
    <w:rsid w:val="00C83C0F"/>
    <w:rsid w:val="00C83C2C"/>
    <w:rsid w:val="00C83C48"/>
    <w:rsid w:val="00C83CC5"/>
    <w:rsid w:val="00C83D9B"/>
    <w:rsid w:val="00C83EB1"/>
    <w:rsid w:val="00C83F09"/>
    <w:rsid w:val="00C84101"/>
    <w:rsid w:val="00C8417F"/>
    <w:rsid w:val="00C84253"/>
    <w:rsid w:val="00C84569"/>
    <w:rsid w:val="00C8470A"/>
    <w:rsid w:val="00C848A5"/>
    <w:rsid w:val="00C84AE4"/>
    <w:rsid w:val="00C84B04"/>
    <w:rsid w:val="00C84BCD"/>
    <w:rsid w:val="00C84C36"/>
    <w:rsid w:val="00C84C94"/>
    <w:rsid w:val="00C84FC1"/>
    <w:rsid w:val="00C8505A"/>
    <w:rsid w:val="00C850DE"/>
    <w:rsid w:val="00C85314"/>
    <w:rsid w:val="00C854A8"/>
    <w:rsid w:val="00C8561B"/>
    <w:rsid w:val="00C8579A"/>
    <w:rsid w:val="00C857A1"/>
    <w:rsid w:val="00C857B1"/>
    <w:rsid w:val="00C8584B"/>
    <w:rsid w:val="00C85AFB"/>
    <w:rsid w:val="00C85B7C"/>
    <w:rsid w:val="00C85BAD"/>
    <w:rsid w:val="00C85D78"/>
    <w:rsid w:val="00C85E05"/>
    <w:rsid w:val="00C85E61"/>
    <w:rsid w:val="00C85EF8"/>
    <w:rsid w:val="00C86001"/>
    <w:rsid w:val="00C863B2"/>
    <w:rsid w:val="00C865E5"/>
    <w:rsid w:val="00C86652"/>
    <w:rsid w:val="00C86664"/>
    <w:rsid w:val="00C86669"/>
    <w:rsid w:val="00C8667B"/>
    <w:rsid w:val="00C86694"/>
    <w:rsid w:val="00C8681A"/>
    <w:rsid w:val="00C868F7"/>
    <w:rsid w:val="00C869CD"/>
    <w:rsid w:val="00C869CF"/>
    <w:rsid w:val="00C86A28"/>
    <w:rsid w:val="00C86E2A"/>
    <w:rsid w:val="00C86E68"/>
    <w:rsid w:val="00C86EEA"/>
    <w:rsid w:val="00C86F6C"/>
    <w:rsid w:val="00C871C0"/>
    <w:rsid w:val="00C871E1"/>
    <w:rsid w:val="00C871FD"/>
    <w:rsid w:val="00C8736C"/>
    <w:rsid w:val="00C8744D"/>
    <w:rsid w:val="00C87647"/>
    <w:rsid w:val="00C876DD"/>
    <w:rsid w:val="00C87763"/>
    <w:rsid w:val="00C8777E"/>
    <w:rsid w:val="00C87989"/>
    <w:rsid w:val="00C879F7"/>
    <w:rsid w:val="00C87A7B"/>
    <w:rsid w:val="00C87AAE"/>
    <w:rsid w:val="00C87BA8"/>
    <w:rsid w:val="00C87BAC"/>
    <w:rsid w:val="00C87BDD"/>
    <w:rsid w:val="00C87CEF"/>
    <w:rsid w:val="00C87CF6"/>
    <w:rsid w:val="00C87CFD"/>
    <w:rsid w:val="00C87D32"/>
    <w:rsid w:val="00C87D46"/>
    <w:rsid w:val="00C87E46"/>
    <w:rsid w:val="00C87E71"/>
    <w:rsid w:val="00C87F53"/>
    <w:rsid w:val="00C87F68"/>
    <w:rsid w:val="00C87F8C"/>
    <w:rsid w:val="00C87FD6"/>
    <w:rsid w:val="00C900F6"/>
    <w:rsid w:val="00C9012C"/>
    <w:rsid w:val="00C9014C"/>
    <w:rsid w:val="00C901D7"/>
    <w:rsid w:val="00C902D0"/>
    <w:rsid w:val="00C903FB"/>
    <w:rsid w:val="00C904A5"/>
    <w:rsid w:val="00C9067F"/>
    <w:rsid w:val="00C90746"/>
    <w:rsid w:val="00C9076F"/>
    <w:rsid w:val="00C9080B"/>
    <w:rsid w:val="00C9090B"/>
    <w:rsid w:val="00C90A10"/>
    <w:rsid w:val="00C90B52"/>
    <w:rsid w:val="00C90C17"/>
    <w:rsid w:val="00C90C98"/>
    <w:rsid w:val="00C90CC9"/>
    <w:rsid w:val="00C90E9C"/>
    <w:rsid w:val="00C90F14"/>
    <w:rsid w:val="00C91035"/>
    <w:rsid w:val="00C912FB"/>
    <w:rsid w:val="00C9131E"/>
    <w:rsid w:val="00C9139C"/>
    <w:rsid w:val="00C9139D"/>
    <w:rsid w:val="00C9146B"/>
    <w:rsid w:val="00C9149D"/>
    <w:rsid w:val="00C917C4"/>
    <w:rsid w:val="00C9187F"/>
    <w:rsid w:val="00C91957"/>
    <w:rsid w:val="00C919B6"/>
    <w:rsid w:val="00C919D1"/>
    <w:rsid w:val="00C91B3D"/>
    <w:rsid w:val="00C91BDA"/>
    <w:rsid w:val="00C91C09"/>
    <w:rsid w:val="00C91C85"/>
    <w:rsid w:val="00C91DA2"/>
    <w:rsid w:val="00C91DF2"/>
    <w:rsid w:val="00C91EA4"/>
    <w:rsid w:val="00C91F0B"/>
    <w:rsid w:val="00C92025"/>
    <w:rsid w:val="00C9203A"/>
    <w:rsid w:val="00C920FF"/>
    <w:rsid w:val="00C92150"/>
    <w:rsid w:val="00C92278"/>
    <w:rsid w:val="00C923CD"/>
    <w:rsid w:val="00C9241C"/>
    <w:rsid w:val="00C9248D"/>
    <w:rsid w:val="00C926A1"/>
    <w:rsid w:val="00C926D9"/>
    <w:rsid w:val="00C92839"/>
    <w:rsid w:val="00C9292A"/>
    <w:rsid w:val="00C92949"/>
    <w:rsid w:val="00C92A0B"/>
    <w:rsid w:val="00C92A82"/>
    <w:rsid w:val="00C92A9B"/>
    <w:rsid w:val="00C92ACA"/>
    <w:rsid w:val="00C92ACB"/>
    <w:rsid w:val="00C92BF3"/>
    <w:rsid w:val="00C92C9E"/>
    <w:rsid w:val="00C92E5A"/>
    <w:rsid w:val="00C93134"/>
    <w:rsid w:val="00C93208"/>
    <w:rsid w:val="00C93307"/>
    <w:rsid w:val="00C9342C"/>
    <w:rsid w:val="00C93475"/>
    <w:rsid w:val="00C934B8"/>
    <w:rsid w:val="00C93750"/>
    <w:rsid w:val="00C9385E"/>
    <w:rsid w:val="00C93860"/>
    <w:rsid w:val="00C939E1"/>
    <w:rsid w:val="00C93B42"/>
    <w:rsid w:val="00C93D06"/>
    <w:rsid w:val="00C93EAB"/>
    <w:rsid w:val="00C93FF1"/>
    <w:rsid w:val="00C941D5"/>
    <w:rsid w:val="00C941FB"/>
    <w:rsid w:val="00C94226"/>
    <w:rsid w:val="00C94280"/>
    <w:rsid w:val="00C9459F"/>
    <w:rsid w:val="00C94830"/>
    <w:rsid w:val="00C9489D"/>
    <w:rsid w:val="00C948A3"/>
    <w:rsid w:val="00C9497B"/>
    <w:rsid w:val="00C94A4A"/>
    <w:rsid w:val="00C94B26"/>
    <w:rsid w:val="00C94B44"/>
    <w:rsid w:val="00C94B79"/>
    <w:rsid w:val="00C94CAB"/>
    <w:rsid w:val="00C94CD7"/>
    <w:rsid w:val="00C94D2F"/>
    <w:rsid w:val="00C94ED4"/>
    <w:rsid w:val="00C95112"/>
    <w:rsid w:val="00C95279"/>
    <w:rsid w:val="00C95281"/>
    <w:rsid w:val="00C952CC"/>
    <w:rsid w:val="00C954A1"/>
    <w:rsid w:val="00C95565"/>
    <w:rsid w:val="00C95571"/>
    <w:rsid w:val="00C9563F"/>
    <w:rsid w:val="00C95719"/>
    <w:rsid w:val="00C95833"/>
    <w:rsid w:val="00C958D6"/>
    <w:rsid w:val="00C958ED"/>
    <w:rsid w:val="00C96359"/>
    <w:rsid w:val="00C963BB"/>
    <w:rsid w:val="00C963FD"/>
    <w:rsid w:val="00C964AC"/>
    <w:rsid w:val="00C964E0"/>
    <w:rsid w:val="00C964F9"/>
    <w:rsid w:val="00C96563"/>
    <w:rsid w:val="00C96712"/>
    <w:rsid w:val="00C9673F"/>
    <w:rsid w:val="00C96878"/>
    <w:rsid w:val="00C9696E"/>
    <w:rsid w:val="00C969B4"/>
    <w:rsid w:val="00C96A35"/>
    <w:rsid w:val="00C96BA6"/>
    <w:rsid w:val="00C96BE7"/>
    <w:rsid w:val="00C96C04"/>
    <w:rsid w:val="00C96C6B"/>
    <w:rsid w:val="00C96E72"/>
    <w:rsid w:val="00C96FF6"/>
    <w:rsid w:val="00C97032"/>
    <w:rsid w:val="00C972A8"/>
    <w:rsid w:val="00C9731B"/>
    <w:rsid w:val="00C9741F"/>
    <w:rsid w:val="00C97433"/>
    <w:rsid w:val="00C97455"/>
    <w:rsid w:val="00C9746D"/>
    <w:rsid w:val="00C97568"/>
    <w:rsid w:val="00C975B8"/>
    <w:rsid w:val="00C977B9"/>
    <w:rsid w:val="00C9794C"/>
    <w:rsid w:val="00C97989"/>
    <w:rsid w:val="00C979B5"/>
    <w:rsid w:val="00C97A52"/>
    <w:rsid w:val="00C97A66"/>
    <w:rsid w:val="00C97B20"/>
    <w:rsid w:val="00C97BB4"/>
    <w:rsid w:val="00C97DEC"/>
    <w:rsid w:val="00C97E03"/>
    <w:rsid w:val="00C97E3C"/>
    <w:rsid w:val="00C97F03"/>
    <w:rsid w:val="00C97F60"/>
    <w:rsid w:val="00CA008F"/>
    <w:rsid w:val="00CA0116"/>
    <w:rsid w:val="00CA0149"/>
    <w:rsid w:val="00CA015C"/>
    <w:rsid w:val="00CA01CB"/>
    <w:rsid w:val="00CA0384"/>
    <w:rsid w:val="00CA049B"/>
    <w:rsid w:val="00CA08C0"/>
    <w:rsid w:val="00CA0B96"/>
    <w:rsid w:val="00CA0BB2"/>
    <w:rsid w:val="00CA0C52"/>
    <w:rsid w:val="00CA0DEA"/>
    <w:rsid w:val="00CA1039"/>
    <w:rsid w:val="00CA113F"/>
    <w:rsid w:val="00CA12E4"/>
    <w:rsid w:val="00CA13AE"/>
    <w:rsid w:val="00CA146F"/>
    <w:rsid w:val="00CA168C"/>
    <w:rsid w:val="00CA176D"/>
    <w:rsid w:val="00CA1950"/>
    <w:rsid w:val="00CA1AA1"/>
    <w:rsid w:val="00CA1BAB"/>
    <w:rsid w:val="00CA1BB1"/>
    <w:rsid w:val="00CA1D9D"/>
    <w:rsid w:val="00CA1DE5"/>
    <w:rsid w:val="00CA1E57"/>
    <w:rsid w:val="00CA1F5B"/>
    <w:rsid w:val="00CA1F9A"/>
    <w:rsid w:val="00CA20C8"/>
    <w:rsid w:val="00CA2339"/>
    <w:rsid w:val="00CA23AF"/>
    <w:rsid w:val="00CA248E"/>
    <w:rsid w:val="00CA24BD"/>
    <w:rsid w:val="00CA255E"/>
    <w:rsid w:val="00CA25A6"/>
    <w:rsid w:val="00CA280C"/>
    <w:rsid w:val="00CA2987"/>
    <w:rsid w:val="00CA2A23"/>
    <w:rsid w:val="00CA2A3B"/>
    <w:rsid w:val="00CA2ABE"/>
    <w:rsid w:val="00CA2E62"/>
    <w:rsid w:val="00CA2F08"/>
    <w:rsid w:val="00CA2FED"/>
    <w:rsid w:val="00CA32DA"/>
    <w:rsid w:val="00CA343A"/>
    <w:rsid w:val="00CA353B"/>
    <w:rsid w:val="00CA35B9"/>
    <w:rsid w:val="00CA3678"/>
    <w:rsid w:val="00CA36B2"/>
    <w:rsid w:val="00CA3721"/>
    <w:rsid w:val="00CA38F7"/>
    <w:rsid w:val="00CA391B"/>
    <w:rsid w:val="00CA3AEB"/>
    <w:rsid w:val="00CA3B08"/>
    <w:rsid w:val="00CA3D1A"/>
    <w:rsid w:val="00CA3D3A"/>
    <w:rsid w:val="00CA3DF9"/>
    <w:rsid w:val="00CA3E20"/>
    <w:rsid w:val="00CA3E31"/>
    <w:rsid w:val="00CA3ED4"/>
    <w:rsid w:val="00CA4003"/>
    <w:rsid w:val="00CA4024"/>
    <w:rsid w:val="00CA40F7"/>
    <w:rsid w:val="00CA40FF"/>
    <w:rsid w:val="00CA413E"/>
    <w:rsid w:val="00CA428C"/>
    <w:rsid w:val="00CA432C"/>
    <w:rsid w:val="00CA440C"/>
    <w:rsid w:val="00CA4594"/>
    <w:rsid w:val="00CA46B8"/>
    <w:rsid w:val="00CA46B9"/>
    <w:rsid w:val="00CA4816"/>
    <w:rsid w:val="00CA4898"/>
    <w:rsid w:val="00CA492E"/>
    <w:rsid w:val="00CA4965"/>
    <w:rsid w:val="00CA4BC0"/>
    <w:rsid w:val="00CA4D55"/>
    <w:rsid w:val="00CA4D9F"/>
    <w:rsid w:val="00CA4EE3"/>
    <w:rsid w:val="00CA4F7D"/>
    <w:rsid w:val="00CA4FEB"/>
    <w:rsid w:val="00CA5011"/>
    <w:rsid w:val="00CA50C1"/>
    <w:rsid w:val="00CA5105"/>
    <w:rsid w:val="00CA5274"/>
    <w:rsid w:val="00CA532F"/>
    <w:rsid w:val="00CA53CC"/>
    <w:rsid w:val="00CA5467"/>
    <w:rsid w:val="00CA5486"/>
    <w:rsid w:val="00CA5614"/>
    <w:rsid w:val="00CA5660"/>
    <w:rsid w:val="00CA582D"/>
    <w:rsid w:val="00CA5992"/>
    <w:rsid w:val="00CA59D5"/>
    <w:rsid w:val="00CA5AF5"/>
    <w:rsid w:val="00CA5C70"/>
    <w:rsid w:val="00CA5C7C"/>
    <w:rsid w:val="00CA5CA8"/>
    <w:rsid w:val="00CA5CC9"/>
    <w:rsid w:val="00CA5F23"/>
    <w:rsid w:val="00CA5FDE"/>
    <w:rsid w:val="00CA602D"/>
    <w:rsid w:val="00CA61EF"/>
    <w:rsid w:val="00CA620B"/>
    <w:rsid w:val="00CA6308"/>
    <w:rsid w:val="00CA63D4"/>
    <w:rsid w:val="00CA6491"/>
    <w:rsid w:val="00CA6535"/>
    <w:rsid w:val="00CA657C"/>
    <w:rsid w:val="00CA65B4"/>
    <w:rsid w:val="00CA67FF"/>
    <w:rsid w:val="00CA6915"/>
    <w:rsid w:val="00CA6A0B"/>
    <w:rsid w:val="00CA6A74"/>
    <w:rsid w:val="00CA6B7A"/>
    <w:rsid w:val="00CA6C31"/>
    <w:rsid w:val="00CA6D6A"/>
    <w:rsid w:val="00CA6E3F"/>
    <w:rsid w:val="00CA70A7"/>
    <w:rsid w:val="00CA70E1"/>
    <w:rsid w:val="00CA7243"/>
    <w:rsid w:val="00CA72CE"/>
    <w:rsid w:val="00CA734C"/>
    <w:rsid w:val="00CA7450"/>
    <w:rsid w:val="00CA7568"/>
    <w:rsid w:val="00CA75F2"/>
    <w:rsid w:val="00CA77E3"/>
    <w:rsid w:val="00CA791D"/>
    <w:rsid w:val="00CA7924"/>
    <w:rsid w:val="00CA7944"/>
    <w:rsid w:val="00CA7CED"/>
    <w:rsid w:val="00CA7DC8"/>
    <w:rsid w:val="00CA7E39"/>
    <w:rsid w:val="00CA7F6E"/>
    <w:rsid w:val="00CA7FDA"/>
    <w:rsid w:val="00CB00AF"/>
    <w:rsid w:val="00CB00CF"/>
    <w:rsid w:val="00CB0107"/>
    <w:rsid w:val="00CB0157"/>
    <w:rsid w:val="00CB01C3"/>
    <w:rsid w:val="00CB0502"/>
    <w:rsid w:val="00CB0622"/>
    <w:rsid w:val="00CB06D6"/>
    <w:rsid w:val="00CB06DF"/>
    <w:rsid w:val="00CB07F2"/>
    <w:rsid w:val="00CB095F"/>
    <w:rsid w:val="00CB0A9A"/>
    <w:rsid w:val="00CB0C52"/>
    <w:rsid w:val="00CB0C8E"/>
    <w:rsid w:val="00CB0DD5"/>
    <w:rsid w:val="00CB0E37"/>
    <w:rsid w:val="00CB0E8C"/>
    <w:rsid w:val="00CB0F0F"/>
    <w:rsid w:val="00CB0F72"/>
    <w:rsid w:val="00CB10C5"/>
    <w:rsid w:val="00CB1149"/>
    <w:rsid w:val="00CB12B5"/>
    <w:rsid w:val="00CB1433"/>
    <w:rsid w:val="00CB147E"/>
    <w:rsid w:val="00CB16C2"/>
    <w:rsid w:val="00CB1717"/>
    <w:rsid w:val="00CB17E1"/>
    <w:rsid w:val="00CB18C4"/>
    <w:rsid w:val="00CB1B25"/>
    <w:rsid w:val="00CB1C01"/>
    <w:rsid w:val="00CB1C75"/>
    <w:rsid w:val="00CB1CB8"/>
    <w:rsid w:val="00CB1CF0"/>
    <w:rsid w:val="00CB1F97"/>
    <w:rsid w:val="00CB2024"/>
    <w:rsid w:val="00CB2471"/>
    <w:rsid w:val="00CB249F"/>
    <w:rsid w:val="00CB24B5"/>
    <w:rsid w:val="00CB2503"/>
    <w:rsid w:val="00CB2532"/>
    <w:rsid w:val="00CB26E5"/>
    <w:rsid w:val="00CB273D"/>
    <w:rsid w:val="00CB2765"/>
    <w:rsid w:val="00CB27A6"/>
    <w:rsid w:val="00CB27E3"/>
    <w:rsid w:val="00CB28A9"/>
    <w:rsid w:val="00CB28E9"/>
    <w:rsid w:val="00CB2A25"/>
    <w:rsid w:val="00CB2A72"/>
    <w:rsid w:val="00CB2C66"/>
    <w:rsid w:val="00CB2C8B"/>
    <w:rsid w:val="00CB2DB2"/>
    <w:rsid w:val="00CB2F8D"/>
    <w:rsid w:val="00CB3138"/>
    <w:rsid w:val="00CB31DC"/>
    <w:rsid w:val="00CB3237"/>
    <w:rsid w:val="00CB32B9"/>
    <w:rsid w:val="00CB33A4"/>
    <w:rsid w:val="00CB34A8"/>
    <w:rsid w:val="00CB34B1"/>
    <w:rsid w:val="00CB35A5"/>
    <w:rsid w:val="00CB35E6"/>
    <w:rsid w:val="00CB36DF"/>
    <w:rsid w:val="00CB37F8"/>
    <w:rsid w:val="00CB380D"/>
    <w:rsid w:val="00CB38AE"/>
    <w:rsid w:val="00CB38F7"/>
    <w:rsid w:val="00CB390C"/>
    <w:rsid w:val="00CB396F"/>
    <w:rsid w:val="00CB3996"/>
    <w:rsid w:val="00CB39B7"/>
    <w:rsid w:val="00CB3AB2"/>
    <w:rsid w:val="00CB3B92"/>
    <w:rsid w:val="00CB3BC7"/>
    <w:rsid w:val="00CB3C4C"/>
    <w:rsid w:val="00CB3D7D"/>
    <w:rsid w:val="00CB3D88"/>
    <w:rsid w:val="00CB3DF7"/>
    <w:rsid w:val="00CB416A"/>
    <w:rsid w:val="00CB42AA"/>
    <w:rsid w:val="00CB434E"/>
    <w:rsid w:val="00CB4440"/>
    <w:rsid w:val="00CB4453"/>
    <w:rsid w:val="00CB4480"/>
    <w:rsid w:val="00CB44E8"/>
    <w:rsid w:val="00CB4576"/>
    <w:rsid w:val="00CB46CC"/>
    <w:rsid w:val="00CB479D"/>
    <w:rsid w:val="00CB48D7"/>
    <w:rsid w:val="00CB4B26"/>
    <w:rsid w:val="00CB4E38"/>
    <w:rsid w:val="00CB500E"/>
    <w:rsid w:val="00CB508B"/>
    <w:rsid w:val="00CB50AA"/>
    <w:rsid w:val="00CB5205"/>
    <w:rsid w:val="00CB5287"/>
    <w:rsid w:val="00CB5559"/>
    <w:rsid w:val="00CB55DD"/>
    <w:rsid w:val="00CB59FE"/>
    <w:rsid w:val="00CB5A20"/>
    <w:rsid w:val="00CB5AA8"/>
    <w:rsid w:val="00CB5B03"/>
    <w:rsid w:val="00CB5B31"/>
    <w:rsid w:val="00CB5B62"/>
    <w:rsid w:val="00CB5C4B"/>
    <w:rsid w:val="00CB5C74"/>
    <w:rsid w:val="00CB5C83"/>
    <w:rsid w:val="00CB5D75"/>
    <w:rsid w:val="00CB5E88"/>
    <w:rsid w:val="00CB6106"/>
    <w:rsid w:val="00CB621F"/>
    <w:rsid w:val="00CB6278"/>
    <w:rsid w:val="00CB62CA"/>
    <w:rsid w:val="00CB630D"/>
    <w:rsid w:val="00CB65FD"/>
    <w:rsid w:val="00CB662A"/>
    <w:rsid w:val="00CB662C"/>
    <w:rsid w:val="00CB67E7"/>
    <w:rsid w:val="00CB6815"/>
    <w:rsid w:val="00CB6A03"/>
    <w:rsid w:val="00CB6A8F"/>
    <w:rsid w:val="00CB6B15"/>
    <w:rsid w:val="00CB6C92"/>
    <w:rsid w:val="00CB6C99"/>
    <w:rsid w:val="00CB6DCC"/>
    <w:rsid w:val="00CB6F1E"/>
    <w:rsid w:val="00CB6F26"/>
    <w:rsid w:val="00CB6F55"/>
    <w:rsid w:val="00CB6FD3"/>
    <w:rsid w:val="00CB70A8"/>
    <w:rsid w:val="00CB72B4"/>
    <w:rsid w:val="00CB7422"/>
    <w:rsid w:val="00CB7435"/>
    <w:rsid w:val="00CB7589"/>
    <w:rsid w:val="00CB769C"/>
    <w:rsid w:val="00CB77A5"/>
    <w:rsid w:val="00CB77CC"/>
    <w:rsid w:val="00CB781B"/>
    <w:rsid w:val="00CB7962"/>
    <w:rsid w:val="00CB7991"/>
    <w:rsid w:val="00CB79C3"/>
    <w:rsid w:val="00CB79F6"/>
    <w:rsid w:val="00CB7AB2"/>
    <w:rsid w:val="00CB7AD7"/>
    <w:rsid w:val="00CB7B21"/>
    <w:rsid w:val="00CB7CF8"/>
    <w:rsid w:val="00CB7D51"/>
    <w:rsid w:val="00CB7E4E"/>
    <w:rsid w:val="00CB7F8C"/>
    <w:rsid w:val="00CB7FE2"/>
    <w:rsid w:val="00CB7FF3"/>
    <w:rsid w:val="00CC021C"/>
    <w:rsid w:val="00CC0269"/>
    <w:rsid w:val="00CC0291"/>
    <w:rsid w:val="00CC0363"/>
    <w:rsid w:val="00CC042A"/>
    <w:rsid w:val="00CC0562"/>
    <w:rsid w:val="00CC05C6"/>
    <w:rsid w:val="00CC06E2"/>
    <w:rsid w:val="00CC091F"/>
    <w:rsid w:val="00CC0A32"/>
    <w:rsid w:val="00CC0AC2"/>
    <w:rsid w:val="00CC0AE7"/>
    <w:rsid w:val="00CC0AFD"/>
    <w:rsid w:val="00CC119A"/>
    <w:rsid w:val="00CC11B2"/>
    <w:rsid w:val="00CC11E9"/>
    <w:rsid w:val="00CC11FE"/>
    <w:rsid w:val="00CC1336"/>
    <w:rsid w:val="00CC1391"/>
    <w:rsid w:val="00CC1474"/>
    <w:rsid w:val="00CC157D"/>
    <w:rsid w:val="00CC15BD"/>
    <w:rsid w:val="00CC188B"/>
    <w:rsid w:val="00CC18D7"/>
    <w:rsid w:val="00CC191E"/>
    <w:rsid w:val="00CC196B"/>
    <w:rsid w:val="00CC1A6B"/>
    <w:rsid w:val="00CC1A9A"/>
    <w:rsid w:val="00CC1AEA"/>
    <w:rsid w:val="00CC1B56"/>
    <w:rsid w:val="00CC1C86"/>
    <w:rsid w:val="00CC1CBB"/>
    <w:rsid w:val="00CC1D27"/>
    <w:rsid w:val="00CC1D2F"/>
    <w:rsid w:val="00CC1D6D"/>
    <w:rsid w:val="00CC1EA2"/>
    <w:rsid w:val="00CC2189"/>
    <w:rsid w:val="00CC2278"/>
    <w:rsid w:val="00CC2389"/>
    <w:rsid w:val="00CC23F6"/>
    <w:rsid w:val="00CC26A6"/>
    <w:rsid w:val="00CC27DA"/>
    <w:rsid w:val="00CC2873"/>
    <w:rsid w:val="00CC2886"/>
    <w:rsid w:val="00CC2B8B"/>
    <w:rsid w:val="00CC2BED"/>
    <w:rsid w:val="00CC2C1F"/>
    <w:rsid w:val="00CC2CA1"/>
    <w:rsid w:val="00CC2D1E"/>
    <w:rsid w:val="00CC2E6D"/>
    <w:rsid w:val="00CC2E8F"/>
    <w:rsid w:val="00CC2ECD"/>
    <w:rsid w:val="00CC2F55"/>
    <w:rsid w:val="00CC2FAE"/>
    <w:rsid w:val="00CC3003"/>
    <w:rsid w:val="00CC3449"/>
    <w:rsid w:val="00CC34F4"/>
    <w:rsid w:val="00CC363C"/>
    <w:rsid w:val="00CC3744"/>
    <w:rsid w:val="00CC38AC"/>
    <w:rsid w:val="00CC3CCB"/>
    <w:rsid w:val="00CC3E64"/>
    <w:rsid w:val="00CC3F51"/>
    <w:rsid w:val="00CC3F99"/>
    <w:rsid w:val="00CC3FA1"/>
    <w:rsid w:val="00CC4054"/>
    <w:rsid w:val="00CC40A6"/>
    <w:rsid w:val="00CC40F4"/>
    <w:rsid w:val="00CC4241"/>
    <w:rsid w:val="00CC42DD"/>
    <w:rsid w:val="00CC447B"/>
    <w:rsid w:val="00CC4651"/>
    <w:rsid w:val="00CC4692"/>
    <w:rsid w:val="00CC4753"/>
    <w:rsid w:val="00CC48C5"/>
    <w:rsid w:val="00CC4AA7"/>
    <w:rsid w:val="00CC4AB5"/>
    <w:rsid w:val="00CC4B26"/>
    <w:rsid w:val="00CC4EAA"/>
    <w:rsid w:val="00CC4EC5"/>
    <w:rsid w:val="00CC4F09"/>
    <w:rsid w:val="00CC5226"/>
    <w:rsid w:val="00CC538F"/>
    <w:rsid w:val="00CC549C"/>
    <w:rsid w:val="00CC54FA"/>
    <w:rsid w:val="00CC557B"/>
    <w:rsid w:val="00CC559D"/>
    <w:rsid w:val="00CC55C9"/>
    <w:rsid w:val="00CC568A"/>
    <w:rsid w:val="00CC578C"/>
    <w:rsid w:val="00CC58B9"/>
    <w:rsid w:val="00CC5935"/>
    <w:rsid w:val="00CC5A0D"/>
    <w:rsid w:val="00CC5AF3"/>
    <w:rsid w:val="00CC5B8C"/>
    <w:rsid w:val="00CC5BFA"/>
    <w:rsid w:val="00CC5C16"/>
    <w:rsid w:val="00CC5C60"/>
    <w:rsid w:val="00CC5D33"/>
    <w:rsid w:val="00CC5E0E"/>
    <w:rsid w:val="00CC60DB"/>
    <w:rsid w:val="00CC6154"/>
    <w:rsid w:val="00CC636A"/>
    <w:rsid w:val="00CC63CF"/>
    <w:rsid w:val="00CC641F"/>
    <w:rsid w:val="00CC65C4"/>
    <w:rsid w:val="00CC65F7"/>
    <w:rsid w:val="00CC662C"/>
    <w:rsid w:val="00CC66B7"/>
    <w:rsid w:val="00CC66F1"/>
    <w:rsid w:val="00CC682C"/>
    <w:rsid w:val="00CC6A0E"/>
    <w:rsid w:val="00CC6D20"/>
    <w:rsid w:val="00CC6D49"/>
    <w:rsid w:val="00CC6E3E"/>
    <w:rsid w:val="00CC6F21"/>
    <w:rsid w:val="00CC6F7F"/>
    <w:rsid w:val="00CC6FD5"/>
    <w:rsid w:val="00CC702B"/>
    <w:rsid w:val="00CC717B"/>
    <w:rsid w:val="00CC726D"/>
    <w:rsid w:val="00CC72CC"/>
    <w:rsid w:val="00CC73D4"/>
    <w:rsid w:val="00CC7526"/>
    <w:rsid w:val="00CC7656"/>
    <w:rsid w:val="00CC7706"/>
    <w:rsid w:val="00CC7780"/>
    <w:rsid w:val="00CC794D"/>
    <w:rsid w:val="00CC7971"/>
    <w:rsid w:val="00CC7B3E"/>
    <w:rsid w:val="00CC7B48"/>
    <w:rsid w:val="00CC7B6E"/>
    <w:rsid w:val="00CC7BDF"/>
    <w:rsid w:val="00CC7C51"/>
    <w:rsid w:val="00CC7C8B"/>
    <w:rsid w:val="00CC7D76"/>
    <w:rsid w:val="00CC7F07"/>
    <w:rsid w:val="00CC7F09"/>
    <w:rsid w:val="00CC7FC0"/>
    <w:rsid w:val="00CD005D"/>
    <w:rsid w:val="00CD006E"/>
    <w:rsid w:val="00CD01D0"/>
    <w:rsid w:val="00CD058A"/>
    <w:rsid w:val="00CD05C5"/>
    <w:rsid w:val="00CD06D7"/>
    <w:rsid w:val="00CD0847"/>
    <w:rsid w:val="00CD08F1"/>
    <w:rsid w:val="00CD0B3A"/>
    <w:rsid w:val="00CD0BB4"/>
    <w:rsid w:val="00CD0C13"/>
    <w:rsid w:val="00CD0C4E"/>
    <w:rsid w:val="00CD0CAA"/>
    <w:rsid w:val="00CD0CF1"/>
    <w:rsid w:val="00CD0D45"/>
    <w:rsid w:val="00CD0DE9"/>
    <w:rsid w:val="00CD0E0F"/>
    <w:rsid w:val="00CD0E75"/>
    <w:rsid w:val="00CD0F69"/>
    <w:rsid w:val="00CD0FCA"/>
    <w:rsid w:val="00CD10B5"/>
    <w:rsid w:val="00CD11F9"/>
    <w:rsid w:val="00CD1294"/>
    <w:rsid w:val="00CD1344"/>
    <w:rsid w:val="00CD13A9"/>
    <w:rsid w:val="00CD15CF"/>
    <w:rsid w:val="00CD163C"/>
    <w:rsid w:val="00CD1758"/>
    <w:rsid w:val="00CD1831"/>
    <w:rsid w:val="00CD1882"/>
    <w:rsid w:val="00CD1AF9"/>
    <w:rsid w:val="00CD1CE4"/>
    <w:rsid w:val="00CD1DC2"/>
    <w:rsid w:val="00CD1E40"/>
    <w:rsid w:val="00CD1F97"/>
    <w:rsid w:val="00CD2098"/>
    <w:rsid w:val="00CD2238"/>
    <w:rsid w:val="00CD257C"/>
    <w:rsid w:val="00CD25D8"/>
    <w:rsid w:val="00CD2663"/>
    <w:rsid w:val="00CD26F6"/>
    <w:rsid w:val="00CD283A"/>
    <w:rsid w:val="00CD28DD"/>
    <w:rsid w:val="00CD28FD"/>
    <w:rsid w:val="00CD2916"/>
    <w:rsid w:val="00CD2930"/>
    <w:rsid w:val="00CD29C3"/>
    <w:rsid w:val="00CD2A83"/>
    <w:rsid w:val="00CD2AB6"/>
    <w:rsid w:val="00CD2AC2"/>
    <w:rsid w:val="00CD2DB6"/>
    <w:rsid w:val="00CD2E29"/>
    <w:rsid w:val="00CD2E78"/>
    <w:rsid w:val="00CD2F6D"/>
    <w:rsid w:val="00CD3162"/>
    <w:rsid w:val="00CD345B"/>
    <w:rsid w:val="00CD34A1"/>
    <w:rsid w:val="00CD34EF"/>
    <w:rsid w:val="00CD3506"/>
    <w:rsid w:val="00CD366B"/>
    <w:rsid w:val="00CD36EE"/>
    <w:rsid w:val="00CD39EE"/>
    <w:rsid w:val="00CD3A53"/>
    <w:rsid w:val="00CD3AC5"/>
    <w:rsid w:val="00CD3C92"/>
    <w:rsid w:val="00CD3DE0"/>
    <w:rsid w:val="00CD3E56"/>
    <w:rsid w:val="00CD3E59"/>
    <w:rsid w:val="00CD40A5"/>
    <w:rsid w:val="00CD4180"/>
    <w:rsid w:val="00CD4381"/>
    <w:rsid w:val="00CD438F"/>
    <w:rsid w:val="00CD44D2"/>
    <w:rsid w:val="00CD4520"/>
    <w:rsid w:val="00CD4577"/>
    <w:rsid w:val="00CD45C9"/>
    <w:rsid w:val="00CD4707"/>
    <w:rsid w:val="00CD4869"/>
    <w:rsid w:val="00CD486A"/>
    <w:rsid w:val="00CD4916"/>
    <w:rsid w:val="00CD499A"/>
    <w:rsid w:val="00CD4A36"/>
    <w:rsid w:val="00CD4B3C"/>
    <w:rsid w:val="00CD4CA0"/>
    <w:rsid w:val="00CD4CA6"/>
    <w:rsid w:val="00CD4CB3"/>
    <w:rsid w:val="00CD4CF9"/>
    <w:rsid w:val="00CD4DC2"/>
    <w:rsid w:val="00CD4DDE"/>
    <w:rsid w:val="00CD4E4C"/>
    <w:rsid w:val="00CD5098"/>
    <w:rsid w:val="00CD5273"/>
    <w:rsid w:val="00CD5311"/>
    <w:rsid w:val="00CD5361"/>
    <w:rsid w:val="00CD53EC"/>
    <w:rsid w:val="00CD5433"/>
    <w:rsid w:val="00CD5490"/>
    <w:rsid w:val="00CD55D1"/>
    <w:rsid w:val="00CD5739"/>
    <w:rsid w:val="00CD5A7D"/>
    <w:rsid w:val="00CD5B52"/>
    <w:rsid w:val="00CD5CF1"/>
    <w:rsid w:val="00CD5D2D"/>
    <w:rsid w:val="00CD5F41"/>
    <w:rsid w:val="00CD612E"/>
    <w:rsid w:val="00CD61C6"/>
    <w:rsid w:val="00CD629F"/>
    <w:rsid w:val="00CD640A"/>
    <w:rsid w:val="00CD654B"/>
    <w:rsid w:val="00CD6579"/>
    <w:rsid w:val="00CD66E0"/>
    <w:rsid w:val="00CD67D4"/>
    <w:rsid w:val="00CD67E9"/>
    <w:rsid w:val="00CD6854"/>
    <w:rsid w:val="00CD68BB"/>
    <w:rsid w:val="00CD6A54"/>
    <w:rsid w:val="00CD6AF9"/>
    <w:rsid w:val="00CD6B5C"/>
    <w:rsid w:val="00CD6D77"/>
    <w:rsid w:val="00CD6DB5"/>
    <w:rsid w:val="00CD6DDF"/>
    <w:rsid w:val="00CD6F73"/>
    <w:rsid w:val="00CD6F91"/>
    <w:rsid w:val="00CD70B0"/>
    <w:rsid w:val="00CD70D2"/>
    <w:rsid w:val="00CD7250"/>
    <w:rsid w:val="00CD727A"/>
    <w:rsid w:val="00CD72AE"/>
    <w:rsid w:val="00CD72FD"/>
    <w:rsid w:val="00CD736F"/>
    <w:rsid w:val="00CD76D4"/>
    <w:rsid w:val="00CD7714"/>
    <w:rsid w:val="00CD775A"/>
    <w:rsid w:val="00CD77BF"/>
    <w:rsid w:val="00CD7A2D"/>
    <w:rsid w:val="00CD7A62"/>
    <w:rsid w:val="00CD7A87"/>
    <w:rsid w:val="00CD7AE6"/>
    <w:rsid w:val="00CD7B8E"/>
    <w:rsid w:val="00CD7BD5"/>
    <w:rsid w:val="00CD7BE8"/>
    <w:rsid w:val="00CD7CDB"/>
    <w:rsid w:val="00CD7D11"/>
    <w:rsid w:val="00CD7F31"/>
    <w:rsid w:val="00CD7FA6"/>
    <w:rsid w:val="00CE0165"/>
    <w:rsid w:val="00CE0196"/>
    <w:rsid w:val="00CE01F2"/>
    <w:rsid w:val="00CE0326"/>
    <w:rsid w:val="00CE04DF"/>
    <w:rsid w:val="00CE05DC"/>
    <w:rsid w:val="00CE0629"/>
    <w:rsid w:val="00CE0640"/>
    <w:rsid w:val="00CE0663"/>
    <w:rsid w:val="00CE08A3"/>
    <w:rsid w:val="00CE08F9"/>
    <w:rsid w:val="00CE0B63"/>
    <w:rsid w:val="00CE0C5D"/>
    <w:rsid w:val="00CE0C7A"/>
    <w:rsid w:val="00CE0D89"/>
    <w:rsid w:val="00CE0EB8"/>
    <w:rsid w:val="00CE0ED4"/>
    <w:rsid w:val="00CE0F62"/>
    <w:rsid w:val="00CE0FA5"/>
    <w:rsid w:val="00CE1016"/>
    <w:rsid w:val="00CE10F9"/>
    <w:rsid w:val="00CE12BF"/>
    <w:rsid w:val="00CE1436"/>
    <w:rsid w:val="00CE1473"/>
    <w:rsid w:val="00CE153C"/>
    <w:rsid w:val="00CE1687"/>
    <w:rsid w:val="00CE172D"/>
    <w:rsid w:val="00CE1A6B"/>
    <w:rsid w:val="00CE1B10"/>
    <w:rsid w:val="00CE1B9B"/>
    <w:rsid w:val="00CE1BC4"/>
    <w:rsid w:val="00CE1C4A"/>
    <w:rsid w:val="00CE1E3B"/>
    <w:rsid w:val="00CE1E96"/>
    <w:rsid w:val="00CE1F8D"/>
    <w:rsid w:val="00CE2121"/>
    <w:rsid w:val="00CE223E"/>
    <w:rsid w:val="00CE2890"/>
    <w:rsid w:val="00CE2A13"/>
    <w:rsid w:val="00CE2A59"/>
    <w:rsid w:val="00CE2D1D"/>
    <w:rsid w:val="00CE2E7C"/>
    <w:rsid w:val="00CE2F9C"/>
    <w:rsid w:val="00CE2FB3"/>
    <w:rsid w:val="00CE3082"/>
    <w:rsid w:val="00CE30AB"/>
    <w:rsid w:val="00CE30C7"/>
    <w:rsid w:val="00CE3161"/>
    <w:rsid w:val="00CE31B1"/>
    <w:rsid w:val="00CE3256"/>
    <w:rsid w:val="00CE3279"/>
    <w:rsid w:val="00CE32BC"/>
    <w:rsid w:val="00CE32D1"/>
    <w:rsid w:val="00CE338E"/>
    <w:rsid w:val="00CE35BD"/>
    <w:rsid w:val="00CE3894"/>
    <w:rsid w:val="00CE3B23"/>
    <w:rsid w:val="00CE3D56"/>
    <w:rsid w:val="00CE3DBA"/>
    <w:rsid w:val="00CE401A"/>
    <w:rsid w:val="00CE403A"/>
    <w:rsid w:val="00CE4078"/>
    <w:rsid w:val="00CE40A6"/>
    <w:rsid w:val="00CE40B2"/>
    <w:rsid w:val="00CE42E6"/>
    <w:rsid w:val="00CE4396"/>
    <w:rsid w:val="00CE451C"/>
    <w:rsid w:val="00CE4546"/>
    <w:rsid w:val="00CE4614"/>
    <w:rsid w:val="00CE4653"/>
    <w:rsid w:val="00CE4815"/>
    <w:rsid w:val="00CE48B8"/>
    <w:rsid w:val="00CE48D8"/>
    <w:rsid w:val="00CE4B6D"/>
    <w:rsid w:val="00CE4BB6"/>
    <w:rsid w:val="00CE4BEB"/>
    <w:rsid w:val="00CE4ED0"/>
    <w:rsid w:val="00CE4FE2"/>
    <w:rsid w:val="00CE500D"/>
    <w:rsid w:val="00CE5083"/>
    <w:rsid w:val="00CE5198"/>
    <w:rsid w:val="00CE5340"/>
    <w:rsid w:val="00CE53D4"/>
    <w:rsid w:val="00CE53FE"/>
    <w:rsid w:val="00CE5438"/>
    <w:rsid w:val="00CE548A"/>
    <w:rsid w:val="00CE55B0"/>
    <w:rsid w:val="00CE56AF"/>
    <w:rsid w:val="00CE5887"/>
    <w:rsid w:val="00CE58FC"/>
    <w:rsid w:val="00CE5B19"/>
    <w:rsid w:val="00CE5B51"/>
    <w:rsid w:val="00CE5D71"/>
    <w:rsid w:val="00CE5F63"/>
    <w:rsid w:val="00CE616F"/>
    <w:rsid w:val="00CE6182"/>
    <w:rsid w:val="00CE61C7"/>
    <w:rsid w:val="00CE6358"/>
    <w:rsid w:val="00CE6478"/>
    <w:rsid w:val="00CE64C0"/>
    <w:rsid w:val="00CE64D1"/>
    <w:rsid w:val="00CE6580"/>
    <w:rsid w:val="00CE661C"/>
    <w:rsid w:val="00CE666D"/>
    <w:rsid w:val="00CE66EF"/>
    <w:rsid w:val="00CE67CC"/>
    <w:rsid w:val="00CE690E"/>
    <w:rsid w:val="00CE6B10"/>
    <w:rsid w:val="00CE6C8A"/>
    <w:rsid w:val="00CE6CBD"/>
    <w:rsid w:val="00CE6D6A"/>
    <w:rsid w:val="00CE6EDE"/>
    <w:rsid w:val="00CE6EE2"/>
    <w:rsid w:val="00CE7024"/>
    <w:rsid w:val="00CE707E"/>
    <w:rsid w:val="00CE709C"/>
    <w:rsid w:val="00CE7488"/>
    <w:rsid w:val="00CE74C7"/>
    <w:rsid w:val="00CE7774"/>
    <w:rsid w:val="00CE77E1"/>
    <w:rsid w:val="00CE7812"/>
    <w:rsid w:val="00CE78E7"/>
    <w:rsid w:val="00CE7971"/>
    <w:rsid w:val="00CE79F2"/>
    <w:rsid w:val="00CE7A4E"/>
    <w:rsid w:val="00CE7B46"/>
    <w:rsid w:val="00CE7BBC"/>
    <w:rsid w:val="00CE7D2C"/>
    <w:rsid w:val="00CE7E59"/>
    <w:rsid w:val="00CE7E78"/>
    <w:rsid w:val="00CE7EA8"/>
    <w:rsid w:val="00CE7ED4"/>
    <w:rsid w:val="00CF00CD"/>
    <w:rsid w:val="00CF0230"/>
    <w:rsid w:val="00CF03B8"/>
    <w:rsid w:val="00CF0421"/>
    <w:rsid w:val="00CF054D"/>
    <w:rsid w:val="00CF0581"/>
    <w:rsid w:val="00CF05D1"/>
    <w:rsid w:val="00CF05E2"/>
    <w:rsid w:val="00CF0607"/>
    <w:rsid w:val="00CF06C1"/>
    <w:rsid w:val="00CF070B"/>
    <w:rsid w:val="00CF0CB7"/>
    <w:rsid w:val="00CF0D4F"/>
    <w:rsid w:val="00CF0E74"/>
    <w:rsid w:val="00CF0E7B"/>
    <w:rsid w:val="00CF0EC8"/>
    <w:rsid w:val="00CF0F39"/>
    <w:rsid w:val="00CF0F3D"/>
    <w:rsid w:val="00CF0F5E"/>
    <w:rsid w:val="00CF10E6"/>
    <w:rsid w:val="00CF11BD"/>
    <w:rsid w:val="00CF12A9"/>
    <w:rsid w:val="00CF12D2"/>
    <w:rsid w:val="00CF18B3"/>
    <w:rsid w:val="00CF1939"/>
    <w:rsid w:val="00CF1A75"/>
    <w:rsid w:val="00CF1AB0"/>
    <w:rsid w:val="00CF1CC3"/>
    <w:rsid w:val="00CF1D52"/>
    <w:rsid w:val="00CF1DF4"/>
    <w:rsid w:val="00CF1DF9"/>
    <w:rsid w:val="00CF2046"/>
    <w:rsid w:val="00CF23F1"/>
    <w:rsid w:val="00CF25BB"/>
    <w:rsid w:val="00CF25CF"/>
    <w:rsid w:val="00CF2684"/>
    <w:rsid w:val="00CF26C6"/>
    <w:rsid w:val="00CF26DB"/>
    <w:rsid w:val="00CF275E"/>
    <w:rsid w:val="00CF27C9"/>
    <w:rsid w:val="00CF2950"/>
    <w:rsid w:val="00CF2B05"/>
    <w:rsid w:val="00CF2BFA"/>
    <w:rsid w:val="00CF2C0E"/>
    <w:rsid w:val="00CF2C27"/>
    <w:rsid w:val="00CF2D3C"/>
    <w:rsid w:val="00CF2E23"/>
    <w:rsid w:val="00CF2E43"/>
    <w:rsid w:val="00CF2F61"/>
    <w:rsid w:val="00CF2FF1"/>
    <w:rsid w:val="00CF30F9"/>
    <w:rsid w:val="00CF31E5"/>
    <w:rsid w:val="00CF3290"/>
    <w:rsid w:val="00CF32D0"/>
    <w:rsid w:val="00CF331E"/>
    <w:rsid w:val="00CF332F"/>
    <w:rsid w:val="00CF3353"/>
    <w:rsid w:val="00CF3371"/>
    <w:rsid w:val="00CF343E"/>
    <w:rsid w:val="00CF34BE"/>
    <w:rsid w:val="00CF34D1"/>
    <w:rsid w:val="00CF3532"/>
    <w:rsid w:val="00CF3560"/>
    <w:rsid w:val="00CF356F"/>
    <w:rsid w:val="00CF35EB"/>
    <w:rsid w:val="00CF372C"/>
    <w:rsid w:val="00CF374E"/>
    <w:rsid w:val="00CF37AE"/>
    <w:rsid w:val="00CF38C6"/>
    <w:rsid w:val="00CF3A39"/>
    <w:rsid w:val="00CF3A73"/>
    <w:rsid w:val="00CF3B8D"/>
    <w:rsid w:val="00CF3BBF"/>
    <w:rsid w:val="00CF3C42"/>
    <w:rsid w:val="00CF3C6D"/>
    <w:rsid w:val="00CF3C9B"/>
    <w:rsid w:val="00CF3CED"/>
    <w:rsid w:val="00CF3D84"/>
    <w:rsid w:val="00CF3E2A"/>
    <w:rsid w:val="00CF3E5F"/>
    <w:rsid w:val="00CF3F0D"/>
    <w:rsid w:val="00CF3F92"/>
    <w:rsid w:val="00CF3FC1"/>
    <w:rsid w:val="00CF40B9"/>
    <w:rsid w:val="00CF41A9"/>
    <w:rsid w:val="00CF42A4"/>
    <w:rsid w:val="00CF42FB"/>
    <w:rsid w:val="00CF4405"/>
    <w:rsid w:val="00CF452A"/>
    <w:rsid w:val="00CF468B"/>
    <w:rsid w:val="00CF46C5"/>
    <w:rsid w:val="00CF4995"/>
    <w:rsid w:val="00CF49D4"/>
    <w:rsid w:val="00CF4A29"/>
    <w:rsid w:val="00CF4A57"/>
    <w:rsid w:val="00CF4B50"/>
    <w:rsid w:val="00CF4E4F"/>
    <w:rsid w:val="00CF4FA3"/>
    <w:rsid w:val="00CF5037"/>
    <w:rsid w:val="00CF525B"/>
    <w:rsid w:val="00CF53FF"/>
    <w:rsid w:val="00CF5457"/>
    <w:rsid w:val="00CF549B"/>
    <w:rsid w:val="00CF54D0"/>
    <w:rsid w:val="00CF5525"/>
    <w:rsid w:val="00CF5591"/>
    <w:rsid w:val="00CF5635"/>
    <w:rsid w:val="00CF56E0"/>
    <w:rsid w:val="00CF574F"/>
    <w:rsid w:val="00CF5763"/>
    <w:rsid w:val="00CF579C"/>
    <w:rsid w:val="00CF580A"/>
    <w:rsid w:val="00CF5876"/>
    <w:rsid w:val="00CF58C0"/>
    <w:rsid w:val="00CF5C5C"/>
    <w:rsid w:val="00CF5E64"/>
    <w:rsid w:val="00CF5F5D"/>
    <w:rsid w:val="00CF63D8"/>
    <w:rsid w:val="00CF6484"/>
    <w:rsid w:val="00CF6553"/>
    <w:rsid w:val="00CF6561"/>
    <w:rsid w:val="00CF6599"/>
    <w:rsid w:val="00CF6617"/>
    <w:rsid w:val="00CF67AF"/>
    <w:rsid w:val="00CF6803"/>
    <w:rsid w:val="00CF6BA2"/>
    <w:rsid w:val="00CF6BFE"/>
    <w:rsid w:val="00CF6C37"/>
    <w:rsid w:val="00CF6D7B"/>
    <w:rsid w:val="00CF6E8D"/>
    <w:rsid w:val="00CF6FE7"/>
    <w:rsid w:val="00CF71E1"/>
    <w:rsid w:val="00CF7275"/>
    <w:rsid w:val="00CF7447"/>
    <w:rsid w:val="00CF74E0"/>
    <w:rsid w:val="00CF752C"/>
    <w:rsid w:val="00CF756A"/>
    <w:rsid w:val="00CF7584"/>
    <w:rsid w:val="00CF7650"/>
    <w:rsid w:val="00CF779B"/>
    <w:rsid w:val="00CF7855"/>
    <w:rsid w:val="00CF788F"/>
    <w:rsid w:val="00CF79A9"/>
    <w:rsid w:val="00CF7AAC"/>
    <w:rsid w:val="00CF7AB6"/>
    <w:rsid w:val="00CF7C56"/>
    <w:rsid w:val="00CF7D80"/>
    <w:rsid w:val="00CF7E4E"/>
    <w:rsid w:val="00D00140"/>
    <w:rsid w:val="00D001CC"/>
    <w:rsid w:val="00D00220"/>
    <w:rsid w:val="00D0022A"/>
    <w:rsid w:val="00D00386"/>
    <w:rsid w:val="00D003FA"/>
    <w:rsid w:val="00D004E6"/>
    <w:rsid w:val="00D005C6"/>
    <w:rsid w:val="00D00822"/>
    <w:rsid w:val="00D0088B"/>
    <w:rsid w:val="00D00A46"/>
    <w:rsid w:val="00D00C59"/>
    <w:rsid w:val="00D00C78"/>
    <w:rsid w:val="00D00CE4"/>
    <w:rsid w:val="00D00D37"/>
    <w:rsid w:val="00D01042"/>
    <w:rsid w:val="00D01194"/>
    <w:rsid w:val="00D01212"/>
    <w:rsid w:val="00D013DA"/>
    <w:rsid w:val="00D01583"/>
    <w:rsid w:val="00D0163F"/>
    <w:rsid w:val="00D01776"/>
    <w:rsid w:val="00D017BE"/>
    <w:rsid w:val="00D01871"/>
    <w:rsid w:val="00D0189F"/>
    <w:rsid w:val="00D01C25"/>
    <w:rsid w:val="00D01DD2"/>
    <w:rsid w:val="00D01E22"/>
    <w:rsid w:val="00D0206B"/>
    <w:rsid w:val="00D020E8"/>
    <w:rsid w:val="00D024EB"/>
    <w:rsid w:val="00D02AF7"/>
    <w:rsid w:val="00D02BC4"/>
    <w:rsid w:val="00D02C11"/>
    <w:rsid w:val="00D02C1F"/>
    <w:rsid w:val="00D02CAB"/>
    <w:rsid w:val="00D02D7A"/>
    <w:rsid w:val="00D02E37"/>
    <w:rsid w:val="00D02F58"/>
    <w:rsid w:val="00D02FE2"/>
    <w:rsid w:val="00D030AE"/>
    <w:rsid w:val="00D03214"/>
    <w:rsid w:val="00D03249"/>
    <w:rsid w:val="00D032F2"/>
    <w:rsid w:val="00D033C1"/>
    <w:rsid w:val="00D0369A"/>
    <w:rsid w:val="00D037EB"/>
    <w:rsid w:val="00D03A03"/>
    <w:rsid w:val="00D03A21"/>
    <w:rsid w:val="00D03A41"/>
    <w:rsid w:val="00D03AB6"/>
    <w:rsid w:val="00D03ABA"/>
    <w:rsid w:val="00D03BCD"/>
    <w:rsid w:val="00D03C44"/>
    <w:rsid w:val="00D03D5F"/>
    <w:rsid w:val="00D03E13"/>
    <w:rsid w:val="00D03E6D"/>
    <w:rsid w:val="00D03EB0"/>
    <w:rsid w:val="00D03FB5"/>
    <w:rsid w:val="00D03FB6"/>
    <w:rsid w:val="00D03FD2"/>
    <w:rsid w:val="00D03FF8"/>
    <w:rsid w:val="00D04004"/>
    <w:rsid w:val="00D0405B"/>
    <w:rsid w:val="00D04133"/>
    <w:rsid w:val="00D04158"/>
    <w:rsid w:val="00D041B0"/>
    <w:rsid w:val="00D042F3"/>
    <w:rsid w:val="00D04379"/>
    <w:rsid w:val="00D0456A"/>
    <w:rsid w:val="00D0464D"/>
    <w:rsid w:val="00D0465F"/>
    <w:rsid w:val="00D046C0"/>
    <w:rsid w:val="00D04863"/>
    <w:rsid w:val="00D04867"/>
    <w:rsid w:val="00D048C5"/>
    <w:rsid w:val="00D04911"/>
    <w:rsid w:val="00D04936"/>
    <w:rsid w:val="00D049CC"/>
    <w:rsid w:val="00D04BEA"/>
    <w:rsid w:val="00D04BFF"/>
    <w:rsid w:val="00D04D9E"/>
    <w:rsid w:val="00D04DFA"/>
    <w:rsid w:val="00D05051"/>
    <w:rsid w:val="00D0507E"/>
    <w:rsid w:val="00D05171"/>
    <w:rsid w:val="00D0533B"/>
    <w:rsid w:val="00D05385"/>
    <w:rsid w:val="00D05500"/>
    <w:rsid w:val="00D056A3"/>
    <w:rsid w:val="00D0573F"/>
    <w:rsid w:val="00D05787"/>
    <w:rsid w:val="00D057C4"/>
    <w:rsid w:val="00D058A0"/>
    <w:rsid w:val="00D05A31"/>
    <w:rsid w:val="00D05B6D"/>
    <w:rsid w:val="00D05D02"/>
    <w:rsid w:val="00D05D16"/>
    <w:rsid w:val="00D05D88"/>
    <w:rsid w:val="00D05DDE"/>
    <w:rsid w:val="00D05E28"/>
    <w:rsid w:val="00D05E51"/>
    <w:rsid w:val="00D05E9D"/>
    <w:rsid w:val="00D05F1C"/>
    <w:rsid w:val="00D05F4C"/>
    <w:rsid w:val="00D060C0"/>
    <w:rsid w:val="00D060E8"/>
    <w:rsid w:val="00D0616A"/>
    <w:rsid w:val="00D06197"/>
    <w:rsid w:val="00D06271"/>
    <w:rsid w:val="00D062C5"/>
    <w:rsid w:val="00D0630D"/>
    <w:rsid w:val="00D064FA"/>
    <w:rsid w:val="00D066A8"/>
    <w:rsid w:val="00D066AF"/>
    <w:rsid w:val="00D066BE"/>
    <w:rsid w:val="00D06842"/>
    <w:rsid w:val="00D068CA"/>
    <w:rsid w:val="00D0690F"/>
    <w:rsid w:val="00D0694A"/>
    <w:rsid w:val="00D0697B"/>
    <w:rsid w:val="00D069E2"/>
    <w:rsid w:val="00D069F9"/>
    <w:rsid w:val="00D06A44"/>
    <w:rsid w:val="00D06D20"/>
    <w:rsid w:val="00D06F9B"/>
    <w:rsid w:val="00D06FFE"/>
    <w:rsid w:val="00D071C3"/>
    <w:rsid w:val="00D073D4"/>
    <w:rsid w:val="00D074CF"/>
    <w:rsid w:val="00D075B8"/>
    <w:rsid w:val="00D0764B"/>
    <w:rsid w:val="00D0776F"/>
    <w:rsid w:val="00D078D9"/>
    <w:rsid w:val="00D078F8"/>
    <w:rsid w:val="00D0793C"/>
    <w:rsid w:val="00D07975"/>
    <w:rsid w:val="00D07B82"/>
    <w:rsid w:val="00D07DE7"/>
    <w:rsid w:val="00D07EDF"/>
    <w:rsid w:val="00D10091"/>
    <w:rsid w:val="00D100E7"/>
    <w:rsid w:val="00D101F7"/>
    <w:rsid w:val="00D104F0"/>
    <w:rsid w:val="00D1061C"/>
    <w:rsid w:val="00D1069F"/>
    <w:rsid w:val="00D1077C"/>
    <w:rsid w:val="00D107E8"/>
    <w:rsid w:val="00D10911"/>
    <w:rsid w:val="00D1093E"/>
    <w:rsid w:val="00D10948"/>
    <w:rsid w:val="00D1099E"/>
    <w:rsid w:val="00D109FA"/>
    <w:rsid w:val="00D10A53"/>
    <w:rsid w:val="00D10A65"/>
    <w:rsid w:val="00D10A90"/>
    <w:rsid w:val="00D10A97"/>
    <w:rsid w:val="00D10B0A"/>
    <w:rsid w:val="00D10C32"/>
    <w:rsid w:val="00D10CA2"/>
    <w:rsid w:val="00D10CE2"/>
    <w:rsid w:val="00D10D70"/>
    <w:rsid w:val="00D10E20"/>
    <w:rsid w:val="00D110F0"/>
    <w:rsid w:val="00D1119E"/>
    <w:rsid w:val="00D11216"/>
    <w:rsid w:val="00D11342"/>
    <w:rsid w:val="00D1137C"/>
    <w:rsid w:val="00D1141B"/>
    <w:rsid w:val="00D1143E"/>
    <w:rsid w:val="00D11457"/>
    <w:rsid w:val="00D11523"/>
    <w:rsid w:val="00D11586"/>
    <w:rsid w:val="00D11674"/>
    <w:rsid w:val="00D1169E"/>
    <w:rsid w:val="00D116A7"/>
    <w:rsid w:val="00D117A9"/>
    <w:rsid w:val="00D11836"/>
    <w:rsid w:val="00D11882"/>
    <w:rsid w:val="00D1196B"/>
    <w:rsid w:val="00D11A8F"/>
    <w:rsid w:val="00D11B8A"/>
    <w:rsid w:val="00D11B9F"/>
    <w:rsid w:val="00D11C40"/>
    <w:rsid w:val="00D11D71"/>
    <w:rsid w:val="00D11DAF"/>
    <w:rsid w:val="00D11ED4"/>
    <w:rsid w:val="00D120B5"/>
    <w:rsid w:val="00D120DA"/>
    <w:rsid w:val="00D121BA"/>
    <w:rsid w:val="00D1233B"/>
    <w:rsid w:val="00D12436"/>
    <w:rsid w:val="00D1243A"/>
    <w:rsid w:val="00D125CD"/>
    <w:rsid w:val="00D12718"/>
    <w:rsid w:val="00D12881"/>
    <w:rsid w:val="00D12A1F"/>
    <w:rsid w:val="00D12BF2"/>
    <w:rsid w:val="00D12C94"/>
    <w:rsid w:val="00D12E15"/>
    <w:rsid w:val="00D12FF3"/>
    <w:rsid w:val="00D1310A"/>
    <w:rsid w:val="00D13159"/>
    <w:rsid w:val="00D13160"/>
    <w:rsid w:val="00D13184"/>
    <w:rsid w:val="00D13264"/>
    <w:rsid w:val="00D1333F"/>
    <w:rsid w:val="00D133AA"/>
    <w:rsid w:val="00D13400"/>
    <w:rsid w:val="00D1349B"/>
    <w:rsid w:val="00D13536"/>
    <w:rsid w:val="00D135A2"/>
    <w:rsid w:val="00D13634"/>
    <w:rsid w:val="00D13707"/>
    <w:rsid w:val="00D13756"/>
    <w:rsid w:val="00D1385A"/>
    <w:rsid w:val="00D13DDC"/>
    <w:rsid w:val="00D13DF2"/>
    <w:rsid w:val="00D13E53"/>
    <w:rsid w:val="00D13F3E"/>
    <w:rsid w:val="00D140F0"/>
    <w:rsid w:val="00D14149"/>
    <w:rsid w:val="00D14203"/>
    <w:rsid w:val="00D1423C"/>
    <w:rsid w:val="00D1425C"/>
    <w:rsid w:val="00D143A5"/>
    <w:rsid w:val="00D143FE"/>
    <w:rsid w:val="00D14462"/>
    <w:rsid w:val="00D145F5"/>
    <w:rsid w:val="00D147A5"/>
    <w:rsid w:val="00D147A6"/>
    <w:rsid w:val="00D14925"/>
    <w:rsid w:val="00D14AE6"/>
    <w:rsid w:val="00D14C1B"/>
    <w:rsid w:val="00D14C28"/>
    <w:rsid w:val="00D14D4E"/>
    <w:rsid w:val="00D14D73"/>
    <w:rsid w:val="00D14DC0"/>
    <w:rsid w:val="00D14DC2"/>
    <w:rsid w:val="00D150A9"/>
    <w:rsid w:val="00D150D6"/>
    <w:rsid w:val="00D1511B"/>
    <w:rsid w:val="00D151FB"/>
    <w:rsid w:val="00D15292"/>
    <w:rsid w:val="00D152B6"/>
    <w:rsid w:val="00D152E4"/>
    <w:rsid w:val="00D152F3"/>
    <w:rsid w:val="00D15318"/>
    <w:rsid w:val="00D15385"/>
    <w:rsid w:val="00D154C9"/>
    <w:rsid w:val="00D154E6"/>
    <w:rsid w:val="00D156F7"/>
    <w:rsid w:val="00D15895"/>
    <w:rsid w:val="00D15930"/>
    <w:rsid w:val="00D15AF1"/>
    <w:rsid w:val="00D15B9A"/>
    <w:rsid w:val="00D15D1D"/>
    <w:rsid w:val="00D15E05"/>
    <w:rsid w:val="00D16013"/>
    <w:rsid w:val="00D16117"/>
    <w:rsid w:val="00D1616F"/>
    <w:rsid w:val="00D16280"/>
    <w:rsid w:val="00D16289"/>
    <w:rsid w:val="00D162F9"/>
    <w:rsid w:val="00D163C7"/>
    <w:rsid w:val="00D1640F"/>
    <w:rsid w:val="00D16894"/>
    <w:rsid w:val="00D16918"/>
    <w:rsid w:val="00D1693C"/>
    <w:rsid w:val="00D16D6D"/>
    <w:rsid w:val="00D16DCF"/>
    <w:rsid w:val="00D16DDE"/>
    <w:rsid w:val="00D16E99"/>
    <w:rsid w:val="00D16ED9"/>
    <w:rsid w:val="00D16F37"/>
    <w:rsid w:val="00D16F73"/>
    <w:rsid w:val="00D17042"/>
    <w:rsid w:val="00D170D8"/>
    <w:rsid w:val="00D17191"/>
    <w:rsid w:val="00D171A1"/>
    <w:rsid w:val="00D172EE"/>
    <w:rsid w:val="00D1738E"/>
    <w:rsid w:val="00D1740D"/>
    <w:rsid w:val="00D17531"/>
    <w:rsid w:val="00D17544"/>
    <w:rsid w:val="00D175DA"/>
    <w:rsid w:val="00D17B97"/>
    <w:rsid w:val="00D17BF1"/>
    <w:rsid w:val="00D17E40"/>
    <w:rsid w:val="00D17E47"/>
    <w:rsid w:val="00D200F3"/>
    <w:rsid w:val="00D20160"/>
    <w:rsid w:val="00D203B0"/>
    <w:rsid w:val="00D203D0"/>
    <w:rsid w:val="00D20485"/>
    <w:rsid w:val="00D20506"/>
    <w:rsid w:val="00D205EC"/>
    <w:rsid w:val="00D20678"/>
    <w:rsid w:val="00D2074A"/>
    <w:rsid w:val="00D2075F"/>
    <w:rsid w:val="00D208D6"/>
    <w:rsid w:val="00D208D7"/>
    <w:rsid w:val="00D2090D"/>
    <w:rsid w:val="00D2092F"/>
    <w:rsid w:val="00D20A43"/>
    <w:rsid w:val="00D20D8D"/>
    <w:rsid w:val="00D20E9C"/>
    <w:rsid w:val="00D20EC9"/>
    <w:rsid w:val="00D20F7F"/>
    <w:rsid w:val="00D21009"/>
    <w:rsid w:val="00D21239"/>
    <w:rsid w:val="00D21292"/>
    <w:rsid w:val="00D212B7"/>
    <w:rsid w:val="00D213CC"/>
    <w:rsid w:val="00D2142E"/>
    <w:rsid w:val="00D214BE"/>
    <w:rsid w:val="00D21521"/>
    <w:rsid w:val="00D2170F"/>
    <w:rsid w:val="00D21747"/>
    <w:rsid w:val="00D217A1"/>
    <w:rsid w:val="00D217AB"/>
    <w:rsid w:val="00D2186D"/>
    <w:rsid w:val="00D21929"/>
    <w:rsid w:val="00D21AC3"/>
    <w:rsid w:val="00D21B74"/>
    <w:rsid w:val="00D21B9B"/>
    <w:rsid w:val="00D21B9C"/>
    <w:rsid w:val="00D21C09"/>
    <w:rsid w:val="00D21CDE"/>
    <w:rsid w:val="00D21D20"/>
    <w:rsid w:val="00D21D2D"/>
    <w:rsid w:val="00D21F39"/>
    <w:rsid w:val="00D21FE1"/>
    <w:rsid w:val="00D2217B"/>
    <w:rsid w:val="00D2236F"/>
    <w:rsid w:val="00D22379"/>
    <w:rsid w:val="00D2243D"/>
    <w:rsid w:val="00D2270C"/>
    <w:rsid w:val="00D2275B"/>
    <w:rsid w:val="00D227CA"/>
    <w:rsid w:val="00D22803"/>
    <w:rsid w:val="00D2293E"/>
    <w:rsid w:val="00D22942"/>
    <w:rsid w:val="00D22968"/>
    <w:rsid w:val="00D22A88"/>
    <w:rsid w:val="00D22B79"/>
    <w:rsid w:val="00D22BA6"/>
    <w:rsid w:val="00D22C12"/>
    <w:rsid w:val="00D22C4E"/>
    <w:rsid w:val="00D22D81"/>
    <w:rsid w:val="00D22DC2"/>
    <w:rsid w:val="00D22E3A"/>
    <w:rsid w:val="00D22ECC"/>
    <w:rsid w:val="00D23009"/>
    <w:rsid w:val="00D230B7"/>
    <w:rsid w:val="00D230F9"/>
    <w:rsid w:val="00D23151"/>
    <w:rsid w:val="00D23172"/>
    <w:rsid w:val="00D232CC"/>
    <w:rsid w:val="00D2330A"/>
    <w:rsid w:val="00D23348"/>
    <w:rsid w:val="00D233AA"/>
    <w:rsid w:val="00D2355A"/>
    <w:rsid w:val="00D23606"/>
    <w:rsid w:val="00D236BA"/>
    <w:rsid w:val="00D2370A"/>
    <w:rsid w:val="00D23713"/>
    <w:rsid w:val="00D23746"/>
    <w:rsid w:val="00D238D4"/>
    <w:rsid w:val="00D23A06"/>
    <w:rsid w:val="00D23AA0"/>
    <w:rsid w:val="00D23AF9"/>
    <w:rsid w:val="00D23C66"/>
    <w:rsid w:val="00D23D5D"/>
    <w:rsid w:val="00D23E7D"/>
    <w:rsid w:val="00D23E9E"/>
    <w:rsid w:val="00D23F72"/>
    <w:rsid w:val="00D24079"/>
    <w:rsid w:val="00D24082"/>
    <w:rsid w:val="00D2415F"/>
    <w:rsid w:val="00D24191"/>
    <w:rsid w:val="00D24236"/>
    <w:rsid w:val="00D24244"/>
    <w:rsid w:val="00D242A1"/>
    <w:rsid w:val="00D242CE"/>
    <w:rsid w:val="00D2444F"/>
    <w:rsid w:val="00D24482"/>
    <w:rsid w:val="00D244ED"/>
    <w:rsid w:val="00D2450B"/>
    <w:rsid w:val="00D2477E"/>
    <w:rsid w:val="00D24875"/>
    <w:rsid w:val="00D248E6"/>
    <w:rsid w:val="00D2494E"/>
    <w:rsid w:val="00D24950"/>
    <w:rsid w:val="00D249AC"/>
    <w:rsid w:val="00D249B3"/>
    <w:rsid w:val="00D24A47"/>
    <w:rsid w:val="00D24A57"/>
    <w:rsid w:val="00D24B26"/>
    <w:rsid w:val="00D24B40"/>
    <w:rsid w:val="00D24B51"/>
    <w:rsid w:val="00D24B93"/>
    <w:rsid w:val="00D24BD1"/>
    <w:rsid w:val="00D24D41"/>
    <w:rsid w:val="00D24DC5"/>
    <w:rsid w:val="00D24E35"/>
    <w:rsid w:val="00D24E8D"/>
    <w:rsid w:val="00D2512A"/>
    <w:rsid w:val="00D251BA"/>
    <w:rsid w:val="00D251DD"/>
    <w:rsid w:val="00D251E7"/>
    <w:rsid w:val="00D2545E"/>
    <w:rsid w:val="00D2565F"/>
    <w:rsid w:val="00D25727"/>
    <w:rsid w:val="00D25806"/>
    <w:rsid w:val="00D25885"/>
    <w:rsid w:val="00D258A6"/>
    <w:rsid w:val="00D258A7"/>
    <w:rsid w:val="00D258E2"/>
    <w:rsid w:val="00D25957"/>
    <w:rsid w:val="00D25B47"/>
    <w:rsid w:val="00D25F1D"/>
    <w:rsid w:val="00D25F63"/>
    <w:rsid w:val="00D25FFB"/>
    <w:rsid w:val="00D26101"/>
    <w:rsid w:val="00D2615A"/>
    <w:rsid w:val="00D26251"/>
    <w:rsid w:val="00D2653B"/>
    <w:rsid w:val="00D2668E"/>
    <w:rsid w:val="00D266B1"/>
    <w:rsid w:val="00D26798"/>
    <w:rsid w:val="00D2687E"/>
    <w:rsid w:val="00D268E1"/>
    <w:rsid w:val="00D26984"/>
    <w:rsid w:val="00D269EB"/>
    <w:rsid w:val="00D26A98"/>
    <w:rsid w:val="00D26A9B"/>
    <w:rsid w:val="00D26AAE"/>
    <w:rsid w:val="00D26AD2"/>
    <w:rsid w:val="00D26BFD"/>
    <w:rsid w:val="00D26D62"/>
    <w:rsid w:val="00D26F78"/>
    <w:rsid w:val="00D2703E"/>
    <w:rsid w:val="00D270C1"/>
    <w:rsid w:val="00D27141"/>
    <w:rsid w:val="00D27171"/>
    <w:rsid w:val="00D271AE"/>
    <w:rsid w:val="00D27203"/>
    <w:rsid w:val="00D27285"/>
    <w:rsid w:val="00D27291"/>
    <w:rsid w:val="00D272C0"/>
    <w:rsid w:val="00D2734E"/>
    <w:rsid w:val="00D2735E"/>
    <w:rsid w:val="00D273BE"/>
    <w:rsid w:val="00D2744D"/>
    <w:rsid w:val="00D274EF"/>
    <w:rsid w:val="00D27506"/>
    <w:rsid w:val="00D2753D"/>
    <w:rsid w:val="00D27637"/>
    <w:rsid w:val="00D278F7"/>
    <w:rsid w:val="00D279DB"/>
    <w:rsid w:val="00D279E0"/>
    <w:rsid w:val="00D27CE5"/>
    <w:rsid w:val="00D27D71"/>
    <w:rsid w:val="00D27FCB"/>
    <w:rsid w:val="00D30385"/>
    <w:rsid w:val="00D3038A"/>
    <w:rsid w:val="00D303CA"/>
    <w:rsid w:val="00D307E0"/>
    <w:rsid w:val="00D30809"/>
    <w:rsid w:val="00D30822"/>
    <w:rsid w:val="00D308FE"/>
    <w:rsid w:val="00D30A50"/>
    <w:rsid w:val="00D30AE6"/>
    <w:rsid w:val="00D30B42"/>
    <w:rsid w:val="00D30C03"/>
    <w:rsid w:val="00D30DDC"/>
    <w:rsid w:val="00D30F11"/>
    <w:rsid w:val="00D31196"/>
    <w:rsid w:val="00D313A4"/>
    <w:rsid w:val="00D313F1"/>
    <w:rsid w:val="00D313F7"/>
    <w:rsid w:val="00D315BC"/>
    <w:rsid w:val="00D316A1"/>
    <w:rsid w:val="00D317B8"/>
    <w:rsid w:val="00D317DE"/>
    <w:rsid w:val="00D31811"/>
    <w:rsid w:val="00D318BB"/>
    <w:rsid w:val="00D31AE9"/>
    <w:rsid w:val="00D31B22"/>
    <w:rsid w:val="00D31FA3"/>
    <w:rsid w:val="00D31FF0"/>
    <w:rsid w:val="00D32109"/>
    <w:rsid w:val="00D32174"/>
    <w:rsid w:val="00D321E9"/>
    <w:rsid w:val="00D322CE"/>
    <w:rsid w:val="00D3238D"/>
    <w:rsid w:val="00D323A8"/>
    <w:rsid w:val="00D324CD"/>
    <w:rsid w:val="00D32577"/>
    <w:rsid w:val="00D325C0"/>
    <w:rsid w:val="00D325CE"/>
    <w:rsid w:val="00D325DB"/>
    <w:rsid w:val="00D327DF"/>
    <w:rsid w:val="00D328A0"/>
    <w:rsid w:val="00D32989"/>
    <w:rsid w:val="00D329BB"/>
    <w:rsid w:val="00D329EC"/>
    <w:rsid w:val="00D329F1"/>
    <w:rsid w:val="00D32A58"/>
    <w:rsid w:val="00D32A95"/>
    <w:rsid w:val="00D32B50"/>
    <w:rsid w:val="00D32BCF"/>
    <w:rsid w:val="00D32C63"/>
    <w:rsid w:val="00D32C77"/>
    <w:rsid w:val="00D32C8E"/>
    <w:rsid w:val="00D32DE3"/>
    <w:rsid w:val="00D32EB3"/>
    <w:rsid w:val="00D32F2F"/>
    <w:rsid w:val="00D33021"/>
    <w:rsid w:val="00D33026"/>
    <w:rsid w:val="00D3309D"/>
    <w:rsid w:val="00D33132"/>
    <w:rsid w:val="00D33167"/>
    <w:rsid w:val="00D332CB"/>
    <w:rsid w:val="00D33374"/>
    <w:rsid w:val="00D334B3"/>
    <w:rsid w:val="00D33564"/>
    <w:rsid w:val="00D33693"/>
    <w:rsid w:val="00D3375D"/>
    <w:rsid w:val="00D33903"/>
    <w:rsid w:val="00D33932"/>
    <w:rsid w:val="00D3399A"/>
    <w:rsid w:val="00D33AB2"/>
    <w:rsid w:val="00D33CC2"/>
    <w:rsid w:val="00D33CD2"/>
    <w:rsid w:val="00D34105"/>
    <w:rsid w:val="00D34196"/>
    <w:rsid w:val="00D3419F"/>
    <w:rsid w:val="00D342FE"/>
    <w:rsid w:val="00D3432D"/>
    <w:rsid w:val="00D344C6"/>
    <w:rsid w:val="00D34514"/>
    <w:rsid w:val="00D34527"/>
    <w:rsid w:val="00D345C8"/>
    <w:rsid w:val="00D34638"/>
    <w:rsid w:val="00D34B03"/>
    <w:rsid w:val="00D34E2A"/>
    <w:rsid w:val="00D350CE"/>
    <w:rsid w:val="00D35113"/>
    <w:rsid w:val="00D352C8"/>
    <w:rsid w:val="00D35447"/>
    <w:rsid w:val="00D354CA"/>
    <w:rsid w:val="00D35556"/>
    <w:rsid w:val="00D355F0"/>
    <w:rsid w:val="00D355F7"/>
    <w:rsid w:val="00D3570B"/>
    <w:rsid w:val="00D35B3D"/>
    <w:rsid w:val="00D35C4D"/>
    <w:rsid w:val="00D35F47"/>
    <w:rsid w:val="00D3607E"/>
    <w:rsid w:val="00D3611E"/>
    <w:rsid w:val="00D3618C"/>
    <w:rsid w:val="00D36290"/>
    <w:rsid w:val="00D362F5"/>
    <w:rsid w:val="00D36300"/>
    <w:rsid w:val="00D363D0"/>
    <w:rsid w:val="00D3642F"/>
    <w:rsid w:val="00D364A1"/>
    <w:rsid w:val="00D364A7"/>
    <w:rsid w:val="00D36645"/>
    <w:rsid w:val="00D366D0"/>
    <w:rsid w:val="00D366E4"/>
    <w:rsid w:val="00D36769"/>
    <w:rsid w:val="00D368D4"/>
    <w:rsid w:val="00D36934"/>
    <w:rsid w:val="00D36A31"/>
    <w:rsid w:val="00D36C0E"/>
    <w:rsid w:val="00D37141"/>
    <w:rsid w:val="00D3715E"/>
    <w:rsid w:val="00D3735A"/>
    <w:rsid w:val="00D373DD"/>
    <w:rsid w:val="00D37460"/>
    <w:rsid w:val="00D375D8"/>
    <w:rsid w:val="00D375FD"/>
    <w:rsid w:val="00D377A0"/>
    <w:rsid w:val="00D37815"/>
    <w:rsid w:val="00D37854"/>
    <w:rsid w:val="00D37887"/>
    <w:rsid w:val="00D37969"/>
    <w:rsid w:val="00D3797A"/>
    <w:rsid w:val="00D379BB"/>
    <w:rsid w:val="00D37A7B"/>
    <w:rsid w:val="00D37BCF"/>
    <w:rsid w:val="00D37BF2"/>
    <w:rsid w:val="00D37EB6"/>
    <w:rsid w:val="00D40023"/>
    <w:rsid w:val="00D400A7"/>
    <w:rsid w:val="00D40134"/>
    <w:rsid w:val="00D40156"/>
    <w:rsid w:val="00D40509"/>
    <w:rsid w:val="00D405E9"/>
    <w:rsid w:val="00D405F0"/>
    <w:rsid w:val="00D4062C"/>
    <w:rsid w:val="00D4065E"/>
    <w:rsid w:val="00D406D7"/>
    <w:rsid w:val="00D408C1"/>
    <w:rsid w:val="00D4090E"/>
    <w:rsid w:val="00D40B2B"/>
    <w:rsid w:val="00D40BBE"/>
    <w:rsid w:val="00D40C90"/>
    <w:rsid w:val="00D40C9A"/>
    <w:rsid w:val="00D40EE7"/>
    <w:rsid w:val="00D411F8"/>
    <w:rsid w:val="00D4145C"/>
    <w:rsid w:val="00D4178E"/>
    <w:rsid w:val="00D418EE"/>
    <w:rsid w:val="00D4198A"/>
    <w:rsid w:val="00D41A04"/>
    <w:rsid w:val="00D41A20"/>
    <w:rsid w:val="00D41B53"/>
    <w:rsid w:val="00D41B8E"/>
    <w:rsid w:val="00D41C13"/>
    <w:rsid w:val="00D41C4C"/>
    <w:rsid w:val="00D41E92"/>
    <w:rsid w:val="00D41F75"/>
    <w:rsid w:val="00D420D7"/>
    <w:rsid w:val="00D42231"/>
    <w:rsid w:val="00D422B2"/>
    <w:rsid w:val="00D4241E"/>
    <w:rsid w:val="00D425E1"/>
    <w:rsid w:val="00D4260A"/>
    <w:rsid w:val="00D42630"/>
    <w:rsid w:val="00D42975"/>
    <w:rsid w:val="00D429B4"/>
    <w:rsid w:val="00D42A71"/>
    <w:rsid w:val="00D42AD9"/>
    <w:rsid w:val="00D42C10"/>
    <w:rsid w:val="00D42CA4"/>
    <w:rsid w:val="00D42E9B"/>
    <w:rsid w:val="00D42F4B"/>
    <w:rsid w:val="00D4308B"/>
    <w:rsid w:val="00D43279"/>
    <w:rsid w:val="00D43291"/>
    <w:rsid w:val="00D433AE"/>
    <w:rsid w:val="00D433B7"/>
    <w:rsid w:val="00D43583"/>
    <w:rsid w:val="00D4364B"/>
    <w:rsid w:val="00D436F3"/>
    <w:rsid w:val="00D4372B"/>
    <w:rsid w:val="00D437B9"/>
    <w:rsid w:val="00D43836"/>
    <w:rsid w:val="00D438B0"/>
    <w:rsid w:val="00D43AC8"/>
    <w:rsid w:val="00D43C53"/>
    <w:rsid w:val="00D43C73"/>
    <w:rsid w:val="00D43E20"/>
    <w:rsid w:val="00D43F30"/>
    <w:rsid w:val="00D43F5A"/>
    <w:rsid w:val="00D44091"/>
    <w:rsid w:val="00D4414D"/>
    <w:rsid w:val="00D441DE"/>
    <w:rsid w:val="00D4441B"/>
    <w:rsid w:val="00D445B1"/>
    <w:rsid w:val="00D4462F"/>
    <w:rsid w:val="00D4469E"/>
    <w:rsid w:val="00D448C6"/>
    <w:rsid w:val="00D44904"/>
    <w:rsid w:val="00D449A8"/>
    <w:rsid w:val="00D449EC"/>
    <w:rsid w:val="00D44BD0"/>
    <w:rsid w:val="00D44EC3"/>
    <w:rsid w:val="00D44ED7"/>
    <w:rsid w:val="00D44F17"/>
    <w:rsid w:val="00D450F9"/>
    <w:rsid w:val="00D4534E"/>
    <w:rsid w:val="00D4548C"/>
    <w:rsid w:val="00D45534"/>
    <w:rsid w:val="00D4559A"/>
    <w:rsid w:val="00D455FD"/>
    <w:rsid w:val="00D45684"/>
    <w:rsid w:val="00D457F4"/>
    <w:rsid w:val="00D45831"/>
    <w:rsid w:val="00D45924"/>
    <w:rsid w:val="00D45A4D"/>
    <w:rsid w:val="00D45AAF"/>
    <w:rsid w:val="00D45ABE"/>
    <w:rsid w:val="00D45B39"/>
    <w:rsid w:val="00D45B40"/>
    <w:rsid w:val="00D45BA5"/>
    <w:rsid w:val="00D45DD1"/>
    <w:rsid w:val="00D45FFE"/>
    <w:rsid w:val="00D4627B"/>
    <w:rsid w:val="00D462E0"/>
    <w:rsid w:val="00D46331"/>
    <w:rsid w:val="00D46475"/>
    <w:rsid w:val="00D4649D"/>
    <w:rsid w:val="00D46599"/>
    <w:rsid w:val="00D4660A"/>
    <w:rsid w:val="00D466C7"/>
    <w:rsid w:val="00D46979"/>
    <w:rsid w:val="00D469AE"/>
    <w:rsid w:val="00D469ED"/>
    <w:rsid w:val="00D46A48"/>
    <w:rsid w:val="00D46A77"/>
    <w:rsid w:val="00D46B73"/>
    <w:rsid w:val="00D46E08"/>
    <w:rsid w:val="00D46FEF"/>
    <w:rsid w:val="00D47130"/>
    <w:rsid w:val="00D47199"/>
    <w:rsid w:val="00D4722A"/>
    <w:rsid w:val="00D473A5"/>
    <w:rsid w:val="00D47422"/>
    <w:rsid w:val="00D474A4"/>
    <w:rsid w:val="00D47597"/>
    <w:rsid w:val="00D475B0"/>
    <w:rsid w:val="00D47769"/>
    <w:rsid w:val="00D478DB"/>
    <w:rsid w:val="00D47962"/>
    <w:rsid w:val="00D47BB4"/>
    <w:rsid w:val="00D47E04"/>
    <w:rsid w:val="00D47EC5"/>
    <w:rsid w:val="00D47FE9"/>
    <w:rsid w:val="00D47FFE"/>
    <w:rsid w:val="00D500E7"/>
    <w:rsid w:val="00D501B2"/>
    <w:rsid w:val="00D502A2"/>
    <w:rsid w:val="00D50403"/>
    <w:rsid w:val="00D50445"/>
    <w:rsid w:val="00D5044F"/>
    <w:rsid w:val="00D504A8"/>
    <w:rsid w:val="00D50576"/>
    <w:rsid w:val="00D50681"/>
    <w:rsid w:val="00D506E9"/>
    <w:rsid w:val="00D50735"/>
    <w:rsid w:val="00D50879"/>
    <w:rsid w:val="00D50897"/>
    <w:rsid w:val="00D50936"/>
    <w:rsid w:val="00D50937"/>
    <w:rsid w:val="00D5095A"/>
    <w:rsid w:val="00D50978"/>
    <w:rsid w:val="00D509B1"/>
    <w:rsid w:val="00D50C20"/>
    <w:rsid w:val="00D50F33"/>
    <w:rsid w:val="00D50F9A"/>
    <w:rsid w:val="00D50FB0"/>
    <w:rsid w:val="00D50FFC"/>
    <w:rsid w:val="00D510E3"/>
    <w:rsid w:val="00D51182"/>
    <w:rsid w:val="00D5121B"/>
    <w:rsid w:val="00D5134E"/>
    <w:rsid w:val="00D51460"/>
    <w:rsid w:val="00D5153C"/>
    <w:rsid w:val="00D51610"/>
    <w:rsid w:val="00D516B6"/>
    <w:rsid w:val="00D517CB"/>
    <w:rsid w:val="00D518D2"/>
    <w:rsid w:val="00D51928"/>
    <w:rsid w:val="00D51979"/>
    <w:rsid w:val="00D51990"/>
    <w:rsid w:val="00D51AC9"/>
    <w:rsid w:val="00D51C37"/>
    <w:rsid w:val="00D51CB2"/>
    <w:rsid w:val="00D51D26"/>
    <w:rsid w:val="00D51D89"/>
    <w:rsid w:val="00D51E79"/>
    <w:rsid w:val="00D51F74"/>
    <w:rsid w:val="00D51FCE"/>
    <w:rsid w:val="00D523E0"/>
    <w:rsid w:val="00D52440"/>
    <w:rsid w:val="00D524DF"/>
    <w:rsid w:val="00D52528"/>
    <w:rsid w:val="00D52635"/>
    <w:rsid w:val="00D527B4"/>
    <w:rsid w:val="00D52816"/>
    <w:rsid w:val="00D528F1"/>
    <w:rsid w:val="00D529AD"/>
    <w:rsid w:val="00D529E8"/>
    <w:rsid w:val="00D52A6B"/>
    <w:rsid w:val="00D52B21"/>
    <w:rsid w:val="00D52BF9"/>
    <w:rsid w:val="00D52C95"/>
    <w:rsid w:val="00D52DE6"/>
    <w:rsid w:val="00D52DE8"/>
    <w:rsid w:val="00D52FB0"/>
    <w:rsid w:val="00D53119"/>
    <w:rsid w:val="00D532A6"/>
    <w:rsid w:val="00D53338"/>
    <w:rsid w:val="00D533CE"/>
    <w:rsid w:val="00D533EA"/>
    <w:rsid w:val="00D53471"/>
    <w:rsid w:val="00D535CF"/>
    <w:rsid w:val="00D537F2"/>
    <w:rsid w:val="00D537FE"/>
    <w:rsid w:val="00D5386B"/>
    <w:rsid w:val="00D538C6"/>
    <w:rsid w:val="00D538CE"/>
    <w:rsid w:val="00D5393E"/>
    <w:rsid w:val="00D5395F"/>
    <w:rsid w:val="00D53AE4"/>
    <w:rsid w:val="00D53B47"/>
    <w:rsid w:val="00D53B84"/>
    <w:rsid w:val="00D53BF0"/>
    <w:rsid w:val="00D53D12"/>
    <w:rsid w:val="00D53E7F"/>
    <w:rsid w:val="00D53F1D"/>
    <w:rsid w:val="00D53F4D"/>
    <w:rsid w:val="00D54197"/>
    <w:rsid w:val="00D544CC"/>
    <w:rsid w:val="00D544DC"/>
    <w:rsid w:val="00D54690"/>
    <w:rsid w:val="00D5485D"/>
    <w:rsid w:val="00D548E7"/>
    <w:rsid w:val="00D54A61"/>
    <w:rsid w:val="00D54ADB"/>
    <w:rsid w:val="00D54B38"/>
    <w:rsid w:val="00D54B4A"/>
    <w:rsid w:val="00D54BE1"/>
    <w:rsid w:val="00D54D10"/>
    <w:rsid w:val="00D54D32"/>
    <w:rsid w:val="00D54E29"/>
    <w:rsid w:val="00D54ED2"/>
    <w:rsid w:val="00D54FAF"/>
    <w:rsid w:val="00D55236"/>
    <w:rsid w:val="00D55275"/>
    <w:rsid w:val="00D552C2"/>
    <w:rsid w:val="00D554C5"/>
    <w:rsid w:val="00D5558B"/>
    <w:rsid w:val="00D555D9"/>
    <w:rsid w:val="00D556B7"/>
    <w:rsid w:val="00D556F5"/>
    <w:rsid w:val="00D5572A"/>
    <w:rsid w:val="00D557A1"/>
    <w:rsid w:val="00D5581C"/>
    <w:rsid w:val="00D558EB"/>
    <w:rsid w:val="00D55928"/>
    <w:rsid w:val="00D559D5"/>
    <w:rsid w:val="00D55AF0"/>
    <w:rsid w:val="00D55B19"/>
    <w:rsid w:val="00D55B9B"/>
    <w:rsid w:val="00D55D5B"/>
    <w:rsid w:val="00D55DE4"/>
    <w:rsid w:val="00D5603B"/>
    <w:rsid w:val="00D56071"/>
    <w:rsid w:val="00D56113"/>
    <w:rsid w:val="00D56369"/>
    <w:rsid w:val="00D563CB"/>
    <w:rsid w:val="00D565F5"/>
    <w:rsid w:val="00D56712"/>
    <w:rsid w:val="00D56731"/>
    <w:rsid w:val="00D56821"/>
    <w:rsid w:val="00D56825"/>
    <w:rsid w:val="00D568DA"/>
    <w:rsid w:val="00D5696A"/>
    <w:rsid w:val="00D56983"/>
    <w:rsid w:val="00D56C5C"/>
    <w:rsid w:val="00D56CA2"/>
    <w:rsid w:val="00D56CCD"/>
    <w:rsid w:val="00D56D2D"/>
    <w:rsid w:val="00D56DC0"/>
    <w:rsid w:val="00D56DF7"/>
    <w:rsid w:val="00D56E0A"/>
    <w:rsid w:val="00D56F64"/>
    <w:rsid w:val="00D56FE3"/>
    <w:rsid w:val="00D57164"/>
    <w:rsid w:val="00D571D9"/>
    <w:rsid w:val="00D5722E"/>
    <w:rsid w:val="00D57238"/>
    <w:rsid w:val="00D57272"/>
    <w:rsid w:val="00D572A1"/>
    <w:rsid w:val="00D572B2"/>
    <w:rsid w:val="00D57400"/>
    <w:rsid w:val="00D57440"/>
    <w:rsid w:val="00D5744B"/>
    <w:rsid w:val="00D57469"/>
    <w:rsid w:val="00D574DF"/>
    <w:rsid w:val="00D5752C"/>
    <w:rsid w:val="00D57617"/>
    <w:rsid w:val="00D5761A"/>
    <w:rsid w:val="00D57753"/>
    <w:rsid w:val="00D5775B"/>
    <w:rsid w:val="00D5778E"/>
    <w:rsid w:val="00D5789D"/>
    <w:rsid w:val="00D57984"/>
    <w:rsid w:val="00D57BAF"/>
    <w:rsid w:val="00D57C7E"/>
    <w:rsid w:val="00D57CF2"/>
    <w:rsid w:val="00D57D56"/>
    <w:rsid w:val="00D57D7B"/>
    <w:rsid w:val="00D57E77"/>
    <w:rsid w:val="00D57F71"/>
    <w:rsid w:val="00D57FCB"/>
    <w:rsid w:val="00D57FE7"/>
    <w:rsid w:val="00D600ED"/>
    <w:rsid w:val="00D60137"/>
    <w:rsid w:val="00D604FE"/>
    <w:rsid w:val="00D60629"/>
    <w:rsid w:val="00D60694"/>
    <w:rsid w:val="00D60806"/>
    <w:rsid w:val="00D60842"/>
    <w:rsid w:val="00D60864"/>
    <w:rsid w:val="00D60903"/>
    <w:rsid w:val="00D609B1"/>
    <w:rsid w:val="00D60A20"/>
    <w:rsid w:val="00D60A98"/>
    <w:rsid w:val="00D60BDA"/>
    <w:rsid w:val="00D60C18"/>
    <w:rsid w:val="00D60C9E"/>
    <w:rsid w:val="00D60D6C"/>
    <w:rsid w:val="00D60DE2"/>
    <w:rsid w:val="00D60F89"/>
    <w:rsid w:val="00D61112"/>
    <w:rsid w:val="00D6113A"/>
    <w:rsid w:val="00D61150"/>
    <w:rsid w:val="00D611A1"/>
    <w:rsid w:val="00D613D3"/>
    <w:rsid w:val="00D6164F"/>
    <w:rsid w:val="00D61722"/>
    <w:rsid w:val="00D6180C"/>
    <w:rsid w:val="00D61866"/>
    <w:rsid w:val="00D6192B"/>
    <w:rsid w:val="00D6196A"/>
    <w:rsid w:val="00D619A6"/>
    <w:rsid w:val="00D61A32"/>
    <w:rsid w:val="00D61A5C"/>
    <w:rsid w:val="00D61BE1"/>
    <w:rsid w:val="00D61BE9"/>
    <w:rsid w:val="00D61C1A"/>
    <w:rsid w:val="00D61C72"/>
    <w:rsid w:val="00D61D9E"/>
    <w:rsid w:val="00D61E8C"/>
    <w:rsid w:val="00D61EEF"/>
    <w:rsid w:val="00D61FB5"/>
    <w:rsid w:val="00D6201D"/>
    <w:rsid w:val="00D622D3"/>
    <w:rsid w:val="00D624CE"/>
    <w:rsid w:val="00D625A6"/>
    <w:rsid w:val="00D62656"/>
    <w:rsid w:val="00D62785"/>
    <w:rsid w:val="00D627B3"/>
    <w:rsid w:val="00D628F6"/>
    <w:rsid w:val="00D629C2"/>
    <w:rsid w:val="00D62D14"/>
    <w:rsid w:val="00D62D82"/>
    <w:rsid w:val="00D62E2E"/>
    <w:rsid w:val="00D62E6C"/>
    <w:rsid w:val="00D62FC7"/>
    <w:rsid w:val="00D62FD2"/>
    <w:rsid w:val="00D6306F"/>
    <w:rsid w:val="00D63087"/>
    <w:rsid w:val="00D631D5"/>
    <w:rsid w:val="00D63318"/>
    <w:rsid w:val="00D633A9"/>
    <w:rsid w:val="00D6345B"/>
    <w:rsid w:val="00D634E3"/>
    <w:rsid w:val="00D63530"/>
    <w:rsid w:val="00D635E1"/>
    <w:rsid w:val="00D63601"/>
    <w:rsid w:val="00D63607"/>
    <w:rsid w:val="00D6363D"/>
    <w:rsid w:val="00D636E8"/>
    <w:rsid w:val="00D63785"/>
    <w:rsid w:val="00D639CD"/>
    <w:rsid w:val="00D63A72"/>
    <w:rsid w:val="00D63A96"/>
    <w:rsid w:val="00D63B75"/>
    <w:rsid w:val="00D63C86"/>
    <w:rsid w:val="00D63C91"/>
    <w:rsid w:val="00D63E44"/>
    <w:rsid w:val="00D63F14"/>
    <w:rsid w:val="00D63F98"/>
    <w:rsid w:val="00D6417F"/>
    <w:rsid w:val="00D64199"/>
    <w:rsid w:val="00D6420D"/>
    <w:rsid w:val="00D643F4"/>
    <w:rsid w:val="00D644D9"/>
    <w:rsid w:val="00D6468E"/>
    <w:rsid w:val="00D646EF"/>
    <w:rsid w:val="00D647C7"/>
    <w:rsid w:val="00D648E1"/>
    <w:rsid w:val="00D64B05"/>
    <w:rsid w:val="00D64B9D"/>
    <w:rsid w:val="00D64C3F"/>
    <w:rsid w:val="00D64D08"/>
    <w:rsid w:val="00D64D68"/>
    <w:rsid w:val="00D64DA0"/>
    <w:rsid w:val="00D64DD9"/>
    <w:rsid w:val="00D64EB4"/>
    <w:rsid w:val="00D64EBA"/>
    <w:rsid w:val="00D64FA3"/>
    <w:rsid w:val="00D65119"/>
    <w:rsid w:val="00D65225"/>
    <w:rsid w:val="00D65410"/>
    <w:rsid w:val="00D655A3"/>
    <w:rsid w:val="00D655C7"/>
    <w:rsid w:val="00D6565E"/>
    <w:rsid w:val="00D656AC"/>
    <w:rsid w:val="00D65787"/>
    <w:rsid w:val="00D6599E"/>
    <w:rsid w:val="00D659C4"/>
    <w:rsid w:val="00D65A3B"/>
    <w:rsid w:val="00D65B3C"/>
    <w:rsid w:val="00D65BAB"/>
    <w:rsid w:val="00D65E9D"/>
    <w:rsid w:val="00D65EC3"/>
    <w:rsid w:val="00D65F43"/>
    <w:rsid w:val="00D65F5D"/>
    <w:rsid w:val="00D65FFE"/>
    <w:rsid w:val="00D660CA"/>
    <w:rsid w:val="00D66140"/>
    <w:rsid w:val="00D66173"/>
    <w:rsid w:val="00D661E3"/>
    <w:rsid w:val="00D66332"/>
    <w:rsid w:val="00D6645C"/>
    <w:rsid w:val="00D666B0"/>
    <w:rsid w:val="00D666CB"/>
    <w:rsid w:val="00D667F7"/>
    <w:rsid w:val="00D6689D"/>
    <w:rsid w:val="00D6692D"/>
    <w:rsid w:val="00D66A1D"/>
    <w:rsid w:val="00D66A66"/>
    <w:rsid w:val="00D66A9B"/>
    <w:rsid w:val="00D66BCF"/>
    <w:rsid w:val="00D66D44"/>
    <w:rsid w:val="00D66D68"/>
    <w:rsid w:val="00D670CD"/>
    <w:rsid w:val="00D6711F"/>
    <w:rsid w:val="00D6766B"/>
    <w:rsid w:val="00D679CC"/>
    <w:rsid w:val="00D67A79"/>
    <w:rsid w:val="00D67B36"/>
    <w:rsid w:val="00D67B48"/>
    <w:rsid w:val="00D67C25"/>
    <w:rsid w:val="00D67C90"/>
    <w:rsid w:val="00D67D46"/>
    <w:rsid w:val="00D67D8A"/>
    <w:rsid w:val="00D67DED"/>
    <w:rsid w:val="00D67FB4"/>
    <w:rsid w:val="00D67FDC"/>
    <w:rsid w:val="00D7021A"/>
    <w:rsid w:val="00D7028E"/>
    <w:rsid w:val="00D70300"/>
    <w:rsid w:val="00D7042C"/>
    <w:rsid w:val="00D704F8"/>
    <w:rsid w:val="00D7053B"/>
    <w:rsid w:val="00D705C4"/>
    <w:rsid w:val="00D706BE"/>
    <w:rsid w:val="00D707C9"/>
    <w:rsid w:val="00D70856"/>
    <w:rsid w:val="00D70ABF"/>
    <w:rsid w:val="00D70BA0"/>
    <w:rsid w:val="00D70BC9"/>
    <w:rsid w:val="00D70CE3"/>
    <w:rsid w:val="00D70D42"/>
    <w:rsid w:val="00D70D7D"/>
    <w:rsid w:val="00D70DB5"/>
    <w:rsid w:val="00D710EF"/>
    <w:rsid w:val="00D711E3"/>
    <w:rsid w:val="00D7131A"/>
    <w:rsid w:val="00D713E4"/>
    <w:rsid w:val="00D713FB"/>
    <w:rsid w:val="00D7150C"/>
    <w:rsid w:val="00D715BC"/>
    <w:rsid w:val="00D716CC"/>
    <w:rsid w:val="00D71766"/>
    <w:rsid w:val="00D71B61"/>
    <w:rsid w:val="00D71C68"/>
    <w:rsid w:val="00D71D5A"/>
    <w:rsid w:val="00D71D7F"/>
    <w:rsid w:val="00D71D98"/>
    <w:rsid w:val="00D71DA3"/>
    <w:rsid w:val="00D71E3B"/>
    <w:rsid w:val="00D71FA7"/>
    <w:rsid w:val="00D720E6"/>
    <w:rsid w:val="00D7221D"/>
    <w:rsid w:val="00D72271"/>
    <w:rsid w:val="00D72401"/>
    <w:rsid w:val="00D7273E"/>
    <w:rsid w:val="00D7282E"/>
    <w:rsid w:val="00D729BB"/>
    <w:rsid w:val="00D72A26"/>
    <w:rsid w:val="00D72A97"/>
    <w:rsid w:val="00D72AC5"/>
    <w:rsid w:val="00D72B17"/>
    <w:rsid w:val="00D72B75"/>
    <w:rsid w:val="00D72CBE"/>
    <w:rsid w:val="00D72D17"/>
    <w:rsid w:val="00D72D3D"/>
    <w:rsid w:val="00D72DA6"/>
    <w:rsid w:val="00D72DCC"/>
    <w:rsid w:val="00D72ECE"/>
    <w:rsid w:val="00D72F3F"/>
    <w:rsid w:val="00D7317F"/>
    <w:rsid w:val="00D7318B"/>
    <w:rsid w:val="00D732AC"/>
    <w:rsid w:val="00D7331E"/>
    <w:rsid w:val="00D7342B"/>
    <w:rsid w:val="00D734FE"/>
    <w:rsid w:val="00D73600"/>
    <w:rsid w:val="00D73669"/>
    <w:rsid w:val="00D73672"/>
    <w:rsid w:val="00D737A1"/>
    <w:rsid w:val="00D737EB"/>
    <w:rsid w:val="00D7380D"/>
    <w:rsid w:val="00D7382D"/>
    <w:rsid w:val="00D73A2B"/>
    <w:rsid w:val="00D73B55"/>
    <w:rsid w:val="00D73B89"/>
    <w:rsid w:val="00D73D2E"/>
    <w:rsid w:val="00D74009"/>
    <w:rsid w:val="00D740C8"/>
    <w:rsid w:val="00D7412B"/>
    <w:rsid w:val="00D7416D"/>
    <w:rsid w:val="00D74374"/>
    <w:rsid w:val="00D747AA"/>
    <w:rsid w:val="00D74891"/>
    <w:rsid w:val="00D748AF"/>
    <w:rsid w:val="00D74A13"/>
    <w:rsid w:val="00D74A9C"/>
    <w:rsid w:val="00D74BE4"/>
    <w:rsid w:val="00D74C3D"/>
    <w:rsid w:val="00D74C9D"/>
    <w:rsid w:val="00D74E8C"/>
    <w:rsid w:val="00D74F42"/>
    <w:rsid w:val="00D751CD"/>
    <w:rsid w:val="00D75254"/>
    <w:rsid w:val="00D75356"/>
    <w:rsid w:val="00D7538F"/>
    <w:rsid w:val="00D753F5"/>
    <w:rsid w:val="00D75483"/>
    <w:rsid w:val="00D754EE"/>
    <w:rsid w:val="00D75566"/>
    <w:rsid w:val="00D755A7"/>
    <w:rsid w:val="00D75669"/>
    <w:rsid w:val="00D7582B"/>
    <w:rsid w:val="00D759CA"/>
    <w:rsid w:val="00D759DD"/>
    <w:rsid w:val="00D75AD3"/>
    <w:rsid w:val="00D75D82"/>
    <w:rsid w:val="00D75DD4"/>
    <w:rsid w:val="00D75F76"/>
    <w:rsid w:val="00D75FAF"/>
    <w:rsid w:val="00D7607F"/>
    <w:rsid w:val="00D761ED"/>
    <w:rsid w:val="00D762E2"/>
    <w:rsid w:val="00D76344"/>
    <w:rsid w:val="00D764B9"/>
    <w:rsid w:val="00D76740"/>
    <w:rsid w:val="00D76760"/>
    <w:rsid w:val="00D76784"/>
    <w:rsid w:val="00D76820"/>
    <w:rsid w:val="00D76914"/>
    <w:rsid w:val="00D76B5F"/>
    <w:rsid w:val="00D76C9B"/>
    <w:rsid w:val="00D76D85"/>
    <w:rsid w:val="00D76E3D"/>
    <w:rsid w:val="00D76E5C"/>
    <w:rsid w:val="00D76F5C"/>
    <w:rsid w:val="00D76F91"/>
    <w:rsid w:val="00D77026"/>
    <w:rsid w:val="00D77156"/>
    <w:rsid w:val="00D772FD"/>
    <w:rsid w:val="00D77312"/>
    <w:rsid w:val="00D7733F"/>
    <w:rsid w:val="00D77583"/>
    <w:rsid w:val="00D7762C"/>
    <w:rsid w:val="00D776F4"/>
    <w:rsid w:val="00D77726"/>
    <w:rsid w:val="00D77A1B"/>
    <w:rsid w:val="00D77A74"/>
    <w:rsid w:val="00D77B48"/>
    <w:rsid w:val="00D77BDE"/>
    <w:rsid w:val="00D77C9C"/>
    <w:rsid w:val="00D77CC9"/>
    <w:rsid w:val="00D77CD2"/>
    <w:rsid w:val="00D77D4E"/>
    <w:rsid w:val="00D77FF2"/>
    <w:rsid w:val="00D77FF5"/>
    <w:rsid w:val="00D80008"/>
    <w:rsid w:val="00D80023"/>
    <w:rsid w:val="00D80191"/>
    <w:rsid w:val="00D80270"/>
    <w:rsid w:val="00D8075A"/>
    <w:rsid w:val="00D80782"/>
    <w:rsid w:val="00D8078E"/>
    <w:rsid w:val="00D80797"/>
    <w:rsid w:val="00D807EB"/>
    <w:rsid w:val="00D80802"/>
    <w:rsid w:val="00D8088D"/>
    <w:rsid w:val="00D80942"/>
    <w:rsid w:val="00D80A15"/>
    <w:rsid w:val="00D80ACE"/>
    <w:rsid w:val="00D80B13"/>
    <w:rsid w:val="00D80CCD"/>
    <w:rsid w:val="00D80D27"/>
    <w:rsid w:val="00D8100A"/>
    <w:rsid w:val="00D81155"/>
    <w:rsid w:val="00D811C0"/>
    <w:rsid w:val="00D811C9"/>
    <w:rsid w:val="00D81202"/>
    <w:rsid w:val="00D813D3"/>
    <w:rsid w:val="00D813D6"/>
    <w:rsid w:val="00D8140C"/>
    <w:rsid w:val="00D81478"/>
    <w:rsid w:val="00D814B3"/>
    <w:rsid w:val="00D81604"/>
    <w:rsid w:val="00D8164D"/>
    <w:rsid w:val="00D81666"/>
    <w:rsid w:val="00D816A4"/>
    <w:rsid w:val="00D81754"/>
    <w:rsid w:val="00D818FE"/>
    <w:rsid w:val="00D819B1"/>
    <w:rsid w:val="00D81B35"/>
    <w:rsid w:val="00D81BBD"/>
    <w:rsid w:val="00D81BC5"/>
    <w:rsid w:val="00D81C07"/>
    <w:rsid w:val="00D81D4B"/>
    <w:rsid w:val="00D81D68"/>
    <w:rsid w:val="00D81E04"/>
    <w:rsid w:val="00D81E81"/>
    <w:rsid w:val="00D81EC3"/>
    <w:rsid w:val="00D81EF3"/>
    <w:rsid w:val="00D81F17"/>
    <w:rsid w:val="00D81F23"/>
    <w:rsid w:val="00D81FC4"/>
    <w:rsid w:val="00D82013"/>
    <w:rsid w:val="00D82254"/>
    <w:rsid w:val="00D82256"/>
    <w:rsid w:val="00D8232B"/>
    <w:rsid w:val="00D8233B"/>
    <w:rsid w:val="00D82386"/>
    <w:rsid w:val="00D8254F"/>
    <w:rsid w:val="00D825A4"/>
    <w:rsid w:val="00D82672"/>
    <w:rsid w:val="00D826ED"/>
    <w:rsid w:val="00D8280C"/>
    <w:rsid w:val="00D828CB"/>
    <w:rsid w:val="00D8296F"/>
    <w:rsid w:val="00D82AF3"/>
    <w:rsid w:val="00D82B90"/>
    <w:rsid w:val="00D82C7E"/>
    <w:rsid w:val="00D82C81"/>
    <w:rsid w:val="00D82D3E"/>
    <w:rsid w:val="00D82DB4"/>
    <w:rsid w:val="00D82E7F"/>
    <w:rsid w:val="00D83126"/>
    <w:rsid w:val="00D83270"/>
    <w:rsid w:val="00D83313"/>
    <w:rsid w:val="00D8333E"/>
    <w:rsid w:val="00D8338D"/>
    <w:rsid w:val="00D833D9"/>
    <w:rsid w:val="00D8341D"/>
    <w:rsid w:val="00D8349E"/>
    <w:rsid w:val="00D834CA"/>
    <w:rsid w:val="00D834EB"/>
    <w:rsid w:val="00D8353C"/>
    <w:rsid w:val="00D83551"/>
    <w:rsid w:val="00D83609"/>
    <w:rsid w:val="00D83677"/>
    <w:rsid w:val="00D83758"/>
    <w:rsid w:val="00D8375A"/>
    <w:rsid w:val="00D8393D"/>
    <w:rsid w:val="00D83A13"/>
    <w:rsid w:val="00D83A19"/>
    <w:rsid w:val="00D83A4A"/>
    <w:rsid w:val="00D83B1B"/>
    <w:rsid w:val="00D83B49"/>
    <w:rsid w:val="00D83BCC"/>
    <w:rsid w:val="00D83BD9"/>
    <w:rsid w:val="00D83C73"/>
    <w:rsid w:val="00D83CF5"/>
    <w:rsid w:val="00D83EBB"/>
    <w:rsid w:val="00D83F82"/>
    <w:rsid w:val="00D83F8D"/>
    <w:rsid w:val="00D842DA"/>
    <w:rsid w:val="00D842FA"/>
    <w:rsid w:val="00D8430B"/>
    <w:rsid w:val="00D844D4"/>
    <w:rsid w:val="00D84547"/>
    <w:rsid w:val="00D845B0"/>
    <w:rsid w:val="00D845EB"/>
    <w:rsid w:val="00D84669"/>
    <w:rsid w:val="00D847CC"/>
    <w:rsid w:val="00D8495E"/>
    <w:rsid w:val="00D849CF"/>
    <w:rsid w:val="00D849E0"/>
    <w:rsid w:val="00D84BA8"/>
    <w:rsid w:val="00D84BE3"/>
    <w:rsid w:val="00D84CFE"/>
    <w:rsid w:val="00D84E6A"/>
    <w:rsid w:val="00D84FB5"/>
    <w:rsid w:val="00D85026"/>
    <w:rsid w:val="00D85034"/>
    <w:rsid w:val="00D85047"/>
    <w:rsid w:val="00D85202"/>
    <w:rsid w:val="00D852C5"/>
    <w:rsid w:val="00D85404"/>
    <w:rsid w:val="00D8550E"/>
    <w:rsid w:val="00D855EC"/>
    <w:rsid w:val="00D856C9"/>
    <w:rsid w:val="00D856ED"/>
    <w:rsid w:val="00D85968"/>
    <w:rsid w:val="00D85A5E"/>
    <w:rsid w:val="00D85EE6"/>
    <w:rsid w:val="00D85EF7"/>
    <w:rsid w:val="00D85F18"/>
    <w:rsid w:val="00D85FAC"/>
    <w:rsid w:val="00D860D7"/>
    <w:rsid w:val="00D860F4"/>
    <w:rsid w:val="00D86210"/>
    <w:rsid w:val="00D86213"/>
    <w:rsid w:val="00D86229"/>
    <w:rsid w:val="00D86683"/>
    <w:rsid w:val="00D86743"/>
    <w:rsid w:val="00D867DA"/>
    <w:rsid w:val="00D86867"/>
    <w:rsid w:val="00D868BA"/>
    <w:rsid w:val="00D868F5"/>
    <w:rsid w:val="00D869F0"/>
    <w:rsid w:val="00D86B63"/>
    <w:rsid w:val="00D86C8D"/>
    <w:rsid w:val="00D86E55"/>
    <w:rsid w:val="00D86E98"/>
    <w:rsid w:val="00D86F11"/>
    <w:rsid w:val="00D86F97"/>
    <w:rsid w:val="00D86FFF"/>
    <w:rsid w:val="00D870A2"/>
    <w:rsid w:val="00D8722F"/>
    <w:rsid w:val="00D87275"/>
    <w:rsid w:val="00D87296"/>
    <w:rsid w:val="00D872C4"/>
    <w:rsid w:val="00D872D6"/>
    <w:rsid w:val="00D87325"/>
    <w:rsid w:val="00D873FB"/>
    <w:rsid w:val="00D87427"/>
    <w:rsid w:val="00D87546"/>
    <w:rsid w:val="00D87566"/>
    <w:rsid w:val="00D8756C"/>
    <w:rsid w:val="00D876B4"/>
    <w:rsid w:val="00D8770A"/>
    <w:rsid w:val="00D8770E"/>
    <w:rsid w:val="00D8773D"/>
    <w:rsid w:val="00D8797B"/>
    <w:rsid w:val="00D879BD"/>
    <w:rsid w:val="00D879D0"/>
    <w:rsid w:val="00D87AB0"/>
    <w:rsid w:val="00D87ACD"/>
    <w:rsid w:val="00D87C94"/>
    <w:rsid w:val="00D87CD8"/>
    <w:rsid w:val="00D87E09"/>
    <w:rsid w:val="00D87E9D"/>
    <w:rsid w:val="00D87F3A"/>
    <w:rsid w:val="00D90054"/>
    <w:rsid w:val="00D9013E"/>
    <w:rsid w:val="00D90209"/>
    <w:rsid w:val="00D90223"/>
    <w:rsid w:val="00D9025A"/>
    <w:rsid w:val="00D90263"/>
    <w:rsid w:val="00D902B2"/>
    <w:rsid w:val="00D903A5"/>
    <w:rsid w:val="00D90761"/>
    <w:rsid w:val="00D907BF"/>
    <w:rsid w:val="00D908EE"/>
    <w:rsid w:val="00D90948"/>
    <w:rsid w:val="00D90A74"/>
    <w:rsid w:val="00D90B31"/>
    <w:rsid w:val="00D90B89"/>
    <w:rsid w:val="00D90CDC"/>
    <w:rsid w:val="00D90D70"/>
    <w:rsid w:val="00D90D9C"/>
    <w:rsid w:val="00D90FC9"/>
    <w:rsid w:val="00D911D0"/>
    <w:rsid w:val="00D912A9"/>
    <w:rsid w:val="00D912D8"/>
    <w:rsid w:val="00D912E0"/>
    <w:rsid w:val="00D91313"/>
    <w:rsid w:val="00D9133D"/>
    <w:rsid w:val="00D91370"/>
    <w:rsid w:val="00D91520"/>
    <w:rsid w:val="00D915AD"/>
    <w:rsid w:val="00D916F2"/>
    <w:rsid w:val="00D91749"/>
    <w:rsid w:val="00D9184D"/>
    <w:rsid w:val="00D9186C"/>
    <w:rsid w:val="00D91C06"/>
    <w:rsid w:val="00D91C4F"/>
    <w:rsid w:val="00D91C8A"/>
    <w:rsid w:val="00D91DF9"/>
    <w:rsid w:val="00D9201E"/>
    <w:rsid w:val="00D92095"/>
    <w:rsid w:val="00D920D8"/>
    <w:rsid w:val="00D920E7"/>
    <w:rsid w:val="00D921DD"/>
    <w:rsid w:val="00D92270"/>
    <w:rsid w:val="00D922E5"/>
    <w:rsid w:val="00D92303"/>
    <w:rsid w:val="00D92349"/>
    <w:rsid w:val="00D924E9"/>
    <w:rsid w:val="00D925A8"/>
    <w:rsid w:val="00D926A1"/>
    <w:rsid w:val="00D926AA"/>
    <w:rsid w:val="00D926F1"/>
    <w:rsid w:val="00D92731"/>
    <w:rsid w:val="00D92770"/>
    <w:rsid w:val="00D92774"/>
    <w:rsid w:val="00D9282A"/>
    <w:rsid w:val="00D92A82"/>
    <w:rsid w:val="00D92AB0"/>
    <w:rsid w:val="00D92B4C"/>
    <w:rsid w:val="00D92B8C"/>
    <w:rsid w:val="00D92B92"/>
    <w:rsid w:val="00D92BD0"/>
    <w:rsid w:val="00D92BF1"/>
    <w:rsid w:val="00D92D59"/>
    <w:rsid w:val="00D92EBC"/>
    <w:rsid w:val="00D92F36"/>
    <w:rsid w:val="00D92F9C"/>
    <w:rsid w:val="00D9311D"/>
    <w:rsid w:val="00D93247"/>
    <w:rsid w:val="00D934BA"/>
    <w:rsid w:val="00D93511"/>
    <w:rsid w:val="00D93AE8"/>
    <w:rsid w:val="00D93B04"/>
    <w:rsid w:val="00D93CC0"/>
    <w:rsid w:val="00D93D86"/>
    <w:rsid w:val="00D93E4E"/>
    <w:rsid w:val="00D93E74"/>
    <w:rsid w:val="00D93EB5"/>
    <w:rsid w:val="00D93F38"/>
    <w:rsid w:val="00D93F5E"/>
    <w:rsid w:val="00D93F6B"/>
    <w:rsid w:val="00D93F88"/>
    <w:rsid w:val="00D93FC2"/>
    <w:rsid w:val="00D9406F"/>
    <w:rsid w:val="00D9410A"/>
    <w:rsid w:val="00D9411D"/>
    <w:rsid w:val="00D94171"/>
    <w:rsid w:val="00D941DA"/>
    <w:rsid w:val="00D9426B"/>
    <w:rsid w:val="00D9431D"/>
    <w:rsid w:val="00D9438A"/>
    <w:rsid w:val="00D9438B"/>
    <w:rsid w:val="00D943C9"/>
    <w:rsid w:val="00D9450C"/>
    <w:rsid w:val="00D94554"/>
    <w:rsid w:val="00D94679"/>
    <w:rsid w:val="00D94991"/>
    <w:rsid w:val="00D94C6B"/>
    <w:rsid w:val="00D94DCF"/>
    <w:rsid w:val="00D94DF4"/>
    <w:rsid w:val="00D94EAE"/>
    <w:rsid w:val="00D94EAF"/>
    <w:rsid w:val="00D950E9"/>
    <w:rsid w:val="00D9513D"/>
    <w:rsid w:val="00D9513E"/>
    <w:rsid w:val="00D9517F"/>
    <w:rsid w:val="00D951A2"/>
    <w:rsid w:val="00D95233"/>
    <w:rsid w:val="00D95376"/>
    <w:rsid w:val="00D954CE"/>
    <w:rsid w:val="00D95531"/>
    <w:rsid w:val="00D95615"/>
    <w:rsid w:val="00D95728"/>
    <w:rsid w:val="00D95944"/>
    <w:rsid w:val="00D95A96"/>
    <w:rsid w:val="00D95AA5"/>
    <w:rsid w:val="00D95AC0"/>
    <w:rsid w:val="00D95BEC"/>
    <w:rsid w:val="00D95BFC"/>
    <w:rsid w:val="00D95CC5"/>
    <w:rsid w:val="00D95E18"/>
    <w:rsid w:val="00D95F76"/>
    <w:rsid w:val="00D95FB6"/>
    <w:rsid w:val="00D960E5"/>
    <w:rsid w:val="00D96251"/>
    <w:rsid w:val="00D962E1"/>
    <w:rsid w:val="00D96666"/>
    <w:rsid w:val="00D96916"/>
    <w:rsid w:val="00D96998"/>
    <w:rsid w:val="00D969E5"/>
    <w:rsid w:val="00D96A4F"/>
    <w:rsid w:val="00D96BD4"/>
    <w:rsid w:val="00D96C88"/>
    <w:rsid w:val="00D96CB4"/>
    <w:rsid w:val="00D96D32"/>
    <w:rsid w:val="00D96D7E"/>
    <w:rsid w:val="00D96E05"/>
    <w:rsid w:val="00D970CA"/>
    <w:rsid w:val="00D97211"/>
    <w:rsid w:val="00D9741C"/>
    <w:rsid w:val="00D9759D"/>
    <w:rsid w:val="00D976B7"/>
    <w:rsid w:val="00D978F8"/>
    <w:rsid w:val="00D979B4"/>
    <w:rsid w:val="00D97A31"/>
    <w:rsid w:val="00D97AFA"/>
    <w:rsid w:val="00D97B77"/>
    <w:rsid w:val="00D97B97"/>
    <w:rsid w:val="00D97C6E"/>
    <w:rsid w:val="00D97D24"/>
    <w:rsid w:val="00D97E57"/>
    <w:rsid w:val="00D97F81"/>
    <w:rsid w:val="00D97FEA"/>
    <w:rsid w:val="00DA0138"/>
    <w:rsid w:val="00DA01F4"/>
    <w:rsid w:val="00DA05FD"/>
    <w:rsid w:val="00DA062B"/>
    <w:rsid w:val="00DA07B0"/>
    <w:rsid w:val="00DA0828"/>
    <w:rsid w:val="00DA09DE"/>
    <w:rsid w:val="00DA09E1"/>
    <w:rsid w:val="00DA0ADA"/>
    <w:rsid w:val="00DA0BB7"/>
    <w:rsid w:val="00DA0BCB"/>
    <w:rsid w:val="00DA0C3F"/>
    <w:rsid w:val="00DA0C99"/>
    <w:rsid w:val="00DA0DCD"/>
    <w:rsid w:val="00DA0E74"/>
    <w:rsid w:val="00DA0EA0"/>
    <w:rsid w:val="00DA0FBF"/>
    <w:rsid w:val="00DA0FC6"/>
    <w:rsid w:val="00DA0FEF"/>
    <w:rsid w:val="00DA1095"/>
    <w:rsid w:val="00DA10C4"/>
    <w:rsid w:val="00DA13CC"/>
    <w:rsid w:val="00DA14A1"/>
    <w:rsid w:val="00DA171E"/>
    <w:rsid w:val="00DA1890"/>
    <w:rsid w:val="00DA1ACD"/>
    <w:rsid w:val="00DA1D4A"/>
    <w:rsid w:val="00DA1E45"/>
    <w:rsid w:val="00DA1E81"/>
    <w:rsid w:val="00DA200B"/>
    <w:rsid w:val="00DA2056"/>
    <w:rsid w:val="00DA22A5"/>
    <w:rsid w:val="00DA22BB"/>
    <w:rsid w:val="00DA236A"/>
    <w:rsid w:val="00DA25E2"/>
    <w:rsid w:val="00DA25F3"/>
    <w:rsid w:val="00DA2663"/>
    <w:rsid w:val="00DA26FB"/>
    <w:rsid w:val="00DA273A"/>
    <w:rsid w:val="00DA28AA"/>
    <w:rsid w:val="00DA29A3"/>
    <w:rsid w:val="00DA29F5"/>
    <w:rsid w:val="00DA2B92"/>
    <w:rsid w:val="00DA2C0E"/>
    <w:rsid w:val="00DA2C3A"/>
    <w:rsid w:val="00DA2C43"/>
    <w:rsid w:val="00DA2CE0"/>
    <w:rsid w:val="00DA2CFE"/>
    <w:rsid w:val="00DA3007"/>
    <w:rsid w:val="00DA3054"/>
    <w:rsid w:val="00DA3080"/>
    <w:rsid w:val="00DA30E4"/>
    <w:rsid w:val="00DA312B"/>
    <w:rsid w:val="00DA3296"/>
    <w:rsid w:val="00DA3338"/>
    <w:rsid w:val="00DA3376"/>
    <w:rsid w:val="00DA34C3"/>
    <w:rsid w:val="00DA3514"/>
    <w:rsid w:val="00DA3556"/>
    <w:rsid w:val="00DA3591"/>
    <w:rsid w:val="00DA35EE"/>
    <w:rsid w:val="00DA3764"/>
    <w:rsid w:val="00DA38C4"/>
    <w:rsid w:val="00DA3B3C"/>
    <w:rsid w:val="00DA3BC2"/>
    <w:rsid w:val="00DA416E"/>
    <w:rsid w:val="00DA41AA"/>
    <w:rsid w:val="00DA422F"/>
    <w:rsid w:val="00DA42FB"/>
    <w:rsid w:val="00DA4417"/>
    <w:rsid w:val="00DA45D7"/>
    <w:rsid w:val="00DA4650"/>
    <w:rsid w:val="00DA488E"/>
    <w:rsid w:val="00DA4A4A"/>
    <w:rsid w:val="00DA4C23"/>
    <w:rsid w:val="00DA4D7E"/>
    <w:rsid w:val="00DA4FAA"/>
    <w:rsid w:val="00DA4FB5"/>
    <w:rsid w:val="00DA5004"/>
    <w:rsid w:val="00DA50B0"/>
    <w:rsid w:val="00DA524D"/>
    <w:rsid w:val="00DA5428"/>
    <w:rsid w:val="00DA57FA"/>
    <w:rsid w:val="00DA5838"/>
    <w:rsid w:val="00DA5841"/>
    <w:rsid w:val="00DA586F"/>
    <w:rsid w:val="00DA5897"/>
    <w:rsid w:val="00DA5987"/>
    <w:rsid w:val="00DA5992"/>
    <w:rsid w:val="00DA59DA"/>
    <w:rsid w:val="00DA5A6D"/>
    <w:rsid w:val="00DA5AA6"/>
    <w:rsid w:val="00DA5AB5"/>
    <w:rsid w:val="00DA5BBB"/>
    <w:rsid w:val="00DA5C73"/>
    <w:rsid w:val="00DA5CAE"/>
    <w:rsid w:val="00DA5D10"/>
    <w:rsid w:val="00DA5ED8"/>
    <w:rsid w:val="00DA6035"/>
    <w:rsid w:val="00DA619F"/>
    <w:rsid w:val="00DA6368"/>
    <w:rsid w:val="00DA6450"/>
    <w:rsid w:val="00DA656A"/>
    <w:rsid w:val="00DA6583"/>
    <w:rsid w:val="00DA668B"/>
    <w:rsid w:val="00DA676F"/>
    <w:rsid w:val="00DA686C"/>
    <w:rsid w:val="00DA68C8"/>
    <w:rsid w:val="00DA697D"/>
    <w:rsid w:val="00DA6ACB"/>
    <w:rsid w:val="00DA6B46"/>
    <w:rsid w:val="00DA6B81"/>
    <w:rsid w:val="00DA6CA6"/>
    <w:rsid w:val="00DA6E30"/>
    <w:rsid w:val="00DA6EB2"/>
    <w:rsid w:val="00DA6F4B"/>
    <w:rsid w:val="00DA712A"/>
    <w:rsid w:val="00DA7227"/>
    <w:rsid w:val="00DA72D5"/>
    <w:rsid w:val="00DA72EA"/>
    <w:rsid w:val="00DA7399"/>
    <w:rsid w:val="00DA74CA"/>
    <w:rsid w:val="00DA75AF"/>
    <w:rsid w:val="00DA76B5"/>
    <w:rsid w:val="00DA76D4"/>
    <w:rsid w:val="00DA788D"/>
    <w:rsid w:val="00DA7A1B"/>
    <w:rsid w:val="00DA7A24"/>
    <w:rsid w:val="00DA7A41"/>
    <w:rsid w:val="00DA7CC2"/>
    <w:rsid w:val="00DA7CD6"/>
    <w:rsid w:val="00DA7D70"/>
    <w:rsid w:val="00DA7D74"/>
    <w:rsid w:val="00DA7EB3"/>
    <w:rsid w:val="00DB009E"/>
    <w:rsid w:val="00DB00B4"/>
    <w:rsid w:val="00DB00FC"/>
    <w:rsid w:val="00DB0153"/>
    <w:rsid w:val="00DB0175"/>
    <w:rsid w:val="00DB01D9"/>
    <w:rsid w:val="00DB0347"/>
    <w:rsid w:val="00DB0415"/>
    <w:rsid w:val="00DB04D6"/>
    <w:rsid w:val="00DB0728"/>
    <w:rsid w:val="00DB07CD"/>
    <w:rsid w:val="00DB08B2"/>
    <w:rsid w:val="00DB08DA"/>
    <w:rsid w:val="00DB0993"/>
    <w:rsid w:val="00DB09B9"/>
    <w:rsid w:val="00DB0AFC"/>
    <w:rsid w:val="00DB0B2A"/>
    <w:rsid w:val="00DB0C0E"/>
    <w:rsid w:val="00DB0C2A"/>
    <w:rsid w:val="00DB0DA2"/>
    <w:rsid w:val="00DB0ED0"/>
    <w:rsid w:val="00DB0F0F"/>
    <w:rsid w:val="00DB1034"/>
    <w:rsid w:val="00DB105D"/>
    <w:rsid w:val="00DB10DB"/>
    <w:rsid w:val="00DB11E8"/>
    <w:rsid w:val="00DB127C"/>
    <w:rsid w:val="00DB130A"/>
    <w:rsid w:val="00DB1383"/>
    <w:rsid w:val="00DB139F"/>
    <w:rsid w:val="00DB13CB"/>
    <w:rsid w:val="00DB13D2"/>
    <w:rsid w:val="00DB169A"/>
    <w:rsid w:val="00DB16BE"/>
    <w:rsid w:val="00DB1912"/>
    <w:rsid w:val="00DB1C9B"/>
    <w:rsid w:val="00DB1DB4"/>
    <w:rsid w:val="00DB1EEF"/>
    <w:rsid w:val="00DB1FDD"/>
    <w:rsid w:val="00DB2089"/>
    <w:rsid w:val="00DB20A0"/>
    <w:rsid w:val="00DB21B7"/>
    <w:rsid w:val="00DB22B7"/>
    <w:rsid w:val="00DB22D3"/>
    <w:rsid w:val="00DB2305"/>
    <w:rsid w:val="00DB2451"/>
    <w:rsid w:val="00DB248E"/>
    <w:rsid w:val="00DB2693"/>
    <w:rsid w:val="00DB26D3"/>
    <w:rsid w:val="00DB28C7"/>
    <w:rsid w:val="00DB2995"/>
    <w:rsid w:val="00DB29EF"/>
    <w:rsid w:val="00DB2A60"/>
    <w:rsid w:val="00DB2AAF"/>
    <w:rsid w:val="00DB2C4C"/>
    <w:rsid w:val="00DB2CE3"/>
    <w:rsid w:val="00DB2D3C"/>
    <w:rsid w:val="00DB2F2F"/>
    <w:rsid w:val="00DB31EE"/>
    <w:rsid w:val="00DB3226"/>
    <w:rsid w:val="00DB3278"/>
    <w:rsid w:val="00DB367B"/>
    <w:rsid w:val="00DB386B"/>
    <w:rsid w:val="00DB39D8"/>
    <w:rsid w:val="00DB3A4F"/>
    <w:rsid w:val="00DB3AE3"/>
    <w:rsid w:val="00DB3B6D"/>
    <w:rsid w:val="00DB3BBE"/>
    <w:rsid w:val="00DB3BE0"/>
    <w:rsid w:val="00DB3C62"/>
    <w:rsid w:val="00DB3CC8"/>
    <w:rsid w:val="00DB3D2D"/>
    <w:rsid w:val="00DB3D87"/>
    <w:rsid w:val="00DB3ED0"/>
    <w:rsid w:val="00DB404A"/>
    <w:rsid w:val="00DB40F3"/>
    <w:rsid w:val="00DB41BA"/>
    <w:rsid w:val="00DB41F3"/>
    <w:rsid w:val="00DB426F"/>
    <w:rsid w:val="00DB42C9"/>
    <w:rsid w:val="00DB43EB"/>
    <w:rsid w:val="00DB43FB"/>
    <w:rsid w:val="00DB461C"/>
    <w:rsid w:val="00DB4C9E"/>
    <w:rsid w:val="00DB509D"/>
    <w:rsid w:val="00DB50ED"/>
    <w:rsid w:val="00DB524F"/>
    <w:rsid w:val="00DB52D4"/>
    <w:rsid w:val="00DB559D"/>
    <w:rsid w:val="00DB5723"/>
    <w:rsid w:val="00DB586E"/>
    <w:rsid w:val="00DB58D6"/>
    <w:rsid w:val="00DB594D"/>
    <w:rsid w:val="00DB5BE9"/>
    <w:rsid w:val="00DB5C9B"/>
    <w:rsid w:val="00DB5E10"/>
    <w:rsid w:val="00DB5E6D"/>
    <w:rsid w:val="00DB5E79"/>
    <w:rsid w:val="00DB5E7B"/>
    <w:rsid w:val="00DB5EBF"/>
    <w:rsid w:val="00DB6114"/>
    <w:rsid w:val="00DB61E2"/>
    <w:rsid w:val="00DB646C"/>
    <w:rsid w:val="00DB6507"/>
    <w:rsid w:val="00DB650E"/>
    <w:rsid w:val="00DB6602"/>
    <w:rsid w:val="00DB661F"/>
    <w:rsid w:val="00DB66EE"/>
    <w:rsid w:val="00DB6794"/>
    <w:rsid w:val="00DB69DC"/>
    <w:rsid w:val="00DB6A5C"/>
    <w:rsid w:val="00DB6B13"/>
    <w:rsid w:val="00DB6B77"/>
    <w:rsid w:val="00DB6C16"/>
    <w:rsid w:val="00DB6C25"/>
    <w:rsid w:val="00DB6C3B"/>
    <w:rsid w:val="00DB6C3C"/>
    <w:rsid w:val="00DB6EE3"/>
    <w:rsid w:val="00DB6F02"/>
    <w:rsid w:val="00DB6F8B"/>
    <w:rsid w:val="00DB6F9B"/>
    <w:rsid w:val="00DB6FF0"/>
    <w:rsid w:val="00DB7053"/>
    <w:rsid w:val="00DB706C"/>
    <w:rsid w:val="00DB70A2"/>
    <w:rsid w:val="00DB76D2"/>
    <w:rsid w:val="00DB7768"/>
    <w:rsid w:val="00DB77D2"/>
    <w:rsid w:val="00DB78E9"/>
    <w:rsid w:val="00DB7BA6"/>
    <w:rsid w:val="00DB7BAF"/>
    <w:rsid w:val="00DB7E8D"/>
    <w:rsid w:val="00DB7EA2"/>
    <w:rsid w:val="00DB7F09"/>
    <w:rsid w:val="00DB7F1D"/>
    <w:rsid w:val="00DB7F2E"/>
    <w:rsid w:val="00DB7FF6"/>
    <w:rsid w:val="00DC00D5"/>
    <w:rsid w:val="00DC00E8"/>
    <w:rsid w:val="00DC01CE"/>
    <w:rsid w:val="00DC0247"/>
    <w:rsid w:val="00DC0322"/>
    <w:rsid w:val="00DC0455"/>
    <w:rsid w:val="00DC051C"/>
    <w:rsid w:val="00DC056B"/>
    <w:rsid w:val="00DC0694"/>
    <w:rsid w:val="00DC0789"/>
    <w:rsid w:val="00DC08DD"/>
    <w:rsid w:val="00DC0909"/>
    <w:rsid w:val="00DC0AB1"/>
    <w:rsid w:val="00DC0ADC"/>
    <w:rsid w:val="00DC0AF5"/>
    <w:rsid w:val="00DC0B6C"/>
    <w:rsid w:val="00DC0BCD"/>
    <w:rsid w:val="00DC0C40"/>
    <w:rsid w:val="00DC0D0E"/>
    <w:rsid w:val="00DC0E72"/>
    <w:rsid w:val="00DC106D"/>
    <w:rsid w:val="00DC10D8"/>
    <w:rsid w:val="00DC1146"/>
    <w:rsid w:val="00DC12AE"/>
    <w:rsid w:val="00DC1335"/>
    <w:rsid w:val="00DC13B4"/>
    <w:rsid w:val="00DC14EE"/>
    <w:rsid w:val="00DC1506"/>
    <w:rsid w:val="00DC1648"/>
    <w:rsid w:val="00DC1712"/>
    <w:rsid w:val="00DC17DF"/>
    <w:rsid w:val="00DC1827"/>
    <w:rsid w:val="00DC18CE"/>
    <w:rsid w:val="00DC1A8B"/>
    <w:rsid w:val="00DC1C56"/>
    <w:rsid w:val="00DC1DF6"/>
    <w:rsid w:val="00DC1E47"/>
    <w:rsid w:val="00DC1E82"/>
    <w:rsid w:val="00DC1FB1"/>
    <w:rsid w:val="00DC1FBB"/>
    <w:rsid w:val="00DC2060"/>
    <w:rsid w:val="00DC20EC"/>
    <w:rsid w:val="00DC2108"/>
    <w:rsid w:val="00DC225A"/>
    <w:rsid w:val="00DC2260"/>
    <w:rsid w:val="00DC22E6"/>
    <w:rsid w:val="00DC24AE"/>
    <w:rsid w:val="00DC2503"/>
    <w:rsid w:val="00DC25A0"/>
    <w:rsid w:val="00DC26D8"/>
    <w:rsid w:val="00DC2730"/>
    <w:rsid w:val="00DC2810"/>
    <w:rsid w:val="00DC284B"/>
    <w:rsid w:val="00DC286D"/>
    <w:rsid w:val="00DC29CC"/>
    <w:rsid w:val="00DC2A58"/>
    <w:rsid w:val="00DC2A9D"/>
    <w:rsid w:val="00DC2AAC"/>
    <w:rsid w:val="00DC2BE4"/>
    <w:rsid w:val="00DC2C0D"/>
    <w:rsid w:val="00DC2CBB"/>
    <w:rsid w:val="00DC2CC0"/>
    <w:rsid w:val="00DC2DAB"/>
    <w:rsid w:val="00DC2E6F"/>
    <w:rsid w:val="00DC2F0B"/>
    <w:rsid w:val="00DC305F"/>
    <w:rsid w:val="00DC30CD"/>
    <w:rsid w:val="00DC3192"/>
    <w:rsid w:val="00DC359F"/>
    <w:rsid w:val="00DC3684"/>
    <w:rsid w:val="00DC37D1"/>
    <w:rsid w:val="00DC3869"/>
    <w:rsid w:val="00DC388E"/>
    <w:rsid w:val="00DC3941"/>
    <w:rsid w:val="00DC3B14"/>
    <w:rsid w:val="00DC3C30"/>
    <w:rsid w:val="00DC3C89"/>
    <w:rsid w:val="00DC3CB5"/>
    <w:rsid w:val="00DC3EA5"/>
    <w:rsid w:val="00DC3EE8"/>
    <w:rsid w:val="00DC3F83"/>
    <w:rsid w:val="00DC3FD6"/>
    <w:rsid w:val="00DC4077"/>
    <w:rsid w:val="00DC421C"/>
    <w:rsid w:val="00DC42AF"/>
    <w:rsid w:val="00DC4311"/>
    <w:rsid w:val="00DC4359"/>
    <w:rsid w:val="00DC4399"/>
    <w:rsid w:val="00DC44CA"/>
    <w:rsid w:val="00DC457B"/>
    <w:rsid w:val="00DC45D0"/>
    <w:rsid w:val="00DC45F5"/>
    <w:rsid w:val="00DC4756"/>
    <w:rsid w:val="00DC477C"/>
    <w:rsid w:val="00DC478C"/>
    <w:rsid w:val="00DC47D3"/>
    <w:rsid w:val="00DC47EC"/>
    <w:rsid w:val="00DC4925"/>
    <w:rsid w:val="00DC4BD0"/>
    <w:rsid w:val="00DC4C1A"/>
    <w:rsid w:val="00DC4CDF"/>
    <w:rsid w:val="00DC5041"/>
    <w:rsid w:val="00DC504B"/>
    <w:rsid w:val="00DC5454"/>
    <w:rsid w:val="00DC579C"/>
    <w:rsid w:val="00DC59DE"/>
    <w:rsid w:val="00DC5CEC"/>
    <w:rsid w:val="00DC5D73"/>
    <w:rsid w:val="00DC5DAA"/>
    <w:rsid w:val="00DC5EA7"/>
    <w:rsid w:val="00DC5F3F"/>
    <w:rsid w:val="00DC6000"/>
    <w:rsid w:val="00DC6145"/>
    <w:rsid w:val="00DC62A3"/>
    <w:rsid w:val="00DC6379"/>
    <w:rsid w:val="00DC639D"/>
    <w:rsid w:val="00DC6444"/>
    <w:rsid w:val="00DC6453"/>
    <w:rsid w:val="00DC6553"/>
    <w:rsid w:val="00DC661B"/>
    <w:rsid w:val="00DC666C"/>
    <w:rsid w:val="00DC667E"/>
    <w:rsid w:val="00DC67A5"/>
    <w:rsid w:val="00DC68EE"/>
    <w:rsid w:val="00DC694B"/>
    <w:rsid w:val="00DC6A75"/>
    <w:rsid w:val="00DC6AAD"/>
    <w:rsid w:val="00DC6BBB"/>
    <w:rsid w:val="00DC6BEB"/>
    <w:rsid w:val="00DC6CA1"/>
    <w:rsid w:val="00DC6E0A"/>
    <w:rsid w:val="00DC6E28"/>
    <w:rsid w:val="00DC6EBE"/>
    <w:rsid w:val="00DC7013"/>
    <w:rsid w:val="00DC712F"/>
    <w:rsid w:val="00DC7135"/>
    <w:rsid w:val="00DC7401"/>
    <w:rsid w:val="00DC7525"/>
    <w:rsid w:val="00DC752C"/>
    <w:rsid w:val="00DC75B0"/>
    <w:rsid w:val="00DC75E7"/>
    <w:rsid w:val="00DC7623"/>
    <w:rsid w:val="00DC768F"/>
    <w:rsid w:val="00DC7787"/>
    <w:rsid w:val="00DC779B"/>
    <w:rsid w:val="00DC781D"/>
    <w:rsid w:val="00DC79C3"/>
    <w:rsid w:val="00DC79DE"/>
    <w:rsid w:val="00DC7BCB"/>
    <w:rsid w:val="00DC7C07"/>
    <w:rsid w:val="00DC7E10"/>
    <w:rsid w:val="00DC7FAE"/>
    <w:rsid w:val="00DD0094"/>
    <w:rsid w:val="00DD01C1"/>
    <w:rsid w:val="00DD0373"/>
    <w:rsid w:val="00DD03F2"/>
    <w:rsid w:val="00DD0423"/>
    <w:rsid w:val="00DD05F0"/>
    <w:rsid w:val="00DD06D3"/>
    <w:rsid w:val="00DD096B"/>
    <w:rsid w:val="00DD0994"/>
    <w:rsid w:val="00DD0A66"/>
    <w:rsid w:val="00DD0A75"/>
    <w:rsid w:val="00DD0D80"/>
    <w:rsid w:val="00DD0EA8"/>
    <w:rsid w:val="00DD0EAE"/>
    <w:rsid w:val="00DD0FEB"/>
    <w:rsid w:val="00DD102E"/>
    <w:rsid w:val="00DD1122"/>
    <w:rsid w:val="00DD1290"/>
    <w:rsid w:val="00DD13CC"/>
    <w:rsid w:val="00DD1430"/>
    <w:rsid w:val="00DD1470"/>
    <w:rsid w:val="00DD14F6"/>
    <w:rsid w:val="00DD1570"/>
    <w:rsid w:val="00DD163A"/>
    <w:rsid w:val="00DD1684"/>
    <w:rsid w:val="00DD16FD"/>
    <w:rsid w:val="00DD17A7"/>
    <w:rsid w:val="00DD18F9"/>
    <w:rsid w:val="00DD193D"/>
    <w:rsid w:val="00DD1AA5"/>
    <w:rsid w:val="00DD1CC4"/>
    <w:rsid w:val="00DD1CC5"/>
    <w:rsid w:val="00DD1D40"/>
    <w:rsid w:val="00DD1F10"/>
    <w:rsid w:val="00DD2049"/>
    <w:rsid w:val="00DD2076"/>
    <w:rsid w:val="00DD2108"/>
    <w:rsid w:val="00DD21AE"/>
    <w:rsid w:val="00DD2214"/>
    <w:rsid w:val="00DD225F"/>
    <w:rsid w:val="00DD22EC"/>
    <w:rsid w:val="00DD22FE"/>
    <w:rsid w:val="00DD26BC"/>
    <w:rsid w:val="00DD275F"/>
    <w:rsid w:val="00DD28B9"/>
    <w:rsid w:val="00DD29B3"/>
    <w:rsid w:val="00DD2A69"/>
    <w:rsid w:val="00DD2C05"/>
    <w:rsid w:val="00DD2C2A"/>
    <w:rsid w:val="00DD2C3B"/>
    <w:rsid w:val="00DD2DDB"/>
    <w:rsid w:val="00DD2FEF"/>
    <w:rsid w:val="00DD310C"/>
    <w:rsid w:val="00DD323D"/>
    <w:rsid w:val="00DD331E"/>
    <w:rsid w:val="00DD336F"/>
    <w:rsid w:val="00DD3481"/>
    <w:rsid w:val="00DD3948"/>
    <w:rsid w:val="00DD39C5"/>
    <w:rsid w:val="00DD3AB3"/>
    <w:rsid w:val="00DD3AC4"/>
    <w:rsid w:val="00DD3BD1"/>
    <w:rsid w:val="00DD3D11"/>
    <w:rsid w:val="00DD3E38"/>
    <w:rsid w:val="00DD3E70"/>
    <w:rsid w:val="00DD3E9F"/>
    <w:rsid w:val="00DD4017"/>
    <w:rsid w:val="00DD4252"/>
    <w:rsid w:val="00DD4322"/>
    <w:rsid w:val="00DD4373"/>
    <w:rsid w:val="00DD4563"/>
    <w:rsid w:val="00DD4616"/>
    <w:rsid w:val="00DD47B6"/>
    <w:rsid w:val="00DD48A2"/>
    <w:rsid w:val="00DD4924"/>
    <w:rsid w:val="00DD4A09"/>
    <w:rsid w:val="00DD4A65"/>
    <w:rsid w:val="00DD4AC2"/>
    <w:rsid w:val="00DD4AE7"/>
    <w:rsid w:val="00DD4B4B"/>
    <w:rsid w:val="00DD4B64"/>
    <w:rsid w:val="00DD4C28"/>
    <w:rsid w:val="00DD4CE5"/>
    <w:rsid w:val="00DD4D63"/>
    <w:rsid w:val="00DD4EBC"/>
    <w:rsid w:val="00DD513E"/>
    <w:rsid w:val="00DD5147"/>
    <w:rsid w:val="00DD538F"/>
    <w:rsid w:val="00DD555C"/>
    <w:rsid w:val="00DD55B6"/>
    <w:rsid w:val="00DD56C9"/>
    <w:rsid w:val="00DD56F9"/>
    <w:rsid w:val="00DD57A8"/>
    <w:rsid w:val="00DD5805"/>
    <w:rsid w:val="00DD59B0"/>
    <w:rsid w:val="00DD5B72"/>
    <w:rsid w:val="00DD5B9D"/>
    <w:rsid w:val="00DD5C66"/>
    <w:rsid w:val="00DD5DCC"/>
    <w:rsid w:val="00DD5F51"/>
    <w:rsid w:val="00DD60F2"/>
    <w:rsid w:val="00DD6135"/>
    <w:rsid w:val="00DD61B5"/>
    <w:rsid w:val="00DD6434"/>
    <w:rsid w:val="00DD6460"/>
    <w:rsid w:val="00DD64C6"/>
    <w:rsid w:val="00DD661D"/>
    <w:rsid w:val="00DD66C5"/>
    <w:rsid w:val="00DD67B9"/>
    <w:rsid w:val="00DD6802"/>
    <w:rsid w:val="00DD6931"/>
    <w:rsid w:val="00DD6ACB"/>
    <w:rsid w:val="00DD6E39"/>
    <w:rsid w:val="00DD6E84"/>
    <w:rsid w:val="00DD6F75"/>
    <w:rsid w:val="00DD6FDD"/>
    <w:rsid w:val="00DD7194"/>
    <w:rsid w:val="00DD7214"/>
    <w:rsid w:val="00DD721B"/>
    <w:rsid w:val="00DD7392"/>
    <w:rsid w:val="00DD744D"/>
    <w:rsid w:val="00DD7676"/>
    <w:rsid w:val="00DD76EC"/>
    <w:rsid w:val="00DD76F7"/>
    <w:rsid w:val="00DD7805"/>
    <w:rsid w:val="00DD7869"/>
    <w:rsid w:val="00DD788E"/>
    <w:rsid w:val="00DD7A37"/>
    <w:rsid w:val="00DD7DD7"/>
    <w:rsid w:val="00DD7E97"/>
    <w:rsid w:val="00DD7F02"/>
    <w:rsid w:val="00DD7FFD"/>
    <w:rsid w:val="00DE0020"/>
    <w:rsid w:val="00DE003B"/>
    <w:rsid w:val="00DE0415"/>
    <w:rsid w:val="00DE05B5"/>
    <w:rsid w:val="00DE0750"/>
    <w:rsid w:val="00DE0895"/>
    <w:rsid w:val="00DE091A"/>
    <w:rsid w:val="00DE0A21"/>
    <w:rsid w:val="00DE0ABF"/>
    <w:rsid w:val="00DE0BC9"/>
    <w:rsid w:val="00DE0CAA"/>
    <w:rsid w:val="00DE0D05"/>
    <w:rsid w:val="00DE0EBD"/>
    <w:rsid w:val="00DE0F25"/>
    <w:rsid w:val="00DE111C"/>
    <w:rsid w:val="00DE111F"/>
    <w:rsid w:val="00DE1174"/>
    <w:rsid w:val="00DE1176"/>
    <w:rsid w:val="00DE122E"/>
    <w:rsid w:val="00DE142A"/>
    <w:rsid w:val="00DE1475"/>
    <w:rsid w:val="00DE155A"/>
    <w:rsid w:val="00DE1584"/>
    <w:rsid w:val="00DE1587"/>
    <w:rsid w:val="00DE15F7"/>
    <w:rsid w:val="00DE1633"/>
    <w:rsid w:val="00DE1748"/>
    <w:rsid w:val="00DE1792"/>
    <w:rsid w:val="00DE19A5"/>
    <w:rsid w:val="00DE1A2B"/>
    <w:rsid w:val="00DE1B40"/>
    <w:rsid w:val="00DE1B41"/>
    <w:rsid w:val="00DE1BD7"/>
    <w:rsid w:val="00DE1C09"/>
    <w:rsid w:val="00DE1C3A"/>
    <w:rsid w:val="00DE1C6D"/>
    <w:rsid w:val="00DE1CA5"/>
    <w:rsid w:val="00DE1DFE"/>
    <w:rsid w:val="00DE1F83"/>
    <w:rsid w:val="00DE2131"/>
    <w:rsid w:val="00DE214A"/>
    <w:rsid w:val="00DE2309"/>
    <w:rsid w:val="00DE2442"/>
    <w:rsid w:val="00DE24A4"/>
    <w:rsid w:val="00DE265F"/>
    <w:rsid w:val="00DE26EE"/>
    <w:rsid w:val="00DE26F0"/>
    <w:rsid w:val="00DE2763"/>
    <w:rsid w:val="00DE27BC"/>
    <w:rsid w:val="00DE290C"/>
    <w:rsid w:val="00DE2C4C"/>
    <w:rsid w:val="00DE2DFC"/>
    <w:rsid w:val="00DE2E5B"/>
    <w:rsid w:val="00DE3047"/>
    <w:rsid w:val="00DE3058"/>
    <w:rsid w:val="00DE3114"/>
    <w:rsid w:val="00DE311E"/>
    <w:rsid w:val="00DE31C5"/>
    <w:rsid w:val="00DE33C1"/>
    <w:rsid w:val="00DE3624"/>
    <w:rsid w:val="00DE3759"/>
    <w:rsid w:val="00DE37D0"/>
    <w:rsid w:val="00DE38E6"/>
    <w:rsid w:val="00DE39BE"/>
    <w:rsid w:val="00DE3A53"/>
    <w:rsid w:val="00DE3ABB"/>
    <w:rsid w:val="00DE3C2F"/>
    <w:rsid w:val="00DE3C77"/>
    <w:rsid w:val="00DE3EA9"/>
    <w:rsid w:val="00DE3F42"/>
    <w:rsid w:val="00DE3F7F"/>
    <w:rsid w:val="00DE3FAC"/>
    <w:rsid w:val="00DE40C4"/>
    <w:rsid w:val="00DE40C5"/>
    <w:rsid w:val="00DE40F0"/>
    <w:rsid w:val="00DE4143"/>
    <w:rsid w:val="00DE414C"/>
    <w:rsid w:val="00DE41D6"/>
    <w:rsid w:val="00DE43AF"/>
    <w:rsid w:val="00DE4428"/>
    <w:rsid w:val="00DE46DA"/>
    <w:rsid w:val="00DE477D"/>
    <w:rsid w:val="00DE478F"/>
    <w:rsid w:val="00DE48D8"/>
    <w:rsid w:val="00DE48D9"/>
    <w:rsid w:val="00DE4931"/>
    <w:rsid w:val="00DE495C"/>
    <w:rsid w:val="00DE4A0A"/>
    <w:rsid w:val="00DE4CD8"/>
    <w:rsid w:val="00DE4D01"/>
    <w:rsid w:val="00DE4DDD"/>
    <w:rsid w:val="00DE4E0B"/>
    <w:rsid w:val="00DE50C5"/>
    <w:rsid w:val="00DE5287"/>
    <w:rsid w:val="00DE52D1"/>
    <w:rsid w:val="00DE5401"/>
    <w:rsid w:val="00DE542D"/>
    <w:rsid w:val="00DE54FE"/>
    <w:rsid w:val="00DE5533"/>
    <w:rsid w:val="00DE565C"/>
    <w:rsid w:val="00DE5687"/>
    <w:rsid w:val="00DE56BE"/>
    <w:rsid w:val="00DE573C"/>
    <w:rsid w:val="00DE598C"/>
    <w:rsid w:val="00DE59C2"/>
    <w:rsid w:val="00DE5AAB"/>
    <w:rsid w:val="00DE5BD0"/>
    <w:rsid w:val="00DE60B4"/>
    <w:rsid w:val="00DE60C9"/>
    <w:rsid w:val="00DE61C3"/>
    <w:rsid w:val="00DE648C"/>
    <w:rsid w:val="00DE64C3"/>
    <w:rsid w:val="00DE64FB"/>
    <w:rsid w:val="00DE6540"/>
    <w:rsid w:val="00DE6690"/>
    <w:rsid w:val="00DE66B2"/>
    <w:rsid w:val="00DE6959"/>
    <w:rsid w:val="00DE6C2B"/>
    <w:rsid w:val="00DE6C5C"/>
    <w:rsid w:val="00DE6C72"/>
    <w:rsid w:val="00DE6C74"/>
    <w:rsid w:val="00DE6D4C"/>
    <w:rsid w:val="00DE70F1"/>
    <w:rsid w:val="00DE7427"/>
    <w:rsid w:val="00DE76C4"/>
    <w:rsid w:val="00DE7751"/>
    <w:rsid w:val="00DE7784"/>
    <w:rsid w:val="00DE7843"/>
    <w:rsid w:val="00DE79CE"/>
    <w:rsid w:val="00DE79E3"/>
    <w:rsid w:val="00DE79EA"/>
    <w:rsid w:val="00DE7A17"/>
    <w:rsid w:val="00DE7C2F"/>
    <w:rsid w:val="00DE7CB9"/>
    <w:rsid w:val="00DE7D46"/>
    <w:rsid w:val="00DE7D69"/>
    <w:rsid w:val="00DE7DC0"/>
    <w:rsid w:val="00DE7E9D"/>
    <w:rsid w:val="00DF0014"/>
    <w:rsid w:val="00DF0249"/>
    <w:rsid w:val="00DF02D7"/>
    <w:rsid w:val="00DF0353"/>
    <w:rsid w:val="00DF04DE"/>
    <w:rsid w:val="00DF052E"/>
    <w:rsid w:val="00DF06CE"/>
    <w:rsid w:val="00DF07B9"/>
    <w:rsid w:val="00DF0870"/>
    <w:rsid w:val="00DF091D"/>
    <w:rsid w:val="00DF09B2"/>
    <w:rsid w:val="00DF0A54"/>
    <w:rsid w:val="00DF0A7A"/>
    <w:rsid w:val="00DF0BC7"/>
    <w:rsid w:val="00DF0CC1"/>
    <w:rsid w:val="00DF0D84"/>
    <w:rsid w:val="00DF0DE0"/>
    <w:rsid w:val="00DF1085"/>
    <w:rsid w:val="00DF110A"/>
    <w:rsid w:val="00DF119E"/>
    <w:rsid w:val="00DF1425"/>
    <w:rsid w:val="00DF1455"/>
    <w:rsid w:val="00DF149B"/>
    <w:rsid w:val="00DF14FD"/>
    <w:rsid w:val="00DF15E2"/>
    <w:rsid w:val="00DF1613"/>
    <w:rsid w:val="00DF16C9"/>
    <w:rsid w:val="00DF1736"/>
    <w:rsid w:val="00DF184F"/>
    <w:rsid w:val="00DF1C6C"/>
    <w:rsid w:val="00DF1D06"/>
    <w:rsid w:val="00DF1EEA"/>
    <w:rsid w:val="00DF1EFD"/>
    <w:rsid w:val="00DF1FA9"/>
    <w:rsid w:val="00DF1FB8"/>
    <w:rsid w:val="00DF2084"/>
    <w:rsid w:val="00DF2093"/>
    <w:rsid w:val="00DF212C"/>
    <w:rsid w:val="00DF25A4"/>
    <w:rsid w:val="00DF25B5"/>
    <w:rsid w:val="00DF25D7"/>
    <w:rsid w:val="00DF25E1"/>
    <w:rsid w:val="00DF28D1"/>
    <w:rsid w:val="00DF292C"/>
    <w:rsid w:val="00DF2A14"/>
    <w:rsid w:val="00DF2A61"/>
    <w:rsid w:val="00DF2BB0"/>
    <w:rsid w:val="00DF2BC9"/>
    <w:rsid w:val="00DF2BF9"/>
    <w:rsid w:val="00DF2E88"/>
    <w:rsid w:val="00DF2E8C"/>
    <w:rsid w:val="00DF2F4E"/>
    <w:rsid w:val="00DF308F"/>
    <w:rsid w:val="00DF33ED"/>
    <w:rsid w:val="00DF3418"/>
    <w:rsid w:val="00DF34A0"/>
    <w:rsid w:val="00DF35F2"/>
    <w:rsid w:val="00DF3621"/>
    <w:rsid w:val="00DF3643"/>
    <w:rsid w:val="00DF36DE"/>
    <w:rsid w:val="00DF36F8"/>
    <w:rsid w:val="00DF38AB"/>
    <w:rsid w:val="00DF396E"/>
    <w:rsid w:val="00DF3A68"/>
    <w:rsid w:val="00DF3D7E"/>
    <w:rsid w:val="00DF3DD2"/>
    <w:rsid w:val="00DF409F"/>
    <w:rsid w:val="00DF41C5"/>
    <w:rsid w:val="00DF42BB"/>
    <w:rsid w:val="00DF42C4"/>
    <w:rsid w:val="00DF43F5"/>
    <w:rsid w:val="00DF4450"/>
    <w:rsid w:val="00DF446A"/>
    <w:rsid w:val="00DF44CA"/>
    <w:rsid w:val="00DF4589"/>
    <w:rsid w:val="00DF4622"/>
    <w:rsid w:val="00DF4669"/>
    <w:rsid w:val="00DF4675"/>
    <w:rsid w:val="00DF472A"/>
    <w:rsid w:val="00DF4750"/>
    <w:rsid w:val="00DF4756"/>
    <w:rsid w:val="00DF4950"/>
    <w:rsid w:val="00DF4992"/>
    <w:rsid w:val="00DF4A16"/>
    <w:rsid w:val="00DF4A92"/>
    <w:rsid w:val="00DF4B11"/>
    <w:rsid w:val="00DF4B7F"/>
    <w:rsid w:val="00DF4D95"/>
    <w:rsid w:val="00DF4E0E"/>
    <w:rsid w:val="00DF4E53"/>
    <w:rsid w:val="00DF4E6C"/>
    <w:rsid w:val="00DF4FAE"/>
    <w:rsid w:val="00DF505B"/>
    <w:rsid w:val="00DF5242"/>
    <w:rsid w:val="00DF52B8"/>
    <w:rsid w:val="00DF5521"/>
    <w:rsid w:val="00DF564E"/>
    <w:rsid w:val="00DF568A"/>
    <w:rsid w:val="00DF5725"/>
    <w:rsid w:val="00DF57E9"/>
    <w:rsid w:val="00DF59C7"/>
    <w:rsid w:val="00DF5A68"/>
    <w:rsid w:val="00DF5A9D"/>
    <w:rsid w:val="00DF5AE0"/>
    <w:rsid w:val="00DF5C05"/>
    <w:rsid w:val="00DF5C73"/>
    <w:rsid w:val="00DF5D3C"/>
    <w:rsid w:val="00DF5DA2"/>
    <w:rsid w:val="00DF5E24"/>
    <w:rsid w:val="00DF5F46"/>
    <w:rsid w:val="00DF6117"/>
    <w:rsid w:val="00DF6192"/>
    <w:rsid w:val="00DF62BB"/>
    <w:rsid w:val="00DF6378"/>
    <w:rsid w:val="00DF6507"/>
    <w:rsid w:val="00DF67BC"/>
    <w:rsid w:val="00DF6801"/>
    <w:rsid w:val="00DF69AD"/>
    <w:rsid w:val="00DF6A65"/>
    <w:rsid w:val="00DF6DBD"/>
    <w:rsid w:val="00DF6F34"/>
    <w:rsid w:val="00DF6F61"/>
    <w:rsid w:val="00DF6F7C"/>
    <w:rsid w:val="00DF70B7"/>
    <w:rsid w:val="00DF716F"/>
    <w:rsid w:val="00DF7243"/>
    <w:rsid w:val="00DF7345"/>
    <w:rsid w:val="00DF73D9"/>
    <w:rsid w:val="00DF74D4"/>
    <w:rsid w:val="00DF7508"/>
    <w:rsid w:val="00DF7523"/>
    <w:rsid w:val="00DF7669"/>
    <w:rsid w:val="00DF7909"/>
    <w:rsid w:val="00DF7A6D"/>
    <w:rsid w:val="00DF7ADE"/>
    <w:rsid w:val="00DF7B7A"/>
    <w:rsid w:val="00DF7C53"/>
    <w:rsid w:val="00DF7D4D"/>
    <w:rsid w:val="00DF7D62"/>
    <w:rsid w:val="00DF7DA3"/>
    <w:rsid w:val="00DF7DB9"/>
    <w:rsid w:val="00DF7DD3"/>
    <w:rsid w:val="00DF7ED8"/>
    <w:rsid w:val="00DF7FB0"/>
    <w:rsid w:val="00DF7FC4"/>
    <w:rsid w:val="00E000A3"/>
    <w:rsid w:val="00E00130"/>
    <w:rsid w:val="00E00167"/>
    <w:rsid w:val="00E001E4"/>
    <w:rsid w:val="00E00286"/>
    <w:rsid w:val="00E002ED"/>
    <w:rsid w:val="00E00443"/>
    <w:rsid w:val="00E005BB"/>
    <w:rsid w:val="00E006F4"/>
    <w:rsid w:val="00E007E8"/>
    <w:rsid w:val="00E007EE"/>
    <w:rsid w:val="00E0091D"/>
    <w:rsid w:val="00E00D86"/>
    <w:rsid w:val="00E00ED9"/>
    <w:rsid w:val="00E00FE5"/>
    <w:rsid w:val="00E01025"/>
    <w:rsid w:val="00E011AF"/>
    <w:rsid w:val="00E0120D"/>
    <w:rsid w:val="00E01304"/>
    <w:rsid w:val="00E013C4"/>
    <w:rsid w:val="00E01405"/>
    <w:rsid w:val="00E01436"/>
    <w:rsid w:val="00E01481"/>
    <w:rsid w:val="00E015B7"/>
    <w:rsid w:val="00E01645"/>
    <w:rsid w:val="00E01890"/>
    <w:rsid w:val="00E018D4"/>
    <w:rsid w:val="00E0193F"/>
    <w:rsid w:val="00E01A3D"/>
    <w:rsid w:val="00E01A86"/>
    <w:rsid w:val="00E01AA2"/>
    <w:rsid w:val="00E01B42"/>
    <w:rsid w:val="00E01C00"/>
    <w:rsid w:val="00E01CAA"/>
    <w:rsid w:val="00E01DBD"/>
    <w:rsid w:val="00E01E3E"/>
    <w:rsid w:val="00E0220C"/>
    <w:rsid w:val="00E022A2"/>
    <w:rsid w:val="00E02350"/>
    <w:rsid w:val="00E023AC"/>
    <w:rsid w:val="00E0246A"/>
    <w:rsid w:val="00E026A0"/>
    <w:rsid w:val="00E0288E"/>
    <w:rsid w:val="00E02B42"/>
    <w:rsid w:val="00E02C01"/>
    <w:rsid w:val="00E02CFD"/>
    <w:rsid w:val="00E02F80"/>
    <w:rsid w:val="00E02FC1"/>
    <w:rsid w:val="00E02FC5"/>
    <w:rsid w:val="00E03063"/>
    <w:rsid w:val="00E03091"/>
    <w:rsid w:val="00E03111"/>
    <w:rsid w:val="00E03376"/>
    <w:rsid w:val="00E0349D"/>
    <w:rsid w:val="00E035F4"/>
    <w:rsid w:val="00E03601"/>
    <w:rsid w:val="00E037C2"/>
    <w:rsid w:val="00E0381E"/>
    <w:rsid w:val="00E038A8"/>
    <w:rsid w:val="00E0397B"/>
    <w:rsid w:val="00E039A2"/>
    <w:rsid w:val="00E03C82"/>
    <w:rsid w:val="00E03CD8"/>
    <w:rsid w:val="00E03D13"/>
    <w:rsid w:val="00E03DC5"/>
    <w:rsid w:val="00E03E36"/>
    <w:rsid w:val="00E03F2A"/>
    <w:rsid w:val="00E03F3F"/>
    <w:rsid w:val="00E04028"/>
    <w:rsid w:val="00E04169"/>
    <w:rsid w:val="00E041CE"/>
    <w:rsid w:val="00E04291"/>
    <w:rsid w:val="00E04338"/>
    <w:rsid w:val="00E0442C"/>
    <w:rsid w:val="00E0448B"/>
    <w:rsid w:val="00E044FA"/>
    <w:rsid w:val="00E04507"/>
    <w:rsid w:val="00E04642"/>
    <w:rsid w:val="00E0470A"/>
    <w:rsid w:val="00E048EC"/>
    <w:rsid w:val="00E049B8"/>
    <w:rsid w:val="00E04CC2"/>
    <w:rsid w:val="00E04CEE"/>
    <w:rsid w:val="00E05017"/>
    <w:rsid w:val="00E0509A"/>
    <w:rsid w:val="00E051CD"/>
    <w:rsid w:val="00E05262"/>
    <w:rsid w:val="00E05391"/>
    <w:rsid w:val="00E05609"/>
    <w:rsid w:val="00E05771"/>
    <w:rsid w:val="00E057A4"/>
    <w:rsid w:val="00E0580C"/>
    <w:rsid w:val="00E058AE"/>
    <w:rsid w:val="00E0596B"/>
    <w:rsid w:val="00E05A2E"/>
    <w:rsid w:val="00E05AFE"/>
    <w:rsid w:val="00E05D83"/>
    <w:rsid w:val="00E05DA6"/>
    <w:rsid w:val="00E05F36"/>
    <w:rsid w:val="00E05F4D"/>
    <w:rsid w:val="00E0606E"/>
    <w:rsid w:val="00E06190"/>
    <w:rsid w:val="00E061B2"/>
    <w:rsid w:val="00E061DE"/>
    <w:rsid w:val="00E06286"/>
    <w:rsid w:val="00E06425"/>
    <w:rsid w:val="00E06570"/>
    <w:rsid w:val="00E06598"/>
    <w:rsid w:val="00E06744"/>
    <w:rsid w:val="00E0693E"/>
    <w:rsid w:val="00E069F3"/>
    <w:rsid w:val="00E06C13"/>
    <w:rsid w:val="00E06C70"/>
    <w:rsid w:val="00E06C74"/>
    <w:rsid w:val="00E06DBB"/>
    <w:rsid w:val="00E06E0C"/>
    <w:rsid w:val="00E06F41"/>
    <w:rsid w:val="00E06FD3"/>
    <w:rsid w:val="00E07001"/>
    <w:rsid w:val="00E070D3"/>
    <w:rsid w:val="00E07125"/>
    <w:rsid w:val="00E07135"/>
    <w:rsid w:val="00E0714C"/>
    <w:rsid w:val="00E0727C"/>
    <w:rsid w:val="00E07294"/>
    <w:rsid w:val="00E07998"/>
    <w:rsid w:val="00E07A49"/>
    <w:rsid w:val="00E07C18"/>
    <w:rsid w:val="00E07D35"/>
    <w:rsid w:val="00E07E41"/>
    <w:rsid w:val="00E07EB1"/>
    <w:rsid w:val="00E07EBC"/>
    <w:rsid w:val="00E07EE4"/>
    <w:rsid w:val="00E07FDA"/>
    <w:rsid w:val="00E1009B"/>
    <w:rsid w:val="00E101C6"/>
    <w:rsid w:val="00E10419"/>
    <w:rsid w:val="00E1049D"/>
    <w:rsid w:val="00E104A0"/>
    <w:rsid w:val="00E1055F"/>
    <w:rsid w:val="00E1057F"/>
    <w:rsid w:val="00E10614"/>
    <w:rsid w:val="00E106ED"/>
    <w:rsid w:val="00E1078E"/>
    <w:rsid w:val="00E107F3"/>
    <w:rsid w:val="00E10880"/>
    <w:rsid w:val="00E1089D"/>
    <w:rsid w:val="00E109EE"/>
    <w:rsid w:val="00E10ABC"/>
    <w:rsid w:val="00E10B3A"/>
    <w:rsid w:val="00E10F81"/>
    <w:rsid w:val="00E10FBA"/>
    <w:rsid w:val="00E10FDC"/>
    <w:rsid w:val="00E11144"/>
    <w:rsid w:val="00E1124F"/>
    <w:rsid w:val="00E112B9"/>
    <w:rsid w:val="00E11366"/>
    <w:rsid w:val="00E11456"/>
    <w:rsid w:val="00E11565"/>
    <w:rsid w:val="00E117FF"/>
    <w:rsid w:val="00E1189B"/>
    <w:rsid w:val="00E118EB"/>
    <w:rsid w:val="00E11BED"/>
    <w:rsid w:val="00E11EF5"/>
    <w:rsid w:val="00E1201E"/>
    <w:rsid w:val="00E12153"/>
    <w:rsid w:val="00E121C8"/>
    <w:rsid w:val="00E123D4"/>
    <w:rsid w:val="00E12425"/>
    <w:rsid w:val="00E12571"/>
    <w:rsid w:val="00E12689"/>
    <w:rsid w:val="00E126C9"/>
    <w:rsid w:val="00E1278E"/>
    <w:rsid w:val="00E128D0"/>
    <w:rsid w:val="00E129B2"/>
    <w:rsid w:val="00E12A7E"/>
    <w:rsid w:val="00E12D62"/>
    <w:rsid w:val="00E12E18"/>
    <w:rsid w:val="00E12EFA"/>
    <w:rsid w:val="00E12F54"/>
    <w:rsid w:val="00E12FED"/>
    <w:rsid w:val="00E130CD"/>
    <w:rsid w:val="00E1310F"/>
    <w:rsid w:val="00E13218"/>
    <w:rsid w:val="00E13349"/>
    <w:rsid w:val="00E13403"/>
    <w:rsid w:val="00E135D3"/>
    <w:rsid w:val="00E13620"/>
    <w:rsid w:val="00E13712"/>
    <w:rsid w:val="00E13761"/>
    <w:rsid w:val="00E13841"/>
    <w:rsid w:val="00E13A41"/>
    <w:rsid w:val="00E13BC9"/>
    <w:rsid w:val="00E13BFA"/>
    <w:rsid w:val="00E13C86"/>
    <w:rsid w:val="00E13D45"/>
    <w:rsid w:val="00E13DE0"/>
    <w:rsid w:val="00E13E7E"/>
    <w:rsid w:val="00E1402F"/>
    <w:rsid w:val="00E140A6"/>
    <w:rsid w:val="00E140CC"/>
    <w:rsid w:val="00E140E0"/>
    <w:rsid w:val="00E140F8"/>
    <w:rsid w:val="00E14145"/>
    <w:rsid w:val="00E14176"/>
    <w:rsid w:val="00E14187"/>
    <w:rsid w:val="00E14211"/>
    <w:rsid w:val="00E143C4"/>
    <w:rsid w:val="00E143E8"/>
    <w:rsid w:val="00E14593"/>
    <w:rsid w:val="00E14770"/>
    <w:rsid w:val="00E14A1F"/>
    <w:rsid w:val="00E14B91"/>
    <w:rsid w:val="00E14D34"/>
    <w:rsid w:val="00E14DC5"/>
    <w:rsid w:val="00E14E35"/>
    <w:rsid w:val="00E14E61"/>
    <w:rsid w:val="00E14F76"/>
    <w:rsid w:val="00E150BB"/>
    <w:rsid w:val="00E15103"/>
    <w:rsid w:val="00E152DF"/>
    <w:rsid w:val="00E1546A"/>
    <w:rsid w:val="00E154B6"/>
    <w:rsid w:val="00E15509"/>
    <w:rsid w:val="00E15574"/>
    <w:rsid w:val="00E155A2"/>
    <w:rsid w:val="00E156F1"/>
    <w:rsid w:val="00E15741"/>
    <w:rsid w:val="00E15840"/>
    <w:rsid w:val="00E15844"/>
    <w:rsid w:val="00E1588A"/>
    <w:rsid w:val="00E159D1"/>
    <w:rsid w:val="00E159DF"/>
    <w:rsid w:val="00E15B48"/>
    <w:rsid w:val="00E15C1D"/>
    <w:rsid w:val="00E15CD6"/>
    <w:rsid w:val="00E15DCB"/>
    <w:rsid w:val="00E15EC4"/>
    <w:rsid w:val="00E15EF6"/>
    <w:rsid w:val="00E15FE4"/>
    <w:rsid w:val="00E15FFE"/>
    <w:rsid w:val="00E1601C"/>
    <w:rsid w:val="00E16133"/>
    <w:rsid w:val="00E1616C"/>
    <w:rsid w:val="00E161A0"/>
    <w:rsid w:val="00E161BB"/>
    <w:rsid w:val="00E162AB"/>
    <w:rsid w:val="00E16402"/>
    <w:rsid w:val="00E1668D"/>
    <w:rsid w:val="00E166FE"/>
    <w:rsid w:val="00E16822"/>
    <w:rsid w:val="00E169FA"/>
    <w:rsid w:val="00E16D3C"/>
    <w:rsid w:val="00E16E7A"/>
    <w:rsid w:val="00E16EC6"/>
    <w:rsid w:val="00E16FCF"/>
    <w:rsid w:val="00E16FE5"/>
    <w:rsid w:val="00E16FF9"/>
    <w:rsid w:val="00E17106"/>
    <w:rsid w:val="00E17197"/>
    <w:rsid w:val="00E1726D"/>
    <w:rsid w:val="00E17279"/>
    <w:rsid w:val="00E172BD"/>
    <w:rsid w:val="00E17634"/>
    <w:rsid w:val="00E1767B"/>
    <w:rsid w:val="00E17683"/>
    <w:rsid w:val="00E1787D"/>
    <w:rsid w:val="00E179DA"/>
    <w:rsid w:val="00E179E5"/>
    <w:rsid w:val="00E17AB2"/>
    <w:rsid w:val="00E17D70"/>
    <w:rsid w:val="00E17E8A"/>
    <w:rsid w:val="00E17EC8"/>
    <w:rsid w:val="00E20031"/>
    <w:rsid w:val="00E200E2"/>
    <w:rsid w:val="00E20199"/>
    <w:rsid w:val="00E202A7"/>
    <w:rsid w:val="00E20472"/>
    <w:rsid w:val="00E204CC"/>
    <w:rsid w:val="00E205BD"/>
    <w:rsid w:val="00E205D6"/>
    <w:rsid w:val="00E205DA"/>
    <w:rsid w:val="00E2061A"/>
    <w:rsid w:val="00E206CB"/>
    <w:rsid w:val="00E20732"/>
    <w:rsid w:val="00E20740"/>
    <w:rsid w:val="00E2075F"/>
    <w:rsid w:val="00E20905"/>
    <w:rsid w:val="00E209F2"/>
    <w:rsid w:val="00E20AE2"/>
    <w:rsid w:val="00E20B1F"/>
    <w:rsid w:val="00E20B69"/>
    <w:rsid w:val="00E20BA6"/>
    <w:rsid w:val="00E20BF9"/>
    <w:rsid w:val="00E20C0C"/>
    <w:rsid w:val="00E20E23"/>
    <w:rsid w:val="00E21023"/>
    <w:rsid w:val="00E2103D"/>
    <w:rsid w:val="00E2105B"/>
    <w:rsid w:val="00E211EC"/>
    <w:rsid w:val="00E211ED"/>
    <w:rsid w:val="00E2123C"/>
    <w:rsid w:val="00E2132A"/>
    <w:rsid w:val="00E2136D"/>
    <w:rsid w:val="00E2149E"/>
    <w:rsid w:val="00E21526"/>
    <w:rsid w:val="00E216C1"/>
    <w:rsid w:val="00E21EF5"/>
    <w:rsid w:val="00E21F2A"/>
    <w:rsid w:val="00E21F4E"/>
    <w:rsid w:val="00E22093"/>
    <w:rsid w:val="00E220D9"/>
    <w:rsid w:val="00E2254E"/>
    <w:rsid w:val="00E226BE"/>
    <w:rsid w:val="00E2277A"/>
    <w:rsid w:val="00E227A1"/>
    <w:rsid w:val="00E228A2"/>
    <w:rsid w:val="00E228E8"/>
    <w:rsid w:val="00E22A5C"/>
    <w:rsid w:val="00E22C4D"/>
    <w:rsid w:val="00E22C80"/>
    <w:rsid w:val="00E22D3A"/>
    <w:rsid w:val="00E22D51"/>
    <w:rsid w:val="00E22D55"/>
    <w:rsid w:val="00E22EDC"/>
    <w:rsid w:val="00E22EDE"/>
    <w:rsid w:val="00E23100"/>
    <w:rsid w:val="00E232D7"/>
    <w:rsid w:val="00E23377"/>
    <w:rsid w:val="00E23556"/>
    <w:rsid w:val="00E23581"/>
    <w:rsid w:val="00E236A8"/>
    <w:rsid w:val="00E2378C"/>
    <w:rsid w:val="00E238F7"/>
    <w:rsid w:val="00E23A29"/>
    <w:rsid w:val="00E23B92"/>
    <w:rsid w:val="00E23BBE"/>
    <w:rsid w:val="00E23C0E"/>
    <w:rsid w:val="00E23C18"/>
    <w:rsid w:val="00E23D52"/>
    <w:rsid w:val="00E23E1E"/>
    <w:rsid w:val="00E23F60"/>
    <w:rsid w:val="00E23FF1"/>
    <w:rsid w:val="00E23FF8"/>
    <w:rsid w:val="00E24086"/>
    <w:rsid w:val="00E2408E"/>
    <w:rsid w:val="00E241C4"/>
    <w:rsid w:val="00E241EE"/>
    <w:rsid w:val="00E24320"/>
    <w:rsid w:val="00E24485"/>
    <w:rsid w:val="00E24555"/>
    <w:rsid w:val="00E24604"/>
    <w:rsid w:val="00E2466F"/>
    <w:rsid w:val="00E246CE"/>
    <w:rsid w:val="00E246EB"/>
    <w:rsid w:val="00E246EE"/>
    <w:rsid w:val="00E247E2"/>
    <w:rsid w:val="00E24A32"/>
    <w:rsid w:val="00E24A5E"/>
    <w:rsid w:val="00E24AF2"/>
    <w:rsid w:val="00E24B43"/>
    <w:rsid w:val="00E24C95"/>
    <w:rsid w:val="00E24CAC"/>
    <w:rsid w:val="00E24D4B"/>
    <w:rsid w:val="00E24E14"/>
    <w:rsid w:val="00E24F57"/>
    <w:rsid w:val="00E25034"/>
    <w:rsid w:val="00E253AF"/>
    <w:rsid w:val="00E2548F"/>
    <w:rsid w:val="00E25578"/>
    <w:rsid w:val="00E255F6"/>
    <w:rsid w:val="00E256BB"/>
    <w:rsid w:val="00E25704"/>
    <w:rsid w:val="00E25820"/>
    <w:rsid w:val="00E25842"/>
    <w:rsid w:val="00E2592B"/>
    <w:rsid w:val="00E2595F"/>
    <w:rsid w:val="00E259A3"/>
    <w:rsid w:val="00E259AB"/>
    <w:rsid w:val="00E25A18"/>
    <w:rsid w:val="00E25C2C"/>
    <w:rsid w:val="00E25D2B"/>
    <w:rsid w:val="00E25D8B"/>
    <w:rsid w:val="00E25DBB"/>
    <w:rsid w:val="00E25DFF"/>
    <w:rsid w:val="00E25EB8"/>
    <w:rsid w:val="00E25F46"/>
    <w:rsid w:val="00E2604D"/>
    <w:rsid w:val="00E26179"/>
    <w:rsid w:val="00E264CF"/>
    <w:rsid w:val="00E26652"/>
    <w:rsid w:val="00E26706"/>
    <w:rsid w:val="00E26BE7"/>
    <w:rsid w:val="00E26C25"/>
    <w:rsid w:val="00E26D33"/>
    <w:rsid w:val="00E26DCF"/>
    <w:rsid w:val="00E26E3A"/>
    <w:rsid w:val="00E26E86"/>
    <w:rsid w:val="00E26F4D"/>
    <w:rsid w:val="00E26FB6"/>
    <w:rsid w:val="00E27019"/>
    <w:rsid w:val="00E27636"/>
    <w:rsid w:val="00E276A0"/>
    <w:rsid w:val="00E27795"/>
    <w:rsid w:val="00E27868"/>
    <w:rsid w:val="00E278D8"/>
    <w:rsid w:val="00E278EE"/>
    <w:rsid w:val="00E27950"/>
    <w:rsid w:val="00E27A78"/>
    <w:rsid w:val="00E27BF4"/>
    <w:rsid w:val="00E27DE4"/>
    <w:rsid w:val="00E27E2C"/>
    <w:rsid w:val="00E27EEE"/>
    <w:rsid w:val="00E27F2B"/>
    <w:rsid w:val="00E30038"/>
    <w:rsid w:val="00E3019A"/>
    <w:rsid w:val="00E302C6"/>
    <w:rsid w:val="00E302D5"/>
    <w:rsid w:val="00E303B2"/>
    <w:rsid w:val="00E303FE"/>
    <w:rsid w:val="00E30513"/>
    <w:rsid w:val="00E3056A"/>
    <w:rsid w:val="00E305A3"/>
    <w:rsid w:val="00E306D1"/>
    <w:rsid w:val="00E30718"/>
    <w:rsid w:val="00E308E5"/>
    <w:rsid w:val="00E30959"/>
    <w:rsid w:val="00E309A0"/>
    <w:rsid w:val="00E30A0E"/>
    <w:rsid w:val="00E30A5D"/>
    <w:rsid w:val="00E30A92"/>
    <w:rsid w:val="00E30C0F"/>
    <w:rsid w:val="00E30C99"/>
    <w:rsid w:val="00E30E30"/>
    <w:rsid w:val="00E30E9D"/>
    <w:rsid w:val="00E30F51"/>
    <w:rsid w:val="00E30F9F"/>
    <w:rsid w:val="00E30FF5"/>
    <w:rsid w:val="00E310DD"/>
    <w:rsid w:val="00E311CD"/>
    <w:rsid w:val="00E31216"/>
    <w:rsid w:val="00E31225"/>
    <w:rsid w:val="00E313FD"/>
    <w:rsid w:val="00E31495"/>
    <w:rsid w:val="00E314A5"/>
    <w:rsid w:val="00E314FF"/>
    <w:rsid w:val="00E31507"/>
    <w:rsid w:val="00E31708"/>
    <w:rsid w:val="00E3176F"/>
    <w:rsid w:val="00E31838"/>
    <w:rsid w:val="00E31903"/>
    <w:rsid w:val="00E31C48"/>
    <w:rsid w:val="00E31E04"/>
    <w:rsid w:val="00E31F06"/>
    <w:rsid w:val="00E32343"/>
    <w:rsid w:val="00E323A7"/>
    <w:rsid w:val="00E32413"/>
    <w:rsid w:val="00E324C7"/>
    <w:rsid w:val="00E32672"/>
    <w:rsid w:val="00E327A9"/>
    <w:rsid w:val="00E327C8"/>
    <w:rsid w:val="00E328F5"/>
    <w:rsid w:val="00E329C5"/>
    <w:rsid w:val="00E32A74"/>
    <w:rsid w:val="00E32C87"/>
    <w:rsid w:val="00E32C89"/>
    <w:rsid w:val="00E32CB8"/>
    <w:rsid w:val="00E32CD0"/>
    <w:rsid w:val="00E32D6B"/>
    <w:rsid w:val="00E32E85"/>
    <w:rsid w:val="00E32EFD"/>
    <w:rsid w:val="00E32FB7"/>
    <w:rsid w:val="00E32FD0"/>
    <w:rsid w:val="00E330C9"/>
    <w:rsid w:val="00E330FD"/>
    <w:rsid w:val="00E3314F"/>
    <w:rsid w:val="00E33165"/>
    <w:rsid w:val="00E3319F"/>
    <w:rsid w:val="00E33254"/>
    <w:rsid w:val="00E3331C"/>
    <w:rsid w:val="00E33457"/>
    <w:rsid w:val="00E3356F"/>
    <w:rsid w:val="00E3360E"/>
    <w:rsid w:val="00E33666"/>
    <w:rsid w:val="00E3372D"/>
    <w:rsid w:val="00E337BA"/>
    <w:rsid w:val="00E3381E"/>
    <w:rsid w:val="00E33869"/>
    <w:rsid w:val="00E339BC"/>
    <w:rsid w:val="00E33A99"/>
    <w:rsid w:val="00E33AE1"/>
    <w:rsid w:val="00E33AE7"/>
    <w:rsid w:val="00E33C90"/>
    <w:rsid w:val="00E33D4E"/>
    <w:rsid w:val="00E33EE9"/>
    <w:rsid w:val="00E33F83"/>
    <w:rsid w:val="00E341B8"/>
    <w:rsid w:val="00E3431F"/>
    <w:rsid w:val="00E3446E"/>
    <w:rsid w:val="00E344F4"/>
    <w:rsid w:val="00E34591"/>
    <w:rsid w:val="00E345B5"/>
    <w:rsid w:val="00E346C6"/>
    <w:rsid w:val="00E34715"/>
    <w:rsid w:val="00E347A8"/>
    <w:rsid w:val="00E347BC"/>
    <w:rsid w:val="00E34850"/>
    <w:rsid w:val="00E34974"/>
    <w:rsid w:val="00E349A7"/>
    <w:rsid w:val="00E349C6"/>
    <w:rsid w:val="00E34A9C"/>
    <w:rsid w:val="00E34B20"/>
    <w:rsid w:val="00E34E1C"/>
    <w:rsid w:val="00E34E74"/>
    <w:rsid w:val="00E34EEE"/>
    <w:rsid w:val="00E35189"/>
    <w:rsid w:val="00E352B9"/>
    <w:rsid w:val="00E352CE"/>
    <w:rsid w:val="00E35540"/>
    <w:rsid w:val="00E356D7"/>
    <w:rsid w:val="00E3570C"/>
    <w:rsid w:val="00E35790"/>
    <w:rsid w:val="00E3586E"/>
    <w:rsid w:val="00E359F4"/>
    <w:rsid w:val="00E35D10"/>
    <w:rsid w:val="00E35DBA"/>
    <w:rsid w:val="00E35DE5"/>
    <w:rsid w:val="00E35DEA"/>
    <w:rsid w:val="00E35DEF"/>
    <w:rsid w:val="00E361F8"/>
    <w:rsid w:val="00E362BD"/>
    <w:rsid w:val="00E362D0"/>
    <w:rsid w:val="00E36357"/>
    <w:rsid w:val="00E36364"/>
    <w:rsid w:val="00E36510"/>
    <w:rsid w:val="00E365D6"/>
    <w:rsid w:val="00E36634"/>
    <w:rsid w:val="00E36698"/>
    <w:rsid w:val="00E36925"/>
    <w:rsid w:val="00E36C21"/>
    <w:rsid w:val="00E36C57"/>
    <w:rsid w:val="00E36F97"/>
    <w:rsid w:val="00E37031"/>
    <w:rsid w:val="00E37044"/>
    <w:rsid w:val="00E37094"/>
    <w:rsid w:val="00E370B2"/>
    <w:rsid w:val="00E37142"/>
    <w:rsid w:val="00E37146"/>
    <w:rsid w:val="00E371B8"/>
    <w:rsid w:val="00E371CA"/>
    <w:rsid w:val="00E3723B"/>
    <w:rsid w:val="00E37394"/>
    <w:rsid w:val="00E37492"/>
    <w:rsid w:val="00E37601"/>
    <w:rsid w:val="00E37702"/>
    <w:rsid w:val="00E377CE"/>
    <w:rsid w:val="00E379D2"/>
    <w:rsid w:val="00E37AF6"/>
    <w:rsid w:val="00E37C3F"/>
    <w:rsid w:val="00E37C6A"/>
    <w:rsid w:val="00E37C8B"/>
    <w:rsid w:val="00E400EE"/>
    <w:rsid w:val="00E401E4"/>
    <w:rsid w:val="00E4020D"/>
    <w:rsid w:val="00E4022E"/>
    <w:rsid w:val="00E402D8"/>
    <w:rsid w:val="00E404C3"/>
    <w:rsid w:val="00E4059A"/>
    <w:rsid w:val="00E40623"/>
    <w:rsid w:val="00E40675"/>
    <w:rsid w:val="00E407B1"/>
    <w:rsid w:val="00E40807"/>
    <w:rsid w:val="00E40872"/>
    <w:rsid w:val="00E40876"/>
    <w:rsid w:val="00E4090B"/>
    <w:rsid w:val="00E4098D"/>
    <w:rsid w:val="00E40AA7"/>
    <w:rsid w:val="00E40B7A"/>
    <w:rsid w:val="00E40C53"/>
    <w:rsid w:val="00E40E7E"/>
    <w:rsid w:val="00E40E9E"/>
    <w:rsid w:val="00E4107B"/>
    <w:rsid w:val="00E41089"/>
    <w:rsid w:val="00E410C5"/>
    <w:rsid w:val="00E410DB"/>
    <w:rsid w:val="00E41152"/>
    <w:rsid w:val="00E412E3"/>
    <w:rsid w:val="00E41313"/>
    <w:rsid w:val="00E41326"/>
    <w:rsid w:val="00E41367"/>
    <w:rsid w:val="00E413C2"/>
    <w:rsid w:val="00E4159A"/>
    <w:rsid w:val="00E415C2"/>
    <w:rsid w:val="00E41659"/>
    <w:rsid w:val="00E416C1"/>
    <w:rsid w:val="00E41814"/>
    <w:rsid w:val="00E418A2"/>
    <w:rsid w:val="00E41953"/>
    <w:rsid w:val="00E41992"/>
    <w:rsid w:val="00E41996"/>
    <w:rsid w:val="00E41A15"/>
    <w:rsid w:val="00E41B2F"/>
    <w:rsid w:val="00E41BA5"/>
    <w:rsid w:val="00E41BE6"/>
    <w:rsid w:val="00E41D04"/>
    <w:rsid w:val="00E41D63"/>
    <w:rsid w:val="00E41DD8"/>
    <w:rsid w:val="00E41DED"/>
    <w:rsid w:val="00E41E81"/>
    <w:rsid w:val="00E41F43"/>
    <w:rsid w:val="00E41FC2"/>
    <w:rsid w:val="00E42051"/>
    <w:rsid w:val="00E4215A"/>
    <w:rsid w:val="00E42312"/>
    <w:rsid w:val="00E423E8"/>
    <w:rsid w:val="00E425CF"/>
    <w:rsid w:val="00E42705"/>
    <w:rsid w:val="00E4281D"/>
    <w:rsid w:val="00E429B9"/>
    <w:rsid w:val="00E42A7D"/>
    <w:rsid w:val="00E42A9C"/>
    <w:rsid w:val="00E42AB3"/>
    <w:rsid w:val="00E42B1F"/>
    <w:rsid w:val="00E42D5A"/>
    <w:rsid w:val="00E42DED"/>
    <w:rsid w:val="00E431F4"/>
    <w:rsid w:val="00E43205"/>
    <w:rsid w:val="00E432BB"/>
    <w:rsid w:val="00E43463"/>
    <w:rsid w:val="00E43A54"/>
    <w:rsid w:val="00E43C8D"/>
    <w:rsid w:val="00E43CA8"/>
    <w:rsid w:val="00E43F3B"/>
    <w:rsid w:val="00E43FCE"/>
    <w:rsid w:val="00E44114"/>
    <w:rsid w:val="00E442C7"/>
    <w:rsid w:val="00E44310"/>
    <w:rsid w:val="00E44312"/>
    <w:rsid w:val="00E4432F"/>
    <w:rsid w:val="00E4439C"/>
    <w:rsid w:val="00E4446B"/>
    <w:rsid w:val="00E446F6"/>
    <w:rsid w:val="00E4477B"/>
    <w:rsid w:val="00E4479B"/>
    <w:rsid w:val="00E4484A"/>
    <w:rsid w:val="00E4499D"/>
    <w:rsid w:val="00E44B15"/>
    <w:rsid w:val="00E44C03"/>
    <w:rsid w:val="00E44C19"/>
    <w:rsid w:val="00E44D86"/>
    <w:rsid w:val="00E44DB0"/>
    <w:rsid w:val="00E44DD9"/>
    <w:rsid w:val="00E44DE1"/>
    <w:rsid w:val="00E44E8F"/>
    <w:rsid w:val="00E45064"/>
    <w:rsid w:val="00E45066"/>
    <w:rsid w:val="00E4527A"/>
    <w:rsid w:val="00E452FB"/>
    <w:rsid w:val="00E453CA"/>
    <w:rsid w:val="00E4555D"/>
    <w:rsid w:val="00E455B7"/>
    <w:rsid w:val="00E457F3"/>
    <w:rsid w:val="00E458CF"/>
    <w:rsid w:val="00E45926"/>
    <w:rsid w:val="00E45CA4"/>
    <w:rsid w:val="00E45D1E"/>
    <w:rsid w:val="00E4606B"/>
    <w:rsid w:val="00E460F6"/>
    <w:rsid w:val="00E46194"/>
    <w:rsid w:val="00E46286"/>
    <w:rsid w:val="00E46484"/>
    <w:rsid w:val="00E46536"/>
    <w:rsid w:val="00E46620"/>
    <w:rsid w:val="00E46724"/>
    <w:rsid w:val="00E468CD"/>
    <w:rsid w:val="00E469B0"/>
    <w:rsid w:val="00E46A7F"/>
    <w:rsid w:val="00E46AE2"/>
    <w:rsid w:val="00E46B6F"/>
    <w:rsid w:val="00E46BCD"/>
    <w:rsid w:val="00E46C44"/>
    <w:rsid w:val="00E46C57"/>
    <w:rsid w:val="00E46E23"/>
    <w:rsid w:val="00E46E29"/>
    <w:rsid w:val="00E46ECC"/>
    <w:rsid w:val="00E4702F"/>
    <w:rsid w:val="00E4707D"/>
    <w:rsid w:val="00E470E0"/>
    <w:rsid w:val="00E471BB"/>
    <w:rsid w:val="00E47200"/>
    <w:rsid w:val="00E47318"/>
    <w:rsid w:val="00E4735F"/>
    <w:rsid w:val="00E47455"/>
    <w:rsid w:val="00E474EA"/>
    <w:rsid w:val="00E475CA"/>
    <w:rsid w:val="00E475D4"/>
    <w:rsid w:val="00E476E5"/>
    <w:rsid w:val="00E477D8"/>
    <w:rsid w:val="00E47939"/>
    <w:rsid w:val="00E479BB"/>
    <w:rsid w:val="00E47A6E"/>
    <w:rsid w:val="00E47AC5"/>
    <w:rsid w:val="00E47C99"/>
    <w:rsid w:val="00E47CA5"/>
    <w:rsid w:val="00E47D60"/>
    <w:rsid w:val="00E47E41"/>
    <w:rsid w:val="00E47EBA"/>
    <w:rsid w:val="00E47F0E"/>
    <w:rsid w:val="00E47F28"/>
    <w:rsid w:val="00E47FE4"/>
    <w:rsid w:val="00E501ED"/>
    <w:rsid w:val="00E50276"/>
    <w:rsid w:val="00E504F5"/>
    <w:rsid w:val="00E50593"/>
    <w:rsid w:val="00E507D0"/>
    <w:rsid w:val="00E508CC"/>
    <w:rsid w:val="00E50901"/>
    <w:rsid w:val="00E50938"/>
    <w:rsid w:val="00E50A4C"/>
    <w:rsid w:val="00E50AB7"/>
    <w:rsid w:val="00E50B8D"/>
    <w:rsid w:val="00E50CAC"/>
    <w:rsid w:val="00E50E7C"/>
    <w:rsid w:val="00E50EE4"/>
    <w:rsid w:val="00E50FFE"/>
    <w:rsid w:val="00E51082"/>
    <w:rsid w:val="00E512E0"/>
    <w:rsid w:val="00E51545"/>
    <w:rsid w:val="00E515C6"/>
    <w:rsid w:val="00E51857"/>
    <w:rsid w:val="00E518C9"/>
    <w:rsid w:val="00E519CD"/>
    <w:rsid w:val="00E51A16"/>
    <w:rsid w:val="00E51A90"/>
    <w:rsid w:val="00E51B59"/>
    <w:rsid w:val="00E51BE3"/>
    <w:rsid w:val="00E51BF7"/>
    <w:rsid w:val="00E51C37"/>
    <w:rsid w:val="00E51D21"/>
    <w:rsid w:val="00E51D9E"/>
    <w:rsid w:val="00E51E5B"/>
    <w:rsid w:val="00E51F80"/>
    <w:rsid w:val="00E5221A"/>
    <w:rsid w:val="00E52422"/>
    <w:rsid w:val="00E52518"/>
    <w:rsid w:val="00E5268F"/>
    <w:rsid w:val="00E5270C"/>
    <w:rsid w:val="00E52776"/>
    <w:rsid w:val="00E52832"/>
    <w:rsid w:val="00E52876"/>
    <w:rsid w:val="00E528E9"/>
    <w:rsid w:val="00E52901"/>
    <w:rsid w:val="00E52963"/>
    <w:rsid w:val="00E52CD4"/>
    <w:rsid w:val="00E52D15"/>
    <w:rsid w:val="00E52DC0"/>
    <w:rsid w:val="00E52F90"/>
    <w:rsid w:val="00E530AF"/>
    <w:rsid w:val="00E532B0"/>
    <w:rsid w:val="00E5346B"/>
    <w:rsid w:val="00E534C8"/>
    <w:rsid w:val="00E534EB"/>
    <w:rsid w:val="00E53763"/>
    <w:rsid w:val="00E537D1"/>
    <w:rsid w:val="00E538F4"/>
    <w:rsid w:val="00E53A4A"/>
    <w:rsid w:val="00E53AC0"/>
    <w:rsid w:val="00E53AE4"/>
    <w:rsid w:val="00E53B27"/>
    <w:rsid w:val="00E53C1E"/>
    <w:rsid w:val="00E53D46"/>
    <w:rsid w:val="00E53D90"/>
    <w:rsid w:val="00E53E1A"/>
    <w:rsid w:val="00E5405B"/>
    <w:rsid w:val="00E541D1"/>
    <w:rsid w:val="00E54318"/>
    <w:rsid w:val="00E543DC"/>
    <w:rsid w:val="00E54805"/>
    <w:rsid w:val="00E5488F"/>
    <w:rsid w:val="00E5492E"/>
    <w:rsid w:val="00E5499D"/>
    <w:rsid w:val="00E54C37"/>
    <w:rsid w:val="00E54C93"/>
    <w:rsid w:val="00E54F7B"/>
    <w:rsid w:val="00E550C1"/>
    <w:rsid w:val="00E55121"/>
    <w:rsid w:val="00E5513E"/>
    <w:rsid w:val="00E5519C"/>
    <w:rsid w:val="00E552F9"/>
    <w:rsid w:val="00E553A8"/>
    <w:rsid w:val="00E553F8"/>
    <w:rsid w:val="00E5549C"/>
    <w:rsid w:val="00E55534"/>
    <w:rsid w:val="00E556DD"/>
    <w:rsid w:val="00E55762"/>
    <w:rsid w:val="00E5580B"/>
    <w:rsid w:val="00E558C4"/>
    <w:rsid w:val="00E558F2"/>
    <w:rsid w:val="00E55979"/>
    <w:rsid w:val="00E559A3"/>
    <w:rsid w:val="00E55A21"/>
    <w:rsid w:val="00E55A89"/>
    <w:rsid w:val="00E55AD3"/>
    <w:rsid w:val="00E55B02"/>
    <w:rsid w:val="00E55CAB"/>
    <w:rsid w:val="00E55CCB"/>
    <w:rsid w:val="00E55D03"/>
    <w:rsid w:val="00E55D16"/>
    <w:rsid w:val="00E55EAC"/>
    <w:rsid w:val="00E55FF7"/>
    <w:rsid w:val="00E5624D"/>
    <w:rsid w:val="00E5624F"/>
    <w:rsid w:val="00E565D1"/>
    <w:rsid w:val="00E565DE"/>
    <w:rsid w:val="00E565E3"/>
    <w:rsid w:val="00E566F0"/>
    <w:rsid w:val="00E5671D"/>
    <w:rsid w:val="00E5672C"/>
    <w:rsid w:val="00E567E6"/>
    <w:rsid w:val="00E5681B"/>
    <w:rsid w:val="00E5689E"/>
    <w:rsid w:val="00E568C2"/>
    <w:rsid w:val="00E5691A"/>
    <w:rsid w:val="00E56971"/>
    <w:rsid w:val="00E56CAC"/>
    <w:rsid w:val="00E56CB4"/>
    <w:rsid w:val="00E56E95"/>
    <w:rsid w:val="00E57127"/>
    <w:rsid w:val="00E57130"/>
    <w:rsid w:val="00E57175"/>
    <w:rsid w:val="00E57240"/>
    <w:rsid w:val="00E57326"/>
    <w:rsid w:val="00E57488"/>
    <w:rsid w:val="00E574EC"/>
    <w:rsid w:val="00E574ED"/>
    <w:rsid w:val="00E57720"/>
    <w:rsid w:val="00E57887"/>
    <w:rsid w:val="00E579B0"/>
    <w:rsid w:val="00E57A1F"/>
    <w:rsid w:val="00E57AB6"/>
    <w:rsid w:val="00E57B02"/>
    <w:rsid w:val="00E57B03"/>
    <w:rsid w:val="00E57BC8"/>
    <w:rsid w:val="00E57CBC"/>
    <w:rsid w:val="00E57CE0"/>
    <w:rsid w:val="00E57D46"/>
    <w:rsid w:val="00E57DC7"/>
    <w:rsid w:val="00E57F82"/>
    <w:rsid w:val="00E57F8F"/>
    <w:rsid w:val="00E57FD0"/>
    <w:rsid w:val="00E6015C"/>
    <w:rsid w:val="00E601E4"/>
    <w:rsid w:val="00E601F1"/>
    <w:rsid w:val="00E60253"/>
    <w:rsid w:val="00E602A2"/>
    <w:rsid w:val="00E602A8"/>
    <w:rsid w:val="00E60360"/>
    <w:rsid w:val="00E6039F"/>
    <w:rsid w:val="00E60695"/>
    <w:rsid w:val="00E607DB"/>
    <w:rsid w:val="00E6095D"/>
    <w:rsid w:val="00E60B51"/>
    <w:rsid w:val="00E60D27"/>
    <w:rsid w:val="00E60E8D"/>
    <w:rsid w:val="00E60FA7"/>
    <w:rsid w:val="00E60FD8"/>
    <w:rsid w:val="00E61101"/>
    <w:rsid w:val="00E6116B"/>
    <w:rsid w:val="00E611E2"/>
    <w:rsid w:val="00E613BA"/>
    <w:rsid w:val="00E61484"/>
    <w:rsid w:val="00E614D2"/>
    <w:rsid w:val="00E614D7"/>
    <w:rsid w:val="00E614E7"/>
    <w:rsid w:val="00E61540"/>
    <w:rsid w:val="00E61546"/>
    <w:rsid w:val="00E6155D"/>
    <w:rsid w:val="00E615B7"/>
    <w:rsid w:val="00E61752"/>
    <w:rsid w:val="00E61832"/>
    <w:rsid w:val="00E618CA"/>
    <w:rsid w:val="00E61985"/>
    <w:rsid w:val="00E61ABF"/>
    <w:rsid w:val="00E61BC2"/>
    <w:rsid w:val="00E61C17"/>
    <w:rsid w:val="00E61CD9"/>
    <w:rsid w:val="00E61E07"/>
    <w:rsid w:val="00E62056"/>
    <w:rsid w:val="00E625CC"/>
    <w:rsid w:val="00E62635"/>
    <w:rsid w:val="00E62652"/>
    <w:rsid w:val="00E626AA"/>
    <w:rsid w:val="00E627B3"/>
    <w:rsid w:val="00E62805"/>
    <w:rsid w:val="00E62963"/>
    <w:rsid w:val="00E62B4E"/>
    <w:rsid w:val="00E62B70"/>
    <w:rsid w:val="00E62BD5"/>
    <w:rsid w:val="00E62BD9"/>
    <w:rsid w:val="00E62C65"/>
    <w:rsid w:val="00E62DB6"/>
    <w:rsid w:val="00E62E18"/>
    <w:rsid w:val="00E62E61"/>
    <w:rsid w:val="00E62FF3"/>
    <w:rsid w:val="00E630B0"/>
    <w:rsid w:val="00E63186"/>
    <w:rsid w:val="00E6364A"/>
    <w:rsid w:val="00E636C3"/>
    <w:rsid w:val="00E637BC"/>
    <w:rsid w:val="00E6382A"/>
    <w:rsid w:val="00E63A04"/>
    <w:rsid w:val="00E63AD0"/>
    <w:rsid w:val="00E63AF2"/>
    <w:rsid w:val="00E63AF7"/>
    <w:rsid w:val="00E63C2D"/>
    <w:rsid w:val="00E63CE1"/>
    <w:rsid w:val="00E63D0A"/>
    <w:rsid w:val="00E63DF0"/>
    <w:rsid w:val="00E63ED3"/>
    <w:rsid w:val="00E63F14"/>
    <w:rsid w:val="00E64070"/>
    <w:rsid w:val="00E64197"/>
    <w:rsid w:val="00E64223"/>
    <w:rsid w:val="00E6439B"/>
    <w:rsid w:val="00E643F2"/>
    <w:rsid w:val="00E644AC"/>
    <w:rsid w:val="00E6461D"/>
    <w:rsid w:val="00E647AE"/>
    <w:rsid w:val="00E647BA"/>
    <w:rsid w:val="00E6488A"/>
    <w:rsid w:val="00E64981"/>
    <w:rsid w:val="00E649C4"/>
    <w:rsid w:val="00E64AB7"/>
    <w:rsid w:val="00E64C4A"/>
    <w:rsid w:val="00E64C83"/>
    <w:rsid w:val="00E64CA5"/>
    <w:rsid w:val="00E64D2C"/>
    <w:rsid w:val="00E64E12"/>
    <w:rsid w:val="00E64EA9"/>
    <w:rsid w:val="00E64F4D"/>
    <w:rsid w:val="00E6508B"/>
    <w:rsid w:val="00E65131"/>
    <w:rsid w:val="00E651CA"/>
    <w:rsid w:val="00E651F4"/>
    <w:rsid w:val="00E6525D"/>
    <w:rsid w:val="00E6529A"/>
    <w:rsid w:val="00E652BB"/>
    <w:rsid w:val="00E653F8"/>
    <w:rsid w:val="00E655AA"/>
    <w:rsid w:val="00E655D4"/>
    <w:rsid w:val="00E65783"/>
    <w:rsid w:val="00E657E5"/>
    <w:rsid w:val="00E6585D"/>
    <w:rsid w:val="00E6599B"/>
    <w:rsid w:val="00E65AFB"/>
    <w:rsid w:val="00E65BB7"/>
    <w:rsid w:val="00E65BEC"/>
    <w:rsid w:val="00E65EE1"/>
    <w:rsid w:val="00E65F4D"/>
    <w:rsid w:val="00E66151"/>
    <w:rsid w:val="00E66202"/>
    <w:rsid w:val="00E662A3"/>
    <w:rsid w:val="00E662DB"/>
    <w:rsid w:val="00E66561"/>
    <w:rsid w:val="00E66670"/>
    <w:rsid w:val="00E666EB"/>
    <w:rsid w:val="00E66768"/>
    <w:rsid w:val="00E6676F"/>
    <w:rsid w:val="00E667E2"/>
    <w:rsid w:val="00E66985"/>
    <w:rsid w:val="00E66B68"/>
    <w:rsid w:val="00E66C38"/>
    <w:rsid w:val="00E66C9B"/>
    <w:rsid w:val="00E66CCB"/>
    <w:rsid w:val="00E66D5A"/>
    <w:rsid w:val="00E66E4E"/>
    <w:rsid w:val="00E66E94"/>
    <w:rsid w:val="00E66EBD"/>
    <w:rsid w:val="00E66EFD"/>
    <w:rsid w:val="00E66F51"/>
    <w:rsid w:val="00E66F7D"/>
    <w:rsid w:val="00E66FBC"/>
    <w:rsid w:val="00E6710F"/>
    <w:rsid w:val="00E671F5"/>
    <w:rsid w:val="00E67298"/>
    <w:rsid w:val="00E6738A"/>
    <w:rsid w:val="00E6744A"/>
    <w:rsid w:val="00E6745E"/>
    <w:rsid w:val="00E67483"/>
    <w:rsid w:val="00E674D7"/>
    <w:rsid w:val="00E6764E"/>
    <w:rsid w:val="00E67759"/>
    <w:rsid w:val="00E67976"/>
    <w:rsid w:val="00E67AEA"/>
    <w:rsid w:val="00E67B08"/>
    <w:rsid w:val="00E67B14"/>
    <w:rsid w:val="00E67BF8"/>
    <w:rsid w:val="00E67CFD"/>
    <w:rsid w:val="00E67D44"/>
    <w:rsid w:val="00E67DF8"/>
    <w:rsid w:val="00E67E8D"/>
    <w:rsid w:val="00E67EA0"/>
    <w:rsid w:val="00E67EF3"/>
    <w:rsid w:val="00E67EF8"/>
    <w:rsid w:val="00E67F89"/>
    <w:rsid w:val="00E67FD6"/>
    <w:rsid w:val="00E7016F"/>
    <w:rsid w:val="00E7017C"/>
    <w:rsid w:val="00E701CF"/>
    <w:rsid w:val="00E7031C"/>
    <w:rsid w:val="00E707E7"/>
    <w:rsid w:val="00E70849"/>
    <w:rsid w:val="00E70A22"/>
    <w:rsid w:val="00E70A5B"/>
    <w:rsid w:val="00E70BAC"/>
    <w:rsid w:val="00E70BD9"/>
    <w:rsid w:val="00E70BFA"/>
    <w:rsid w:val="00E70C3D"/>
    <w:rsid w:val="00E70D17"/>
    <w:rsid w:val="00E70DB6"/>
    <w:rsid w:val="00E70F9E"/>
    <w:rsid w:val="00E70FE6"/>
    <w:rsid w:val="00E71040"/>
    <w:rsid w:val="00E71095"/>
    <w:rsid w:val="00E711D7"/>
    <w:rsid w:val="00E713BF"/>
    <w:rsid w:val="00E7149D"/>
    <w:rsid w:val="00E714C5"/>
    <w:rsid w:val="00E71514"/>
    <w:rsid w:val="00E717C9"/>
    <w:rsid w:val="00E717D2"/>
    <w:rsid w:val="00E7182E"/>
    <w:rsid w:val="00E71836"/>
    <w:rsid w:val="00E71A4A"/>
    <w:rsid w:val="00E71A97"/>
    <w:rsid w:val="00E71B4A"/>
    <w:rsid w:val="00E71B51"/>
    <w:rsid w:val="00E71CF8"/>
    <w:rsid w:val="00E71D34"/>
    <w:rsid w:val="00E71DAB"/>
    <w:rsid w:val="00E72058"/>
    <w:rsid w:val="00E7212F"/>
    <w:rsid w:val="00E721D6"/>
    <w:rsid w:val="00E7235D"/>
    <w:rsid w:val="00E7240A"/>
    <w:rsid w:val="00E72415"/>
    <w:rsid w:val="00E727DC"/>
    <w:rsid w:val="00E72840"/>
    <w:rsid w:val="00E729E2"/>
    <w:rsid w:val="00E72AAA"/>
    <w:rsid w:val="00E72ABD"/>
    <w:rsid w:val="00E72C5F"/>
    <w:rsid w:val="00E72DEC"/>
    <w:rsid w:val="00E72E08"/>
    <w:rsid w:val="00E73077"/>
    <w:rsid w:val="00E73228"/>
    <w:rsid w:val="00E733D7"/>
    <w:rsid w:val="00E73486"/>
    <w:rsid w:val="00E73709"/>
    <w:rsid w:val="00E7371B"/>
    <w:rsid w:val="00E7380C"/>
    <w:rsid w:val="00E73933"/>
    <w:rsid w:val="00E73998"/>
    <w:rsid w:val="00E73A9A"/>
    <w:rsid w:val="00E73AE8"/>
    <w:rsid w:val="00E73AF7"/>
    <w:rsid w:val="00E73B76"/>
    <w:rsid w:val="00E73B78"/>
    <w:rsid w:val="00E73C00"/>
    <w:rsid w:val="00E73CB0"/>
    <w:rsid w:val="00E73E1E"/>
    <w:rsid w:val="00E73F47"/>
    <w:rsid w:val="00E73F76"/>
    <w:rsid w:val="00E7417D"/>
    <w:rsid w:val="00E7431E"/>
    <w:rsid w:val="00E74425"/>
    <w:rsid w:val="00E74444"/>
    <w:rsid w:val="00E744DB"/>
    <w:rsid w:val="00E74541"/>
    <w:rsid w:val="00E74697"/>
    <w:rsid w:val="00E748B9"/>
    <w:rsid w:val="00E74A98"/>
    <w:rsid w:val="00E74AB1"/>
    <w:rsid w:val="00E74C21"/>
    <w:rsid w:val="00E74C25"/>
    <w:rsid w:val="00E74D0A"/>
    <w:rsid w:val="00E74F14"/>
    <w:rsid w:val="00E74F39"/>
    <w:rsid w:val="00E74FC8"/>
    <w:rsid w:val="00E7537B"/>
    <w:rsid w:val="00E7538D"/>
    <w:rsid w:val="00E75433"/>
    <w:rsid w:val="00E7548E"/>
    <w:rsid w:val="00E754C2"/>
    <w:rsid w:val="00E7558D"/>
    <w:rsid w:val="00E755AA"/>
    <w:rsid w:val="00E75609"/>
    <w:rsid w:val="00E75683"/>
    <w:rsid w:val="00E757C7"/>
    <w:rsid w:val="00E75825"/>
    <w:rsid w:val="00E75910"/>
    <w:rsid w:val="00E7597A"/>
    <w:rsid w:val="00E75BB8"/>
    <w:rsid w:val="00E75C2D"/>
    <w:rsid w:val="00E75C9E"/>
    <w:rsid w:val="00E75CD5"/>
    <w:rsid w:val="00E75D91"/>
    <w:rsid w:val="00E75EEF"/>
    <w:rsid w:val="00E76035"/>
    <w:rsid w:val="00E76061"/>
    <w:rsid w:val="00E76162"/>
    <w:rsid w:val="00E76257"/>
    <w:rsid w:val="00E76259"/>
    <w:rsid w:val="00E7625A"/>
    <w:rsid w:val="00E7648B"/>
    <w:rsid w:val="00E7665F"/>
    <w:rsid w:val="00E76671"/>
    <w:rsid w:val="00E766F3"/>
    <w:rsid w:val="00E7675D"/>
    <w:rsid w:val="00E767AD"/>
    <w:rsid w:val="00E76812"/>
    <w:rsid w:val="00E7685A"/>
    <w:rsid w:val="00E7686F"/>
    <w:rsid w:val="00E769C1"/>
    <w:rsid w:val="00E769C3"/>
    <w:rsid w:val="00E76A4C"/>
    <w:rsid w:val="00E76AD2"/>
    <w:rsid w:val="00E76B0D"/>
    <w:rsid w:val="00E76B32"/>
    <w:rsid w:val="00E76C1A"/>
    <w:rsid w:val="00E76CC8"/>
    <w:rsid w:val="00E76DAC"/>
    <w:rsid w:val="00E76ED9"/>
    <w:rsid w:val="00E76F15"/>
    <w:rsid w:val="00E76F9B"/>
    <w:rsid w:val="00E77139"/>
    <w:rsid w:val="00E77160"/>
    <w:rsid w:val="00E7722E"/>
    <w:rsid w:val="00E773E4"/>
    <w:rsid w:val="00E7747C"/>
    <w:rsid w:val="00E77548"/>
    <w:rsid w:val="00E778A5"/>
    <w:rsid w:val="00E77AEA"/>
    <w:rsid w:val="00E77BC1"/>
    <w:rsid w:val="00E77BF9"/>
    <w:rsid w:val="00E77BFD"/>
    <w:rsid w:val="00E77E87"/>
    <w:rsid w:val="00E77FCF"/>
    <w:rsid w:val="00E80034"/>
    <w:rsid w:val="00E800E4"/>
    <w:rsid w:val="00E800F4"/>
    <w:rsid w:val="00E80138"/>
    <w:rsid w:val="00E801C0"/>
    <w:rsid w:val="00E80268"/>
    <w:rsid w:val="00E80307"/>
    <w:rsid w:val="00E80345"/>
    <w:rsid w:val="00E80363"/>
    <w:rsid w:val="00E80381"/>
    <w:rsid w:val="00E80437"/>
    <w:rsid w:val="00E8047F"/>
    <w:rsid w:val="00E80563"/>
    <w:rsid w:val="00E8075D"/>
    <w:rsid w:val="00E807A5"/>
    <w:rsid w:val="00E807AD"/>
    <w:rsid w:val="00E809FA"/>
    <w:rsid w:val="00E80A44"/>
    <w:rsid w:val="00E80BA0"/>
    <w:rsid w:val="00E80EE4"/>
    <w:rsid w:val="00E80FFB"/>
    <w:rsid w:val="00E8107B"/>
    <w:rsid w:val="00E81138"/>
    <w:rsid w:val="00E8128B"/>
    <w:rsid w:val="00E812CC"/>
    <w:rsid w:val="00E81323"/>
    <w:rsid w:val="00E813FB"/>
    <w:rsid w:val="00E8152C"/>
    <w:rsid w:val="00E8154B"/>
    <w:rsid w:val="00E815E1"/>
    <w:rsid w:val="00E8161D"/>
    <w:rsid w:val="00E81915"/>
    <w:rsid w:val="00E81917"/>
    <w:rsid w:val="00E81A33"/>
    <w:rsid w:val="00E81C25"/>
    <w:rsid w:val="00E81C69"/>
    <w:rsid w:val="00E81D58"/>
    <w:rsid w:val="00E81E67"/>
    <w:rsid w:val="00E81EA8"/>
    <w:rsid w:val="00E81F2C"/>
    <w:rsid w:val="00E81F89"/>
    <w:rsid w:val="00E82031"/>
    <w:rsid w:val="00E82064"/>
    <w:rsid w:val="00E8220B"/>
    <w:rsid w:val="00E82251"/>
    <w:rsid w:val="00E822A0"/>
    <w:rsid w:val="00E82325"/>
    <w:rsid w:val="00E8239C"/>
    <w:rsid w:val="00E82422"/>
    <w:rsid w:val="00E8245A"/>
    <w:rsid w:val="00E82567"/>
    <w:rsid w:val="00E825B3"/>
    <w:rsid w:val="00E825EA"/>
    <w:rsid w:val="00E827C0"/>
    <w:rsid w:val="00E82855"/>
    <w:rsid w:val="00E82963"/>
    <w:rsid w:val="00E82985"/>
    <w:rsid w:val="00E82988"/>
    <w:rsid w:val="00E82A0A"/>
    <w:rsid w:val="00E82A53"/>
    <w:rsid w:val="00E82ABA"/>
    <w:rsid w:val="00E82B0A"/>
    <w:rsid w:val="00E82BEF"/>
    <w:rsid w:val="00E82BF0"/>
    <w:rsid w:val="00E82C82"/>
    <w:rsid w:val="00E82CD4"/>
    <w:rsid w:val="00E82F85"/>
    <w:rsid w:val="00E830A7"/>
    <w:rsid w:val="00E830BE"/>
    <w:rsid w:val="00E8328B"/>
    <w:rsid w:val="00E83355"/>
    <w:rsid w:val="00E8357E"/>
    <w:rsid w:val="00E83707"/>
    <w:rsid w:val="00E837DB"/>
    <w:rsid w:val="00E83AD8"/>
    <w:rsid w:val="00E83B47"/>
    <w:rsid w:val="00E83BBF"/>
    <w:rsid w:val="00E83C6B"/>
    <w:rsid w:val="00E83C9C"/>
    <w:rsid w:val="00E83CE3"/>
    <w:rsid w:val="00E83DDE"/>
    <w:rsid w:val="00E83F24"/>
    <w:rsid w:val="00E83FE7"/>
    <w:rsid w:val="00E84081"/>
    <w:rsid w:val="00E840EC"/>
    <w:rsid w:val="00E843F4"/>
    <w:rsid w:val="00E84563"/>
    <w:rsid w:val="00E84652"/>
    <w:rsid w:val="00E84656"/>
    <w:rsid w:val="00E8466E"/>
    <w:rsid w:val="00E847AA"/>
    <w:rsid w:val="00E8481D"/>
    <w:rsid w:val="00E84935"/>
    <w:rsid w:val="00E849D4"/>
    <w:rsid w:val="00E84A95"/>
    <w:rsid w:val="00E84B8C"/>
    <w:rsid w:val="00E84D00"/>
    <w:rsid w:val="00E84D87"/>
    <w:rsid w:val="00E84F59"/>
    <w:rsid w:val="00E8505B"/>
    <w:rsid w:val="00E8513D"/>
    <w:rsid w:val="00E851B6"/>
    <w:rsid w:val="00E85235"/>
    <w:rsid w:val="00E85257"/>
    <w:rsid w:val="00E854F9"/>
    <w:rsid w:val="00E85672"/>
    <w:rsid w:val="00E856B1"/>
    <w:rsid w:val="00E85818"/>
    <w:rsid w:val="00E8581A"/>
    <w:rsid w:val="00E8586F"/>
    <w:rsid w:val="00E85959"/>
    <w:rsid w:val="00E85A05"/>
    <w:rsid w:val="00E85A14"/>
    <w:rsid w:val="00E85A17"/>
    <w:rsid w:val="00E85A2A"/>
    <w:rsid w:val="00E85A59"/>
    <w:rsid w:val="00E85A9B"/>
    <w:rsid w:val="00E85C93"/>
    <w:rsid w:val="00E85D55"/>
    <w:rsid w:val="00E85E2E"/>
    <w:rsid w:val="00E85FF4"/>
    <w:rsid w:val="00E861C8"/>
    <w:rsid w:val="00E8620D"/>
    <w:rsid w:val="00E8641B"/>
    <w:rsid w:val="00E86458"/>
    <w:rsid w:val="00E86471"/>
    <w:rsid w:val="00E865F9"/>
    <w:rsid w:val="00E8660B"/>
    <w:rsid w:val="00E866FF"/>
    <w:rsid w:val="00E867B9"/>
    <w:rsid w:val="00E86809"/>
    <w:rsid w:val="00E86A1C"/>
    <w:rsid w:val="00E86A99"/>
    <w:rsid w:val="00E86B49"/>
    <w:rsid w:val="00E86B5C"/>
    <w:rsid w:val="00E86BD3"/>
    <w:rsid w:val="00E86BEA"/>
    <w:rsid w:val="00E86CAF"/>
    <w:rsid w:val="00E86DF4"/>
    <w:rsid w:val="00E86EA8"/>
    <w:rsid w:val="00E87175"/>
    <w:rsid w:val="00E8739A"/>
    <w:rsid w:val="00E873B3"/>
    <w:rsid w:val="00E873EA"/>
    <w:rsid w:val="00E874A4"/>
    <w:rsid w:val="00E874D5"/>
    <w:rsid w:val="00E875F4"/>
    <w:rsid w:val="00E87666"/>
    <w:rsid w:val="00E87695"/>
    <w:rsid w:val="00E876CA"/>
    <w:rsid w:val="00E87821"/>
    <w:rsid w:val="00E87892"/>
    <w:rsid w:val="00E87922"/>
    <w:rsid w:val="00E87AD4"/>
    <w:rsid w:val="00E87B45"/>
    <w:rsid w:val="00E87B84"/>
    <w:rsid w:val="00E87BF9"/>
    <w:rsid w:val="00E87DAD"/>
    <w:rsid w:val="00E87E82"/>
    <w:rsid w:val="00E87EBC"/>
    <w:rsid w:val="00E87ECD"/>
    <w:rsid w:val="00E87F5A"/>
    <w:rsid w:val="00E87F68"/>
    <w:rsid w:val="00E87F83"/>
    <w:rsid w:val="00E87FB1"/>
    <w:rsid w:val="00E90013"/>
    <w:rsid w:val="00E9003B"/>
    <w:rsid w:val="00E90046"/>
    <w:rsid w:val="00E9015D"/>
    <w:rsid w:val="00E9015F"/>
    <w:rsid w:val="00E901B5"/>
    <w:rsid w:val="00E901E2"/>
    <w:rsid w:val="00E902AC"/>
    <w:rsid w:val="00E902B0"/>
    <w:rsid w:val="00E902E8"/>
    <w:rsid w:val="00E9032B"/>
    <w:rsid w:val="00E90452"/>
    <w:rsid w:val="00E904D1"/>
    <w:rsid w:val="00E906A1"/>
    <w:rsid w:val="00E906A7"/>
    <w:rsid w:val="00E907C9"/>
    <w:rsid w:val="00E908C5"/>
    <w:rsid w:val="00E908F0"/>
    <w:rsid w:val="00E90AE2"/>
    <w:rsid w:val="00E90AEF"/>
    <w:rsid w:val="00E90B73"/>
    <w:rsid w:val="00E90BF2"/>
    <w:rsid w:val="00E90EDF"/>
    <w:rsid w:val="00E90EE0"/>
    <w:rsid w:val="00E90FB4"/>
    <w:rsid w:val="00E91043"/>
    <w:rsid w:val="00E912FC"/>
    <w:rsid w:val="00E914D4"/>
    <w:rsid w:val="00E91515"/>
    <w:rsid w:val="00E9160E"/>
    <w:rsid w:val="00E917AA"/>
    <w:rsid w:val="00E917E3"/>
    <w:rsid w:val="00E917E5"/>
    <w:rsid w:val="00E918BB"/>
    <w:rsid w:val="00E918BC"/>
    <w:rsid w:val="00E91A10"/>
    <w:rsid w:val="00E91B7D"/>
    <w:rsid w:val="00E91BCC"/>
    <w:rsid w:val="00E91BFD"/>
    <w:rsid w:val="00E91C5F"/>
    <w:rsid w:val="00E91C95"/>
    <w:rsid w:val="00E91CE6"/>
    <w:rsid w:val="00E91D04"/>
    <w:rsid w:val="00E91F07"/>
    <w:rsid w:val="00E920A5"/>
    <w:rsid w:val="00E92125"/>
    <w:rsid w:val="00E92167"/>
    <w:rsid w:val="00E921E8"/>
    <w:rsid w:val="00E922EB"/>
    <w:rsid w:val="00E92400"/>
    <w:rsid w:val="00E92403"/>
    <w:rsid w:val="00E925C7"/>
    <w:rsid w:val="00E92802"/>
    <w:rsid w:val="00E928CB"/>
    <w:rsid w:val="00E9296B"/>
    <w:rsid w:val="00E92AC2"/>
    <w:rsid w:val="00E92C79"/>
    <w:rsid w:val="00E92C87"/>
    <w:rsid w:val="00E92D34"/>
    <w:rsid w:val="00E92E80"/>
    <w:rsid w:val="00E92FC7"/>
    <w:rsid w:val="00E9308B"/>
    <w:rsid w:val="00E931AE"/>
    <w:rsid w:val="00E931B1"/>
    <w:rsid w:val="00E93266"/>
    <w:rsid w:val="00E933C1"/>
    <w:rsid w:val="00E9347A"/>
    <w:rsid w:val="00E9357D"/>
    <w:rsid w:val="00E93694"/>
    <w:rsid w:val="00E936E2"/>
    <w:rsid w:val="00E936FD"/>
    <w:rsid w:val="00E938E4"/>
    <w:rsid w:val="00E93A2A"/>
    <w:rsid w:val="00E93A54"/>
    <w:rsid w:val="00E93A81"/>
    <w:rsid w:val="00E93AB6"/>
    <w:rsid w:val="00E93ADC"/>
    <w:rsid w:val="00E93DE4"/>
    <w:rsid w:val="00E93F58"/>
    <w:rsid w:val="00E942A7"/>
    <w:rsid w:val="00E9433D"/>
    <w:rsid w:val="00E9435C"/>
    <w:rsid w:val="00E943FE"/>
    <w:rsid w:val="00E944CB"/>
    <w:rsid w:val="00E9469B"/>
    <w:rsid w:val="00E947A9"/>
    <w:rsid w:val="00E947CD"/>
    <w:rsid w:val="00E9482F"/>
    <w:rsid w:val="00E9493D"/>
    <w:rsid w:val="00E94AEC"/>
    <w:rsid w:val="00E94B15"/>
    <w:rsid w:val="00E94B3A"/>
    <w:rsid w:val="00E94B75"/>
    <w:rsid w:val="00E94BE4"/>
    <w:rsid w:val="00E94CD7"/>
    <w:rsid w:val="00E94D6D"/>
    <w:rsid w:val="00E94D81"/>
    <w:rsid w:val="00E94D87"/>
    <w:rsid w:val="00E94DF1"/>
    <w:rsid w:val="00E94DF2"/>
    <w:rsid w:val="00E94EED"/>
    <w:rsid w:val="00E94F2B"/>
    <w:rsid w:val="00E94F7E"/>
    <w:rsid w:val="00E94F99"/>
    <w:rsid w:val="00E9504E"/>
    <w:rsid w:val="00E95577"/>
    <w:rsid w:val="00E956C3"/>
    <w:rsid w:val="00E95777"/>
    <w:rsid w:val="00E957EB"/>
    <w:rsid w:val="00E95821"/>
    <w:rsid w:val="00E9596A"/>
    <w:rsid w:val="00E95AB0"/>
    <w:rsid w:val="00E95C12"/>
    <w:rsid w:val="00E95CEE"/>
    <w:rsid w:val="00E95CF5"/>
    <w:rsid w:val="00E95D20"/>
    <w:rsid w:val="00E95D3B"/>
    <w:rsid w:val="00E9600D"/>
    <w:rsid w:val="00E96070"/>
    <w:rsid w:val="00E96114"/>
    <w:rsid w:val="00E96148"/>
    <w:rsid w:val="00E96323"/>
    <w:rsid w:val="00E96430"/>
    <w:rsid w:val="00E964E3"/>
    <w:rsid w:val="00E96521"/>
    <w:rsid w:val="00E96900"/>
    <w:rsid w:val="00E9692E"/>
    <w:rsid w:val="00E969A6"/>
    <w:rsid w:val="00E96A93"/>
    <w:rsid w:val="00E96ABC"/>
    <w:rsid w:val="00E96C06"/>
    <w:rsid w:val="00E96CE9"/>
    <w:rsid w:val="00E96CEB"/>
    <w:rsid w:val="00E96D61"/>
    <w:rsid w:val="00E96E4F"/>
    <w:rsid w:val="00E96F3D"/>
    <w:rsid w:val="00E96F8A"/>
    <w:rsid w:val="00E9707E"/>
    <w:rsid w:val="00E97082"/>
    <w:rsid w:val="00E970C0"/>
    <w:rsid w:val="00E970C5"/>
    <w:rsid w:val="00E97161"/>
    <w:rsid w:val="00E9722B"/>
    <w:rsid w:val="00E973B4"/>
    <w:rsid w:val="00E975BE"/>
    <w:rsid w:val="00E97687"/>
    <w:rsid w:val="00E97734"/>
    <w:rsid w:val="00E97742"/>
    <w:rsid w:val="00E97767"/>
    <w:rsid w:val="00E97A78"/>
    <w:rsid w:val="00E97AC8"/>
    <w:rsid w:val="00E97C19"/>
    <w:rsid w:val="00E97D6D"/>
    <w:rsid w:val="00E97DE3"/>
    <w:rsid w:val="00E97E12"/>
    <w:rsid w:val="00E97E52"/>
    <w:rsid w:val="00E97E6D"/>
    <w:rsid w:val="00E97F4F"/>
    <w:rsid w:val="00EA0066"/>
    <w:rsid w:val="00EA01C2"/>
    <w:rsid w:val="00EA01FC"/>
    <w:rsid w:val="00EA0220"/>
    <w:rsid w:val="00EA02C1"/>
    <w:rsid w:val="00EA0313"/>
    <w:rsid w:val="00EA03F4"/>
    <w:rsid w:val="00EA0408"/>
    <w:rsid w:val="00EA0485"/>
    <w:rsid w:val="00EA0892"/>
    <w:rsid w:val="00EA08F1"/>
    <w:rsid w:val="00EA0942"/>
    <w:rsid w:val="00EA0A75"/>
    <w:rsid w:val="00EA0B12"/>
    <w:rsid w:val="00EA0B8C"/>
    <w:rsid w:val="00EA0BAB"/>
    <w:rsid w:val="00EA0BBE"/>
    <w:rsid w:val="00EA0C40"/>
    <w:rsid w:val="00EA0C55"/>
    <w:rsid w:val="00EA0C71"/>
    <w:rsid w:val="00EA0D67"/>
    <w:rsid w:val="00EA0D6A"/>
    <w:rsid w:val="00EA0E3F"/>
    <w:rsid w:val="00EA0F2D"/>
    <w:rsid w:val="00EA10CE"/>
    <w:rsid w:val="00EA11C1"/>
    <w:rsid w:val="00EA1223"/>
    <w:rsid w:val="00EA1247"/>
    <w:rsid w:val="00EA14B2"/>
    <w:rsid w:val="00EA14C0"/>
    <w:rsid w:val="00EA15E7"/>
    <w:rsid w:val="00EA17DD"/>
    <w:rsid w:val="00EA17FE"/>
    <w:rsid w:val="00EA18FE"/>
    <w:rsid w:val="00EA198D"/>
    <w:rsid w:val="00EA1B81"/>
    <w:rsid w:val="00EA1C17"/>
    <w:rsid w:val="00EA1C2B"/>
    <w:rsid w:val="00EA1D64"/>
    <w:rsid w:val="00EA1DE2"/>
    <w:rsid w:val="00EA1DE5"/>
    <w:rsid w:val="00EA1DF9"/>
    <w:rsid w:val="00EA1F4A"/>
    <w:rsid w:val="00EA22BD"/>
    <w:rsid w:val="00EA23A2"/>
    <w:rsid w:val="00EA23AC"/>
    <w:rsid w:val="00EA246D"/>
    <w:rsid w:val="00EA2551"/>
    <w:rsid w:val="00EA274F"/>
    <w:rsid w:val="00EA27C3"/>
    <w:rsid w:val="00EA27EC"/>
    <w:rsid w:val="00EA280B"/>
    <w:rsid w:val="00EA28CF"/>
    <w:rsid w:val="00EA29AE"/>
    <w:rsid w:val="00EA2A17"/>
    <w:rsid w:val="00EA2CA4"/>
    <w:rsid w:val="00EA2D0E"/>
    <w:rsid w:val="00EA2EFE"/>
    <w:rsid w:val="00EA2F53"/>
    <w:rsid w:val="00EA2FAA"/>
    <w:rsid w:val="00EA3056"/>
    <w:rsid w:val="00EA32FF"/>
    <w:rsid w:val="00EA3301"/>
    <w:rsid w:val="00EA3431"/>
    <w:rsid w:val="00EA346F"/>
    <w:rsid w:val="00EA36CD"/>
    <w:rsid w:val="00EA384D"/>
    <w:rsid w:val="00EA398F"/>
    <w:rsid w:val="00EA3A95"/>
    <w:rsid w:val="00EA3ADD"/>
    <w:rsid w:val="00EA3B48"/>
    <w:rsid w:val="00EA3DA3"/>
    <w:rsid w:val="00EA3DCD"/>
    <w:rsid w:val="00EA3E08"/>
    <w:rsid w:val="00EA3E3D"/>
    <w:rsid w:val="00EA3F02"/>
    <w:rsid w:val="00EA40F8"/>
    <w:rsid w:val="00EA4178"/>
    <w:rsid w:val="00EA41B4"/>
    <w:rsid w:val="00EA4309"/>
    <w:rsid w:val="00EA437D"/>
    <w:rsid w:val="00EA4411"/>
    <w:rsid w:val="00EA444B"/>
    <w:rsid w:val="00EA4478"/>
    <w:rsid w:val="00EA4554"/>
    <w:rsid w:val="00EA45AE"/>
    <w:rsid w:val="00EA4654"/>
    <w:rsid w:val="00EA4826"/>
    <w:rsid w:val="00EA48AC"/>
    <w:rsid w:val="00EA4BAE"/>
    <w:rsid w:val="00EA4C19"/>
    <w:rsid w:val="00EA4D14"/>
    <w:rsid w:val="00EA4DCD"/>
    <w:rsid w:val="00EA4EA4"/>
    <w:rsid w:val="00EA4FC9"/>
    <w:rsid w:val="00EA5104"/>
    <w:rsid w:val="00EA515F"/>
    <w:rsid w:val="00EA5207"/>
    <w:rsid w:val="00EA53A9"/>
    <w:rsid w:val="00EA53E8"/>
    <w:rsid w:val="00EA53FF"/>
    <w:rsid w:val="00EA5414"/>
    <w:rsid w:val="00EA54A9"/>
    <w:rsid w:val="00EA5742"/>
    <w:rsid w:val="00EA5751"/>
    <w:rsid w:val="00EA57AD"/>
    <w:rsid w:val="00EA5936"/>
    <w:rsid w:val="00EA5B21"/>
    <w:rsid w:val="00EA5B7F"/>
    <w:rsid w:val="00EA5BAA"/>
    <w:rsid w:val="00EA5C9F"/>
    <w:rsid w:val="00EA5CD1"/>
    <w:rsid w:val="00EA5D78"/>
    <w:rsid w:val="00EA60C5"/>
    <w:rsid w:val="00EA625F"/>
    <w:rsid w:val="00EA62D7"/>
    <w:rsid w:val="00EA6365"/>
    <w:rsid w:val="00EA64B5"/>
    <w:rsid w:val="00EA6607"/>
    <w:rsid w:val="00EA669A"/>
    <w:rsid w:val="00EA670D"/>
    <w:rsid w:val="00EA6844"/>
    <w:rsid w:val="00EA6885"/>
    <w:rsid w:val="00EA6AB4"/>
    <w:rsid w:val="00EA6B31"/>
    <w:rsid w:val="00EA6B35"/>
    <w:rsid w:val="00EA6C62"/>
    <w:rsid w:val="00EA6D6F"/>
    <w:rsid w:val="00EA6E45"/>
    <w:rsid w:val="00EA6F44"/>
    <w:rsid w:val="00EA6F8E"/>
    <w:rsid w:val="00EA7023"/>
    <w:rsid w:val="00EA710E"/>
    <w:rsid w:val="00EA74BA"/>
    <w:rsid w:val="00EA74DC"/>
    <w:rsid w:val="00EA7551"/>
    <w:rsid w:val="00EA75DD"/>
    <w:rsid w:val="00EA761D"/>
    <w:rsid w:val="00EA7737"/>
    <w:rsid w:val="00EA7814"/>
    <w:rsid w:val="00EA78A7"/>
    <w:rsid w:val="00EA7947"/>
    <w:rsid w:val="00EA79AE"/>
    <w:rsid w:val="00EA79D4"/>
    <w:rsid w:val="00EA7A18"/>
    <w:rsid w:val="00EA7A75"/>
    <w:rsid w:val="00EA7C3D"/>
    <w:rsid w:val="00EA7C7F"/>
    <w:rsid w:val="00EA7E3C"/>
    <w:rsid w:val="00EA7EF2"/>
    <w:rsid w:val="00EA7F0D"/>
    <w:rsid w:val="00EB003B"/>
    <w:rsid w:val="00EB017F"/>
    <w:rsid w:val="00EB0232"/>
    <w:rsid w:val="00EB0275"/>
    <w:rsid w:val="00EB037C"/>
    <w:rsid w:val="00EB03D2"/>
    <w:rsid w:val="00EB043E"/>
    <w:rsid w:val="00EB0485"/>
    <w:rsid w:val="00EB0524"/>
    <w:rsid w:val="00EB05D7"/>
    <w:rsid w:val="00EB0827"/>
    <w:rsid w:val="00EB084F"/>
    <w:rsid w:val="00EB0A71"/>
    <w:rsid w:val="00EB0D87"/>
    <w:rsid w:val="00EB0D99"/>
    <w:rsid w:val="00EB0E53"/>
    <w:rsid w:val="00EB10AB"/>
    <w:rsid w:val="00EB10FE"/>
    <w:rsid w:val="00EB11C7"/>
    <w:rsid w:val="00EB19F0"/>
    <w:rsid w:val="00EB1A02"/>
    <w:rsid w:val="00EB1AA5"/>
    <w:rsid w:val="00EB1B0A"/>
    <w:rsid w:val="00EB1BDF"/>
    <w:rsid w:val="00EB1C21"/>
    <w:rsid w:val="00EB1CD3"/>
    <w:rsid w:val="00EB1CE8"/>
    <w:rsid w:val="00EB1D0F"/>
    <w:rsid w:val="00EB1D8C"/>
    <w:rsid w:val="00EB1D9D"/>
    <w:rsid w:val="00EB1DEE"/>
    <w:rsid w:val="00EB1EC7"/>
    <w:rsid w:val="00EB1EDC"/>
    <w:rsid w:val="00EB1F20"/>
    <w:rsid w:val="00EB1FDC"/>
    <w:rsid w:val="00EB200B"/>
    <w:rsid w:val="00EB20F8"/>
    <w:rsid w:val="00EB21EB"/>
    <w:rsid w:val="00EB228E"/>
    <w:rsid w:val="00EB2300"/>
    <w:rsid w:val="00EB24B1"/>
    <w:rsid w:val="00EB255D"/>
    <w:rsid w:val="00EB259F"/>
    <w:rsid w:val="00EB2629"/>
    <w:rsid w:val="00EB27D6"/>
    <w:rsid w:val="00EB285E"/>
    <w:rsid w:val="00EB28EC"/>
    <w:rsid w:val="00EB29D4"/>
    <w:rsid w:val="00EB2A26"/>
    <w:rsid w:val="00EB2A68"/>
    <w:rsid w:val="00EB2AE4"/>
    <w:rsid w:val="00EB2BA6"/>
    <w:rsid w:val="00EB2BD6"/>
    <w:rsid w:val="00EB2BD7"/>
    <w:rsid w:val="00EB2BE9"/>
    <w:rsid w:val="00EB2C62"/>
    <w:rsid w:val="00EB2CE9"/>
    <w:rsid w:val="00EB302B"/>
    <w:rsid w:val="00EB304E"/>
    <w:rsid w:val="00EB3087"/>
    <w:rsid w:val="00EB31F6"/>
    <w:rsid w:val="00EB3280"/>
    <w:rsid w:val="00EB32EB"/>
    <w:rsid w:val="00EB3406"/>
    <w:rsid w:val="00EB344E"/>
    <w:rsid w:val="00EB3451"/>
    <w:rsid w:val="00EB3461"/>
    <w:rsid w:val="00EB3465"/>
    <w:rsid w:val="00EB3484"/>
    <w:rsid w:val="00EB34AD"/>
    <w:rsid w:val="00EB377D"/>
    <w:rsid w:val="00EB3854"/>
    <w:rsid w:val="00EB3C01"/>
    <w:rsid w:val="00EB3C27"/>
    <w:rsid w:val="00EB3E0C"/>
    <w:rsid w:val="00EB3E8A"/>
    <w:rsid w:val="00EB3F2D"/>
    <w:rsid w:val="00EB4107"/>
    <w:rsid w:val="00EB41F2"/>
    <w:rsid w:val="00EB456C"/>
    <w:rsid w:val="00EB4755"/>
    <w:rsid w:val="00EB47F4"/>
    <w:rsid w:val="00EB480C"/>
    <w:rsid w:val="00EB4870"/>
    <w:rsid w:val="00EB48EA"/>
    <w:rsid w:val="00EB499A"/>
    <w:rsid w:val="00EB4B0B"/>
    <w:rsid w:val="00EB4CC2"/>
    <w:rsid w:val="00EB4D18"/>
    <w:rsid w:val="00EB4E47"/>
    <w:rsid w:val="00EB4F32"/>
    <w:rsid w:val="00EB530B"/>
    <w:rsid w:val="00EB5368"/>
    <w:rsid w:val="00EB55A0"/>
    <w:rsid w:val="00EB55E0"/>
    <w:rsid w:val="00EB55F8"/>
    <w:rsid w:val="00EB564C"/>
    <w:rsid w:val="00EB59F0"/>
    <w:rsid w:val="00EB5A9C"/>
    <w:rsid w:val="00EB5B51"/>
    <w:rsid w:val="00EB5B59"/>
    <w:rsid w:val="00EB5B82"/>
    <w:rsid w:val="00EB5B94"/>
    <w:rsid w:val="00EB5BAC"/>
    <w:rsid w:val="00EB5BEB"/>
    <w:rsid w:val="00EB5DA9"/>
    <w:rsid w:val="00EB5DDE"/>
    <w:rsid w:val="00EB5E45"/>
    <w:rsid w:val="00EB5E53"/>
    <w:rsid w:val="00EB5EE6"/>
    <w:rsid w:val="00EB5F97"/>
    <w:rsid w:val="00EB60D2"/>
    <w:rsid w:val="00EB60DE"/>
    <w:rsid w:val="00EB615B"/>
    <w:rsid w:val="00EB6309"/>
    <w:rsid w:val="00EB63E3"/>
    <w:rsid w:val="00EB64F5"/>
    <w:rsid w:val="00EB65EE"/>
    <w:rsid w:val="00EB66E2"/>
    <w:rsid w:val="00EB67B6"/>
    <w:rsid w:val="00EB67DF"/>
    <w:rsid w:val="00EB685F"/>
    <w:rsid w:val="00EB6878"/>
    <w:rsid w:val="00EB6A11"/>
    <w:rsid w:val="00EB6A68"/>
    <w:rsid w:val="00EB6AC8"/>
    <w:rsid w:val="00EB6D28"/>
    <w:rsid w:val="00EB6DE2"/>
    <w:rsid w:val="00EB6E93"/>
    <w:rsid w:val="00EB6F86"/>
    <w:rsid w:val="00EB6F8D"/>
    <w:rsid w:val="00EB6FB3"/>
    <w:rsid w:val="00EB6FE8"/>
    <w:rsid w:val="00EB7223"/>
    <w:rsid w:val="00EB7275"/>
    <w:rsid w:val="00EB734D"/>
    <w:rsid w:val="00EB73AC"/>
    <w:rsid w:val="00EB73FB"/>
    <w:rsid w:val="00EB7403"/>
    <w:rsid w:val="00EB741E"/>
    <w:rsid w:val="00EB74BD"/>
    <w:rsid w:val="00EB7709"/>
    <w:rsid w:val="00EB78DC"/>
    <w:rsid w:val="00EB7981"/>
    <w:rsid w:val="00EB7B6A"/>
    <w:rsid w:val="00EB7C50"/>
    <w:rsid w:val="00EB7DDF"/>
    <w:rsid w:val="00EB7DE8"/>
    <w:rsid w:val="00EB7E2D"/>
    <w:rsid w:val="00EB7EE5"/>
    <w:rsid w:val="00EB7FAA"/>
    <w:rsid w:val="00EB7FEE"/>
    <w:rsid w:val="00EC015C"/>
    <w:rsid w:val="00EC016C"/>
    <w:rsid w:val="00EC053E"/>
    <w:rsid w:val="00EC05D6"/>
    <w:rsid w:val="00EC0700"/>
    <w:rsid w:val="00EC0897"/>
    <w:rsid w:val="00EC098B"/>
    <w:rsid w:val="00EC0A07"/>
    <w:rsid w:val="00EC0E1B"/>
    <w:rsid w:val="00EC0E59"/>
    <w:rsid w:val="00EC1023"/>
    <w:rsid w:val="00EC11DC"/>
    <w:rsid w:val="00EC11F2"/>
    <w:rsid w:val="00EC138B"/>
    <w:rsid w:val="00EC13D8"/>
    <w:rsid w:val="00EC1616"/>
    <w:rsid w:val="00EC1752"/>
    <w:rsid w:val="00EC179D"/>
    <w:rsid w:val="00EC1897"/>
    <w:rsid w:val="00EC1B21"/>
    <w:rsid w:val="00EC1BD3"/>
    <w:rsid w:val="00EC1C32"/>
    <w:rsid w:val="00EC1CFF"/>
    <w:rsid w:val="00EC1D75"/>
    <w:rsid w:val="00EC1E0E"/>
    <w:rsid w:val="00EC1E3E"/>
    <w:rsid w:val="00EC1F14"/>
    <w:rsid w:val="00EC20EE"/>
    <w:rsid w:val="00EC2101"/>
    <w:rsid w:val="00EC2102"/>
    <w:rsid w:val="00EC2119"/>
    <w:rsid w:val="00EC21F9"/>
    <w:rsid w:val="00EC2244"/>
    <w:rsid w:val="00EC225D"/>
    <w:rsid w:val="00EC22BB"/>
    <w:rsid w:val="00EC236D"/>
    <w:rsid w:val="00EC2473"/>
    <w:rsid w:val="00EC24DA"/>
    <w:rsid w:val="00EC2511"/>
    <w:rsid w:val="00EC2623"/>
    <w:rsid w:val="00EC2677"/>
    <w:rsid w:val="00EC26B3"/>
    <w:rsid w:val="00EC2771"/>
    <w:rsid w:val="00EC2989"/>
    <w:rsid w:val="00EC2BAD"/>
    <w:rsid w:val="00EC2D1F"/>
    <w:rsid w:val="00EC2D2A"/>
    <w:rsid w:val="00EC2D62"/>
    <w:rsid w:val="00EC2D6F"/>
    <w:rsid w:val="00EC2DDA"/>
    <w:rsid w:val="00EC2E5A"/>
    <w:rsid w:val="00EC2EC2"/>
    <w:rsid w:val="00EC2F15"/>
    <w:rsid w:val="00EC2F5D"/>
    <w:rsid w:val="00EC2F67"/>
    <w:rsid w:val="00EC302C"/>
    <w:rsid w:val="00EC3061"/>
    <w:rsid w:val="00EC3085"/>
    <w:rsid w:val="00EC30DE"/>
    <w:rsid w:val="00EC316C"/>
    <w:rsid w:val="00EC3246"/>
    <w:rsid w:val="00EC33B7"/>
    <w:rsid w:val="00EC33C3"/>
    <w:rsid w:val="00EC3435"/>
    <w:rsid w:val="00EC36D7"/>
    <w:rsid w:val="00EC3767"/>
    <w:rsid w:val="00EC37D6"/>
    <w:rsid w:val="00EC3A0C"/>
    <w:rsid w:val="00EC3B98"/>
    <w:rsid w:val="00EC3BE6"/>
    <w:rsid w:val="00EC3C3E"/>
    <w:rsid w:val="00EC3D30"/>
    <w:rsid w:val="00EC3DEE"/>
    <w:rsid w:val="00EC3F24"/>
    <w:rsid w:val="00EC408A"/>
    <w:rsid w:val="00EC41AF"/>
    <w:rsid w:val="00EC41B0"/>
    <w:rsid w:val="00EC4281"/>
    <w:rsid w:val="00EC42D4"/>
    <w:rsid w:val="00EC431E"/>
    <w:rsid w:val="00EC454B"/>
    <w:rsid w:val="00EC468D"/>
    <w:rsid w:val="00EC47D6"/>
    <w:rsid w:val="00EC47E9"/>
    <w:rsid w:val="00EC4898"/>
    <w:rsid w:val="00EC49E0"/>
    <w:rsid w:val="00EC49E8"/>
    <w:rsid w:val="00EC4A64"/>
    <w:rsid w:val="00EC4A87"/>
    <w:rsid w:val="00EC4B5A"/>
    <w:rsid w:val="00EC4B64"/>
    <w:rsid w:val="00EC4BF5"/>
    <w:rsid w:val="00EC4C4A"/>
    <w:rsid w:val="00EC4CB2"/>
    <w:rsid w:val="00EC4E24"/>
    <w:rsid w:val="00EC4E48"/>
    <w:rsid w:val="00EC515A"/>
    <w:rsid w:val="00EC5188"/>
    <w:rsid w:val="00EC51DE"/>
    <w:rsid w:val="00EC53A2"/>
    <w:rsid w:val="00EC570E"/>
    <w:rsid w:val="00EC5757"/>
    <w:rsid w:val="00EC57EB"/>
    <w:rsid w:val="00EC57ED"/>
    <w:rsid w:val="00EC57F0"/>
    <w:rsid w:val="00EC58D5"/>
    <w:rsid w:val="00EC5AA9"/>
    <w:rsid w:val="00EC5AF4"/>
    <w:rsid w:val="00EC5B74"/>
    <w:rsid w:val="00EC5BA9"/>
    <w:rsid w:val="00EC5D64"/>
    <w:rsid w:val="00EC5E62"/>
    <w:rsid w:val="00EC5EC0"/>
    <w:rsid w:val="00EC618B"/>
    <w:rsid w:val="00EC6291"/>
    <w:rsid w:val="00EC62D1"/>
    <w:rsid w:val="00EC6543"/>
    <w:rsid w:val="00EC6578"/>
    <w:rsid w:val="00EC6584"/>
    <w:rsid w:val="00EC65D3"/>
    <w:rsid w:val="00EC672B"/>
    <w:rsid w:val="00EC68A9"/>
    <w:rsid w:val="00EC6925"/>
    <w:rsid w:val="00EC693B"/>
    <w:rsid w:val="00EC6944"/>
    <w:rsid w:val="00EC694F"/>
    <w:rsid w:val="00EC6955"/>
    <w:rsid w:val="00EC699F"/>
    <w:rsid w:val="00EC69ED"/>
    <w:rsid w:val="00EC6A0E"/>
    <w:rsid w:val="00EC6A70"/>
    <w:rsid w:val="00EC6B16"/>
    <w:rsid w:val="00EC6C0D"/>
    <w:rsid w:val="00EC6E6B"/>
    <w:rsid w:val="00EC6E90"/>
    <w:rsid w:val="00EC6FDD"/>
    <w:rsid w:val="00EC7095"/>
    <w:rsid w:val="00EC7147"/>
    <w:rsid w:val="00EC7379"/>
    <w:rsid w:val="00EC7411"/>
    <w:rsid w:val="00EC754D"/>
    <w:rsid w:val="00EC75DC"/>
    <w:rsid w:val="00EC763E"/>
    <w:rsid w:val="00EC76B6"/>
    <w:rsid w:val="00EC79FA"/>
    <w:rsid w:val="00EC7AD4"/>
    <w:rsid w:val="00EC7B9D"/>
    <w:rsid w:val="00EC7BF8"/>
    <w:rsid w:val="00EC7C73"/>
    <w:rsid w:val="00EC7DE6"/>
    <w:rsid w:val="00EC7E2B"/>
    <w:rsid w:val="00EC7F1F"/>
    <w:rsid w:val="00EC7F95"/>
    <w:rsid w:val="00EC7FAD"/>
    <w:rsid w:val="00ED002A"/>
    <w:rsid w:val="00ED003D"/>
    <w:rsid w:val="00ED00C0"/>
    <w:rsid w:val="00ED01E5"/>
    <w:rsid w:val="00ED020D"/>
    <w:rsid w:val="00ED0277"/>
    <w:rsid w:val="00ED051D"/>
    <w:rsid w:val="00ED0532"/>
    <w:rsid w:val="00ED05BF"/>
    <w:rsid w:val="00ED05D5"/>
    <w:rsid w:val="00ED06C6"/>
    <w:rsid w:val="00ED0842"/>
    <w:rsid w:val="00ED0891"/>
    <w:rsid w:val="00ED08D4"/>
    <w:rsid w:val="00ED0946"/>
    <w:rsid w:val="00ED0BDF"/>
    <w:rsid w:val="00ED0CFA"/>
    <w:rsid w:val="00ED0DCA"/>
    <w:rsid w:val="00ED0E73"/>
    <w:rsid w:val="00ED0EE2"/>
    <w:rsid w:val="00ED0F6A"/>
    <w:rsid w:val="00ED0FA2"/>
    <w:rsid w:val="00ED10E9"/>
    <w:rsid w:val="00ED11C1"/>
    <w:rsid w:val="00ED11D2"/>
    <w:rsid w:val="00ED1242"/>
    <w:rsid w:val="00ED132E"/>
    <w:rsid w:val="00ED1347"/>
    <w:rsid w:val="00ED141B"/>
    <w:rsid w:val="00ED1623"/>
    <w:rsid w:val="00ED1629"/>
    <w:rsid w:val="00ED16B0"/>
    <w:rsid w:val="00ED16CC"/>
    <w:rsid w:val="00ED1714"/>
    <w:rsid w:val="00ED172A"/>
    <w:rsid w:val="00ED191C"/>
    <w:rsid w:val="00ED1A0C"/>
    <w:rsid w:val="00ED1A49"/>
    <w:rsid w:val="00ED1EE5"/>
    <w:rsid w:val="00ED1EFA"/>
    <w:rsid w:val="00ED1FC9"/>
    <w:rsid w:val="00ED22F2"/>
    <w:rsid w:val="00ED2349"/>
    <w:rsid w:val="00ED23AC"/>
    <w:rsid w:val="00ED249A"/>
    <w:rsid w:val="00ED2514"/>
    <w:rsid w:val="00ED2595"/>
    <w:rsid w:val="00ED25B0"/>
    <w:rsid w:val="00ED26ED"/>
    <w:rsid w:val="00ED285A"/>
    <w:rsid w:val="00ED28E2"/>
    <w:rsid w:val="00ED2914"/>
    <w:rsid w:val="00ED2951"/>
    <w:rsid w:val="00ED2A81"/>
    <w:rsid w:val="00ED2BB0"/>
    <w:rsid w:val="00ED2BC3"/>
    <w:rsid w:val="00ED2C15"/>
    <w:rsid w:val="00ED2E90"/>
    <w:rsid w:val="00ED2E9E"/>
    <w:rsid w:val="00ED2EE5"/>
    <w:rsid w:val="00ED306F"/>
    <w:rsid w:val="00ED32BB"/>
    <w:rsid w:val="00ED3300"/>
    <w:rsid w:val="00ED35A8"/>
    <w:rsid w:val="00ED36ED"/>
    <w:rsid w:val="00ED3798"/>
    <w:rsid w:val="00ED3AEA"/>
    <w:rsid w:val="00ED3B39"/>
    <w:rsid w:val="00ED3BCD"/>
    <w:rsid w:val="00ED3BD9"/>
    <w:rsid w:val="00ED3C03"/>
    <w:rsid w:val="00ED3CAB"/>
    <w:rsid w:val="00ED40C6"/>
    <w:rsid w:val="00ED4186"/>
    <w:rsid w:val="00ED4311"/>
    <w:rsid w:val="00ED4410"/>
    <w:rsid w:val="00ED4473"/>
    <w:rsid w:val="00ED458B"/>
    <w:rsid w:val="00ED46B8"/>
    <w:rsid w:val="00ED47D0"/>
    <w:rsid w:val="00ED47E1"/>
    <w:rsid w:val="00ED4A0E"/>
    <w:rsid w:val="00ED4A4E"/>
    <w:rsid w:val="00ED4B0A"/>
    <w:rsid w:val="00ED4BF7"/>
    <w:rsid w:val="00ED4C29"/>
    <w:rsid w:val="00ED4C6E"/>
    <w:rsid w:val="00ED4E45"/>
    <w:rsid w:val="00ED4EB8"/>
    <w:rsid w:val="00ED50E4"/>
    <w:rsid w:val="00ED5211"/>
    <w:rsid w:val="00ED5328"/>
    <w:rsid w:val="00ED554F"/>
    <w:rsid w:val="00ED55C2"/>
    <w:rsid w:val="00ED55F5"/>
    <w:rsid w:val="00ED5669"/>
    <w:rsid w:val="00ED5726"/>
    <w:rsid w:val="00ED5951"/>
    <w:rsid w:val="00ED5A20"/>
    <w:rsid w:val="00ED5A40"/>
    <w:rsid w:val="00ED5DDD"/>
    <w:rsid w:val="00ED5E78"/>
    <w:rsid w:val="00ED5F29"/>
    <w:rsid w:val="00ED603C"/>
    <w:rsid w:val="00ED6194"/>
    <w:rsid w:val="00ED61C0"/>
    <w:rsid w:val="00ED61CC"/>
    <w:rsid w:val="00ED623D"/>
    <w:rsid w:val="00ED633A"/>
    <w:rsid w:val="00ED63F0"/>
    <w:rsid w:val="00ED63F3"/>
    <w:rsid w:val="00ED68BE"/>
    <w:rsid w:val="00ED69F3"/>
    <w:rsid w:val="00ED6B0E"/>
    <w:rsid w:val="00ED6B57"/>
    <w:rsid w:val="00ED6E5B"/>
    <w:rsid w:val="00ED6E6F"/>
    <w:rsid w:val="00ED6ECB"/>
    <w:rsid w:val="00ED70C9"/>
    <w:rsid w:val="00ED723F"/>
    <w:rsid w:val="00ED7337"/>
    <w:rsid w:val="00ED741F"/>
    <w:rsid w:val="00ED7514"/>
    <w:rsid w:val="00ED7579"/>
    <w:rsid w:val="00ED757A"/>
    <w:rsid w:val="00ED759A"/>
    <w:rsid w:val="00ED7679"/>
    <w:rsid w:val="00ED77D6"/>
    <w:rsid w:val="00ED78A4"/>
    <w:rsid w:val="00ED793D"/>
    <w:rsid w:val="00ED79BB"/>
    <w:rsid w:val="00ED7B57"/>
    <w:rsid w:val="00ED7B5A"/>
    <w:rsid w:val="00ED7B69"/>
    <w:rsid w:val="00ED7DF5"/>
    <w:rsid w:val="00ED7F17"/>
    <w:rsid w:val="00EE00B3"/>
    <w:rsid w:val="00EE01A2"/>
    <w:rsid w:val="00EE01CB"/>
    <w:rsid w:val="00EE038F"/>
    <w:rsid w:val="00EE05E3"/>
    <w:rsid w:val="00EE067E"/>
    <w:rsid w:val="00EE075F"/>
    <w:rsid w:val="00EE0A73"/>
    <w:rsid w:val="00EE0F0F"/>
    <w:rsid w:val="00EE1086"/>
    <w:rsid w:val="00EE120B"/>
    <w:rsid w:val="00EE12BD"/>
    <w:rsid w:val="00EE13B6"/>
    <w:rsid w:val="00EE1419"/>
    <w:rsid w:val="00EE1447"/>
    <w:rsid w:val="00EE161D"/>
    <w:rsid w:val="00EE1651"/>
    <w:rsid w:val="00EE1767"/>
    <w:rsid w:val="00EE17E6"/>
    <w:rsid w:val="00EE1851"/>
    <w:rsid w:val="00EE19B9"/>
    <w:rsid w:val="00EE1B4D"/>
    <w:rsid w:val="00EE1B5D"/>
    <w:rsid w:val="00EE1BF1"/>
    <w:rsid w:val="00EE1C36"/>
    <w:rsid w:val="00EE1C45"/>
    <w:rsid w:val="00EE1E11"/>
    <w:rsid w:val="00EE1F1F"/>
    <w:rsid w:val="00EE1FCA"/>
    <w:rsid w:val="00EE2022"/>
    <w:rsid w:val="00EE203E"/>
    <w:rsid w:val="00EE20ED"/>
    <w:rsid w:val="00EE20FC"/>
    <w:rsid w:val="00EE2123"/>
    <w:rsid w:val="00EE21A9"/>
    <w:rsid w:val="00EE2500"/>
    <w:rsid w:val="00EE2547"/>
    <w:rsid w:val="00EE26A8"/>
    <w:rsid w:val="00EE26D9"/>
    <w:rsid w:val="00EE270D"/>
    <w:rsid w:val="00EE29A7"/>
    <w:rsid w:val="00EE2A6D"/>
    <w:rsid w:val="00EE2BCE"/>
    <w:rsid w:val="00EE2C79"/>
    <w:rsid w:val="00EE2D23"/>
    <w:rsid w:val="00EE2DC3"/>
    <w:rsid w:val="00EE2DE3"/>
    <w:rsid w:val="00EE2F09"/>
    <w:rsid w:val="00EE30EF"/>
    <w:rsid w:val="00EE3193"/>
    <w:rsid w:val="00EE31AF"/>
    <w:rsid w:val="00EE324F"/>
    <w:rsid w:val="00EE3485"/>
    <w:rsid w:val="00EE378F"/>
    <w:rsid w:val="00EE37D4"/>
    <w:rsid w:val="00EE3801"/>
    <w:rsid w:val="00EE3877"/>
    <w:rsid w:val="00EE39EF"/>
    <w:rsid w:val="00EE3A03"/>
    <w:rsid w:val="00EE3ABD"/>
    <w:rsid w:val="00EE3AF0"/>
    <w:rsid w:val="00EE3B07"/>
    <w:rsid w:val="00EE3F06"/>
    <w:rsid w:val="00EE3FA6"/>
    <w:rsid w:val="00EE3FBC"/>
    <w:rsid w:val="00EE40B0"/>
    <w:rsid w:val="00EE41F3"/>
    <w:rsid w:val="00EE4239"/>
    <w:rsid w:val="00EE43EE"/>
    <w:rsid w:val="00EE4430"/>
    <w:rsid w:val="00EE45B8"/>
    <w:rsid w:val="00EE4712"/>
    <w:rsid w:val="00EE4749"/>
    <w:rsid w:val="00EE4864"/>
    <w:rsid w:val="00EE4930"/>
    <w:rsid w:val="00EE49D1"/>
    <w:rsid w:val="00EE4BCB"/>
    <w:rsid w:val="00EE4E6D"/>
    <w:rsid w:val="00EE4F0F"/>
    <w:rsid w:val="00EE4F68"/>
    <w:rsid w:val="00EE5048"/>
    <w:rsid w:val="00EE50BC"/>
    <w:rsid w:val="00EE5224"/>
    <w:rsid w:val="00EE52D6"/>
    <w:rsid w:val="00EE549E"/>
    <w:rsid w:val="00EE54BB"/>
    <w:rsid w:val="00EE55B0"/>
    <w:rsid w:val="00EE56C8"/>
    <w:rsid w:val="00EE5736"/>
    <w:rsid w:val="00EE57A6"/>
    <w:rsid w:val="00EE5978"/>
    <w:rsid w:val="00EE5A44"/>
    <w:rsid w:val="00EE5AA7"/>
    <w:rsid w:val="00EE5C33"/>
    <w:rsid w:val="00EE5C6E"/>
    <w:rsid w:val="00EE5C95"/>
    <w:rsid w:val="00EE5CBB"/>
    <w:rsid w:val="00EE5CFF"/>
    <w:rsid w:val="00EE5E0A"/>
    <w:rsid w:val="00EE5E92"/>
    <w:rsid w:val="00EE5F80"/>
    <w:rsid w:val="00EE60B0"/>
    <w:rsid w:val="00EE60F7"/>
    <w:rsid w:val="00EE6141"/>
    <w:rsid w:val="00EE62CD"/>
    <w:rsid w:val="00EE6325"/>
    <w:rsid w:val="00EE637E"/>
    <w:rsid w:val="00EE648F"/>
    <w:rsid w:val="00EE66E3"/>
    <w:rsid w:val="00EE6857"/>
    <w:rsid w:val="00EE6A4F"/>
    <w:rsid w:val="00EE6B70"/>
    <w:rsid w:val="00EE6CD4"/>
    <w:rsid w:val="00EE6CF7"/>
    <w:rsid w:val="00EE6DE0"/>
    <w:rsid w:val="00EE6E03"/>
    <w:rsid w:val="00EE6E42"/>
    <w:rsid w:val="00EE6F2E"/>
    <w:rsid w:val="00EE6F88"/>
    <w:rsid w:val="00EE71DE"/>
    <w:rsid w:val="00EE7260"/>
    <w:rsid w:val="00EE72DB"/>
    <w:rsid w:val="00EE7744"/>
    <w:rsid w:val="00EE78D7"/>
    <w:rsid w:val="00EE79BE"/>
    <w:rsid w:val="00EE7B04"/>
    <w:rsid w:val="00EE7B32"/>
    <w:rsid w:val="00EE7B65"/>
    <w:rsid w:val="00EE7BDB"/>
    <w:rsid w:val="00EE7CD1"/>
    <w:rsid w:val="00EE7CFA"/>
    <w:rsid w:val="00EE7DAB"/>
    <w:rsid w:val="00EE7DF1"/>
    <w:rsid w:val="00EE7E69"/>
    <w:rsid w:val="00EE7F0D"/>
    <w:rsid w:val="00EF0045"/>
    <w:rsid w:val="00EF0167"/>
    <w:rsid w:val="00EF01F0"/>
    <w:rsid w:val="00EF020F"/>
    <w:rsid w:val="00EF0272"/>
    <w:rsid w:val="00EF036E"/>
    <w:rsid w:val="00EF03C5"/>
    <w:rsid w:val="00EF03E1"/>
    <w:rsid w:val="00EF03F3"/>
    <w:rsid w:val="00EF0443"/>
    <w:rsid w:val="00EF04E8"/>
    <w:rsid w:val="00EF0674"/>
    <w:rsid w:val="00EF0787"/>
    <w:rsid w:val="00EF07E2"/>
    <w:rsid w:val="00EF0B8C"/>
    <w:rsid w:val="00EF0BCD"/>
    <w:rsid w:val="00EF0BDB"/>
    <w:rsid w:val="00EF0C5E"/>
    <w:rsid w:val="00EF0C8F"/>
    <w:rsid w:val="00EF0D25"/>
    <w:rsid w:val="00EF0E4A"/>
    <w:rsid w:val="00EF0FD3"/>
    <w:rsid w:val="00EF1087"/>
    <w:rsid w:val="00EF11A2"/>
    <w:rsid w:val="00EF11B7"/>
    <w:rsid w:val="00EF1337"/>
    <w:rsid w:val="00EF145E"/>
    <w:rsid w:val="00EF160E"/>
    <w:rsid w:val="00EF1616"/>
    <w:rsid w:val="00EF1655"/>
    <w:rsid w:val="00EF1670"/>
    <w:rsid w:val="00EF184F"/>
    <w:rsid w:val="00EF1AD3"/>
    <w:rsid w:val="00EF1BED"/>
    <w:rsid w:val="00EF1D23"/>
    <w:rsid w:val="00EF1D24"/>
    <w:rsid w:val="00EF1D88"/>
    <w:rsid w:val="00EF1E7E"/>
    <w:rsid w:val="00EF1F32"/>
    <w:rsid w:val="00EF2021"/>
    <w:rsid w:val="00EF2098"/>
    <w:rsid w:val="00EF209F"/>
    <w:rsid w:val="00EF212D"/>
    <w:rsid w:val="00EF2163"/>
    <w:rsid w:val="00EF2302"/>
    <w:rsid w:val="00EF269C"/>
    <w:rsid w:val="00EF287C"/>
    <w:rsid w:val="00EF2BBB"/>
    <w:rsid w:val="00EF2CA0"/>
    <w:rsid w:val="00EF2CE0"/>
    <w:rsid w:val="00EF2EB4"/>
    <w:rsid w:val="00EF2F65"/>
    <w:rsid w:val="00EF30C9"/>
    <w:rsid w:val="00EF3138"/>
    <w:rsid w:val="00EF3240"/>
    <w:rsid w:val="00EF336A"/>
    <w:rsid w:val="00EF35C8"/>
    <w:rsid w:val="00EF373F"/>
    <w:rsid w:val="00EF3835"/>
    <w:rsid w:val="00EF38B2"/>
    <w:rsid w:val="00EF39D2"/>
    <w:rsid w:val="00EF3AAA"/>
    <w:rsid w:val="00EF3B8F"/>
    <w:rsid w:val="00EF3E88"/>
    <w:rsid w:val="00EF3F60"/>
    <w:rsid w:val="00EF3F82"/>
    <w:rsid w:val="00EF4096"/>
    <w:rsid w:val="00EF409A"/>
    <w:rsid w:val="00EF40BC"/>
    <w:rsid w:val="00EF40CE"/>
    <w:rsid w:val="00EF4134"/>
    <w:rsid w:val="00EF421F"/>
    <w:rsid w:val="00EF425E"/>
    <w:rsid w:val="00EF42A9"/>
    <w:rsid w:val="00EF42D0"/>
    <w:rsid w:val="00EF44C4"/>
    <w:rsid w:val="00EF4622"/>
    <w:rsid w:val="00EF4702"/>
    <w:rsid w:val="00EF48F1"/>
    <w:rsid w:val="00EF49FA"/>
    <w:rsid w:val="00EF49FB"/>
    <w:rsid w:val="00EF4A7D"/>
    <w:rsid w:val="00EF4C15"/>
    <w:rsid w:val="00EF4D16"/>
    <w:rsid w:val="00EF4D5C"/>
    <w:rsid w:val="00EF4DDD"/>
    <w:rsid w:val="00EF4E4A"/>
    <w:rsid w:val="00EF4F1F"/>
    <w:rsid w:val="00EF4FAF"/>
    <w:rsid w:val="00EF5064"/>
    <w:rsid w:val="00EF5066"/>
    <w:rsid w:val="00EF521C"/>
    <w:rsid w:val="00EF5247"/>
    <w:rsid w:val="00EF5354"/>
    <w:rsid w:val="00EF5374"/>
    <w:rsid w:val="00EF53C0"/>
    <w:rsid w:val="00EF53EA"/>
    <w:rsid w:val="00EF54EE"/>
    <w:rsid w:val="00EF573C"/>
    <w:rsid w:val="00EF5762"/>
    <w:rsid w:val="00EF5775"/>
    <w:rsid w:val="00EF579D"/>
    <w:rsid w:val="00EF588F"/>
    <w:rsid w:val="00EF58AC"/>
    <w:rsid w:val="00EF5945"/>
    <w:rsid w:val="00EF5977"/>
    <w:rsid w:val="00EF5A3F"/>
    <w:rsid w:val="00EF5B8E"/>
    <w:rsid w:val="00EF5BCE"/>
    <w:rsid w:val="00EF5CDF"/>
    <w:rsid w:val="00EF5D0B"/>
    <w:rsid w:val="00EF5D31"/>
    <w:rsid w:val="00EF5F07"/>
    <w:rsid w:val="00EF5F0F"/>
    <w:rsid w:val="00EF5F85"/>
    <w:rsid w:val="00EF6013"/>
    <w:rsid w:val="00EF61D3"/>
    <w:rsid w:val="00EF62C7"/>
    <w:rsid w:val="00EF6351"/>
    <w:rsid w:val="00EF65AB"/>
    <w:rsid w:val="00EF65C8"/>
    <w:rsid w:val="00EF674F"/>
    <w:rsid w:val="00EF6793"/>
    <w:rsid w:val="00EF67F0"/>
    <w:rsid w:val="00EF6828"/>
    <w:rsid w:val="00EF6855"/>
    <w:rsid w:val="00EF68E8"/>
    <w:rsid w:val="00EF6946"/>
    <w:rsid w:val="00EF6B86"/>
    <w:rsid w:val="00EF6C27"/>
    <w:rsid w:val="00EF6CE9"/>
    <w:rsid w:val="00EF6E47"/>
    <w:rsid w:val="00EF6E55"/>
    <w:rsid w:val="00EF6F42"/>
    <w:rsid w:val="00EF6FAB"/>
    <w:rsid w:val="00EF705B"/>
    <w:rsid w:val="00EF70A2"/>
    <w:rsid w:val="00EF710D"/>
    <w:rsid w:val="00EF713F"/>
    <w:rsid w:val="00EF718A"/>
    <w:rsid w:val="00EF71C1"/>
    <w:rsid w:val="00EF7217"/>
    <w:rsid w:val="00EF7623"/>
    <w:rsid w:val="00EF76D7"/>
    <w:rsid w:val="00EF7758"/>
    <w:rsid w:val="00EF7ADF"/>
    <w:rsid w:val="00EF7B4A"/>
    <w:rsid w:val="00EF7E20"/>
    <w:rsid w:val="00EF7F59"/>
    <w:rsid w:val="00EF7FE7"/>
    <w:rsid w:val="00EF7FFB"/>
    <w:rsid w:val="00F00010"/>
    <w:rsid w:val="00F0014D"/>
    <w:rsid w:val="00F0017B"/>
    <w:rsid w:val="00F0025E"/>
    <w:rsid w:val="00F00350"/>
    <w:rsid w:val="00F00481"/>
    <w:rsid w:val="00F004EC"/>
    <w:rsid w:val="00F0057B"/>
    <w:rsid w:val="00F005D3"/>
    <w:rsid w:val="00F00604"/>
    <w:rsid w:val="00F00669"/>
    <w:rsid w:val="00F00695"/>
    <w:rsid w:val="00F006E7"/>
    <w:rsid w:val="00F007E9"/>
    <w:rsid w:val="00F0082D"/>
    <w:rsid w:val="00F00A48"/>
    <w:rsid w:val="00F00C8E"/>
    <w:rsid w:val="00F00E30"/>
    <w:rsid w:val="00F00FF6"/>
    <w:rsid w:val="00F01009"/>
    <w:rsid w:val="00F011C6"/>
    <w:rsid w:val="00F0136A"/>
    <w:rsid w:val="00F015AB"/>
    <w:rsid w:val="00F017B0"/>
    <w:rsid w:val="00F017D5"/>
    <w:rsid w:val="00F0188A"/>
    <w:rsid w:val="00F018C5"/>
    <w:rsid w:val="00F018F3"/>
    <w:rsid w:val="00F01B25"/>
    <w:rsid w:val="00F01BEF"/>
    <w:rsid w:val="00F01C1C"/>
    <w:rsid w:val="00F01C72"/>
    <w:rsid w:val="00F01E4A"/>
    <w:rsid w:val="00F01E67"/>
    <w:rsid w:val="00F01F89"/>
    <w:rsid w:val="00F0200B"/>
    <w:rsid w:val="00F02023"/>
    <w:rsid w:val="00F021BB"/>
    <w:rsid w:val="00F021E0"/>
    <w:rsid w:val="00F023A3"/>
    <w:rsid w:val="00F027CB"/>
    <w:rsid w:val="00F027DB"/>
    <w:rsid w:val="00F02A98"/>
    <w:rsid w:val="00F02BD5"/>
    <w:rsid w:val="00F02C3C"/>
    <w:rsid w:val="00F02CA3"/>
    <w:rsid w:val="00F02D9E"/>
    <w:rsid w:val="00F02D9F"/>
    <w:rsid w:val="00F02DC3"/>
    <w:rsid w:val="00F02DD0"/>
    <w:rsid w:val="00F02F1C"/>
    <w:rsid w:val="00F02F46"/>
    <w:rsid w:val="00F03030"/>
    <w:rsid w:val="00F03106"/>
    <w:rsid w:val="00F0310A"/>
    <w:rsid w:val="00F03225"/>
    <w:rsid w:val="00F0325E"/>
    <w:rsid w:val="00F0330E"/>
    <w:rsid w:val="00F033B9"/>
    <w:rsid w:val="00F03599"/>
    <w:rsid w:val="00F03872"/>
    <w:rsid w:val="00F039EA"/>
    <w:rsid w:val="00F03A05"/>
    <w:rsid w:val="00F03A21"/>
    <w:rsid w:val="00F03B45"/>
    <w:rsid w:val="00F03BC2"/>
    <w:rsid w:val="00F03DFD"/>
    <w:rsid w:val="00F03EBF"/>
    <w:rsid w:val="00F03EC7"/>
    <w:rsid w:val="00F03F10"/>
    <w:rsid w:val="00F03FA1"/>
    <w:rsid w:val="00F0409D"/>
    <w:rsid w:val="00F043C1"/>
    <w:rsid w:val="00F04540"/>
    <w:rsid w:val="00F04567"/>
    <w:rsid w:val="00F04576"/>
    <w:rsid w:val="00F045E0"/>
    <w:rsid w:val="00F0460E"/>
    <w:rsid w:val="00F046F0"/>
    <w:rsid w:val="00F04772"/>
    <w:rsid w:val="00F04932"/>
    <w:rsid w:val="00F049A7"/>
    <w:rsid w:val="00F049C9"/>
    <w:rsid w:val="00F049F3"/>
    <w:rsid w:val="00F04A52"/>
    <w:rsid w:val="00F04AA8"/>
    <w:rsid w:val="00F04B36"/>
    <w:rsid w:val="00F04D5A"/>
    <w:rsid w:val="00F04E7A"/>
    <w:rsid w:val="00F04EAB"/>
    <w:rsid w:val="00F04F56"/>
    <w:rsid w:val="00F04FF3"/>
    <w:rsid w:val="00F050EA"/>
    <w:rsid w:val="00F05184"/>
    <w:rsid w:val="00F051F9"/>
    <w:rsid w:val="00F05372"/>
    <w:rsid w:val="00F0537B"/>
    <w:rsid w:val="00F055DB"/>
    <w:rsid w:val="00F05652"/>
    <w:rsid w:val="00F056BE"/>
    <w:rsid w:val="00F058E1"/>
    <w:rsid w:val="00F059C0"/>
    <w:rsid w:val="00F059FC"/>
    <w:rsid w:val="00F05A8F"/>
    <w:rsid w:val="00F05B72"/>
    <w:rsid w:val="00F05BFE"/>
    <w:rsid w:val="00F05E19"/>
    <w:rsid w:val="00F05FC0"/>
    <w:rsid w:val="00F06035"/>
    <w:rsid w:val="00F06067"/>
    <w:rsid w:val="00F0624C"/>
    <w:rsid w:val="00F064E5"/>
    <w:rsid w:val="00F06659"/>
    <w:rsid w:val="00F06694"/>
    <w:rsid w:val="00F066F2"/>
    <w:rsid w:val="00F0671C"/>
    <w:rsid w:val="00F06735"/>
    <w:rsid w:val="00F06762"/>
    <w:rsid w:val="00F069C7"/>
    <w:rsid w:val="00F069EA"/>
    <w:rsid w:val="00F06B5B"/>
    <w:rsid w:val="00F06BB6"/>
    <w:rsid w:val="00F06BF1"/>
    <w:rsid w:val="00F06CE1"/>
    <w:rsid w:val="00F06E74"/>
    <w:rsid w:val="00F06EB4"/>
    <w:rsid w:val="00F07084"/>
    <w:rsid w:val="00F07085"/>
    <w:rsid w:val="00F07094"/>
    <w:rsid w:val="00F072CF"/>
    <w:rsid w:val="00F07393"/>
    <w:rsid w:val="00F074C1"/>
    <w:rsid w:val="00F07504"/>
    <w:rsid w:val="00F07555"/>
    <w:rsid w:val="00F0760D"/>
    <w:rsid w:val="00F0764F"/>
    <w:rsid w:val="00F0769A"/>
    <w:rsid w:val="00F07911"/>
    <w:rsid w:val="00F0797D"/>
    <w:rsid w:val="00F07A02"/>
    <w:rsid w:val="00F07A14"/>
    <w:rsid w:val="00F07AEF"/>
    <w:rsid w:val="00F07C30"/>
    <w:rsid w:val="00F07C90"/>
    <w:rsid w:val="00F07D3C"/>
    <w:rsid w:val="00F07D3E"/>
    <w:rsid w:val="00F07E23"/>
    <w:rsid w:val="00F07F79"/>
    <w:rsid w:val="00F1006B"/>
    <w:rsid w:val="00F100BF"/>
    <w:rsid w:val="00F10162"/>
    <w:rsid w:val="00F101C2"/>
    <w:rsid w:val="00F1024B"/>
    <w:rsid w:val="00F103F8"/>
    <w:rsid w:val="00F103FA"/>
    <w:rsid w:val="00F105E5"/>
    <w:rsid w:val="00F10715"/>
    <w:rsid w:val="00F10783"/>
    <w:rsid w:val="00F10884"/>
    <w:rsid w:val="00F108BB"/>
    <w:rsid w:val="00F1091E"/>
    <w:rsid w:val="00F10AE7"/>
    <w:rsid w:val="00F10B5F"/>
    <w:rsid w:val="00F10D33"/>
    <w:rsid w:val="00F10D42"/>
    <w:rsid w:val="00F10DE2"/>
    <w:rsid w:val="00F10F01"/>
    <w:rsid w:val="00F11173"/>
    <w:rsid w:val="00F1120A"/>
    <w:rsid w:val="00F112C5"/>
    <w:rsid w:val="00F1131F"/>
    <w:rsid w:val="00F1139B"/>
    <w:rsid w:val="00F113E8"/>
    <w:rsid w:val="00F113FA"/>
    <w:rsid w:val="00F11431"/>
    <w:rsid w:val="00F114DF"/>
    <w:rsid w:val="00F1156E"/>
    <w:rsid w:val="00F11902"/>
    <w:rsid w:val="00F11905"/>
    <w:rsid w:val="00F11A0A"/>
    <w:rsid w:val="00F11A55"/>
    <w:rsid w:val="00F11A70"/>
    <w:rsid w:val="00F11AB8"/>
    <w:rsid w:val="00F11DE3"/>
    <w:rsid w:val="00F11DE7"/>
    <w:rsid w:val="00F11E0A"/>
    <w:rsid w:val="00F11EE1"/>
    <w:rsid w:val="00F11F0C"/>
    <w:rsid w:val="00F11F84"/>
    <w:rsid w:val="00F12214"/>
    <w:rsid w:val="00F122FD"/>
    <w:rsid w:val="00F1238D"/>
    <w:rsid w:val="00F12526"/>
    <w:rsid w:val="00F125FB"/>
    <w:rsid w:val="00F126CC"/>
    <w:rsid w:val="00F12708"/>
    <w:rsid w:val="00F127B7"/>
    <w:rsid w:val="00F129B4"/>
    <w:rsid w:val="00F12AE4"/>
    <w:rsid w:val="00F12BDD"/>
    <w:rsid w:val="00F12C1A"/>
    <w:rsid w:val="00F12C2F"/>
    <w:rsid w:val="00F12D94"/>
    <w:rsid w:val="00F12DD6"/>
    <w:rsid w:val="00F12EF0"/>
    <w:rsid w:val="00F130BA"/>
    <w:rsid w:val="00F130CF"/>
    <w:rsid w:val="00F13116"/>
    <w:rsid w:val="00F131AE"/>
    <w:rsid w:val="00F13316"/>
    <w:rsid w:val="00F1348C"/>
    <w:rsid w:val="00F134F4"/>
    <w:rsid w:val="00F135A6"/>
    <w:rsid w:val="00F137B1"/>
    <w:rsid w:val="00F139B6"/>
    <w:rsid w:val="00F139C0"/>
    <w:rsid w:val="00F139CE"/>
    <w:rsid w:val="00F13A32"/>
    <w:rsid w:val="00F13A8E"/>
    <w:rsid w:val="00F13AFA"/>
    <w:rsid w:val="00F13BD4"/>
    <w:rsid w:val="00F13C28"/>
    <w:rsid w:val="00F13D47"/>
    <w:rsid w:val="00F13E16"/>
    <w:rsid w:val="00F13FF8"/>
    <w:rsid w:val="00F14092"/>
    <w:rsid w:val="00F140BF"/>
    <w:rsid w:val="00F14149"/>
    <w:rsid w:val="00F141F1"/>
    <w:rsid w:val="00F1425D"/>
    <w:rsid w:val="00F1460A"/>
    <w:rsid w:val="00F146CB"/>
    <w:rsid w:val="00F1470D"/>
    <w:rsid w:val="00F147E8"/>
    <w:rsid w:val="00F148B5"/>
    <w:rsid w:val="00F1496E"/>
    <w:rsid w:val="00F14999"/>
    <w:rsid w:val="00F149D7"/>
    <w:rsid w:val="00F14AF3"/>
    <w:rsid w:val="00F14B60"/>
    <w:rsid w:val="00F14B73"/>
    <w:rsid w:val="00F14C17"/>
    <w:rsid w:val="00F14D32"/>
    <w:rsid w:val="00F14F85"/>
    <w:rsid w:val="00F14FC6"/>
    <w:rsid w:val="00F15123"/>
    <w:rsid w:val="00F1521C"/>
    <w:rsid w:val="00F152DC"/>
    <w:rsid w:val="00F1538B"/>
    <w:rsid w:val="00F15424"/>
    <w:rsid w:val="00F155C0"/>
    <w:rsid w:val="00F155E8"/>
    <w:rsid w:val="00F155F7"/>
    <w:rsid w:val="00F15690"/>
    <w:rsid w:val="00F15835"/>
    <w:rsid w:val="00F1588A"/>
    <w:rsid w:val="00F1589A"/>
    <w:rsid w:val="00F15A38"/>
    <w:rsid w:val="00F15A4D"/>
    <w:rsid w:val="00F15C60"/>
    <w:rsid w:val="00F15CA9"/>
    <w:rsid w:val="00F15D1F"/>
    <w:rsid w:val="00F15D52"/>
    <w:rsid w:val="00F160C6"/>
    <w:rsid w:val="00F16118"/>
    <w:rsid w:val="00F16199"/>
    <w:rsid w:val="00F1624D"/>
    <w:rsid w:val="00F16682"/>
    <w:rsid w:val="00F16803"/>
    <w:rsid w:val="00F1680C"/>
    <w:rsid w:val="00F168B3"/>
    <w:rsid w:val="00F169A4"/>
    <w:rsid w:val="00F16BB7"/>
    <w:rsid w:val="00F16C49"/>
    <w:rsid w:val="00F16D0F"/>
    <w:rsid w:val="00F16D21"/>
    <w:rsid w:val="00F170D6"/>
    <w:rsid w:val="00F17109"/>
    <w:rsid w:val="00F172F4"/>
    <w:rsid w:val="00F17524"/>
    <w:rsid w:val="00F1759E"/>
    <w:rsid w:val="00F17685"/>
    <w:rsid w:val="00F176C0"/>
    <w:rsid w:val="00F1770E"/>
    <w:rsid w:val="00F177C8"/>
    <w:rsid w:val="00F17868"/>
    <w:rsid w:val="00F179C8"/>
    <w:rsid w:val="00F179CE"/>
    <w:rsid w:val="00F17B09"/>
    <w:rsid w:val="00F17B1A"/>
    <w:rsid w:val="00F17B49"/>
    <w:rsid w:val="00F17C1C"/>
    <w:rsid w:val="00F17D56"/>
    <w:rsid w:val="00F17E3F"/>
    <w:rsid w:val="00F17E7C"/>
    <w:rsid w:val="00F17FF9"/>
    <w:rsid w:val="00F2002D"/>
    <w:rsid w:val="00F20062"/>
    <w:rsid w:val="00F200EF"/>
    <w:rsid w:val="00F20129"/>
    <w:rsid w:val="00F201B2"/>
    <w:rsid w:val="00F20217"/>
    <w:rsid w:val="00F203B4"/>
    <w:rsid w:val="00F203E0"/>
    <w:rsid w:val="00F204F6"/>
    <w:rsid w:val="00F20778"/>
    <w:rsid w:val="00F20779"/>
    <w:rsid w:val="00F20804"/>
    <w:rsid w:val="00F20851"/>
    <w:rsid w:val="00F20924"/>
    <w:rsid w:val="00F20986"/>
    <w:rsid w:val="00F20A35"/>
    <w:rsid w:val="00F20AB0"/>
    <w:rsid w:val="00F20BB5"/>
    <w:rsid w:val="00F20C9B"/>
    <w:rsid w:val="00F20CF6"/>
    <w:rsid w:val="00F20EB4"/>
    <w:rsid w:val="00F20F8A"/>
    <w:rsid w:val="00F21025"/>
    <w:rsid w:val="00F21050"/>
    <w:rsid w:val="00F2109B"/>
    <w:rsid w:val="00F210D6"/>
    <w:rsid w:val="00F2113F"/>
    <w:rsid w:val="00F21175"/>
    <w:rsid w:val="00F21298"/>
    <w:rsid w:val="00F2133A"/>
    <w:rsid w:val="00F21351"/>
    <w:rsid w:val="00F214D9"/>
    <w:rsid w:val="00F2177C"/>
    <w:rsid w:val="00F2195E"/>
    <w:rsid w:val="00F21A01"/>
    <w:rsid w:val="00F21ACD"/>
    <w:rsid w:val="00F21C89"/>
    <w:rsid w:val="00F21D52"/>
    <w:rsid w:val="00F21D98"/>
    <w:rsid w:val="00F21E2B"/>
    <w:rsid w:val="00F21E3D"/>
    <w:rsid w:val="00F21E91"/>
    <w:rsid w:val="00F220E1"/>
    <w:rsid w:val="00F221C9"/>
    <w:rsid w:val="00F22352"/>
    <w:rsid w:val="00F224EE"/>
    <w:rsid w:val="00F22536"/>
    <w:rsid w:val="00F22671"/>
    <w:rsid w:val="00F22736"/>
    <w:rsid w:val="00F228C8"/>
    <w:rsid w:val="00F22AA7"/>
    <w:rsid w:val="00F22B1D"/>
    <w:rsid w:val="00F22C88"/>
    <w:rsid w:val="00F22D6D"/>
    <w:rsid w:val="00F22E9F"/>
    <w:rsid w:val="00F22EAB"/>
    <w:rsid w:val="00F22F83"/>
    <w:rsid w:val="00F22F8B"/>
    <w:rsid w:val="00F23066"/>
    <w:rsid w:val="00F23314"/>
    <w:rsid w:val="00F23320"/>
    <w:rsid w:val="00F234B8"/>
    <w:rsid w:val="00F235B1"/>
    <w:rsid w:val="00F235E7"/>
    <w:rsid w:val="00F236D9"/>
    <w:rsid w:val="00F2372C"/>
    <w:rsid w:val="00F23746"/>
    <w:rsid w:val="00F237BA"/>
    <w:rsid w:val="00F23B24"/>
    <w:rsid w:val="00F23D3B"/>
    <w:rsid w:val="00F23DE8"/>
    <w:rsid w:val="00F23FEB"/>
    <w:rsid w:val="00F2403D"/>
    <w:rsid w:val="00F241D7"/>
    <w:rsid w:val="00F24571"/>
    <w:rsid w:val="00F2464D"/>
    <w:rsid w:val="00F24869"/>
    <w:rsid w:val="00F24A82"/>
    <w:rsid w:val="00F24BB4"/>
    <w:rsid w:val="00F24C59"/>
    <w:rsid w:val="00F24DC6"/>
    <w:rsid w:val="00F24E74"/>
    <w:rsid w:val="00F24F46"/>
    <w:rsid w:val="00F24F58"/>
    <w:rsid w:val="00F2500E"/>
    <w:rsid w:val="00F25097"/>
    <w:rsid w:val="00F250A2"/>
    <w:rsid w:val="00F250A6"/>
    <w:rsid w:val="00F251CD"/>
    <w:rsid w:val="00F2521F"/>
    <w:rsid w:val="00F25536"/>
    <w:rsid w:val="00F25591"/>
    <w:rsid w:val="00F25652"/>
    <w:rsid w:val="00F25694"/>
    <w:rsid w:val="00F256E2"/>
    <w:rsid w:val="00F2573E"/>
    <w:rsid w:val="00F25771"/>
    <w:rsid w:val="00F25787"/>
    <w:rsid w:val="00F257C0"/>
    <w:rsid w:val="00F25845"/>
    <w:rsid w:val="00F25B92"/>
    <w:rsid w:val="00F25BB0"/>
    <w:rsid w:val="00F25C44"/>
    <w:rsid w:val="00F25DA8"/>
    <w:rsid w:val="00F25DB5"/>
    <w:rsid w:val="00F25E4B"/>
    <w:rsid w:val="00F25FFA"/>
    <w:rsid w:val="00F26054"/>
    <w:rsid w:val="00F26088"/>
    <w:rsid w:val="00F26217"/>
    <w:rsid w:val="00F2630F"/>
    <w:rsid w:val="00F263BA"/>
    <w:rsid w:val="00F263FB"/>
    <w:rsid w:val="00F264CD"/>
    <w:rsid w:val="00F26994"/>
    <w:rsid w:val="00F26EB5"/>
    <w:rsid w:val="00F26EFD"/>
    <w:rsid w:val="00F26F0B"/>
    <w:rsid w:val="00F26F6C"/>
    <w:rsid w:val="00F27106"/>
    <w:rsid w:val="00F27145"/>
    <w:rsid w:val="00F271C1"/>
    <w:rsid w:val="00F2750E"/>
    <w:rsid w:val="00F27555"/>
    <w:rsid w:val="00F275D9"/>
    <w:rsid w:val="00F275E7"/>
    <w:rsid w:val="00F27602"/>
    <w:rsid w:val="00F27738"/>
    <w:rsid w:val="00F277AB"/>
    <w:rsid w:val="00F277B8"/>
    <w:rsid w:val="00F2780C"/>
    <w:rsid w:val="00F2781C"/>
    <w:rsid w:val="00F278F3"/>
    <w:rsid w:val="00F27944"/>
    <w:rsid w:val="00F27963"/>
    <w:rsid w:val="00F27B7F"/>
    <w:rsid w:val="00F27B93"/>
    <w:rsid w:val="00F27CE3"/>
    <w:rsid w:val="00F27DE1"/>
    <w:rsid w:val="00F27EBC"/>
    <w:rsid w:val="00F27F3F"/>
    <w:rsid w:val="00F300D0"/>
    <w:rsid w:val="00F30261"/>
    <w:rsid w:val="00F30307"/>
    <w:rsid w:val="00F3048F"/>
    <w:rsid w:val="00F304A4"/>
    <w:rsid w:val="00F304AF"/>
    <w:rsid w:val="00F304B2"/>
    <w:rsid w:val="00F30517"/>
    <w:rsid w:val="00F30594"/>
    <w:rsid w:val="00F3074C"/>
    <w:rsid w:val="00F3076E"/>
    <w:rsid w:val="00F307EB"/>
    <w:rsid w:val="00F308A4"/>
    <w:rsid w:val="00F30B54"/>
    <w:rsid w:val="00F30CC4"/>
    <w:rsid w:val="00F30D8E"/>
    <w:rsid w:val="00F30E3D"/>
    <w:rsid w:val="00F31009"/>
    <w:rsid w:val="00F31061"/>
    <w:rsid w:val="00F31121"/>
    <w:rsid w:val="00F31184"/>
    <w:rsid w:val="00F3121D"/>
    <w:rsid w:val="00F31328"/>
    <w:rsid w:val="00F31436"/>
    <w:rsid w:val="00F3155F"/>
    <w:rsid w:val="00F31581"/>
    <w:rsid w:val="00F315E3"/>
    <w:rsid w:val="00F317B6"/>
    <w:rsid w:val="00F31A8C"/>
    <w:rsid w:val="00F31E9D"/>
    <w:rsid w:val="00F31EF4"/>
    <w:rsid w:val="00F31FA7"/>
    <w:rsid w:val="00F3216C"/>
    <w:rsid w:val="00F32249"/>
    <w:rsid w:val="00F3229E"/>
    <w:rsid w:val="00F322F0"/>
    <w:rsid w:val="00F3232A"/>
    <w:rsid w:val="00F32467"/>
    <w:rsid w:val="00F32545"/>
    <w:rsid w:val="00F3255B"/>
    <w:rsid w:val="00F3256A"/>
    <w:rsid w:val="00F325F5"/>
    <w:rsid w:val="00F32600"/>
    <w:rsid w:val="00F3272B"/>
    <w:rsid w:val="00F3275C"/>
    <w:rsid w:val="00F327C3"/>
    <w:rsid w:val="00F328EC"/>
    <w:rsid w:val="00F329D6"/>
    <w:rsid w:val="00F32A80"/>
    <w:rsid w:val="00F32AC6"/>
    <w:rsid w:val="00F32B50"/>
    <w:rsid w:val="00F32C54"/>
    <w:rsid w:val="00F32D28"/>
    <w:rsid w:val="00F32DCE"/>
    <w:rsid w:val="00F32FB3"/>
    <w:rsid w:val="00F33015"/>
    <w:rsid w:val="00F330D2"/>
    <w:rsid w:val="00F3323A"/>
    <w:rsid w:val="00F33295"/>
    <w:rsid w:val="00F3380D"/>
    <w:rsid w:val="00F33A1B"/>
    <w:rsid w:val="00F33A75"/>
    <w:rsid w:val="00F33C2F"/>
    <w:rsid w:val="00F33DB8"/>
    <w:rsid w:val="00F33DBE"/>
    <w:rsid w:val="00F33EB8"/>
    <w:rsid w:val="00F33EFD"/>
    <w:rsid w:val="00F33F43"/>
    <w:rsid w:val="00F33F97"/>
    <w:rsid w:val="00F33FD1"/>
    <w:rsid w:val="00F3409C"/>
    <w:rsid w:val="00F340F3"/>
    <w:rsid w:val="00F341ED"/>
    <w:rsid w:val="00F34216"/>
    <w:rsid w:val="00F342A4"/>
    <w:rsid w:val="00F34322"/>
    <w:rsid w:val="00F34371"/>
    <w:rsid w:val="00F344C6"/>
    <w:rsid w:val="00F34551"/>
    <w:rsid w:val="00F345BE"/>
    <w:rsid w:val="00F347FA"/>
    <w:rsid w:val="00F3485C"/>
    <w:rsid w:val="00F34880"/>
    <w:rsid w:val="00F3493F"/>
    <w:rsid w:val="00F349E8"/>
    <w:rsid w:val="00F34A18"/>
    <w:rsid w:val="00F34AC9"/>
    <w:rsid w:val="00F34C01"/>
    <w:rsid w:val="00F34D90"/>
    <w:rsid w:val="00F34ED1"/>
    <w:rsid w:val="00F3504E"/>
    <w:rsid w:val="00F3506F"/>
    <w:rsid w:val="00F3509D"/>
    <w:rsid w:val="00F350A1"/>
    <w:rsid w:val="00F351CF"/>
    <w:rsid w:val="00F3537C"/>
    <w:rsid w:val="00F353BB"/>
    <w:rsid w:val="00F353EC"/>
    <w:rsid w:val="00F35469"/>
    <w:rsid w:val="00F35493"/>
    <w:rsid w:val="00F35688"/>
    <w:rsid w:val="00F35694"/>
    <w:rsid w:val="00F35781"/>
    <w:rsid w:val="00F357BE"/>
    <w:rsid w:val="00F357E0"/>
    <w:rsid w:val="00F358FA"/>
    <w:rsid w:val="00F35A16"/>
    <w:rsid w:val="00F35C9F"/>
    <w:rsid w:val="00F35D5E"/>
    <w:rsid w:val="00F35E14"/>
    <w:rsid w:val="00F360CA"/>
    <w:rsid w:val="00F36111"/>
    <w:rsid w:val="00F3622A"/>
    <w:rsid w:val="00F36413"/>
    <w:rsid w:val="00F36454"/>
    <w:rsid w:val="00F36464"/>
    <w:rsid w:val="00F364C9"/>
    <w:rsid w:val="00F36779"/>
    <w:rsid w:val="00F367AE"/>
    <w:rsid w:val="00F369FA"/>
    <w:rsid w:val="00F36A4B"/>
    <w:rsid w:val="00F36A54"/>
    <w:rsid w:val="00F36A6B"/>
    <w:rsid w:val="00F36BCA"/>
    <w:rsid w:val="00F36CAA"/>
    <w:rsid w:val="00F36EF0"/>
    <w:rsid w:val="00F36FEA"/>
    <w:rsid w:val="00F370E2"/>
    <w:rsid w:val="00F37111"/>
    <w:rsid w:val="00F3716D"/>
    <w:rsid w:val="00F371AD"/>
    <w:rsid w:val="00F3728B"/>
    <w:rsid w:val="00F37488"/>
    <w:rsid w:val="00F374E9"/>
    <w:rsid w:val="00F375C6"/>
    <w:rsid w:val="00F3769F"/>
    <w:rsid w:val="00F376B4"/>
    <w:rsid w:val="00F376F2"/>
    <w:rsid w:val="00F37783"/>
    <w:rsid w:val="00F3792F"/>
    <w:rsid w:val="00F37A16"/>
    <w:rsid w:val="00F37AD9"/>
    <w:rsid w:val="00F37B0D"/>
    <w:rsid w:val="00F37B67"/>
    <w:rsid w:val="00F37E81"/>
    <w:rsid w:val="00F37EA2"/>
    <w:rsid w:val="00F37EB1"/>
    <w:rsid w:val="00F37F40"/>
    <w:rsid w:val="00F37F50"/>
    <w:rsid w:val="00F403D7"/>
    <w:rsid w:val="00F403F9"/>
    <w:rsid w:val="00F406C2"/>
    <w:rsid w:val="00F40791"/>
    <w:rsid w:val="00F4079B"/>
    <w:rsid w:val="00F407BB"/>
    <w:rsid w:val="00F40815"/>
    <w:rsid w:val="00F40819"/>
    <w:rsid w:val="00F40A44"/>
    <w:rsid w:val="00F40B54"/>
    <w:rsid w:val="00F40C9A"/>
    <w:rsid w:val="00F40CEB"/>
    <w:rsid w:val="00F40D72"/>
    <w:rsid w:val="00F40DAB"/>
    <w:rsid w:val="00F40DBD"/>
    <w:rsid w:val="00F40DD2"/>
    <w:rsid w:val="00F40EFF"/>
    <w:rsid w:val="00F40FD8"/>
    <w:rsid w:val="00F40FFF"/>
    <w:rsid w:val="00F41067"/>
    <w:rsid w:val="00F41110"/>
    <w:rsid w:val="00F4111D"/>
    <w:rsid w:val="00F412BB"/>
    <w:rsid w:val="00F41404"/>
    <w:rsid w:val="00F41711"/>
    <w:rsid w:val="00F41965"/>
    <w:rsid w:val="00F41986"/>
    <w:rsid w:val="00F41991"/>
    <w:rsid w:val="00F41A5F"/>
    <w:rsid w:val="00F41C27"/>
    <w:rsid w:val="00F41C6E"/>
    <w:rsid w:val="00F41E24"/>
    <w:rsid w:val="00F41E7D"/>
    <w:rsid w:val="00F41FDE"/>
    <w:rsid w:val="00F42033"/>
    <w:rsid w:val="00F42167"/>
    <w:rsid w:val="00F4219B"/>
    <w:rsid w:val="00F4223C"/>
    <w:rsid w:val="00F422EB"/>
    <w:rsid w:val="00F42453"/>
    <w:rsid w:val="00F42597"/>
    <w:rsid w:val="00F42713"/>
    <w:rsid w:val="00F4275C"/>
    <w:rsid w:val="00F4280B"/>
    <w:rsid w:val="00F42852"/>
    <w:rsid w:val="00F428A9"/>
    <w:rsid w:val="00F42994"/>
    <w:rsid w:val="00F42995"/>
    <w:rsid w:val="00F429DC"/>
    <w:rsid w:val="00F42B16"/>
    <w:rsid w:val="00F42D1A"/>
    <w:rsid w:val="00F42F93"/>
    <w:rsid w:val="00F430F9"/>
    <w:rsid w:val="00F43206"/>
    <w:rsid w:val="00F43381"/>
    <w:rsid w:val="00F433DE"/>
    <w:rsid w:val="00F434CD"/>
    <w:rsid w:val="00F43514"/>
    <w:rsid w:val="00F43594"/>
    <w:rsid w:val="00F43613"/>
    <w:rsid w:val="00F436F6"/>
    <w:rsid w:val="00F4372A"/>
    <w:rsid w:val="00F43826"/>
    <w:rsid w:val="00F4390B"/>
    <w:rsid w:val="00F43B2E"/>
    <w:rsid w:val="00F43D77"/>
    <w:rsid w:val="00F43DE5"/>
    <w:rsid w:val="00F43E1C"/>
    <w:rsid w:val="00F43E3E"/>
    <w:rsid w:val="00F43ECD"/>
    <w:rsid w:val="00F441EE"/>
    <w:rsid w:val="00F442CE"/>
    <w:rsid w:val="00F4440E"/>
    <w:rsid w:val="00F444DF"/>
    <w:rsid w:val="00F444EC"/>
    <w:rsid w:val="00F444F3"/>
    <w:rsid w:val="00F4460C"/>
    <w:rsid w:val="00F44617"/>
    <w:rsid w:val="00F44640"/>
    <w:rsid w:val="00F446C1"/>
    <w:rsid w:val="00F446FA"/>
    <w:rsid w:val="00F44791"/>
    <w:rsid w:val="00F447E5"/>
    <w:rsid w:val="00F4496B"/>
    <w:rsid w:val="00F449B2"/>
    <w:rsid w:val="00F44E96"/>
    <w:rsid w:val="00F44ED8"/>
    <w:rsid w:val="00F451E9"/>
    <w:rsid w:val="00F45275"/>
    <w:rsid w:val="00F45306"/>
    <w:rsid w:val="00F4541F"/>
    <w:rsid w:val="00F458B0"/>
    <w:rsid w:val="00F458F7"/>
    <w:rsid w:val="00F45949"/>
    <w:rsid w:val="00F4594F"/>
    <w:rsid w:val="00F4598D"/>
    <w:rsid w:val="00F45A0C"/>
    <w:rsid w:val="00F45AA6"/>
    <w:rsid w:val="00F45B5C"/>
    <w:rsid w:val="00F45BE4"/>
    <w:rsid w:val="00F45C19"/>
    <w:rsid w:val="00F45C98"/>
    <w:rsid w:val="00F45CC4"/>
    <w:rsid w:val="00F45D31"/>
    <w:rsid w:val="00F45D63"/>
    <w:rsid w:val="00F45D86"/>
    <w:rsid w:val="00F45EEE"/>
    <w:rsid w:val="00F4617E"/>
    <w:rsid w:val="00F46210"/>
    <w:rsid w:val="00F4626D"/>
    <w:rsid w:val="00F462F4"/>
    <w:rsid w:val="00F46352"/>
    <w:rsid w:val="00F4644D"/>
    <w:rsid w:val="00F46519"/>
    <w:rsid w:val="00F4658E"/>
    <w:rsid w:val="00F466D4"/>
    <w:rsid w:val="00F46995"/>
    <w:rsid w:val="00F46B0F"/>
    <w:rsid w:val="00F46B2E"/>
    <w:rsid w:val="00F46FCC"/>
    <w:rsid w:val="00F47072"/>
    <w:rsid w:val="00F47142"/>
    <w:rsid w:val="00F4729B"/>
    <w:rsid w:val="00F472FB"/>
    <w:rsid w:val="00F473B3"/>
    <w:rsid w:val="00F474A8"/>
    <w:rsid w:val="00F474BC"/>
    <w:rsid w:val="00F4766B"/>
    <w:rsid w:val="00F47676"/>
    <w:rsid w:val="00F47736"/>
    <w:rsid w:val="00F47793"/>
    <w:rsid w:val="00F477AC"/>
    <w:rsid w:val="00F47841"/>
    <w:rsid w:val="00F47850"/>
    <w:rsid w:val="00F4794E"/>
    <w:rsid w:val="00F47B19"/>
    <w:rsid w:val="00F47BC9"/>
    <w:rsid w:val="00F47C1A"/>
    <w:rsid w:val="00F47C58"/>
    <w:rsid w:val="00F47D84"/>
    <w:rsid w:val="00F47DE2"/>
    <w:rsid w:val="00F47E1B"/>
    <w:rsid w:val="00F47E6D"/>
    <w:rsid w:val="00F47E81"/>
    <w:rsid w:val="00F47F26"/>
    <w:rsid w:val="00F47F41"/>
    <w:rsid w:val="00F47FDE"/>
    <w:rsid w:val="00F50234"/>
    <w:rsid w:val="00F502BF"/>
    <w:rsid w:val="00F503C7"/>
    <w:rsid w:val="00F50505"/>
    <w:rsid w:val="00F505A0"/>
    <w:rsid w:val="00F505A4"/>
    <w:rsid w:val="00F505A7"/>
    <w:rsid w:val="00F5075A"/>
    <w:rsid w:val="00F509E8"/>
    <w:rsid w:val="00F50A74"/>
    <w:rsid w:val="00F50C4A"/>
    <w:rsid w:val="00F50CF4"/>
    <w:rsid w:val="00F50D38"/>
    <w:rsid w:val="00F50D84"/>
    <w:rsid w:val="00F50E0B"/>
    <w:rsid w:val="00F50E16"/>
    <w:rsid w:val="00F50E27"/>
    <w:rsid w:val="00F50F5C"/>
    <w:rsid w:val="00F5104B"/>
    <w:rsid w:val="00F51094"/>
    <w:rsid w:val="00F511E1"/>
    <w:rsid w:val="00F512FF"/>
    <w:rsid w:val="00F5131C"/>
    <w:rsid w:val="00F514A4"/>
    <w:rsid w:val="00F514BE"/>
    <w:rsid w:val="00F515B8"/>
    <w:rsid w:val="00F51669"/>
    <w:rsid w:val="00F5171C"/>
    <w:rsid w:val="00F51797"/>
    <w:rsid w:val="00F517EF"/>
    <w:rsid w:val="00F518EF"/>
    <w:rsid w:val="00F51B28"/>
    <w:rsid w:val="00F51D7F"/>
    <w:rsid w:val="00F51E53"/>
    <w:rsid w:val="00F51ED1"/>
    <w:rsid w:val="00F522F6"/>
    <w:rsid w:val="00F52475"/>
    <w:rsid w:val="00F5261A"/>
    <w:rsid w:val="00F52671"/>
    <w:rsid w:val="00F526BD"/>
    <w:rsid w:val="00F52961"/>
    <w:rsid w:val="00F52A62"/>
    <w:rsid w:val="00F52C46"/>
    <w:rsid w:val="00F52C96"/>
    <w:rsid w:val="00F52D4B"/>
    <w:rsid w:val="00F52DF7"/>
    <w:rsid w:val="00F52E4F"/>
    <w:rsid w:val="00F52E5C"/>
    <w:rsid w:val="00F52F7C"/>
    <w:rsid w:val="00F52FCF"/>
    <w:rsid w:val="00F53182"/>
    <w:rsid w:val="00F531EA"/>
    <w:rsid w:val="00F5327B"/>
    <w:rsid w:val="00F5327F"/>
    <w:rsid w:val="00F53368"/>
    <w:rsid w:val="00F53445"/>
    <w:rsid w:val="00F5345A"/>
    <w:rsid w:val="00F53495"/>
    <w:rsid w:val="00F5350D"/>
    <w:rsid w:val="00F53532"/>
    <w:rsid w:val="00F5363B"/>
    <w:rsid w:val="00F5365A"/>
    <w:rsid w:val="00F53892"/>
    <w:rsid w:val="00F539A2"/>
    <w:rsid w:val="00F539CF"/>
    <w:rsid w:val="00F53A25"/>
    <w:rsid w:val="00F53A3F"/>
    <w:rsid w:val="00F53AEA"/>
    <w:rsid w:val="00F53CD3"/>
    <w:rsid w:val="00F53D4E"/>
    <w:rsid w:val="00F53DE6"/>
    <w:rsid w:val="00F53EA2"/>
    <w:rsid w:val="00F53F13"/>
    <w:rsid w:val="00F53F44"/>
    <w:rsid w:val="00F5402A"/>
    <w:rsid w:val="00F54404"/>
    <w:rsid w:val="00F5449C"/>
    <w:rsid w:val="00F545DC"/>
    <w:rsid w:val="00F5460F"/>
    <w:rsid w:val="00F546CA"/>
    <w:rsid w:val="00F5480E"/>
    <w:rsid w:val="00F54813"/>
    <w:rsid w:val="00F54B7A"/>
    <w:rsid w:val="00F54C22"/>
    <w:rsid w:val="00F54CED"/>
    <w:rsid w:val="00F54D55"/>
    <w:rsid w:val="00F54E2F"/>
    <w:rsid w:val="00F54FB7"/>
    <w:rsid w:val="00F54FBF"/>
    <w:rsid w:val="00F54FDC"/>
    <w:rsid w:val="00F550E2"/>
    <w:rsid w:val="00F55310"/>
    <w:rsid w:val="00F5531E"/>
    <w:rsid w:val="00F553B3"/>
    <w:rsid w:val="00F553DD"/>
    <w:rsid w:val="00F554DD"/>
    <w:rsid w:val="00F5577D"/>
    <w:rsid w:val="00F55860"/>
    <w:rsid w:val="00F5587E"/>
    <w:rsid w:val="00F558E0"/>
    <w:rsid w:val="00F55A5A"/>
    <w:rsid w:val="00F55A5D"/>
    <w:rsid w:val="00F55B84"/>
    <w:rsid w:val="00F55BCE"/>
    <w:rsid w:val="00F55C87"/>
    <w:rsid w:val="00F55D9F"/>
    <w:rsid w:val="00F55E4B"/>
    <w:rsid w:val="00F55EA1"/>
    <w:rsid w:val="00F55F1F"/>
    <w:rsid w:val="00F55F24"/>
    <w:rsid w:val="00F55F7D"/>
    <w:rsid w:val="00F56047"/>
    <w:rsid w:val="00F5614A"/>
    <w:rsid w:val="00F562E7"/>
    <w:rsid w:val="00F56313"/>
    <w:rsid w:val="00F5642A"/>
    <w:rsid w:val="00F56450"/>
    <w:rsid w:val="00F5654A"/>
    <w:rsid w:val="00F5660A"/>
    <w:rsid w:val="00F56759"/>
    <w:rsid w:val="00F569B7"/>
    <w:rsid w:val="00F569E3"/>
    <w:rsid w:val="00F56BA0"/>
    <w:rsid w:val="00F56C1F"/>
    <w:rsid w:val="00F56D5B"/>
    <w:rsid w:val="00F56F31"/>
    <w:rsid w:val="00F57005"/>
    <w:rsid w:val="00F57102"/>
    <w:rsid w:val="00F5715E"/>
    <w:rsid w:val="00F573F4"/>
    <w:rsid w:val="00F57502"/>
    <w:rsid w:val="00F57509"/>
    <w:rsid w:val="00F575F7"/>
    <w:rsid w:val="00F57703"/>
    <w:rsid w:val="00F57758"/>
    <w:rsid w:val="00F5777C"/>
    <w:rsid w:val="00F577C7"/>
    <w:rsid w:val="00F57881"/>
    <w:rsid w:val="00F578D0"/>
    <w:rsid w:val="00F57995"/>
    <w:rsid w:val="00F579BC"/>
    <w:rsid w:val="00F57B08"/>
    <w:rsid w:val="00F57BED"/>
    <w:rsid w:val="00F57C0D"/>
    <w:rsid w:val="00F57D62"/>
    <w:rsid w:val="00F57D82"/>
    <w:rsid w:val="00F57DD2"/>
    <w:rsid w:val="00F57E89"/>
    <w:rsid w:val="00F57F63"/>
    <w:rsid w:val="00F60163"/>
    <w:rsid w:val="00F60198"/>
    <w:rsid w:val="00F6025C"/>
    <w:rsid w:val="00F60354"/>
    <w:rsid w:val="00F603AD"/>
    <w:rsid w:val="00F604B7"/>
    <w:rsid w:val="00F605BE"/>
    <w:rsid w:val="00F6064C"/>
    <w:rsid w:val="00F6068A"/>
    <w:rsid w:val="00F6069F"/>
    <w:rsid w:val="00F606D4"/>
    <w:rsid w:val="00F6081B"/>
    <w:rsid w:val="00F60A00"/>
    <w:rsid w:val="00F60A8E"/>
    <w:rsid w:val="00F60B00"/>
    <w:rsid w:val="00F60B1A"/>
    <w:rsid w:val="00F60BF8"/>
    <w:rsid w:val="00F60C12"/>
    <w:rsid w:val="00F60CC5"/>
    <w:rsid w:val="00F60EF5"/>
    <w:rsid w:val="00F60EFD"/>
    <w:rsid w:val="00F60F28"/>
    <w:rsid w:val="00F61154"/>
    <w:rsid w:val="00F613AE"/>
    <w:rsid w:val="00F6158D"/>
    <w:rsid w:val="00F6176C"/>
    <w:rsid w:val="00F61773"/>
    <w:rsid w:val="00F61796"/>
    <w:rsid w:val="00F61B98"/>
    <w:rsid w:val="00F61D10"/>
    <w:rsid w:val="00F61EE9"/>
    <w:rsid w:val="00F61FA4"/>
    <w:rsid w:val="00F62000"/>
    <w:rsid w:val="00F620C3"/>
    <w:rsid w:val="00F620F6"/>
    <w:rsid w:val="00F62178"/>
    <w:rsid w:val="00F621DE"/>
    <w:rsid w:val="00F623B6"/>
    <w:rsid w:val="00F6240B"/>
    <w:rsid w:val="00F626E9"/>
    <w:rsid w:val="00F629EE"/>
    <w:rsid w:val="00F62DE2"/>
    <w:rsid w:val="00F62E1E"/>
    <w:rsid w:val="00F62E9F"/>
    <w:rsid w:val="00F62F58"/>
    <w:rsid w:val="00F6320F"/>
    <w:rsid w:val="00F63494"/>
    <w:rsid w:val="00F63544"/>
    <w:rsid w:val="00F636D4"/>
    <w:rsid w:val="00F636DF"/>
    <w:rsid w:val="00F639C2"/>
    <w:rsid w:val="00F63B3D"/>
    <w:rsid w:val="00F63DFA"/>
    <w:rsid w:val="00F6418A"/>
    <w:rsid w:val="00F642E2"/>
    <w:rsid w:val="00F643B6"/>
    <w:rsid w:val="00F64481"/>
    <w:rsid w:val="00F644D4"/>
    <w:rsid w:val="00F6460A"/>
    <w:rsid w:val="00F646AC"/>
    <w:rsid w:val="00F6476A"/>
    <w:rsid w:val="00F64944"/>
    <w:rsid w:val="00F6497F"/>
    <w:rsid w:val="00F649D2"/>
    <w:rsid w:val="00F64A4E"/>
    <w:rsid w:val="00F64BC5"/>
    <w:rsid w:val="00F64D59"/>
    <w:rsid w:val="00F64DDD"/>
    <w:rsid w:val="00F64DEB"/>
    <w:rsid w:val="00F64ECC"/>
    <w:rsid w:val="00F65081"/>
    <w:rsid w:val="00F650A6"/>
    <w:rsid w:val="00F650AF"/>
    <w:rsid w:val="00F65230"/>
    <w:rsid w:val="00F65260"/>
    <w:rsid w:val="00F65278"/>
    <w:rsid w:val="00F6529F"/>
    <w:rsid w:val="00F65399"/>
    <w:rsid w:val="00F65475"/>
    <w:rsid w:val="00F6547A"/>
    <w:rsid w:val="00F65495"/>
    <w:rsid w:val="00F654F4"/>
    <w:rsid w:val="00F65674"/>
    <w:rsid w:val="00F65751"/>
    <w:rsid w:val="00F65807"/>
    <w:rsid w:val="00F6586F"/>
    <w:rsid w:val="00F65914"/>
    <w:rsid w:val="00F65AD6"/>
    <w:rsid w:val="00F65B41"/>
    <w:rsid w:val="00F65B75"/>
    <w:rsid w:val="00F65D2B"/>
    <w:rsid w:val="00F65DE6"/>
    <w:rsid w:val="00F6603B"/>
    <w:rsid w:val="00F6614B"/>
    <w:rsid w:val="00F661EC"/>
    <w:rsid w:val="00F663AC"/>
    <w:rsid w:val="00F6647C"/>
    <w:rsid w:val="00F665A2"/>
    <w:rsid w:val="00F6681A"/>
    <w:rsid w:val="00F669CD"/>
    <w:rsid w:val="00F66A1E"/>
    <w:rsid w:val="00F66A3D"/>
    <w:rsid w:val="00F66C8A"/>
    <w:rsid w:val="00F66C98"/>
    <w:rsid w:val="00F66D67"/>
    <w:rsid w:val="00F66D87"/>
    <w:rsid w:val="00F66ED6"/>
    <w:rsid w:val="00F66F80"/>
    <w:rsid w:val="00F67123"/>
    <w:rsid w:val="00F67181"/>
    <w:rsid w:val="00F671D1"/>
    <w:rsid w:val="00F672E6"/>
    <w:rsid w:val="00F6742F"/>
    <w:rsid w:val="00F67779"/>
    <w:rsid w:val="00F679FD"/>
    <w:rsid w:val="00F67B57"/>
    <w:rsid w:val="00F67B71"/>
    <w:rsid w:val="00F67CAE"/>
    <w:rsid w:val="00F67D5F"/>
    <w:rsid w:val="00F67D85"/>
    <w:rsid w:val="00F67DF9"/>
    <w:rsid w:val="00F67E3B"/>
    <w:rsid w:val="00F67FA6"/>
    <w:rsid w:val="00F70065"/>
    <w:rsid w:val="00F700D1"/>
    <w:rsid w:val="00F70160"/>
    <w:rsid w:val="00F7028E"/>
    <w:rsid w:val="00F70321"/>
    <w:rsid w:val="00F70389"/>
    <w:rsid w:val="00F704CB"/>
    <w:rsid w:val="00F704D0"/>
    <w:rsid w:val="00F705F1"/>
    <w:rsid w:val="00F70641"/>
    <w:rsid w:val="00F70664"/>
    <w:rsid w:val="00F706B7"/>
    <w:rsid w:val="00F70767"/>
    <w:rsid w:val="00F709BF"/>
    <w:rsid w:val="00F70A12"/>
    <w:rsid w:val="00F70A2A"/>
    <w:rsid w:val="00F70A94"/>
    <w:rsid w:val="00F70A97"/>
    <w:rsid w:val="00F70B02"/>
    <w:rsid w:val="00F70B43"/>
    <w:rsid w:val="00F70DC0"/>
    <w:rsid w:val="00F70F59"/>
    <w:rsid w:val="00F70FCD"/>
    <w:rsid w:val="00F711BE"/>
    <w:rsid w:val="00F711FD"/>
    <w:rsid w:val="00F71447"/>
    <w:rsid w:val="00F71482"/>
    <w:rsid w:val="00F7153C"/>
    <w:rsid w:val="00F71545"/>
    <w:rsid w:val="00F7157D"/>
    <w:rsid w:val="00F715C0"/>
    <w:rsid w:val="00F715CE"/>
    <w:rsid w:val="00F71660"/>
    <w:rsid w:val="00F71703"/>
    <w:rsid w:val="00F71A85"/>
    <w:rsid w:val="00F71B93"/>
    <w:rsid w:val="00F71BD5"/>
    <w:rsid w:val="00F71D2E"/>
    <w:rsid w:val="00F71DD1"/>
    <w:rsid w:val="00F71E50"/>
    <w:rsid w:val="00F71E5C"/>
    <w:rsid w:val="00F71EF3"/>
    <w:rsid w:val="00F71EF5"/>
    <w:rsid w:val="00F72008"/>
    <w:rsid w:val="00F7201D"/>
    <w:rsid w:val="00F720E6"/>
    <w:rsid w:val="00F721D6"/>
    <w:rsid w:val="00F72224"/>
    <w:rsid w:val="00F722EA"/>
    <w:rsid w:val="00F72415"/>
    <w:rsid w:val="00F7247D"/>
    <w:rsid w:val="00F72570"/>
    <w:rsid w:val="00F725F4"/>
    <w:rsid w:val="00F72707"/>
    <w:rsid w:val="00F728C2"/>
    <w:rsid w:val="00F72A7B"/>
    <w:rsid w:val="00F72CEB"/>
    <w:rsid w:val="00F72DD2"/>
    <w:rsid w:val="00F72DE1"/>
    <w:rsid w:val="00F72DED"/>
    <w:rsid w:val="00F72F48"/>
    <w:rsid w:val="00F73018"/>
    <w:rsid w:val="00F730A5"/>
    <w:rsid w:val="00F73137"/>
    <w:rsid w:val="00F7319F"/>
    <w:rsid w:val="00F7326B"/>
    <w:rsid w:val="00F7339F"/>
    <w:rsid w:val="00F733A1"/>
    <w:rsid w:val="00F7349B"/>
    <w:rsid w:val="00F73537"/>
    <w:rsid w:val="00F7367C"/>
    <w:rsid w:val="00F73742"/>
    <w:rsid w:val="00F73777"/>
    <w:rsid w:val="00F737DB"/>
    <w:rsid w:val="00F738B6"/>
    <w:rsid w:val="00F73B8F"/>
    <w:rsid w:val="00F73CBF"/>
    <w:rsid w:val="00F73CD2"/>
    <w:rsid w:val="00F73F2B"/>
    <w:rsid w:val="00F73F5A"/>
    <w:rsid w:val="00F73FB1"/>
    <w:rsid w:val="00F74204"/>
    <w:rsid w:val="00F7444D"/>
    <w:rsid w:val="00F74468"/>
    <w:rsid w:val="00F744CA"/>
    <w:rsid w:val="00F744F6"/>
    <w:rsid w:val="00F7472D"/>
    <w:rsid w:val="00F748CA"/>
    <w:rsid w:val="00F749C2"/>
    <w:rsid w:val="00F74A3C"/>
    <w:rsid w:val="00F74B50"/>
    <w:rsid w:val="00F74B82"/>
    <w:rsid w:val="00F74C21"/>
    <w:rsid w:val="00F74CAB"/>
    <w:rsid w:val="00F74DCD"/>
    <w:rsid w:val="00F74E34"/>
    <w:rsid w:val="00F74EA4"/>
    <w:rsid w:val="00F75151"/>
    <w:rsid w:val="00F75302"/>
    <w:rsid w:val="00F753C4"/>
    <w:rsid w:val="00F75667"/>
    <w:rsid w:val="00F75730"/>
    <w:rsid w:val="00F75768"/>
    <w:rsid w:val="00F758C5"/>
    <w:rsid w:val="00F75A39"/>
    <w:rsid w:val="00F75CEE"/>
    <w:rsid w:val="00F75D5E"/>
    <w:rsid w:val="00F75DC6"/>
    <w:rsid w:val="00F75E2D"/>
    <w:rsid w:val="00F75FC7"/>
    <w:rsid w:val="00F7605F"/>
    <w:rsid w:val="00F7613A"/>
    <w:rsid w:val="00F7614C"/>
    <w:rsid w:val="00F76243"/>
    <w:rsid w:val="00F7626F"/>
    <w:rsid w:val="00F76270"/>
    <w:rsid w:val="00F76284"/>
    <w:rsid w:val="00F762E7"/>
    <w:rsid w:val="00F76488"/>
    <w:rsid w:val="00F764E9"/>
    <w:rsid w:val="00F766D8"/>
    <w:rsid w:val="00F767CA"/>
    <w:rsid w:val="00F76895"/>
    <w:rsid w:val="00F768BD"/>
    <w:rsid w:val="00F76C7A"/>
    <w:rsid w:val="00F76D0D"/>
    <w:rsid w:val="00F76F78"/>
    <w:rsid w:val="00F76FEA"/>
    <w:rsid w:val="00F76FF4"/>
    <w:rsid w:val="00F770D1"/>
    <w:rsid w:val="00F7716E"/>
    <w:rsid w:val="00F773A1"/>
    <w:rsid w:val="00F774EF"/>
    <w:rsid w:val="00F7751E"/>
    <w:rsid w:val="00F775BA"/>
    <w:rsid w:val="00F77954"/>
    <w:rsid w:val="00F779E8"/>
    <w:rsid w:val="00F77B3C"/>
    <w:rsid w:val="00F77BE1"/>
    <w:rsid w:val="00F77C75"/>
    <w:rsid w:val="00F77E56"/>
    <w:rsid w:val="00F8002C"/>
    <w:rsid w:val="00F80123"/>
    <w:rsid w:val="00F801FD"/>
    <w:rsid w:val="00F80283"/>
    <w:rsid w:val="00F80336"/>
    <w:rsid w:val="00F8044E"/>
    <w:rsid w:val="00F80471"/>
    <w:rsid w:val="00F80525"/>
    <w:rsid w:val="00F809F7"/>
    <w:rsid w:val="00F80B21"/>
    <w:rsid w:val="00F80B5C"/>
    <w:rsid w:val="00F80C25"/>
    <w:rsid w:val="00F80CC4"/>
    <w:rsid w:val="00F80D4E"/>
    <w:rsid w:val="00F80D6F"/>
    <w:rsid w:val="00F80E1E"/>
    <w:rsid w:val="00F80E4F"/>
    <w:rsid w:val="00F80FC5"/>
    <w:rsid w:val="00F81140"/>
    <w:rsid w:val="00F81146"/>
    <w:rsid w:val="00F81193"/>
    <w:rsid w:val="00F811B8"/>
    <w:rsid w:val="00F811F8"/>
    <w:rsid w:val="00F81345"/>
    <w:rsid w:val="00F81369"/>
    <w:rsid w:val="00F814A8"/>
    <w:rsid w:val="00F815D4"/>
    <w:rsid w:val="00F81755"/>
    <w:rsid w:val="00F81856"/>
    <w:rsid w:val="00F81B2E"/>
    <w:rsid w:val="00F81BD5"/>
    <w:rsid w:val="00F81D5E"/>
    <w:rsid w:val="00F81DAD"/>
    <w:rsid w:val="00F81E6F"/>
    <w:rsid w:val="00F81F69"/>
    <w:rsid w:val="00F82063"/>
    <w:rsid w:val="00F82087"/>
    <w:rsid w:val="00F82095"/>
    <w:rsid w:val="00F821B3"/>
    <w:rsid w:val="00F82382"/>
    <w:rsid w:val="00F823E4"/>
    <w:rsid w:val="00F82478"/>
    <w:rsid w:val="00F824B0"/>
    <w:rsid w:val="00F8268B"/>
    <w:rsid w:val="00F82746"/>
    <w:rsid w:val="00F82793"/>
    <w:rsid w:val="00F827C5"/>
    <w:rsid w:val="00F82C60"/>
    <w:rsid w:val="00F82CCD"/>
    <w:rsid w:val="00F82F84"/>
    <w:rsid w:val="00F82FCC"/>
    <w:rsid w:val="00F8323E"/>
    <w:rsid w:val="00F8333E"/>
    <w:rsid w:val="00F83637"/>
    <w:rsid w:val="00F83698"/>
    <w:rsid w:val="00F836F9"/>
    <w:rsid w:val="00F83734"/>
    <w:rsid w:val="00F837F3"/>
    <w:rsid w:val="00F838EB"/>
    <w:rsid w:val="00F839BB"/>
    <w:rsid w:val="00F83AED"/>
    <w:rsid w:val="00F83AEF"/>
    <w:rsid w:val="00F83B07"/>
    <w:rsid w:val="00F83B1F"/>
    <w:rsid w:val="00F83B72"/>
    <w:rsid w:val="00F83BAF"/>
    <w:rsid w:val="00F83BFB"/>
    <w:rsid w:val="00F83C12"/>
    <w:rsid w:val="00F83C3F"/>
    <w:rsid w:val="00F83E09"/>
    <w:rsid w:val="00F83F7F"/>
    <w:rsid w:val="00F8428B"/>
    <w:rsid w:val="00F842AB"/>
    <w:rsid w:val="00F844BA"/>
    <w:rsid w:val="00F844C2"/>
    <w:rsid w:val="00F845D7"/>
    <w:rsid w:val="00F845E3"/>
    <w:rsid w:val="00F8468B"/>
    <w:rsid w:val="00F846FE"/>
    <w:rsid w:val="00F84700"/>
    <w:rsid w:val="00F848C7"/>
    <w:rsid w:val="00F84B1F"/>
    <w:rsid w:val="00F84B25"/>
    <w:rsid w:val="00F84D41"/>
    <w:rsid w:val="00F84D57"/>
    <w:rsid w:val="00F84D9D"/>
    <w:rsid w:val="00F84E55"/>
    <w:rsid w:val="00F84F77"/>
    <w:rsid w:val="00F852B9"/>
    <w:rsid w:val="00F853CD"/>
    <w:rsid w:val="00F85541"/>
    <w:rsid w:val="00F85591"/>
    <w:rsid w:val="00F855D2"/>
    <w:rsid w:val="00F855FA"/>
    <w:rsid w:val="00F856E7"/>
    <w:rsid w:val="00F8589E"/>
    <w:rsid w:val="00F85981"/>
    <w:rsid w:val="00F859B3"/>
    <w:rsid w:val="00F85B82"/>
    <w:rsid w:val="00F85CCB"/>
    <w:rsid w:val="00F85D00"/>
    <w:rsid w:val="00F85D5B"/>
    <w:rsid w:val="00F8614E"/>
    <w:rsid w:val="00F862A5"/>
    <w:rsid w:val="00F862CD"/>
    <w:rsid w:val="00F86460"/>
    <w:rsid w:val="00F864EF"/>
    <w:rsid w:val="00F86555"/>
    <w:rsid w:val="00F867F0"/>
    <w:rsid w:val="00F86803"/>
    <w:rsid w:val="00F86952"/>
    <w:rsid w:val="00F86BEF"/>
    <w:rsid w:val="00F86CEB"/>
    <w:rsid w:val="00F86DA6"/>
    <w:rsid w:val="00F86DC4"/>
    <w:rsid w:val="00F86E3F"/>
    <w:rsid w:val="00F86FD5"/>
    <w:rsid w:val="00F870CA"/>
    <w:rsid w:val="00F87266"/>
    <w:rsid w:val="00F87477"/>
    <w:rsid w:val="00F874DA"/>
    <w:rsid w:val="00F8755B"/>
    <w:rsid w:val="00F8756D"/>
    <w:rsid w:val="00F8759D"/>
    <w:rsid w:val="00F87678"/>
    <w:rsid w:val="00F87681"/>
    <w:rsid w:val="00F877A6"/>
    <w:rsid w:val="00F879EF"/>
    <w:rsid w:val="00F87A4E"/>
    <w:rsid w:val="00F87D10"/>
    <w:rsid w:val="00F87DAD"/>
    <w:rsid w:val="00F87DC0"/>
    <w:rsid w:val="00F87E72"/>
    <w:rsid w:val="00F87F96"/>
    <w:rsid w:val="00F87FF2"/>
    <w:rsid w:val="00F9000A"/>
    <w:rsid w:val="00F902EC"/>
    <w:rsid w:val="00F90693"/>
    <w:rsid w:val="00F9069D"/>
    <w:rsid w:val="00F906BA"/>
    <w:rsid w:val="00F90753"/>
    <w:rsid w:val="00F907C5"/>
    <w:rsid w:val="00F907C9"/>
    <w:rsid w:val="00F90852"/>
    <w:rsid w:val="00F90942"/>
    <w:rsid w:val="00F909A9"/>
    <w:rsid w:val="00F90AF1"/>
    <w:rsid w:val="00F90B07"/>
    <w:rsid w:val="00F90B39"/>
    <w:rsid w:val="00F90CA6"/>
    <w:rsid w:val="00F90D0F"/>
    <w:rsid w:val="00F90D32"/>
    <w:rsid w:val="00F90EC9"/>
    <w:rsid w:val="00F90F45"/>
    <w:rsid w:val="00F90FCD"/>
    <w:rsid w:val="00F90FD3"/>
    <w:rsid w:val="00F914A5"/>
    <w:rsid w:val="00F91594"/>
    <w:rsid w:val="00F91680"/>
    <w:rsid w:val="00F91721"/>
    <w:rsid w:val="00F91771"/>
    <w:rsid w:val="00F9182A"/>
    <w:rsid w:val="00F918BB"/>
    <w:rsid w:val="00F91924"/>
    <w:rsid w:val="00F91BD3"/>
    <w:rsid w:val="00F91CDA"/>
    <w:rsid w:val="00F91D5B"/>
    <w:rsid w:val="00F91EE5"/>
    <w:rsid w:val="00F91F6B"/>
    <w:rsid w:val="00F91FDD"/>
    <w:rsid w:val="00F92279"/>
    <w:rsid w:val="00F9235C"/>
    <w:rsid w:val="00F923B7"/>
    <w:rsid w:val="00F92428"/>
    <w:rsid w:val="00F926F9"/>
    <w:rsid w:val="00F9277C"/>
    <w:rsid w:val="00F927DE"/>
    <w:rsid w:val="00F92854"/>
    <w:rsid w:val="00F92987"/>
    <w:rsid w:val="00F92B1B"/>
    <w:rsid w:val="00F92B6B"/>
    <w:rsid w:val="00F92BCC"/>
    <w:rsid w:val="00F92BF4"/>
    <w:rsid w:val="00F92CE3"/>
    <w:rsid w:val="00F92CEA"/>
    <w:rsid w:val="00F92D3F"/>
    <w:rsid w:val="00F92DF0"/>
    <w:rsid w:val="00F92E36"/>
    <w:rsid w:val="00F92F19"/>
    <w:rsid w:val="00F92F8E"/>
    <w:rsid w:val="00F93001"/>
    <w:rsid w:val="00F9301E"/>
    <w:rsid w:val="00F93100"/>
    <w:rsid w:val="00F933F8"/>
    <w:rsid w:val="00F9344F"/>
    <w:rsid w:val="00F93552"/>
    <w:rsid w:val="00F93742"/>
    <w:rsid w:val="00F937E5"/>
    <w:rsid w:val="00F93823"/>
    <w:rsid w:val="00F93874"/>
    <w:rsid w:val="00F938CA"/>
    <w:rsid w:val="00F9392C"/>
    <w:rsid w:val="00F939B6"/>
    <w:rsid w:val="00F93AD5"/>
    <w:rsid w:val="00F93B28"/>
    <w:rsid w:val="00F93CC4"/>
    <w:rsid w:val="00F93E48"/>
    <w:rsid w:val="00F93EA0"/>
    <w:rsid w:val="00F93FF9"/>
    <w:rsid w:val="00F94081"/>
    <w:rsid w:val="00F9408B"/>
    <w:rsid w:val="00F9413D"/>
    <w:rsid w:val="00F941CE"/>
    <w:rsid w:val="00F943B4"/>
    <w:rsid w:val="00F943FC"/>
    <w:rsid w:val="00F94410"/>
    <w:rsid w:val="00F94489"/>
    <w:rsid w:val="00F9465F"/>
    <w:rsid w:val="00F946BF"/>
    <w:rsid w:val="00F947A7"/>
    <w:rsid w:val="00F947D0"/>
    <w:rsid w:val="00F949B3"/>
    <w:rsid w:val="00F94DFB"/>
    <w:rsid w:val="00F94FBD"/>
    <w:rsid w:val="00F950C8"/>
    <w:rsid w:val="00F9517E"/>
    <w:rsid w:val="00F951B0"/>
    <w:rsid w:val="00F951EF"/>
    <w:rsid w:val="00F95290"/>
    <w:rsid w:val="00F9536B"/>
    <w:rsid w:val="00F9542F"/>
    <w:rsid w:val="00F95646"/>
    <w:rsid w:val="00F956F8"/>
    <w:rsid w:val="00F95711"/>
    <w:rsid w:val="00F95784"/>
    <w:rsid w:val="00F957B9"/>
    <w:rsid w:val="00F95904"/>
    <w:rsid w:val="00F95A24"/>
    <w:rsid w:val="00F95AC0"/>
    <w:rsid w:val="00F95AFE"/>
    <w:rsid w:val="00F95B0D"/>
    <w:rsid w:val="00F95CB0"/>
    <w:rsid w:val="00F95D10"/>
    <w:rsid w:val="00F95DA5"/>
    <w:rsid w:val="00F95DB4"/>
    <w:rsid w:val="00F95F2D"/>
    <w:rsid w:val="00F96016"/>
    <w:rsid w:val="00F96018"/>
    <w:rsid w:val="00F9623A"/>
    <w:rsid w:val="00F965CD"/>
    <w:rsid w:val="00F965FB"/>
    <w:rsid w:val="00F96673"/>
    <w:rsid w:val="00F96683"/>
    <w:rsid w:val="00F966A4"/>
    <w:rsid w:val="00F96708"/>
    <w:rsid w:val="00F96798"/>
    <w:rsid w:val="00F96B86"/>
    <w:rsid w:val="00F96CF4"/>
    <w:rsid w:val="00F96D4B"/>
    <w:rsid w:val="00F96D78"/>
    <w:rsid w:val="00F96DEE"/>
    <w:rsid w:val="00F96F8C"/>
    <w:rsid w:val="00F96FF6"/>
    <w:rsid w:val="00F97502"/>
    <w:rsid w:val="00F978BA"/>
    <w:rsid w:val="00F9791C"/>
    <w:rsid w:val="00F97A3F"/>
    <w:rsid w:val="00F97AB7"/>
    <w:rsid w:val="00F97B0F"/>
    <w:rsid w:val="00F97E45"/>
    <w:rsid w:val="00F97E4B"/>
    <w:rsid w:val="00F97E50"/>
    <w:rsid w:val="00F97EC2"/>
    <w:rsid w:val="00F97EF0"/>
    <w:rsid w:val="00F97F73"/>
    <w:rsid w:val="00F97FBB"/>
    <w:rsid w:val="00F97FE6"/>
    <w:rsid w:val="00F97FF5"/>
    <w:rsid w:val="00FA018D"/>
    <w:rsid w:val="00FA0238"/>
    <w:rsid w:val="00FA0239"/>
    <w:rsid w:val="00FA0400"/>
    <w:rsid w:val="00FA0628"/>
    <w:rsid w:val="00FA0663"/>
    <w:rsid w:val="00FA072E"/>
    <w:rsid w:val="00FA080E"/>
    <w:rsid w:val="00FA098C"/>
    <w:rsid w:val="00FA09B3"/>
    <w:rsid w:val="00FA0A6C"/>
    <w:rsid w:val="00FA0D06"/>
    <w:rsid w:val="00FA0E5E"/>
    <w:rsid w:val="00FA0E61"/>
    <w:rsid w:val="00FA0E80"/>
    <w:rsid w:val="00FA0F4F"/>
    <w:rsid w:val="00FA0FA5"/>
    <w:rsid w:val="00FA10D7"/>
    <w:rsid w:val="00FA15BA"/>
    <w:rsid w:val="00FA17C9"/>
    <w:rsid w:val="00FA17D8"/>
    <w:rsid w:val="00FA1845"/>
    <w:rsid w:val="00FA19B5"/>
    <w:rsid w:val="00FA19C1"/>
    <w:rsid w:val="00FA1C12"/>
    <w:rsid w:val="00FA1CA6"/>
    <w:rsid w:val="00FA1E7D"/>
    <w:rsid w:val="00FA1EF6"/>
    <w:rsid w:val="00FA1F40"/>
    <w:rsid w:val="00FA20AA"/>
    <w:rsid w:val="00FA21AE"/>
    <w:rsid w:val="00FA21E3"/>
    <w:rsid w:val="00FA250E"/>
    <w:rsid w:val="00FA26BE"/>
    <w:rsid w:val="00FA26EA"/>
    <w:rsid w:val="00FA2832"/>
    <w:rsid w:val="00FA28CD"/>
    <w:rsid w:val="00FA293E"/>
    <w:rsid w:val="00FA2BA6"/>
    <w:rsid w:val="00FA2D51"/>
    <w:rsid w:val="00FA2E4A"/>
    <w:rsid w:val="00FA2E8A"/>
    <w:rsid w:val="00FA308F"/>
    <w:rsid w:val="00FA312B"/>
    <w:rsid w:val="00FA3162"/>
    <w:rsid w:val="00FA3302"/>
    <w:rsid w:val="00FA358D"/>
    <w:rsid w:val="00FA35B6"/>
    <w:rsid w:val="00FA3619"/>
    <w:rsid w:val="00FA3647"/>
    <w:rsid w:val="00FA3662"/>
    <w:rsid w:val="00FA3A77"/>
    <w:rsid w:val="00FA3C5A"/>
    <w:rsid w:val="00FA3E5C"/>
    <w:rsid w:val="00FA3EF3"/>
    <w:rsid w:val="00FA3F7D"/>
    <w:rsid w:val="00FA41D7"/>
    <w:rsid w:val="00FA43C5"/>
    <w:rsid w:val="00FA445C"/>
    <w:rsid w:val="00FA46EA"/>
    <w:rsid w:val="00FA473E"/>
    <w:rsid w:val="00FA4775"/>
    <w:rsid w:val="00FA47F7"/>
    <w:rsid w:val="00FA4931"/>
    <w:rsid w:val="00FA4C14"/>
    <w:rsid w:val="00FA4CF2"/>
    <w:rsid w:val="00FA4D16"/>
    <w:rsid w:val="00FA4D4C"/>
    <w:rsid w:val="00FA4DCD"/>
    <w:rsid w:val="00FA4E40"/>
    <w:rsid w:val="00FA4E52"/>
    <w:rsid w:val="00FA4E8B"/>
    <w:rsid w:val="00FA4EBA"/>
    <w:rsid w:val="00FA4F5F"/>
    <w:rsid w:val="00FA511A"/>
    <w:rsid w:val="00FA51A5"/>
    <w:rsid w:val="00FA53E5"/>
    <w:rsid w:val="00FA5649"/>
    <w:rsid w:val="00FA59EF"/>
    <w:rsid w:val="00FA5A09"/>
    <w:rsid w:val="00FA5B64"/>
    <w:rsid w:val="00FA5BA6"/>
    <w:rsid w:val="00FA5C62"/>
    <w:rsid w:val="00FA5D5D"/>
    <w:rsid w:val="00FA5F1E"/>
    <w:rsid w:val="00FA5F43"/>
    <w:rsid w:val="00FA60AB"/>
    <w:rsid w:val="00FA6124"/>
    <w:rsid w:val="00FA6264"/>
    <w:rsid w:val="00FA6546"/>
    <w:rsid w:val="00FA6551"/>
    <w:rsid w:val="00FA659E"/>
    <w:rsid w:val="00FA6770"/>
    <w:rsid w:val="00FA679F"/>
    <w:rsid w:val="00FA67BE"/>
    <w:rsid w:val="00FA69F6"/>
    <w:rsid w:val="00FA6A14"/>
    <w:rsid w:val="00FA6BBC"/>
    <w:rsid w:val="00FA6D3C"/>
    <w:rsid w:val="00FA6ED1"/>
    <w:rsid w:val="00FA70A9"/>
    <w:rsid w:val="00FA70B0"/>
    <w:rsid w:val="00FA7222"/>
    <w:rsid w:val="00FA72F3"/>
    <w:rsid w:val="00FA7879"/>
    <w:rsid w:val="00FA78FB"/>
    <w:rsid w:val="00FA79EA"/>
    <w:rsid w:val="00FA7A35"/>
    <w:rsid w:val="00FA7A3F"/>
    <w:rsid w:val="00FA7A4F"/>
    <w:rsid w:val="00FA7A6D"/>
    <w:rsid w:val="00FA7ABC"/>
    <w:rsid w:val="00FA7B2E"/>
    <w:rsid w:val="00FA7B6A"/>
    <w:rsid w:val="00FA7C46"/>
    <w:rsid w:val="00FA7E62"/>
    <w:rsid w:val="00FA7E67"/>
    <w:rsid w:val="00FB0031"/>
    <w:rsid w:val="00FB0167"/>
    <w:rsid w:val="00FB0304"/>
    <w:rsid w:val="00FB0363"/>
    <w:rsid w:val="00FB039A"/>
    <w:rsid w:val="00FB0468"/>
    <w:rsid w:val="00FB04FB"/>
    <w:rsid w:val="00FB0594"/>
    <w:rsid w:val="00FB05F4"/>
    <w:rsid w:val="00FB07AD"/>
    <w:rsid w:val="00FB087C"/>
    <w:rsid w:val="00FB0BE0"/>
    <w:rsid w:val="00FB0C65"/>
    <w:rsid w:val="00FB0CA2"/>
    <w:rsid w:val="00FB0D45"/>
    <w:rsid w:val="00FB0D95"/>
    <w:rsid w:val="00FB0F81"/>
    <w:rsid w:val="00FB1104"/>
    <w:rsid w:val="00FB1121"/>
    <w:rsid w:val="00FB1164"/>
    <w:rsid w:val="00FB1235"/>
    <w:rsid w:val="00FB124F"/>
    <w:rsid w:val="00FB163C"/>
    <w:rsid w:val="00FB1759"/>
    <w:rsid w:val="00FB17F1"/>
    <w:rsid w:val="00FB1986"/>
    <w:rsid w:val="00FB19C9"/>
    <w:rsid w:val="00FB1AEA"/>
    <w:rsid w:val="00FB1BD3"/>
    <w:rsid w:val="00FB1D0C"/>
    <w:rsid w:val="00FB1EAF"/>
    <w:rsid w:val="00FB1FC2"/>
    <w:rsid w:val="00FB203D"/>
    <w:rsid w:val="00FB2114"/>
    <w:rsid w:val="00FB22B1"/>
    <w:rsid w:val="00FB23B1"/>
    <w:rsid w:val="00FB23E2"/>
    <w:rsid w:val="00FB2663"/>
    <w:rsid w:val="00FB28F2"/>
    <w:rsid w:val="00FB293F"/>
    <w:rsid w:val="00FB2B33"/>
    <w:rsid w:val="00FB2BA3"/>
    <w:rsid w:val="00FB2BE0"/>
    <w:rsid w:val="00FB2DF9"/>
    <w:rsid w:val="00FB2E85"/>
    <w:rsid w:val="00FB30B5"/>
    <w:rsid w:val="00FB32FE"/>
    <w:rsid w:val="00FB3374"/>
    <w:rsid w:val="00FB3428"/>
    <w:rsid w:val="00FB3495"/>
    <w:rsid w:val="00FB356E"/>
    <w:rsid w:val="00FB35B0"/>
    <w:rsid w:val="00FB3697"/>
    <w:rsid w:val="00FB3706"/>
    <w:rsid w:val="00FB3732"/>
    <w:rsid w:val="00FB3746"/>
    <w:rsid w:val="00FB3773"/>
    <w:rsid w:val="00FB381B"/>
    <w:rsid w:val="00FB395A"/>
    <w:rsid w:val="00FB3A85"/>
    <w:rsid w:val="00FB3A92"/>
    <w:rsid w:val="00FB3F12"/>
    <w:rsid w:val="00FB401B"/>
    <w:rsid w:val="00FB41D2"/>
    <w:rsid w:val="00FB450F"/>
    <w:rsid w:val="00FB4629"/>
    <w:rsid w:val="00FB46D0"/>
    <w:rsid w:val="00FB4BB0"/>
    <w:rsid w:val="00FB4D21"/>
    <w:rsid w:val="00FB4D8B"/>
    <w:rsid w:val="00FB4DAF"/>
    <w:rsid w:val="00FB4DB3"/>
    <w:rsid w:val="00FB4E42"/>
    <w:rsid w:val="00FB502F"/>
    <w:rsid w:val="00FB5046"/>
    <w:rsid w:val="00FB507A"/>
    <w:rsid w:val="00FB507F"/>
    <w:rsid w:val="00FB5116"/>
    <w:rsid w:val="00FB523E"/>
    <w:rsid w:val="00FB5268"/>
    <w:rsid w:val="00FB5326"/>
    <w:rsid w:val="00FB543E"/>
    <w:rsid w:val="00FB5472"/>
    <w:rsid w:val="00FB55C6"/>
    <w:rsid w:val="00FB55DF"/>
    <w:rsid w:val="00FB57ED"/>
    <w:rsid w:val="00FB5BB2"/>
    <w:rsid w:val="00FB5C5F"/>
    <w:rsid w:val="00FB5CC4"/>
    <w:rsid w:val="00FB5CDE"/>
    <w:rsid w:val="00FB5CF6"/>
    <w:rsid w:val="00FB5D2D"/>
    <w:rsid w:val="00FB5DD7"/>
    <w:rsid w:val="00FB5E4B"/>
    <w:rsid w:val="00FB5F8D"/>
    <w:rsid w:val="00FB5F9F"/>
    <w:rsid w:val="00FB6091"/>
    <w:rsid w:val="00FB633F"/>
    <w:rsid w:val="00FB6373"/>
    <w:rsid w:val="00FB64D4"/>
    <w:rsid w:val="00FB654A"/>
    <w:rsid w:val="00FB6640"/>
    <w:rsid w:val="00FB6672"/>
    <w:rsid w:val="00FB6751"/>
    <w:rsid w:val="00FB6765"/>
    <w:rsid w:val="00FB69BD"/>
    <w:rsid w:val="00FB69C3"/>
    <w:rsid w:val="00FB6B48"/>
    <w:rsid w:val="00FB6BE2"/>
    <w:rsid w:val="00FB6C0C"/>
    <w:rsid w:val="00FB6D65"/>
    <w:rsid w:val="00FB6D9B"/>
    <w:rsid w:val="00FB6DFE"/>
    <w:rsid w:val="00FB6F9E"/>
    <w:rsid w:val="00FB6FDB"/>
    <w:rsid w:val="00FB702E"/>
    <w:rsid w:val="00FB719D"/>
    <w:rsid w:val="00FB7221"/>
    <w:rsid w:val="00FB7351"/>
    <w:rsid w:val="00FB740D"/>
    <w:rsid w:val="00FB7476"/>
    <w:rsid w:val="00FB751B"/>
    <w:rsid w:val="00FB75D5"/>
    <w:rsid w:val="00FB762B"/>
    <w:rsid w:val="00FB7653"/>
    <w:rsid w:val="00FB77BE"/>
    <w:rsid w:val="00FB7958"/>
    <w:rsid w:val="00FB7970"/>
    <w:rsid w:val="00FB7985"/>
    <w:rsid w:val="00FB7C27"/>
    <w:rsid w:val="00FB7DCE"/>
    <w:rsid w:val="00FB7F80"/>
    <w:rsid w:val="00FC0269"/>
    <w:rsid w:val="00FC0393"/>
    <w:rsid w:val="00FC047D"/>
    <w:rsid w:val="00FC053D"/>
    <w:rsid w:val="00FC0728"/>
    <w:rsid w:val="00FC072C"/>
    <w:rsid w:val="00FC0A95"/>
    <w:rsid w:val="00FC0AE8"/>
    <w:rsid w:val="00FC0E49"/>
    <w:rsid w:val="00FC0E66"/>
    <w:rsid w:val="00FC0F0A"/>
    <w:rsid w:val="00FC1005"/>
    <w:rsid w:val="00FC10BF"/>
    <w:rsid w:val="00FC11AA"/>
    <w:rsid w:val="00FC11C8"/>
    <w:rsid w:val="00FC1290"/>
    <w:rsid w:val="00FC12E5"/>
    <w:rsid w:val="00FC12F9"/>
    <w:rsid w:val="00FC13DA"/>
    <w:rsid w:val="00FC13F0"/>
    <w:rsid w:val="00FC14FB"/>
    <w:rsid w:val="00FC15E8"/>
    <w:rsid w:val="00FC1666"/>
    <w:rsid w:val="00FC16C8"/>
    <w:rsid w:val="00FC1781"/>
    <w:rsid w:val="00FC17E4"/>
    <w:rsid w:val="00FC1829"/>
    <w:rsid w:val="00FC185A"/>
    <w:rsid w:val="00FC192E"/>
    <w:rsid w:val="00FC1994"/>
    <w:rsid w:val="00FC19EF"/>
    <w:rsid w:val="00FC1A01"/>
    <w:rsid w:val="00FC1A0C"/>
    <w:rsid w:val="00FC1B2F"/>
    <w:rsid w:val="00FC1D3E"/>
    <w:rsid w:val="00FC1D51"/>
    <w:rsid w:val="00FC1FE5"/>
    <w:rsid w:val="00FC202A"/>
    <w:rsid w:val="00FC2227"/>
    <w:rsid w:val="00FC224F"/>
    <w:rsid w:val="00FC232A"/>
    <w:rsid w:val="00FC23D3"/>
    <w:rsid w:val="00FC24BC"/>
    <w:rsid w:val="00FC25CA"/>
    <w:rsid w:val="00FC28C4"/>
    <w:rsid w:val="00FC2A49"/>
    <w:rsid w:val="00FC2C44"/>
    <w:rsid w:val="00FC2F94"/>
    <w:rsid w:val="00FC30C7"/>
    <w:rsid w:val="00FC31A0"/>
    <w:rsid w:val="00FC31E6"/>
    <w:rsid w:val="00FC32A4"/>
    <w:rsid w:val="00FC33AC"/>
    <w:rsid w:val="00FC33E9"/>
    <w:rsid w:val="00FC371B"/>
    <w:rsid w:val="00FC37BD"/>
    <w:rsid w:val="00FC387C"/>
    <w:rsid w:val="00FC39B3"/>
    <w:rsid w:val="00FC3D59"/>
    <w:rsid w:val="00FC3D9A"/>
    <w:rsid w:val="00FC3DCA"/>
    <w:rsid w:val="00FC3EAD"/>
    <w:rsid w:val="00FC407D"/>
    <w:rsid w:val="00FC4197"/>
    <w:rsid w:val="00FC4261"/>
    <w:rsid w:val="00FC4408"/>
    <w:rsid w:val="00FC4426"/>
    <w:rsid w:val="00FC4510"/>
    <w:rsid w:val="00FC45CA"/>
    <w:rsid w:val="00FC4727"/>
    <w:rsid w:val="00FC476E"/>
    <w:rsid w:val="00FC4780"/>
    <w:rsid w:val="00FC4C3D"/>
    <w:rsid w:val="00FC4C9C"/>
    <w:rsid w:val="00FC4ED1"/>
    <w:rsid w:val="00FC503A"/>
    <w:rsid w:val="00FC51A3"/>
    <w:rsid w:val="00FC5249"/>
    <w:rsid w:val="00FC5295"/>
    <w:rsid w:val="00FC52CD"/>
    <w:rsid w:val="00FC53F0"/>
    <w:rsid w:val="00FC547D"/>
    <w:rsid w:val="00FC55B6"/>
    <w:rsid w:val="00FC56D8"/>
    <w:rsid w:val="00FC5908"/>
    <w:rsid w:val="00FC594D"/>
    <w:rsid w:val="00FC5A02"/>
    <w:rsid w:val="00FC5A17"/>
    <w:rsid w:val="00FC5A9A"/>
    <w:rsid w:val="00FC5AD0"/>
    <w:rsid w:val="00FC5C37"/>
    <w:rsid w:val="00FC5CF3"/>
    <w:rsid w:val="00FC5F99"/>
    <w:rsid w:val="00FC5F9D"/>
    <w:rsid w:val="00FC600F"/>
    <w:rsid w:val="00FC609F"/>
    <w:rsid w:val="00FC61FE"/>
    <w:rsid w:val="00FC622A"/>
    <w:rsid w:val="00FC628A"/>
    <w:rsid w:val="00FC631B"/>
    <w:rsid w:val="00FC63D6"/>
    <w:rsid w:val="00FC6456"/>
    <w:rsid w:val="00FC65A6"/>
    <w:rsid w:val="00FC66B7"/>
    <w:rsid w:val="00FC66C6"/>
    <w:rsid w:val="00FC672A"/>
    <w:rsid w:val="00FC6797"/>
    <w:rsid w:val="00FC67DE"/>
    <w:rsid w:val="00FC6805"/>
    <w:rsid w:val="00FC6865"/>
    <w:rsid w:val="00FC69D0"/>
    <w:rsid w:val="00FC6ACD"/>
    <w:rsid w:val="00FC6ADA"/>
    <w:rsid w:val="00FC6C7E"/>
    <w:rsid w:val="00FC6FA3"/>
    <w:rsid w:val="00FC709A"/>
    <w:rsid w:val="00FC7185"/>
    <w:rsid w:val="00FC72AD"/>
    <w:rsid w:val="00FC7560"/>
    <w:rsid w:val="00FC76B4"/>
    <w:rsid w:val="00FC76E0"/>
    <w:rsid w:val="00FC77F5"/>
    <w:rsid w:val="00FC7880"/>
    <w:rsid w:val="00FC7AA0"/>
    <w:rsid w:val="00FC7B50"/>
    <w:rsid w:val="00FC7C3B"/>
    <w:rsid w:val="00FC7D12"/>
    <w:rsid w:val="00FC7E38"/>
    <w:rsid w:val="00FC7EA7"/>
    <w:rsid w:val="00FC7FC1"/>
    <w:rsid w:val="00FD00D4"/>
    <w:rsid w:val="00FD05C1"/>
    <w:rsid w:val="00FD0668"/>
    <w:rsid w:val="00FD079C"/>
    <w:rsid w:val="00FD0907"/>
    <w:rsid w:val="00FD0999"/>
    <w:rsid w:val="00FD0DFB"/>
    <w:rsid w:val="00FD0E1C"/>
    <w:rsid w:val="00FD0EE1"/>
    <w:rsid w:val="00FD0FEC"/>
    <w:rsid w:val="00FD0FFC"/>
    <w:rsid w:val="00FD10C4"/>
    <w:rsid w:val="00FD1277"/>
    <w:rsid w:val="00FD12CD"/>
    <w:rsid w:val="00FD12F7"/>
    <w:rsid w:val="00FD1330"/>
    <w:rsid w:val="00FD13A0"/>
    <w:rsid w:val="00FD13A8"/>
    <w:rsid w:val="00FD1449"/>
    <w:rsid w:val="00FD145D"/>
    <w:rsid w:val="00FD14FB"/>
    <w:rsid w:val="00FD1527"/>
    <w:rsid w:val="00FD1566"/>
    <w:rsid w:val="00FD1605"/>
    <w:rsid w:val="00FD16A8"/>
    <w:rsid w:val="00FD1741"/>
    <w:rsid w:val="00FD1746"/>
    <w:rsid w:val="00FD17A4"/>
    <w:rsid w:val="00FD1849"/>
    <w:rsid w:val="00FD188C"/>
    <w:rsid w:val="00FD1AB3"/>
    <w:rsid w:val="00FD1BAD"/>
    <w:rsid w:val="00FD1C35"/>
    <w:rsid w:val="00FD1C44"/>
    <w:rsid w:val="00FD1D70"/>
    <w:rsid w:val="00FD1DD9"/>
    <w:rsid w:val="00FD2371"/>
    <w:rsid w:val="00FD2395"/>
    <w:rsid w:val="00FD242A"/>
    <w:rsid w:val="00FD25A7"/>
    <w:rsid w:val="00FD2713"/>
    <w:rsid w:val="00FD2994"/>
    <w:rsid w:val="00FD2BAA"/>
    <w:rsid w:val="00FD2CEC"/>
    <w:rsid w:val="00FD2D0F"/>
    <w:rsid w:val="00FD2D17"/>
    <w:rsid w:val="00FD2E1D"/>
    <w:rsid w:val="00FD2FB9"/>
    <w:rsid w:val="00FD2FBE"/>
    <w:rsid w:val="00FD3041"/>
    <w:rsid w:val="00FD3165"/>
    <w:rsid w:val="00FD3335"/>
    <w:rsid w:val="00FD3514"/>
    <w:rsid w:val="00FD35A9"/>
    <w:rsid w:val="00FD37C1"/>
    <w:rsid w:val="00FD3817"/>
    <w:rsid w:val="00FD3871"/>
    <w:rsid w:val="00FD3B4A"/>
    <w:rsid w:val="00FD3B7E"/>
    <w:rsid w:val="00FD3B85"/>
    <w:rsid w:val="00FD3D20"/>
    <w:rsid w:val="00FD3DC7"/>
    <w:rsid w:val="00FD3E44"/>
    <w:rsid w:val="00FD3EBA"/>
    <w:rsid w:val="00FD3F92"/>
    <w:rsid w:val="00FD4053"/>
    <w:rsid w:val="00FD43F3"/>
    <w:rsid w:val="00FD44E5"/>
    <w:rsid w:val="00FD45A8"/>
    <w:rsid w:val="00FD463A"/>
    <w:rsid w:val="00FD467F"/>
    <w:rsid w:val="00FD473D"/>
    <w:rsid w:val="00FD4751"/>
    <w:rsid w:val="00FD4BF7"/>
    <w:rsid w:val="00FD4CB9"/>
    <w:rsid w:val="00FD4E58"/>
    <w:rsid w:val="00FD4EA0"/>
    <w:rsid w:val="00FD4F11"/>
    <w:rsid w:val="00FD4F14"/>
    <w:rsid w:val="00FD4F64"/>
    <w:rsid w:val="00FD5100"/>
    <w:rsid w:val="00FD5108"/>
    <w:rsid w:val="00FD53AF"/>
    <w:rsid w:val="00FD5480"/>
    <w:rsid w:val="00FD5C39"/>
    <w:rsid w:val="00FD5C7E"/>
    <w:rsid w:val="00FD5C90"/>
    <w:rsid w:val="00FD5CB0"/>
    <w:rsid w:val="00FD5E97"/>
    <w:rsid w:val="00FD5F18"/>
    <w:rsid w:val="00FD5FD6"/>
    <w:rsid w:val="00FD6072"/>
    <w:rsid w:val="00FD6093"/>
    <w:rsid w:val="00FD6129"/>
    <w:rsid w:val="00FD613B"/>
    <w:rsid w:val="00FD6181"/>
    <w:rsid w:val="00FD628C"/>
    <w:rsid w:val="00FD637B"/>
    <w:rsid w:val="00FD637F"/>
    <w:rsid w:val="00FD63A3"/>
    <w:rsid w:val="00FD63E5"/>
    <w:rsid w:val="00FD6647"/>
    <w:rsid w:val="00FD66FC"/>
    <w:rsid w:val="00FD67AB"/>
    <w:rsid w:val="00FD6887"/>
    <w:rsid w:val="00FD6965"/>
    <w:rsid w:val="00FD6968"/>
    <w:rsid w:val="00FD69A0"/>
    <w:rsid w:val="00FD69E8"/>
    <w:rsid w:val="00FD6B29"/>
    <w:rsid w:val="00FD6B38"/>
    <w:rsid w:val="00FD6CF7"/>
    <w:rsid w:val="00FD6D6E"/>
    <w:rsid w:val="00FD6E0F"/>
    <w:rsid w:val="00FD6E60"/>
    <w:rsid w:val="00FD6F44"/>
    <w:rsid w:val="00FD6FDA"/>
    <w:rsid w:val="00FD73DA"/>
    <w:rsid w:val="00FD7563"/>
    <w:rsid w:val="00FD7690"/>
    <w:rsid w:val="00FD76CC"/>
    <w:rsid w:val="00FD7810"/>
    <w:rsid w:val="00FD7885"/>
    <w:rsid w:val="00FD78FD"/>
    <w:rsid w:val="00FD7957"/>
    <w:rsid w:val="00FD7997"/>
    <w:rsid w:val="00FD7BD6"/>
    <w:rsid w:val="00FD7C65"/>
    <w:rsid w:val="00FD7CA5"/>
    <w:rsid w:val="00FD7CFD"/>
    <w:rsid w:val="00FD7D51"/>
    <w:rsid w:val="00FD7DF1"/>
    <w:rsid w:val="00FD7E96"/>
    <w:rsid w:val="00FD7EB8"/>
    <w:rsid w:val="00FD7ECC"/>
    <w:rsid w:val="00FD7FB4"/>
    <w:rsid w:val="00FE006A"/>
    <w:rsid w:val="00FE0115"/>
    <w:rsid w:val="00FE0314"/>
    <w:rsid w:val="00FE03B3"/>
    <w:rsid w:val="00FE050D"/>
    <w:rsid w:val="00FE07FB"/>
    <w:rsid w:val="00FE0866"/>
    <w:rsid w:val="00FE087D"/>
    <w:rsid w:val="00FE0901"/>
    <w:rsid w:val="00FE0CE2"/>
    <w:rsid w:val="00FE0D32"/>
    <w:rsid w:val="00FE0D4F"/>
    <w:rsid w:val="00FE0DEB"/>
    <w:rsid w:val="00FE0EBA"/>
    <w:rsid w:val="00FE10A2"/>
    <w:rsid w:val="00FE11D1"/>
    <w:rsid w:val="00FE1269"/>
    <w:rsid w:val="00FE1276"/>
    <w:rsid w:val="00FE137D"/>
    <w:rsid w:val="00FE137E"/>
    <w:rsid w:val="00FE148E"/>
    <w:rsid w:val="00FE1623"/>
    <w:rsid w:val="00FE1673"/>
    <w:rsid w:val="00FE16D9"/>
    <w:rsid w:val="00FE1765"/>
    <w:rsid w:val="00FE178E"/>
    <w:rsid w:val="00FE1848"/>
    <w:rsid w:val="00FE1899"/>
    <w:rsid w:val="00FE18F3"/>
    <w:rsid w:val="00FE1C5F"/>
    <w:rsid w:val="00FE1C6D"/>
    <w:rsid w:val="00FE1D98"/>
    <w:rsid w:val="00FE1D9D"/>
    <w:rsid w:val="00FE1E80"/>
    <w:rsid w:val="00FE2108"/>
    <w:rsid w:val="00FE222D"/>
    <w:rsid w:val="00FE22C8"/>
    <w:rsid w:val="00FE22E0"/>
    <w:rsid w:val="00FE23D0"/>
    <w:rsid w:val="00FE2400"/>
    <w:rsid w:val="00FE24CD"/>
    <w:rsid w:val="00FE258B"/>
    <w:rsid w:val="00FE27B8"/>
    <w:rsid w:val="00FE299E"/>
    <w:rsid w:val="00FE2A35"/>
    <w:rsid w:val="00FE2B44"/>
    <w:rsid w:val="00FE2BEC"/>
    <w:rsid w:val="00FE2CAC"/>
    <w:rsid w:val="00FE2D87"/>
    <w:rsid w:val="00FE2DD3"/>
    <w:rsid w:val="00FE2ED3"/>
    <w:rsid w:val="00FE2F7A"/>
    <w:rsid w:val="00FE2F8C"/>
    <w:rsid w:val="00FE2FF4"/>
    <w:rsid w:val="00FE318D"/>
    <w:rsid w:val="00FE3236"/>
    <w:rsid w:val="00FE3451"/>
    <w:rsid w:val="00FE3496"/>
    <w:rsid w:val="00FE373E"/>
    <w:rsid w:val="00FE375B"/>
    <w:rsid w:val="00FE3767"/>
    <w:rsid w:val="00FE3834"/>
    <w:rsid w:val="00FE3A36"/>
    <w:rsid w:val="00FE3B51"/>
    <w:rsid w:val="00FE3C25"/>
    <w:rsid w:val="00FE3CC5"/>
    <w:rsid w:val="00FE3CE8"/>
    <w:rsid w:val="00FE3DEF"/>
    <w:rsid w:val="00FE3F3F"/>
    <w:rsid w:val="00FE3FAE"/>
    <w:rsid w:val="00FE406A"/>
    <w:rsid w:val="00FE4233"/>
    <w:rsid w:val="00FE42AB"/>
    <w:rsid w:val="00FE441E"/>
    <w:rsid w:val="00FE44DD"/>
    <w:rsid w:val="00FE46ED"/>
    <w:rsid w:val="00FE4770"/>
    <w:rsid w:val="00FE4819"/>
    <w:rsid w:val="00FE482C"/>
    <w:rsid w:val="00FE4893"/>
    <w:rsid w:val="00FE48C2"/>
    <w:rsid w:val="00FE498B"/>
    <w:rsid w:val="00FE4B10"/>
    <w:rsid w:val="00FE4BA2"/>
    <w:rsid w:val="00FE4BA7"/>
    <w:rsid w:val="00FE4BE8"/>
    <w:rsid w:val="00FE4C9E"/>
    <w:rsid w:val="00FE4D96"/>
    <w:rsid w:val="00FE4DDF"/>
    <w:rsid w:val="00FE5053"/>
    <w:rsid w:val="00FE5110"/>
    <w:rsid w:val="00FE51E7"/>
    <w:rsid w:val="00FE5207"/>
    <w:rsid w:val="00FE52A9"/>
    <w:rsid w:val="00FE52AA"/>
    <w:rsid w:val="00FE5396"/>
    <w:rsid w:val="00FE53BB"/>
    <w:rsid w:val="00FE542B"/>
    <w:rsid w:val="00FE5641"/>
    <w:rsid w:val="00FE5969"/>
    <w:rsid w:val="00FE5A0E"/>
    <w:rsid w:val="00FE5A4B"/>
    <w:rsid w:val="00FE5AFE"/>
    <w:rsid w:val="00FE5B27"/>
    <w:rsid w:val="00FE5B30"/>
    <w:rsid w:val="00FE5B4A"/>
    <w:rsid w:val="00FE5B89"/>
    <w:rsid w:val="00FE5DF5"/>
    <w:rsid w:val="00FE5E28"/>
    <w:rsid w:val="00FE5EBD"/>
    <w:rsid w:val="00FE5EF4"/>
    <w:rsid w:val="00FE6136"/>
    <w:rsid w:val="00FE61AF"/>
    <w:rsid w:val="00FE6291"/>
    <w:rsid w:val="00FE669E"/>
    <w:rsid w:val="00FE66E7"/>
    <w:rsid w:val="00FE68B1"/>
    <w:rsid w:val="00FE69F1"/>
    <w:rsid w:val="00FE6A40"/>
    <w:rsid w:val="00FE6A8C"/>
    <w:rsid w:val="00FE6B5E"/>
    <w:rsid w:val="00FE6C58"/>
    <w:rsid w:val="00FE6D01"/>
    <w:rsid w:val="00FE713F"/>
    <w:rsid w:val="00FE7433"/>
    <w:rsid w:val="00FE76BE"/>
    <w:rsid w:val="00FE772B"/>
    <w:rsid w:val="00FE7759"/>
    <w:rsid w:val="00FE77E8"/>
    <w:rsid w:val="00FE7A9D"/>
    <w:rsid w:val="00FE7AED"/>
    <w:rsid w:val="00FE7B10"/>
    <w:rsid w:val="00FE7BD7"/>
    <w:rsid w:val="00FE7E47"/>
    <w:rsid w:val="00FE7E5D"/>
    <w:rsid w:val="00FE7E78"/>
    <w:rsid w:val="00FE7F36"/>
    <w:rsid w:val="00FF0125"/>
    <w:rsid w:val="00FF014A"/>
    <w:rsid w:val="00FF01A5"/>
    <w:rsid w:val="00FF0477"/>
    <w:rsid w:val="00FF06E8"/>
    <w:rsid w:val="00FF06EA"/>
    <w:rsid w:val="00FF0926"/>
    <w:rsid w:val="00FF0A4D"/>
    <w:rsid w:val="00FF0AF2"/>
    <w:rsid w:val="00FF0C6C"/>
    <w:rsid w:val="00FF0C73"/>
    <w:rsid w:val="00FF0D0D"/>
    <w:rsid w:val="00FF0EF2"/>
    <w:rsid w:val="00FF0F44"/>
    <w:rsid w:val="00FF0F7B"/>
    <w:rsid w:val="00FF0FFC"/>
    <w:rsid w:val="00FF109F"/>
    <w:rsid w:val="00FF12F3"/>
    <w:rsid w:val="00FF1493"/>
    <w:rsid w:val="00FF1685"/>
    <w:rsid w:val="00FF1A06"/>
    <w:rsid w:val="00FF1A8D"/>
    <w:rsid w:val="00FF1BCA"/>
    <w:rsid w:val="00FF1BDA"/>
    <w:rsid w:val="00FF1C46"/>
    <w:rsid w:val="00FF1CE7"/>
    <w:rsid w:val="00FF1D17"/>
    <w:rsid w:val="00FF1DAD"/>
    <w:rsid w:val="00FF1E77"/>
    <w:rsid w:val="00FF1F78"/>
    <w:rsid w:val="00FF2134"/>
    <w:rsid w:val="00FF218F"/>
    <w:rsid w:val="00FF22A5"/>
    <w:rsid w:val="00FF22EF"/>
    <w:rsid w:val="00FF23FB"/>
    <w:rsid w:val="00FF25A5"/>
    <w:rsid w:val="00FF25F5"/>
    <w:rsid w:val="00FF2615"/>
    <w:rsid w:val="00FF262E"/>
    <w:rsid w:val="00FF26B7"/>
    <w:rsid w:val="00FF279E"/>
    <w:rsid w:val="00FF2812"/>
    <w:rsid w:val="00FF2877"/>
    <w:rsid w:val="00FF2959"/>
    <w:rsid w:val="00FF2968"/>
    <w:rsid w:val="00FF29BC"/>
    <w:rsid w:val="00FF2A5B"/>
    <w:rsid w:val="00FF2A9F"/>
    <w:rsid w:val="00FF2C7F"/>
    <w:rsid w:val="00FF2DA3"/>
    <w:rsid w:val="00FF2F8D"/>
    <w:rsid w:val="00FF2F8F"/>
    <w:rsid w:val="00FF2FCC"/>
    <w:rsid w:val="00FF326E"/>
    <w:rsid w:val="00FF332B"/>
    <w:rsid w:val="00FF34EF"/>
    <w:rsid w:val="00FF35C5"/>
    <w:rsid w:val="00FF3689"/>
    <w:rsid w:val="00FF3D10"/>
    <w:rsid w:val="00FF3D74"/>
    <w:rsid w:val="00FF3E44"/>
    <w:rsid w:val="00FF3ED9"/>
    <w:rsid w:val="00FF3EE0"/>
    <w:rsid w:val="00FF4061"/>
    <w:rsid w:val="00FF41AB"/>
    <w:rsid w:val="00FF41C3"/>
    <w:rsid w:val="00FF41CE"/>
    <w:rsid w:val="00FF42B3"/>
    <w:rsid w:val="00FF4411"/>
    <w:rsid w:val="00FF47DB"/>
    <w:rsid w:val="00FF48D3"/>
    <w:rsid w:val="00FF48F8"/>
    <w:rsid w:val="00FF4AA3"/>
    <w:rsid w:val="00FF4CBF"/>
    <w:rsid w:val="00FF4CD6"/>
    <w:rsid w:val="00FF4CE4"/>
    <w:rsid w:val="00FF4E61"/>
    <w:rsid w:val="00FF4E88"/>
    <w:rsid w:val="00FF4EBA"/>
    <w:rsid w:val="00FF4F95"/>
    <w:rsid w:val="00FF500B"/>
    <w:rsid w:val="00FF505A"/>
    <w:rsid w:val="00FF5254"/>
    <w:rsid w:val="00FF5530"/>
    <w:rsid w:val="00FF570D"/>
    <w:rsid w:val="00FF573F"/>
    <w:rsid w:val="00FF5747"/>
    <w:rsid w:val="00FF57A1"/>
    <w:rsid w:val="00FF580A"/>
    <w:rsid w:val="00FF5865"/>
    <w:rsid w:val="00FF597A"/>
    <w:rsid w:val="00FF59CF"/>
    <w:rsid w:val="00FF59F5"/>
    <w:rsid w:val="00FF5A1C"/>
    <w:rsid w:val="00FF5A85"/>
    <w:rsid w:val="00FF5CC1"/>
    <w:rsid w:val="00FF5DD2"/>
    <w:rsid w:val="00FF5EEC"/>
    <w:rsid w:val="00FF607B"/>
    <w:rsid w:val="00FF61B1"/>
    <w:rsid w:val="00FF61C2"/>
    <w:rsid w:val="00FF623D"/>
    <w:rsid w:val="00FF631E"/>
    <w:rsid w:val="00FF66E1"/>
    <w:rsid w:val="00FF6711"/>
    <w:rsid w:val="00FF67B5"/>
    <w:rsid w:val="00FF6854"/>
    <w:rsid w:val="00FF686A"/>
    <w:rsid w:val="00FF687A"/>
    <w:rsid w:val="00FF6917"/>
    <w:rsid w:val="00FF693F"/>
    <w:rsid w:val="00FF6B5A"/>
    <w:rsid w:val="00FF6DAA"/>
    <w:rsid w:val="00FF6DAD"/>
    <w:rsid w:val="00FF6E06"/>
    <w:rsid w:val="00FF6E9E"/>
    <w:rsid w:val="00FF6F14"/>
    <w:rsid w:val="00FF6FB8"/>
    <w:rsid w:val="00FF6FD4"/>
    <w:rsid w:val="00FF7080"/>
    <w:rsid w:val="00FF7089"/>
    <w:rsid w:val="00FF7193"/>
    <w:rsid w:val="00FF722E"/>
    <w:rsid w:val="00FF7651"/>
    <w:rsid w:val="00FF78BF"/>
    <w:rsid w:val="00FF7A1E"/>
    <w:rsid w:val="00FF7A82"/>
    <w:rsid w:val="00FF7B75"/>
    <w:rsid w:val="00FF7BC9"/>
    <w:rsid w:val="00FF7D04"/>
    <w:rsid w:val="00FF7D6B"/>
    <w:rsid w:val="00FF7DB2"/>
    <w:rsid w:val="00FF7E67"/>
    <w:rsid w:val="00FF7F11"/>
    <w:rsid w:val="00FF7FE6"/>
    <w:rsid w:val="07AD0D7E"/>
    <w:rsid w:val="0850E213"/>
    <w:rsid w:val="0B7ADA4E"/>
    <w:rsid w:val="0BFD7D09"/>
    <w:rsid w:val="0D9CE006"/>
    <w:rsid w:val="15D2C4BA"/>
    <w:rsid w:val="16A6CC62"/>
    <w:rsid w:val="191519FD"/>
    <w:rsid w:val="1D6DE497"/>
    <w:rsid w:val="1F7C3C25"/>
    <w:rsid w:val="20763C48"/>
    <w:rsid w:val="2222FE9D"/>
    <w:rsid w:val="28F3C7C5"/>
    <w:rsid w:val="2FEA581D"/>
    <w:rsid w:val="316DBD74"/>
    <w:rsid w:val="3908B313"/>
    <w:rsid w:val="402E270C"/>
    <w:rsid w:val="41324A2A"/>
    <w:rsid w:val="41FB0DA4"/>
    <w:rsid w:val="47D62F1D"/>
    <w:rsid w:val="48D55B4E"/>
    <w:rsid w:val="48DC21B1"/>
    <w:rsid w:val="4DA7AA90"/>
    <w:rsid w:val="513C188D"/>
    <w:rsid w:val="523EB983"/>
    <w:rsid w:val="52A97F13"/>
    <w:rsid w:val="530D389D"/>
    <w:rsid w:val="5B2576F1"/>
    <w:rsid w:val="5D62F704"/>
    <w:rsid w:val="61931CEF"/>
    <w:rsid w:val="62ADE917"/>
    <w:rsid w:val="639676D6"/>
    <w:rsid w:val="66286986"/>
    <w:rsid w:val="6B57ECEF"/>
    <w:rsid w:val="6CF86904"/>
    <w:rsid w:val="6D47778D"/>
    <w:rsid w:val="70845B7B"/>
    <w:rsid w:val="72B7885A"/>
    <w:rsid w:val="756056D9"/>
    <w:rsid w:val="771E3CA1"/>
    <w:rsid w:val="790013DD"/>
    <w:rsid w:val="79760C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4A5DB"/>
  <w15:docId w15:val="{4A8F939E-DCC4-4B30-BD7D-3D4BEE09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uiPriority="0"/>
    <w:lsdException w:name="heading 8" w:semiHidden="1" w:uiPriority="0"/>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6"/>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BA3"/>
    <w:pPr>
      <w:spacing w:before="120" w:after="120" w:line="240" w:lineRule="auto"/>
    </w:pPr>
    <w:rPr>
      <w:rFonts w:ascii="Calibri Light" w:eastAsia="Times New Roman" w:hAnsi="Calibri Light" w:cs="Times New Roman"/>
      <w:kern w:val="18"/>
      <w:szCs w:val="20"/>
      <w:lang w:eastAsia="en-AU"/>
    </w:rPr>
  </w:style>
  <w:style w:type="paragraph" w:styleId="Heading1">
    <w:name w:val="heading 1"/>
    <w:basedOn w:val="HeadingBase"/>
    <w:next w:val="Normal"/>
    <w:link w:val="Heading1Char"/>
    <w:qFormat/>
    <w:rsid w:val="00722C03"/>
    <w:pPr>
      <w:spacing w:before="360" w:after="360" w:line="520" w:lineRule="exact"/>
      <w:outlineLvl w:val="0"/>
    </w:pPr>
    <w:rPr>
      <w:b/>
      <w:bCs w:val="0"/>
      <w:color w:val="5D779D" w:themeColor="accent3"/>
    </w:rPr>
  </w:style>
  <w:style w:type="paragraph" w:styleId="Heading2">
    <w:name w:val="heading 2"/>
    <w:basedOn w:val="HeadingBase"/>
    <w:next w:val="Normal"/>
    <w:link w:val="Heading2Char"/>
    <w:qFormat/>
    <w:rsid w:val="00080E00"/>
    <w:pPr>
      <w:pageBreakBefore/>
      <w:tabs>
        <w:tab w:val="left" w:pos="1134"/>
      </w:tabs>
      <w:spacing w:before="480" w:after="240"/>
      <w:outlineLvl w:val="1"/>
    </w:pPr>
    <w:rPr>
      <w:bCs w:val="0"/>
      <w:iCs/>
      <w:color w:val="2C384A"/>
      <w:sz w:val="36"/>
      <w:szCs w:val="28"/>
    </w:rPr>
  </w:style>
  <w:style w:type="paragraph" w:styleId="Heading3">
    <w:name w:val="heading 3"/>
    <w:basedOn w:val="HeadingBase"/>
    <w:next w:val="Normal"/>
    <w:link w:val="Heading3Char"/>
    <w:qFormat/>
    <w:rsid w:val="00722C03"/>
    <w:pPr>
      <w:spacing w:before="320" w:after="240"/>
      <w:outlineLvl w:val="2"/>
    </w:pPr>
    <w:rPr>
      <w:bCs w:val="0"/>
      <w:color w:val="4D7861" w:themeColor="accent2"/>
      <w:sz w:val="32"/>
      <w:szCs w:val="26"/>
    </w:rPr>
  </w:style>
  <w:style w:type="paragraph" w:styleId="Heading4">
    <w:name w:val="heading 4"/>
    <w:basedOn w:val="HeadingBase"/>
    <w:next w:val="Normal"/>
    <w:link w:val="Heading4Char"/>
    <w:qFormat/>
    <w:rsid w:val="00722C03"/>
    <w:pPr>
      <w:spacing w:before="240"/>
      <w:outlineLvl w:val="3"/>
    </w:pPr>
    <w:rPr>
      <w:rFonts w:asciiTheme="majorHAnsi" w:hAnsiTheme="majorHAnsi"/>
      <w:bCs w:val="0"/>
      <w:color w:val="2C384A" w:themeColor="accent1"/>
      <w:sz w:val="28"/>
      <w:szCs w:val="26"/>
    </w:rPr>
  </w:style>
  <w:style w:type="paragraph" w:styleId="Heading5">
    <w:name w:val="heading 5"/>
    <w:basedOn w:val="HeadingBase"/>
    <w:next w:val="Normal"/>
    <w:link w:val="Heading5Char"/>
    <w:qFormat/>
    <w:rsid w:val="005E7E3A"/>
    <w:pPr>
      <w:spacing w:before="180"/>
      <w:outlineLvl w:val="4"/>
    </w:pPr>
    <w:rPr>
      <w:rFonts w:asciiTheme="majorHAnsi" w:hAnsiTheme="majorHAnsi"/>
      <w:bCs w:val="0"/>
      <w:iCs/>
      <w:color w:val="4D7861" w:themeColor="accent2"/>
      <w:sz w:val="24"/>
    </w:rPr>
  </w:style>
  <w:style w:type="paragraph" w:styleId="Heading6">
    <w:name w:val="heading 6"/>
    <w:basedOn w:val="HeadingBase"/>
    <w:next w:val="Normal"/>
    <w:link w:val="Heading6Char"/>
    <w:semiHidden/>
    <w:rsid w:val="0001722B"/>
    <w:pPr>
      <w:spacing w:before="240" w:after="60"/>
      <w:outlineLvl w:val="5"/>
    </w:pPr>
    <w:rPr>
      <w:rFonts w:ascii="Calibri Light" w:hAnsi="Calibri Light"/>
      <w:b/>
      <w:bCs w:val="0"/>
      <w:color w:val="2C384A" w:themeColor="accent1"/>
      <w:sz w:val="24"/>
      <w:szCs w:val="22"/>
    </w:rPr>
  </w:style>
  <w:style w:type="paragraph" w:styleId="Heading7">
    <w:name w:val="heading 7"/>
    <w:basedOn w:val="Normal"/>
    <w:next w:val="Normal"/>
    <w:link w:val="Heading7Char"/>
    <w:semiHidden/>
    <w:rsid w:val="002125F7"/>
    <w:pPr>
      <w:keepNext/>
      <w:keepLines/>
      <w:spacing w:after="60"/>
      <w:outlineLvl w:val="6"/>
    </w:pPr>
    <w:rPr>
      <w:rFonts w:asciiTheme="majorHAnsi" w:eastAsiaTheme="majorEastAsia" w:hAnsiTheme="majorHAnsi" w:cstheme="majorBidi"/>
      <w:i/>
      <w:iCs/>
      <w:color w:val="161B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C03"/>
    <w:rPr>
      <w:rFonts w:ascii="Calibri" w:eastAsia="Times New Roman" w:hAnsi="Calibri" w:cs="Arial"/>
      <w:b/>
      <w:color w:val="5D779D" w:themeColor="accent3"/>
      <w:kern w:val="32"/>
      <w:sz w:val="48"/>
      <w:szCs w:val="36"/>
      <w:lang w:eastAsia="en-AU"/>
    </w:rPr>
  </w:style>
  <w:style w:type="character" w:customStyle="1" w:styleId="Heading2Char">
    <w:name w:val="Heading 2 Char"/>
    <w:basedOn w:val="DefaultParagraphFont"/>
    <w:link w:val="Heading2"/>
    <w:rsid w:val="00080E00"/>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722C03"/>
    <w:rPr>
      <w:rFonts w:ascii="Calibri" w:eastAsia="Times New Roman" w:hAnsi="Calibri" w:cs="Arial"/>
      <w:color w:val="4D7861" w:themeColor="accent2"/>
      <w:kern w:val="32"/>
      <w:sz w:val="32"/>
      <w:szCs w:val="26"/>
      <w:lang w:eastAsia="en-AU"/>
    </w:rPr>
  </w:style>
  <w:style w:type="character" w:customStyle="1" w:styleId="Heading4Char">
    <w:name w:val="Heading 4 Char"/>
    <w:basedOn w:val="DefaultParagraphFont"/>
    <w:link w:val="Heading4"/>
    <w:rsid w:val="00722C03"/>
    <w:rPr>
      <w:rFonts w:asciiTheme="majorHAnsi" w:eastAsia="Times New Roman" w:hAnsiTheme="majorHAnsi" w:cs="Arial"/>
      <w:color w:val="2C384A" w:themeColor="accent1"/>
      <w:kern w:val="32"/>
      <w:sz w:val="28"/>
      <w:szCs w:val="26"/>
      <w:lang w:eastAsia="en-AU"/>
    </w:rPr>
  </w:style>
  <w:style w:type="character" w:customStyle="1" w:styleId="Heading5Char">
    <w:name w:val="Heading 5 Char"/>
    <w:basedOn w:val="DefaultParagraphFont"/>
    <w:link w:val="Heading5"/>
    <w:rsid w:val="005E7E3A"/>
    <w:rPr>
      <w:rFonts w:asciiTheme="majorHAnsi" w:eastAsia="Times New Roman" w:hAnsiTheme="majorHAnsi" w:cs="Arial"/>
      <w:iCs/>
      <w:color w:val="4D7861" w:themeColor="accent2"/>
      <w:kern w:val="32"/>
      <w:sz w:val="24"/>
      <w:szCs w:val="36"/>
      <w:lang w:eastAsia="en-AU"/>
    </w:rPr>
  </w:style>
  <w:style w:type="character" w:customStyle="1" w:styleId="Heading6Char">
    <w:name w:val="Heading 6 Char"/>
    <w:basedOn w:val="DefaultParagraphFont"/>
    <w:link w:val="Heading6"/>
    <w:semiHidden/>
    <w:rsid w:val="00D45BA5"/>
    <w:rPr>
      <w:rFonts w:ascii="Calibri Light" w:eastAsia="Times New Roman" w:hAnsi="Calibri Light" w:cs="Arial"/>
      <w:b/>
      <w:color w:val="2C384A" w:themeColor="accent1"/>
      <w:kern w:val="32"/>
      <w:sz w:val="24"/>
      <w:lang w:eastAsia="en-AU"/>
    </w:rPr>
  </w:style>
  <w:style w:type="paragraph" w:customStyle="1" w:styleId="ChartGraphic">
    <w:name w:val="Chart Graphic"/>
    <w:basedOn w:val="Normal"/>
    <w:next w:val="Normal"/>
    <w:rsid w:val="005D4521"/>
    <w:pPr>
      <w:keepNext/>
      <w:spacing w:after="240"/>
      <w:jc w:val="center"/>
    </w:pPr>
    <w:rPr>
      <w:color w:val="4D7861" w:themeColor="accent2"/>
      <w:sz w:val="20"/>
    </w:rPr>
  </w:style>
  <w:style w:type="paragraph" w:customStyle="1" w:styleId="AlphaParagraph">
    <w:name w:val="Alpha Paragraph"/>
    <w:basedOn w:val="Normal"/>
    <w:rsid w:val="000E0B74"/>
    <w:pPr>
      <w:numPr>
        <w:ilvl w:val="1"/>
        <w:numId w:val="6"/>
      </w:numPr>
      <w:spacing w:before="0"/>
    </w:pPr>
  </w:style>
  <w:style w:type="character" w:customStyle="1" w:styleId="DashChar">
    <w:name w:val="Dash Char"/>
    <w:basedOn w:val="DefaultParagraphFont"/>
    <w:link w:val="Dash"/>
    <w:locked/>
    <w:rsid w:val="00277DF4"/>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locked/>
    <w:rsid w:val="00277DF4"/>
    <w:rPr>
      <w:rFonts w:ascii="Calibri Light" w:eastAsia="Times New Roman" w:hAnsi="Calibri Light" w:cs="Times New Roman"/>
      <w:szCs w:val="20"/>
      <w:lang w:eastAsia="en-AU"/>
    </w:rPr>
  </w:style>
  <w:style w:type="character" w:customStyle="1" w:styleId="BulletChar">
    <w:name w:val="Bullet Char"/>
    <w:aliases w:val="Body Char,Bullet + line Char,Bullets Char,L Char,List Paragraph1 Char,List Paragraph11 Char,List Paragraph2 Char,Number Char,Recommendation Char,b + line Char,b + line Char Char,b Char,b Char Char,b1 Char,level 1 Char,Bullet 1 Char,Dot pt Ch"/>
    <w:basedOn w:val="DefaultParagraphFont"/>
    <w:link w:val="Bullet"/>
    <w:qFormat/>
    <w:locked/>
    <w:rsid w:val="00420675"/>
    <w:rPr>
      <w:rFonts w:ascii="Calibri Light" w:eastAsia="Times New Roman" w:hAnsi="Calibri Light" w:cs="Times New Roman"/>
      <w:szCs w:val="20"/>
      <w:lang w:eastAsia="en-AU"/>
    </w:rPr>
  </w:style>
  <w:style w:type="paragraph" w:customStyle="1" w:styleId="BoxHeadingBox11">
    <w:name w:val="Box Heading Box 1.1"/>
    <w:basedOn w:val="BoxHeading"/>
    <w:next w:val="Normal"/>
    <w:rsid w:val="00063E29"/>
    <w:pPr>
      <w:keepNext/>
      <w:numPr>
        <w:ilvl w:val="5"/>
        <w:numId w:val="10"/>
      </w:numPr>
    </w:pPr>
  </w:style>
  <w:style w:type="paragraph" w:customStyle="1" w:styleId="BoxText">
    <w:name w:val="Box Text"/>
    <w:basedOn w:val="Normal"/>
    <w:link w:val="BoxTextChar"/>
    <w:rsid w:val="00394B31"/>
    <w:rPr>
      <w:sz w:val="20"/>
      <w:szCs w:val="22"/>
    </w:rPr>
  </w:style>
  <w:style w:type="paragraph" w:customStyle="1" w:styleId="Bullet">
    <w:name w:val="Bullet"/>
    <w:aliases w:val="Body,Bullet + line,b,b + line,b1,level 1,BodyNum,Bullet Char1,Bullet Char1 Char Char Char,Bullet Char1 Char Char Char Char,Bullet Char1 Char Char Char Char Char,b1 Char Char Char,bulleted,CG-Bullet"/>
    <w:basedOn w:val="Normal"/>
    <w:link w:val="BulletChar"/>
    <w:qFormat/>
    <w:rsid w:val="00420675"/>
    <w:pPr>
      <w:numPr>
        <w:numId w:val="7"/>
      </w:numPr>
      <w:tabs>
        <w:tab w:val="clear" w:pos="520"/>
      </w:tabs>
      <w:spacing w:before="0"/>
      <w:ind w:left="284" w:hanging="284"/>
    </w:pPr>
  </w:style>
  <w:style w:type="paragraph" w:customStyle="1" w:styleId="ChartandTableFootnoteAlpha">
    <w:name w:val="Chart and Table Footnote Alpha"/>
    <w:basedOn w:val="ChartorTableNote"/>
    <w:rsid w:val="00063E29"/>
    <w:pPr>
      <w:numPr>
        <w:numId w:val="9"/>
      </w:numPr>
      <w:tabs>
        <w:tab w:val="num" w:pos="360"/>
      </w:tabs>
      <w:contextualSpacing/>
    </w:pPr>
    <w:rPr>
      <w:szCs w:val="16"/>
    </w:rPr>
  </w:style>
  <w:style w:type="paragraph" w:customStyle="1" w:styleId="ChartMainHeading">
    <w:name w:val="Chart Main Heading"/>
    <w:basedOn w:val="TableMainHeading"/>
    <w:next w:val="ChartGraphic"/>
    <w:rsid w:val="00063E29"/>
    <w:pPr>
      <w:numPr>
        <w:ilvl w:val="7"/>
      </w:numPr>
    </w:pPr>
  </w:style>
  <w:style w:type="paragraph" w:customStyle="1" w:styleId="ChartorTableNote">
    <w:name w:val="Chart or Table Note"/>
    <w:basedOn w:val="Normal"/>
    <w:rsid w:val="00DD7E97"/>
    <w:pPr>
      <w:keepNext/>
      <w:keepLines/>
      <w:spacing w:before="60" w:after="60"/>
      <w:ind w:left="851" w:hanging="851"/>
    </w:pPr>
    <w:rPr>
      <w:rFonts w:ascii="Calibri" w:hAnsi="Calibri"/>
      <w:color w:val="000000"/>
      <w:sz w:val="18"/>
    </w:rPr>
  </w:style>
  <w:style w:type="paragraph" w:customStyle="1" w:styleId="ChartSecondHeading">
    <w:name w:val="Chart Second Heading"/>
    <w:basedOn w:val="TableSecondHeading"/>
    <w:next w:val="ChartGraphic"/>
    <w:rsid w:val="00A03796"/>
    <w:pPr>
      <w:ind w:right="284"/>
    </w:pPr>
    <w:rPr>
      <w:bCs/>
    </w:rPr>
  </w:style>
  <w:style w:type="paragraph" w:customStyle="1" w:styleId="ReportDate">
    <w:name w:val="Report Date"/>
    <w:basedOn w:val="Normal"/>
    <w:link w:val="ReportDateChar"/>
    <w:uiPriority w:val="5"/>
    <w:rsid w:val="004B27CB"/>
    <w:pPr>
      <w:keepNext/>
      <w:spacing w:before="0" w:after="600"/>
    </w:pPr>
    <w:rPr>
      <w:color w:val="2C384A" w:themeColor="accent1"/>
      <w:sz w:val="32"/>
    </w:rPr>
  </w:style>
  <w:style w:type="paragraph" w:customStyle="1" w:styleId="Dash">
    <w:name w:val="Dash"/>
    <w:basedOn w:val="Normal"/>
    <w:link w:val="DashChar"/>
    <w:qFormat/>
    <w:rsid w:val="00063E29"/>
    <w:pPr>
      <w:numPr>
        <w:ilvl w:val="1"/>
        <w:numId w:val="7"/>
      </w:numPr>
      <w:spacing w:before="0"/>
    </w:pPr>
  </w:style>
  <w:style w:type="paragraph" w:customStyle="1" w:styleId="DoubleDot">
    <w:name w:val="Double Dot"/>
    <w:basedOn w:val="Normal"/>
    <w:link w:val="DoubleDotChar"/>
    <w:qFormat/>
    <w:rsid w:val="00063E29"/>
    <w:pPr>
      <w:numPr>
        <w:ilvl w:val="2"/>
        <w:numId w:val="7"/>
      </w:numPr>
      <w:spacing w:before="0"/>
    </w:pPr>
  </w:style>
  <w:style w:type="paragraph" w:customStyle="1" w:styleId="TableMainHeading">
    <w:name w:val="Table Main Heading"/>
    <w:basedOn w:val="Normal"/>
    <w:next w:val="Normal"/>
    <w:rsid w:val="00063E29"/>
    <w:pPr>
      <w:keepNext/>
      <w:numPr>
        <w:ilvl w:val="8"/>
        <w:numId w:val="10"/>
      </w:numPr>
      <w:pBdr>
        <w:top w:val="single" w:sz="12" w:space="3" w:color="2C384A" w:themeColor="accent1"/>
      </w:pBdr>
      <w:spacing w:before="360"/>
      <w:outlineLvl w:val="3"/>
    </w:pPr>
    <w:rPr>
      <w:b/>
      <w:color w:val="2C384A" w:themeColor="accent1"/>
      <w:sz w:val="24"/>
    </w:rPr>
  </w:style>
  <w:style w:type="paragraph" w:customStyle="1" w:styleId="FooterEven">
    <w:name w:val="Footer Even"/>
    <w:basedOn w:val="Footer"/>
    <w:rsid w:val="00103F3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891061"/>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F2558"/>
    <w:rPr>
      <w:color w:val="5D779D" w:themeColor="accent3"/>
      <w:u w:val="none"/>
    </w:rPr>
  </w:style>
  <w:style w:type="paragraph" w:customStyle="1" w:styleId="OutlineNumbered1">
    <w:name w:val="Outline Numbered 1"/>
    <w:basedOn w:val="Normal"/>
    <w:uiPriority w:val="10"/>
    <w:unhideWhenUsed/>
    <w:rsid w:val="009E74D1"/>
    <w:pPr>
      <w:numPr>
        <w:numId w:val="5"/>
      </w:numPr>
      <w:spacing w:before="0"/>
    </w:pPr>
  </w:style>
  <w:style w:type="paragraph" w:customStyle="1" w:styleId="OutlineNumbered2">
    <w:name w:val="Outline Numbered 2"/>
    <w:basedOn w:val="Normal"/>
    <w:uiPriority w:val="10"/>
    <w:unhideWhenUsed/>
    <w:rsid w:val="000E0B74"/>
    <w:pPr>
      <w:numPr>
        <w:ilvl w:val="1"/>
        <w:numId w:val="5"/>
      </w:numPr>
      <w:spacing w:before="0"/>
    </w:pPr>
  </w:style>
  <w:style w:type="paragraph" w:customStyle="1" w:styleId="OutlineNumbered3">
    <w:name w:val="Outline Numbered 3"/>
    <w:basedOn w:val="Normal"/>
    <w:uiPriority w:val="10"/>
    <w:unhideWhenUsed/>
    <w:rsid w:val="000E0B74"/>
    <w:pPr>
      <w:numPr>
        <w:ilvl w:val="2"/>
        <w:numId w:val="5"/>
      </w:numPr>
      <w:spacing w:before="0"/>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DD7E97"/>
    <w:pPr>
      <w:keepNext/>
      <w:spacing w:before="0"/>
    </w:pPr>
    <w:rPr>
      <w:b/>
      <w:color w:val="5D779D" w:themeColor="accent3"/>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1F1DAA"/>
    <w:rPr>
      <w:b/>
      <w:color w:val="2C384A" w:themeColor="accent1"/>
      <w:sz w:val="20"/>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basedOn w:val="TableNormal"/>
    <w:rsid w:val="00A715AC"/>
    <w:pPr>
      <w:spacing w:before="40" w:after="40" w:line="240" w:lineRule="auto"/>
    </w:pPr>
    <w:rPr>
      <w:rFonts w:ascii="Calibri Light" w:eastAsia="Times New Roman" w:hAnsi="Calibri Light" w:cs="Times New Roman"/>
      <w:sz w:val="18"/>
      <w:szCs w:val="20"/>
      <w:lang w:eastAsia="en-AU"/>
    </w:rPr>
    <w:tblPr/>
    <w:trPr>
      <w:cantSplit/>
    </w:trPr>
    <w:tcPr>
      <w:shd w:val="clear" w:color="auto" w:fill="auto"/>
    </w:tcPr>
    <w:tblStylePr w:type="firstRow">
      <w:pPr>
        <w:wordWrap/>
        <w:spacing w:beforeLines="0" w:before="40" w:beforeAutospacing="0" w:afterLines="0" w:after="40" w:afterAutospacing="0"/>
        <w:jc w:val="left"/>
      </w:pPr>
      <w:rPr>
        <w:rFonts w:ascii="Calibri Light" w:hAnsi="Calibri Light"/>
        <w:b w:val="0"/>
        <w:color w:val="auto"/>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FB2BA3"/>
    <w:pPr>
      <w:jc w:val="left"/>
    </w:pPr>
    <w:rPr>
      <w:kern w:val="16"/>
    </w:r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B55154"/>
    <w:pPr>
      <w:keepNext/>
      <w:tabs>
        <w:tab w:val="left" w:pos="284"/>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B55154"/>
    <w:pPr>
      <w:keepNext/>
      <w:tabs>
        <w:tab w:val="left" w:pos="851"/>
        <w:tab w:val="right" w:leader="dot" w:pos="9072"/>
      </w:tabs>
      <w:spacing w:before="40" w:after="20"/>
      <w:ind w:left="284"/>
    </w:pPr>
    <w:rPr>
      <w:noProof/>
      <w:color w:val="5D779D" w:themeColor="accent3"/>
    </w:rPr>
  </w:style>
  <w:style w:type="paragraph" w:styleId="TOC3">
    <w:name w:val="toc 3"/>
    <w:basedOn w:val="Normal"/>
    <w:next w:val="Normal"/>
    <w:uiPriority w:val="39"/>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6"/>
      </w:numPr>
    </w:pPr>
  </w:style>
  <w:style w:type="paragraph" w:customStyle="1" w:styleId="Heading1Numbered">
    <w:name w:val="Heading 1 Numbered"/>
    <w:basedOn w:val="Heading1"/>
    <w:next w:val="Normal"/>
    <w:qFormat/>
    <w:rsid w:val="00063E29"/>
    <w:pPr>
      <w:numPr>
        <w:numId w:val="10"/>
      </w:numPr>
      <w:tabs>
        <w:tab w:val="num" w:pos="360"/>
      </w:tabs>
      <w:spacing w:after="480"/>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qFormat/>
    <w:rsid w:val="00063E29"/>
    <w:pPr>
      <w:numPr>
        <w:ilvl w:val="1"/>
        <w:numId w:val="10"/>
      </w:numPr>
    </w:pPr>
  </w:style>
  <w:style w:type="paragraph" w:customStyle="1" w:styleId="Heading3Numbered">
    <w:name w:val="Heading 3 Numbered"/>
    <w:basedOn w:val="Heading3"/>
    <w:rsid w:val="00063E29"/>
    <w:pPr>
      <w:numPr>
        <w:ilvl w:val="2"/>
        <w:numId w:val="10"/>
      </w:numPr>
    </w:pPr>
  </w:style>
  <w:style w:type="paragraph" w:styleId="Title">
    <w:name w:val="Title"/>
    <w:basedOn w:val="Normal"/>
    <w:next w:val="Normal"/>
    <w:link w:val="TitleChar"/>
    <w:uiPriority w:val="3"/>
    <w:rsid w:val="00055E2C"/>
    <w:pPr>
      <w:tabs>
        <w:tab w:val="left" w:pos="6379"/>
      </w:tabs>
      <w:spacing w:before="1800" w:after="240" w:line="720" w:lineRule="exact"/>
      <w:ind w:right="1134"/>
      <w:contextualSpacing/>
    </w:pPr>
    <w:rPr>
      <w:rFonts w:asciiTheme="majorHAnsi" w:hAnsiTheme="majorHAnsi" w:cstheme="majorHAnsi"/>
      <w:b/>
      <w:color w:val="2C384A" w:themeColor="accent1"/>
      <w:spacing w:val="5"/>
      <w:kern w:val="28"/>
      <w:sz w:val="72"/>
      <w:szCs w:val="52"/>
    </w:rPr>
  </w:style>
  <w:style w:type="character" w:customStyle="1" w:styleId="TitleChar">
    <w:name w:val="Title Char"/>
    <w:basedOn w:val="DefaultParagraphFont"/>
    <w:link w:val="Title"/>
    <w:uiPriority w:val="3"/>
    <w:rsid w:val="00D45BA5"/>
    <w:rPr>
      <w:rFonts w:asciiTheme="majorHAnsi" w:eastAsia="Times New Roman" w:hAnsiTheme="majorHAnsi" w:cstheme="majorHAnsi"/>
      <w:b/>
      <w:color w:val="2C384A" w:themeColor="accent1"/>
      <w:spacing w:val="5"/>
      <w:kern w:val="28"/>
      <w:sz w:val="72"/>
      <w:szCs w:val="52"/>
      <w:lang w:eastAsia="en-AU"/>
    </w:rPr>
  </w:style>
  <w:style w:type="paragraph" w:styleId="Subtitle">
    <w:name w:val="Subtitle"/>
    <w:basedOn w:val="Normal"/>
    <w:next w:val="Normal"/>
    <w:link w:val="SubtitleChar"/>
    <w:uiPriority w:val="4"/>
    <w:rsid w:val="004B27CB"/>
    <w:pPr>
      <w:numPr>
        <w:ilvl w:val="1"/>
      </w:numPr>
    </w:pPr>
    <w:rPr>
      <w:rFonts w:eastAsiaTheme="majorEastAsia" w:cstheme="majorBidi"/>
      <w:iCs/>
      <w:color w:val="5D779D" w:themeColor="accent3"/>
      <w:sz w:val="40"/>
      <w:szCs w:val="44"/>
    </w:rPr>
  </w:style>
  <w:style w:type="character" w:customStyle="1" w:styleId="SubtitleChar">
    <w:name w:val="Subtitle Char"/>
    <w:basedOn w:val="DefaultParagraphFont"/>
    <w:link w:val="Subtitle"/>
    <w:uiPriority w:val="4"/>
    <w:rsid w:val="00D45BA5"/>
    <w:rPr>
      <w:rFonts w:ascii="Calibri Light" w:eastAsiaTheme="majorEastAsia" w:hAnsi="Calibri Light" w:cstheme="majorBidi"/>
      <w:iCs/>
      <w:color w:val="5D779D" w:themeColor="accent3"/>
      <w:sz w:val="40"/>
      <w:szCs w:val="44"/>
      <w:lang w:eastAsia="en-AU"/>
    </w:rPr>
  </w:style>
  <w:style w:type="character" w:styleId="SubtleEmphasis">
    <w:name w:val="Subtle Emphasis"/>
    <w:basedOn w:val="DefaultParagraphFont"/>
    <w:uiPriority w:val="2"/>
    <w:semiHidden/>
    <w:rsid w:val="000E0B74"/>
    <w:rPr>
      <w:i/>
      <w:iCs/>
      <w:color w:val="808080" w:themeColor="text1" w:themeTint="7F"/>
    </w:rPr>
  </w:style>
  <w:style w:type="paragraph" w:styleId="Footer">
    <w:name w:val="footer"/>
    <w:basedOn w:val="Normal"/>
    <w:link w:val="FooterChar"/>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alibri" w:eastAsia="Times New Roman" w:hAnsi="Calibri" w:cs="Times New Roman"/>
      <w:color w:val="002C47"/>
      <w:sz w:val="20"/>
      <w:szCs w:val="20"/>
      <w:lang w:eastAsia="en-AU"/>
    </w:rPr>
  </w:style>
  <w:style w:type="paragraph" w:styleId="Header">
    <w:name w:val="header"/>
    <w:basedOn w:val="Normal"/>
    <w:link w:val="HeaderChar"/>
    <w:unhideWhenUsed/>
    <w:rsid w:val="001606CF"/>
    <w:pPr>
      <w:keepNext/>
      <w:spacing w:before="0" w:after="0"/>
      <w:jc w:val="right"/>
    </w:pPr>
    <w:rPr>
      <w:color w:val="004A7F"/>
      <w:sz w:val="20"/>
    </w:rPr>
  </w:style>
  <w:style w:type="character" w:customStyle="1" w:styleId="HeaderChar">
    <w:name w:val="Header Char"/>
    <w:basedOn w:val="DefaultParagraphFont"/>
    <w:link w:val="Header"/>
    <w:rsid w:val="00D45BA5"/>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uiPriority w:val="5"/>
    <w:rsid w:val="00D45BA5"/>
    <w:rPr>
      <w:rFonts w:ascii="Calibri Light" w:eastAsia="Times New Roman" w:hAnsi="Calibri Light" w:cs="Times New Roman"/>
      <w:color w:val="2C384A" w:themeColor="accent1"/>
      <w:sz w:val="32"/>
      <w:szCs w:val="20"/>
      <w:lang w:eastAsia="en-AU"/>
    </w:rPr>
  </w:style>
  <w:style w:type="paragraph" w:customStyle="1" w:styleId="NotesHeading">
    <w:name w:val="Notes Heading"/>
    <w:basedOn w:val="Normal"/>
    <w:uiPriority w:val="10"/>
    <w:semiHidden/>
    <w:rsid w:val="002F617F"/>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99"/>
    <w:semiHidden/>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195E07"/>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rsid w:val="00EF1D24"/>
    <w:pPr>
      <w:tabs>
        <w:tab w:val="left" w:pos="397"/>
      </w:tabs>
      <w:spacing w:before="0" w:after="0"/>
      <w:ind w:left="397" w:hanging="397"/>
    </w:pPr>
    <w:rPr>
      <w:sz w:val="18"/>
    </w:rPr>
  </w:style>
  <w:style w:type="character" w:customStyle="1" w:styleId="FootnoteTextChar">
    <w:name w:val="Footnote Text Char"/>
    <w:basedOn w:val="DefaultParagraphFont"/>
    <w:link w:val="FootnoteText"/>
    <w:rsid w:val="00EF1D24"/>
    <w:rPr>
      <w:rFonts w:ascii="Calibri Light" w:eastAsia="Times New Roman" w:hAnsi="Calibri Light" w:cs="Times New Roman"/>
      <w:sz w:val="18"/>
      <w:szCs w:val="20"/>
      <w:lang w:eastAsia="en-AU"/>
    </w:rPr>
  </w:style>
  <w:style w:type="character" w:styleId="FootnoteReference">
    <w:name w:val="footnote reference"/>
    <w:basedOn w:val="DefaultParagraphFont"/>
    <w:rsid w:val="00742B4A"/>
    <w:rPr>
      <w:sz w:val="20"/>
      <w:vertAlign w:val="superscript"/>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394B31"/>
    <w:rPr>
      <w:rFonts w:ascii="Calibri Light" w:eastAsia="Times New Roman" w:hAnsi="Calibri Light" w:cs="Times New Roman"/>
      <w:sz w:val="20"/>
      <w:lang w:eastAsia="en-AU"/>
    </w:rPr>
  </w:style>
  <w:style w:type="paragraph" w:customStyle="1" w:styleId="Boxbullet">
    <w:name w:val="Box bullet"/>
    <w:basedOn w:val="Bullet"/>
    <w:rsid w:val="00063E29"/>
    <w:pPr>
      <w:numPr>
        <w:ilvl w:val="3"/>
      </w:numPr>
      <w:spacing w:before="60"/>
    </w:pPr>
    <w:rPr>
      <w:sz w:val="20"/>
    </w:rPr>
  </w:style>
  <w:style w:type="paragraph" w:customStyle="1" w:styleId="Boxdash">
    <w:name w:val="Box dash"/>
    <w:basedOn w:val="Dash"/>
    <w:rsid w:val="00063E29"/>
    <w:pPr>
      <w:numPr>
        <w:ilvl w:val="4"/>
      </w:numPr>
      <w:tabs>
        <w:tab w:val="num" w:pos="360"/>
      </w:tabs>
      <w:spacing w:before="60" w:after="0" w:line="276" w:lineRule="auto"/>
    </w:pPr>
    <w:rPr>
      <w:rFonts w:eastAsiaTheme="minorHAnsi"/>
      <w:sz w:val="20"/>
      <w:lang w:eastAsia="en-US"/>
    </w:rPr>
  </w:style>
  <w:style w:type="paragraph" w:customStyle="1" w:styleId="Boxdoubledot">
    <w:name w:val="Box double dot"/>
    <w:basedOn w:val="DoubleDot"/>
    <w:rsid w:val="00063E29"/>
    <w:pPr>
      <w:numPr>
        <w:ilvl w:val="5"/>
      </w:numPr>
      <w:tabs>
        <w:tab w:val="num" w:pos="360"/>
      </w:tabs>
      <w:spacing w:before="60" w:after="0" w:line="276" w:lineRule="auto"/>
    </w:pPr>
    <w:rPr>
      <w:rFonts w:eastAsiaTheme="minorHAnsi"/>
      <w:sz w:val="20"/>
      <w:lang w:eastAsia="en-US"/>
    </w:rPr>
  </w:style>
  <w:style w:type="paragraph" w:customStyle="1" w:styleId="Instructions">
    <w:name w:val="Instructions"/>
    <w:basedOn w:val="Normal"/>
    <w:uiPriority w:val="1"/>
    <w:semiHidden/>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semiHidden/>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semiHidden/>
    <w:rsid w:val="00CA391B"/>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semiHidden/>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semiHidden/>
    <w:rsid w:val="00CA391B"/>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uiPriority w:val="9"/>
    <w:semiHidden/>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uiPriority w:val="9"/>
    <w:semiHidden/>
    <w:rsid w:val="00D45BA5"/>
    <w:rPr>
      <w:rFonts w:ascii="Calibri Light" w:eastAsia="Times New Roman" w:hAnsi="Calibri Light" w:cs="Calibri"/>
      <w:b/>
      <w:color w:val="FF0000"/>
      <w:sz w:val="24"/>
      <w:szCs w:val="20"/>
      <w:lang w:eastAsia="en-AU"/>
    </w:rPr>
  </w:style>
  <w:style w:type="paragraph" w:customStyle="1" w:styleId="DLMSecurityFooter">
    <w:name w:val="DLM Security Footer"/>
    <w:link w:val="DLMSecurityFooterChar"/>
    <w:uiPriority w:val="9"/>
    <w:semiHidden/>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uiPriority w:val="9"/>
    <w:semiHidden/>
    <w:rsid w:val="00D45BA5"/>
    <w:rPr>
      <w:rFonts w:ascii="Calibri Light" w:eastAsia="Times New Roman" w:hAnsi="Calibri Light" w:cs="Calibri"/>
      <w:b/>
      <w:color w:val="FF0000"/>
      <w:sz w:val="24"/>
      <w:szCs w:val="20"/>
      <w:lang w:eastAsia="en-AU"/>
    </w:rPr>
  </w:style>
  <w:style w:type="character" w:styleId="FollowedHyperlink">
    <w:name w:val="FollowedHyperlink"/>
    <w:basedOn w:val="DefaultParagraphFont"/>
    <w:uiPriority w:val="99"/>
    <w:semiHidden/>
    <w:unhideWhenUsed/>
    <w:rsid w:val="00720821"/>
    <w:rPr>
      <w:color w:val="844D9E" w:themeColor="followedHyperlink"/>
      <w:u w:val="single"/>
    </w:rPr>
  </w:style>
  <w:style w:type="paragraph" w:styleId="Quote">
    <w:name w:val="Quote"/>
    <w:basedOn w:val="Normal"/>
    <w:next w:val="Normal"/>
    <w:link w:val="QuoteChar"/>
    <w:rsid w:val="00875AD4"/>
    <w:pPr>
      <w:keepLines/>
      <w:spacing w:before="240" w:after="240"/>
      <w:ind w:left="709" w:right="709"/>
      <w:jc w:val="center"/>
    </w:pPr>
    <w:rPr>
      <w:rFonts w:asciiTheme="minorHAnsi" w:hAnsiTheme="minorHAnsi"/>
      <w:i/>
      <w:iCs/>
      <w:color w:val="2C384A" w:themeColor="accent1"/>
    </w:rPr>
  </w:style>
  <w:style w:type="character" w:customStyle="1" w:styleId="QuoteChar">
    <w:name w:val="Quote Char"/>
    <w:basedOn w:val="DefaultParagraphFont"/>
    <w:link w:val="Quote"/>
    <w:rsid w:val="00D45BA5"/>
    <w:rPr>
      <w:rFonts w:eastAsia="Times New Roman" w:cs="Times New Roman"/>
      <w:i/>
      <w:iCs/>
      <w:color w:val="2C384A" w:themeColor="accent1"/>
      <w:szCs w:val="20"/>
      <w:lang w:eastAsia="en-AU"/>
    </w:rPr>
  </w:style>
  <w:style w:type="character" w:styleId="UnresolvedMention">
    <w:name w:val="Unresolved Mention"/>
    <w:basedOn w:val="DefaultParagraphFont"/>
    <w:uiPriority w:val="99"/>
    <w:unhideWhenUsed/>
    <w:rsid w:val="00C563D4"/>
    <w:rPr>
      <w:color w:val="605E5C"/>
      <w:shd w:val="clear" w:color="auto" w:fill="E1DFDD"/>
    </w:rPr>
  </w:style>
  <w:style w:type="character" w:customStyle="1" w:styleId="Heading7Char">
    <w:name w:val="Heading 7 Char"/>
    <w:basedOn w:val="DefaultParagraphFont"/>
    <w:link w:val="Heading7"/>
    <w:semiHidden/>
    <w:rsid w:val="00D45BA5"/>
    <w:rPr>
      <w:rFonts w:asciiTheme="majorHAnsi" w:eastAsiaTheme="majorEastAsia" w:hAnsiTheme="majorHAnsi" w:cstheme="majorBidi"/>
      <w:i/>
      <w:iCs/>
      <w:color w:val="161B24" w:themeColor="accent1" w:themeShade="7F"/>
      <w:szCs w:val="20"/>
      <w:lang w:eastAsia="en-AU"/>
    </w:rPr>
  </w:style>
  <w:style w:type="paragraph" w:customStyle="1" w:styleId="Heading4Numbered">
    <w:name w:val="Heading 4 Numbered"/>
    <w:basedOn w:val="Heading4"/>
    <w:next w:val="Normal"/>
    <w:unhideWhenUsed/>
    <w:rsid w:val="00063E29"/>
    <w:pPr>
      <w:numPr>
        <w:ilvl w:val="3"/>
        <w:numId w:val="10"/>
      </w:numPr>
    </w:pPr>
  </w:style>
  <w:style w:type="paragraph" w:customStyle="1" w:styleId="Heading5Numbered">
    <w:name w:val="Heading 5 Numbered"/>
    <w:basedOn w:val="Heading5"/>
    <w:next w:val="Normal"/>
    <w:unhideWhenUsed/>
    <w:rsid w:val="00063E29"/>
    <w:pPr>
      <w:numPr>
        <w:ilvl w:val="4"/>
        <w:numId w:val="10"/>
      </w:numPr>
    </w:pPr>
  </w:style>
  <w:style w:type="paragraph" w:customStyle="1" w:styleId="TableTextBullet">
    <w:name w:val="Table Text Bullet"/>
    <w:basedOn w:val="TableTextLeft"/>
    <w:uiPriority w:val="1"/>
    <w:qFormat/>
    <w:rsid w:val="00063E29"/>
    <w:pPr>
      <w:numPr>
        <w:numId w:val="8"/>
      </w:numPr>
    </w:pPr>
  </w:style>
  <w:style w:type="paragraph" w:customStyle="1" w:styleId="TableTextDash">
    <w:name w:val="Table Text Dash"/>
    <w:basedOn w:val="TableTextLeft"/>
    <w:uiPriority w:val="1"/>
    <w:qFormat/>
    <w:rsid w:val="00063E29"/>
    <w:pPr>
      <w:numPr>
        <w:ilvl w:val="1"/>
        <w:numId w:val="8"/>
      </w:numPr>
    </w:pPr>
  </w:style>
  <w:style w:type="paragraph" w:customStyle="1" w:styleId="ChartTableFiguresectionline">
    <w:name w:val="Chart Table Figure section line"/>
    <w:basedOn w:val="ChartGraphic"/>
    <w:next w:val="Normal"/>
    <w:qFormat/>
    <w:rsid w:val="00EF1D24"/>
    <w:pPr>
      <w:keepNext w:val="0"/>
      <w:pBdr>
        <w:bottom w:val="single" w:sz="12" w:space="0" w:color="2C384A" w:themeColor="accent1"/>
      </w:pBdr>
    </w:pPr>
    <w:rPr>
      <w:color w:val="FFFFFF" w:themeColor="background1"/>
      <w:sz w:val="2"/>
    </w:rPr>
  </w:style>
  <w:style w:type="paragraph" w:styleId="CommentSubject">
    <w:name w:val="annotation subject"/>
    <w:basedOn w:val="CommentText"/>
    <w:next w:val="CommentText"/>
    <w:link w:val="CommentSubjectChar"/>
    <w:uiPriority w:val="99"/>
    <w:semiHidden/>
    <w:unhideWhenUsed/>
    <w:rsid w:val="004A775E"/>
    <w:rPr>
      <w:rFonts w:ascii="Calibri Light" w:hAnsi="Calibri Light"/>
      <w:b/>
      <w:bCs/>
    </w:rPr>
  </w:style>
  <w:style w:type="character" w:customStyle="1" w:styleId="CommentSubjectChar">
    <w:name w:val="Comment Subject Char"/>
    <w:basedOn w:val="CommentTextChar"/>
    <w:link w:val="CommentSubject"/>
    <w:uiPriority w:val="99"/>
    <w:semiHidden/>
    <w:rsid w:val="004A775E"/>
    <w:rPr>
      <w:rFonts w:ascii="Calibri Light" w:eastAsia="Times New Roman" w:hAnsi="Calibri Light" w:cs="Times New Roman"/>
      <w:b/>
      <w:bCs/>
      <w:sz w:val="20"/>
      <w:szCs w:val="20"/>
      <w:lang w:eastAsia="en-AU"/>
    </w:rPr>
  </w:style>
  <w:style w:type="character" w:styleId="Strong">
    <w:name w:val="Strong"/>
    <w:basedOn w:val="DefaultParagraphFont"/>
    <w:uiPriority w:val="6"/>
    <w:qFormat/>
    <w:rsid w:val="00F41FDE"/>
    <w:rPr>
      <w:b/>
      <w:bCs/>
    </w:rPr>
  </w:style>
  <w:style w:type="paragraph" w:customStyle="1" w:styleId="FigureMainHeading">
    <w:name w:val="Figure Main Heading"/>
    <w:basedOn w:val="ChartMainHeading"/>
    <w:qFormat/>
    <w:rsid w:val="00063E29"/>
    <w:pPr>
      <w:numPr>
        <w:ilvl w:val="6"/>
      </w:numPr>
    </w:pPr>
  </w:style>
  <w:style w:type="paragraph" w:customStyle="1" w:styleId="FigureSecondHeading">
    <w:name w:val="Figure Second Heading"/>
    <w:basedOn w:val="ChartSecondHeading"/>
    <w:next w:val="ChartGraphic"/>
    <w:qFormat/>
    <w:rsid w:val="00EF1D24"/>
  </w:style>
  <w:style w:type="paragraph" w:customStyle="1" w:styleId="BoxHeadingPolicy">
    <w:name w:val="Box Heading Policy"/>
    <w:basedOn w:val="BoxHeading"/>
    <w:qFormat/>
    <w:rsid w:val="00063E29"/>
    <w:pPr>
      <w:numPr>
        <w:numId w:val="11"/>
      </w:numPr>
      <w:tabs>
        <w:tab w:val="num" w:pos="360"/>
      </w:tabs>
    </w:pPr>
    <w:rPr>
      <w:bCs w:val="0"/>
    </w:rPr>
  </w:style>
  <w:style w:type="paragraph" w:customStyle="1" w:styleId="BoxHeading">
    <w:name w:val="Box Heading"/>
    <w:basedOn w:val="Normal"/>
    <w:next w:val="BoxText"/>
    <w:qFormat/>
    <w:rsid w:val="00E908F0"/>
    <w:pPr>
      <w:spacing w:before="240"/>
    </w:pPr>
    <w:rPr>
      <w:b/>
      <w:bCs/>
      <w:color w:val="2C384A" w:themeColor="accent1"/>
      <w:sz w:val="26"/>
      <w:szCs w:val="26"/>
      <w:lang w:eastAsia="en-US"/>
    </w:rPr>
  </w:style>
  <w:style w:type="paragraph" w:customStyle="1" w:styleId="BoxSubheading">
    <w:name w:val="Box Subheading"/>
    <w:basedOn w:val="BoxHeading"/>
    <w:qFormat/>
    <w:rsid w:val="00F15A4D"/>
    <w:rPr>
      <w:rFonts w:asciiTheme="minorHAnsi" w:hAnsiTheme="minorHAnsi"/>
      <w:b w:val="0"/>
      <w:sz w:val="22"/>
    </w:rPr>
  </w:style>
  <w:style w:type="paragraph" w:styleId="Revision">
    <w:name w:val="Revision"/>
    <w:hidden/>
    <w:uiPriority w:val="99"/>
    <w:semiHidden/>
    <w:rsid w:val="00520473"/>
    <w:pPr>
      <w:spacing w:after="0" w:line="240" w:lineRule="auto"/>
    </w:pPr>
    <w:rPr>
      <w:rFonts w:ascii="Calibri Light" w:eastAsia="Times New Roman" w:hAnsi="Calibri Light" w:cs="Times New Roman"/>
      <w:szCs w:val="20"/>
      <w:lang w:eastAsia="en-AU"/>
    </w:rPr>
  </w:style>
  <w:style w:type="character" w:styleId="Emphasis">
    <w:name w:val="Emphasis"/>
    <w:basedOn w:val="DefaultParagraphFont"/>
    <w:uiPriority w:val="6"/>
    <w:rsid w:val="00576F22"/>
    <w:rPr>
      <w:i/>
      <w:iCs/>
    </w:rPr>
  </w:style>
  <w:style w:type="character" w:styleId="Mention">
    <w:name w:val="Mention"/>
    <w:basedOn w:val="DefaultParagraphFont"/>
    <w:uiPriority w:val="99"/>
    <w:unhideWhenUsed/>
    <w:rsid w:val="00686A56"/>
    <w:rPr>
      <w:color w:val="2B579A"/>
      <w:shd w:val="clear" w:color="auto" w:fill="E1DFDD"/>
    </w:rPr>
  </w:style>
  <w:style w:type="table" w:customStyle="1" w:styleId="BlueBox">
    <w:name w:val="Blue Box"/>
    <w:basedOn w:val="TableNormal"/>
    <w:uiPriority w:val="99"/>
    <w:rsid w:val="0068707E"/>
    <w:pPr>
      <w:spacing w:after="0" w:line="240" w:lineRule="auto"/>
    </w:pPr>
    <w:tblPr>
      <w:tblCellMar>
        <w:top w:w="227" w:type="dxa"/>
        <w:left w:w="227" w:type="dxa"/>
        <w:bottom w:w="227" w:type="dxa"/>
        <w:right w:w="227" w:type="dxa"/>
      </w:tblCellMar>
    </w:tblPr>
    <w:tblStylePr w:type="firstRow">
      <w:rPr>
        <w:sz w:val="22"/>
      </w:rPr>
      <w:tblPr/>
      <w:trPr>
        <w:tblHeader/>
      </w:trPr>
      <w:tcPr>
        <w:shd w:val="clear" w:color="auto" w:fill="F2F9FC"/>
      </w:tcPr>
    </w:tblStylePr>
  </w:style>
  <w:style w:type="paragraph" w:styleId="EndnoteText">
    <w:name w:val="endnote text"/>
    <w:basedOn w:val="Normal"/>
    <w:link w:val="EndnoteTextChar"/>
    <w:rsid w:val="00EF1D24"/>
    <w:pPr>
      <w:spacing w:before="60" w:after="60"/>
      <w:ind w:left="397" w:hanging="397"/>
    </w:pPr>
    <w:rPr>
      <w:sz w:val="20"/>
    </w:rPr>
  </w:style>
  <w:style w:type="character" w:customStyle="1" w:styleId="EndnoteTextChar">
    <w:name w:val="Endnote Text Char"/>
    <w:basedOn w:val="DefaultParagraphFont"/>
    <w:link w:val="EndnoteText"/>
    <w:rsid w:val="00EF1D24"/>
    <w:rPr>
      <w:rFonts w:ascii="Calibri Light" w:eastAsia="Times New Roman" w:hAnsi="Calibri Light" w:cs="Times New Roman"/>
      <w:kern w:val="18"/>
      <w:sz w:val="20"/>
      <w:szCs w:val="20"/>
      <w:lang w:eastAsia="en-AU"/>
    </w:rPr>
  </w:style>
  <w:style w:type="character" w:styleId="EndnoteReference">
    <w:name w:val="endnote reference"/>
    <w:basedOn w:val="DefaultParagraphFont"/>
    <w:rsid w:val="00EF1D24"/>
    <w:rPr>
      <w:vertAlign w:val="superscript"/>
    </w:rPr>
  </w:style>
  <w:style w:type="paragraph" w:customStyle="1" w:styleId="Heading1Appendix">
    <w:name w:val="Heading 1 Appendix"/>
    <w:basedOn w:val="Heading1"/>
    <w:next w:val="Normal"/>
    <w:rsid w:val="00063E29"/>
    <w:pPr>
      <w:numPr>
        <w:numId w:val="12"/>
      </w:numPr>
      <w:tabs>
        <w:tab w:val="num" w:pos="360"/>
      </w:tabs>
    </w:pPr>
  </w:style>
  <w:style w:type="paragraph" w:customStyle="1" w:styleId="Heading2Appendix">
    <w:name w:val="Heading 2 Appendix"/>
    <w:basedOn w:val="Heading2"/>
    <w:qFormat/>
    <w:rsid w:val="00021BD2"/>
  </w:style>
  <w:style w:type="paragraph" w:customStyle="1" w:styleId="Heading3Appendix">
    <w:name w:val="Heading 3 Appendix"/>
    <w:basedOn w:val="Heading3"/>
    <w:qFormat/>
    <w:rsid w:val="00021BD2"/>
    <w:pPr>
      <w:numPr>
        <w:ilvl w:val="2"/>
        <w:numId w:val="12"/>
      </w:numPr>
    </w:pPr>
  </w:style>
  <w:style w:type="paragraph" w:customStyle="1" w:styleId="Heading4Appendix">
    <w:name w:val="Heading 4 Appendix"/>
    <w:basedOn w:val="Heading4"/>
    <w:qFormat/>
    <w:rsid w:val="00021BD2"/>
    <w:pPr>
      <w:numPr>
        <w:ilvl w:val="3"/>
        <w:numId w:val="12"/>
      </w:numPr>
    </w:pPr>
  </w:style>
  <w:style w:type="paragraph" w:customStyle="1" w:styleId="ChartMainHeadingAppendix">
    <w:name w:val="Chart Main Heading Appendix"/>
    <w:basedOn w:val="ChartMainHeading"/>
    <w:qFormat/>
    <w:rsid w:val="00021BD2"/>
    <w:pPr>
      <w:numPr>
        <w:ilvl w:val="5"/>
        <w:numId w:val="12"/>
      </w:numPr>
    </w:pPr>
  </w:style>
  <w:style w:type="paragraph" w:customStyle="1" w:styleId="TableMainHeadingAppendix">
    <w:name w:val="Table Main Heading Appendix"/>
    <w:basedOn w:val="TableMainHeading"/>
    <w:qFormat/>
    <w:rsid w:val="00021BD2"/>
    <w:pPr>
      <w:numPr>
        <w:ilvl w:val="7"/>
        <w:numId w:val="12"/>
      </w:numPr>
    </w:pPr>
  </w:style>
  <w:style w:type="paragraph" w:customStyle="1" w:styleId="FigureMainHeadingAppendix">
    <w:name w:val="Figure Main Heading Appendix"/>
    <w:basedOn w:val="FigureMainHeading"/>
    <w:qFormat/>
    <w:rsid w:val="00063E29"/>
    <w:pPr>
      <w:numPr>
        <w:numId w:val="12"/>
      </w:numPr>
    </w:pPr>
  </w:style>
  <w:style w:type="paragraph" w:customStyle="1" w:styleId="BoxHeadingBoxA1Appendix">
    <w:name w:val="Box Heading Box A.1 Appendix"/>
    <w:basedOn w:val="BoxHeadingBox11"/>
    <w:qFormat/>
    <w:rsid w:val="00021BD2"/>
    <w:pPr>
      <w:numPr>
        <w:ilvl w:val="4"/>
        <w:numId w:val="12"/>
      </w:numPr>
    </w:pPr>
  </w:style>
  <w:style w:type="paragraph" w:customStyle="1" w:styleId="FigureGraphic">
    <w:name w:val="Figure Graphic"/>
    <w:basedOn w:val="ChartGraphic"/>
    <w:qFormat/>
    <w:rsid w:val="00021BD2"/>
  </w:style>
  <w:style w:type="paragraph" w:customStyle="1" w:styleId="ChartMainHeadingRoadmap">
    <w:name w:val="Chart Main Heading Roadmap"/>
    <w:basedOn w:val="ChartMainHeadingAppendix"/>
    <w:qFormat/>
    <w:rsid w:val="00EF1D24"/>
    <w:pPr>
      <w:numPr>
        <w:ilvl w:val="1"/>
        <w:numId w:val="36"/>
      </w:numPr>
    </w:pPr>
  </w:style>
  <w:style w:type="paragraph" w:customStyle="1" w:styleId="TableMainHeadingRoadmap">
    <w:name w:val="Table Main Heading Roadmap"/>
    <w:basedOn w:val="TableMainHeadingAppendix"/>
    <w:qFormat/>
    <w:rsid w:val="00EF1D24"/>
    <w:pPr>
      <w:numPr>
        <w:ilvl w:val="3"/>
        <w:numId w:val="36"/>
      </w:numPr>
    </w:pPr>
  </w:style>
  <w:style w:type="paragraph" w:customStyle="1" w:styleId="FigureMainHeadingRoadmap">
    <w:name w:val="Figure Main Heading Roadmap"/>
    <w:basedOn w:val="FigureMainHeadingAppendix"/>
    <w:qFormat/>
    <w:rsid w:val="00EF1D24"/>
    <w:pPr>
      <w:numPr>
        <w:ilvl w:val="2"/>
        <w:numId w:val="36"/>
      </w:numPr>
    </w:pPr>
  </w:style>
  <w:style w:type="paragraph" w:customStyle="1" w:styleId="BoxHeadingBoxR1Roadmap">
    <w:name w:val="Box Heading Box R.1 Roadmap"/>
    <w:basedOn w:val="BoxHeadingBoxA1Appendix"/>
    <w:qFormat/>
    <w:rsid w:val="00EF1D24"/>
    <w:pPr>
      <w:numPr>
        <w:ilvl w:val="0"/>
        <w:numId w:val="36"/>
      </w:numPr>
    </w:pPr>
  </w:style>
  <w:style w:type="paragraph" w:styleId="NormalWeb">
    <w:name w:val="Normal (Web)"/>
    <w:basedOn w:val="Normal"/>
    <w:uiPriority w:val="99"/>
    <w:semiHidden/>
    <w:unhideWhenUsed/>
    <w:rsid w:val="00276B88"/>
    <w:rPr>
      <w:rFonts w:ascii="Times New Roman" w:hAnsi="Times New Roman"/>
      <w:sz w:val="24"/>
      <w:szCs w:val="24"/>
    </w:rPr>
  </w:style>
  <w:style w:type="paragraph" w:styleId="NoSpacing">
    <w:name w:val="No Spacing"/>
    <w:rsid w:val="00D12BF2"/>
    <w:pPr>
      <w:spacing w:after="0" w:line="240" w:lineRule="auto"/>
    </w:pPr>
    <w:rPr>
      <w:rFonts w:ascii="Calibri Light" w:eastAsia="Times New Roman" w:hAnsi="Calibri Light" w:cs="Times New Roman"/>
      <w:szCs w:val="20"/>
      <w:lang w:eastAsia="en-AU"/>
    </w:rPr>
  </w:style>
  <w:style w:type="table" w:styleId="TableGridLight">
    <w:name w:val="Grid Table Light"/>
    <w:basedOn w:val="TableNormal"/>
    <w:uiPriority w:val="40"/>
    <w:rsid w:val="00F55B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SecondHeadingRoadmap">
    <w:name w:val="Table Second Heading Roadmap"/>
    <w:basedOn w:val="TableSecondHeading"/>
    <w:qFormat/>
    <w:rsid w:val="00EF1D24"/>
    <w:pPr>
      <w:numPr>
        <w:ilvl w:val="4"/>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4721">
      <w:bodyDiv w:val="1"/>
      <w:marLeft w:val="0"/>
      <w:marRight w:val="0"/>
      <w:marTop w:val="0"/>
      <w:marBottom w:val="0"/>
      <w:divBdr>
        <w:top w:val="none" w:sz="0" w:space="0" w:color="auto"/>
        <w:left w:val="none" w:sz="0" w:space="0" w:color="auto"/>
        <w:bottom w:val="none" w:sz="0" w:space="0" w:color="auto"/>
        <w:right w:val="none" w:sz="0" w:space="0" w:color="auto"/>
      </w:divBdr>
    </w:div>
    <w:div w:id="116335111">
      <w:bodyDiv w:val="1"/>
      <w:marLeft w:val="0"/>
      <w:marRight w:val="0"/>
      <w:marTop w:val="0"/>
      <w:marBottom w:val="0"/>
      <w:divBdr>
        <w:top w:val="none" w:sz="0" w:space="0" w:color="auto"/>
        <w:left w:val="none" w:sz="0" w:space="0" w:color="auto"/>
        <w:bottom w:val="none" w:sz="0" w:space="0" w:color="auto"/>
        <w:right w:val="none" w:sz="0" w:space="0" w:color="auto"/>
      </w:divBdr>
    </w:div>
    <w:div w:id="210775505">
      <w:bodyDiv w:val="1"/>
      <w:marLeft w:val="0"/>
      <w:marRight w:val="0"/>
      <w:marTop w:val="0"/>
      <w:marBottom w:val="0"/>
      <w:divBdr>
        <w:top w:val="none" w:sz="0" w:space="0" w:color="auto"/>
        <w:left w:val="none" w:sz="0" w:space="0" w:color="auto"/>
        <w:bottom w:val="none" w:sz="0" w:space="0" w:color="auto"/>
        <w:right w:val="none" w:sz="0" w:space="0" w:color="auto"/>
      </w:divBdr>
    </w:div>
    <w:div w:id="275870234">
      <w:bodyDiv w:val="1"/>
      <w:marLeft w:val="0"/>
      <w:marRight w:val="0"/>
      <w:marTop w:val="0"/>
      <w:marBottom w:val="0"/>
      <w:divBdr>
        <w:top w:val="none" w:sz="0" w:space="0" w:color="auto"/>
        <w:left w:val="none" w:sz="0" w:space="0" w:color="auto"/>
        <w:bottom w:val="none" w:sz="0" w:space="0" w:color="auto"/>
        <w:right w:val="none" w:sz="0" w:space="0" w:color="auto"/>
      </w:divBdr>
    </w:div>
    <w:div w:id="316571126">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754866922">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3665222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1398282573">
      <w:bodyDiv w:val="1"/>
      <w:marLeft w:val="0"/>
      <w:marRight w:val="0"/>
      <w:marTop w:val="0"/>
      <w:marBottom w:val="0"/>
      <w:divBdr>
        <w:top w:val="none" w:sz="0" w:space="0" w:color="auto"/>
        <w:left w:val="none" w:sz="0" w:space="0" w:color="auto"/>
        <w:bottom w:val="none" w:sz="0" w:space="0" w:color="auto"/>
        <w:right w:val="none" w:sz="0" w:space="0" w:color="auto"/>
      </w:divBdr>
    </w:div>
    <w:div w:id="1458333508">
      <w:bodyDiv w:val="1"/>
      <w:marLeft w:val="0"/>
      <w:marRight w:val="0"/>
      <w:marTop w:val="0"/>
      <w:marBottom w:val="0"/>
      <w:divBdr>
        <w:top w:val="none" w:sz="0" w:space="0" w:color="auto"/>
        <w:left w:val="none" w:sz="0" w:space="0" w:color="auto"/>
        <w:bottom w:val="none" w:sz="0" w:space="0" w:color="auto"/>
        <w:right w:val="none" w:sz="0" w:space="0" w:color="auto"/>
      </w:divBdr>
    </w:div>
    <w:div w:id="1595938071">
      <w:bodyDiv w:val="1"/>
      <w:marLeft w:val="0"/>
      <w:marRight w:val="0"/>
      <w:marTop w:val="0"/>
      <w:marBottom w:val="0"/>
      <w:divBdr>
        <w:top w:val="none" w:sz="0" w:space="0" w:color="auto"/>
        <w:left w:val="none" w:sz="0" w:space="0" w:color="auto"/>
        <w:bottom w:val="none" w:sz="0" w:space="0" w:color="auto"/>
        <w:right w:val="none" w:sz="0" w:space="0" w:color="auto"/>
      </w:divBdr>
    </w:div>
    <w:div w:id="1658027786">
      <w:bodyDiv w:val="1"/>
      <w:marLeft w:val="0"/>
      <w:marRight w:val="0"/>
      <w:marTop w:val="0"/>
      <w:marBottom w:val="0"/>
      <w:divBdr>
        <w:top w:val="none" w:sz="0" w:space="0" w:color="auto"/>
        <w:left w:val="none" w:sz="0" w:space="0" w:color="auto"/>
        <w:bottom w:val="none" w:sz="0" w:space="0" w:color="auto"/>
        <w:right w:val="none" w:sz="0" w:space="0" w:color="auto"/>
      </w:divBdr>
    </w:div>
    <w:div w:id="1695031663">
      <w:bodyDiv w:val="1"/>
      <w:marLeft w:val="0"/>
      <w:marRight w:val="0"/>
      <w:marTop w:val="0"/>
      <w:marBottom w:val="0"/>
      <w:divBdr>
        <w:top w:val="none" w:sz="0" w:space="0" w:color="auto"/>
        <w:left w:val="none" w:sz="0" w:space="0" w:color="auto"/>
        <w:bottom w:val="none" w:sz="0" w:space="0" w:color="auto"/>
        <w:right w:val="none" w:sz="0" w:space="0" w:color="auto"/>
      </w:divBdr>
    </w:div>
    <w:div w:id="1775394023">
      <w:bodyDiv w:val="1"/>
      <w:marLeft w:val="0"/>
      <w:marRight w:val="0"/>
      <w:marTop w:val="0"/>
      <w:marBottom w:val="0"/>
      <w:divBdr>
        <w:top w:val="none" w:sz="0" w:space="0" w:color="auto"/>
        <w:left w:val="none" w:sz="0" w:space="0" w:color="auto"/>
        <w:bottom w:val="none" w:sz="0" w:space="0" w:color="auto"/>
        <w:right w:val="none" w:sz="0" w:space="0" w:color="auto"/>
      </w:divBdr>
    </w:div>
    <w:div w:id="1807890277">
      <w:bodyDiv w:val="1"/>
      <w:marLeft w:val="0"/>
      <w:marRight w:val="0"/>
      <w:marTop w:val="0"/>
      <w:marBottom w:val="0"/>
      <w:divBdr>
        <w:top w:val="none" w:sz="0" w:space="0" w:color="auto"/>
        <w:left w:val="none" w:sz="0" w:space="0" w:color="auto"/>
        <w:bottom w:val="none" w:sz="0" w:space="0" w:color="auto"/>
        <w:right w:val="none" w:sz="0" w:space="0" w:color="auto"/>
      </w:divBdr>
    </w:div>
    <w:div w:id="1865092729">
      <w:bodyDiv w:val="1"/>
      <w:marLeft w:val="0"/>
      <w:marRight w:val="0"/>
      <w:marTop w:val="0"/>
      <w:marBottom w:val="0"/>
      <w:divBdr>
        <w:top w:val="none" w:sz="0" w:space="0" w:color="auto"/>
        <w:left w:val="none" w:sz="0" w:space="0" w:color="auto"/>
        <w:bottom w:val="none" w:sz="0" w:space="0" w:color="auto"/>
        <w:right w:val="none" w:sz="0" w:space="0" w:color="auto"/>
      </w:divBdr>
    </w:div>
    <w:div w:id="1915317361">
      <w:bodyDiv w:val="1"/>
      <w:marLeft w:val="0"/>
      <w:marRight w:val="0"/>
      <w:marTop w:val="0"/>
      <w:marBottom w:val="0"/>
      <w:divBdr>
        <w:top w:val="none" w:sz="0" w:space="0" w:color="auto"/>
        <w:left w:val="none" w:sz="0" w:space="0" w:color="auto"/>
        <w:bottom w:val="none" w:sz="0" w:space="0" w:color="auto"/>
        <w:right w:val="none" w:sz="0" w:space="0" w:color="auto"/>
      </w:divBdr>
    </w:div>
    <w:div w:id="1966882792">
      <w:bodyDiv w:val="1"/>
      <w:marLeft w:val="0"/>
      <w:marRight w:val="0"/>
      <w:marTop w:val="0"/>
      <w:marBottom w:val="0"/>
      <w:divBdr>
        <w:top w:val="none" w:sz="0" w:space="0" w:color="auto"/>
        <w:left w:val="none" w:sz="0" w:space="0" w:color="auto"/>
        <w:bottom w:val="none" w:sz="0" w:space="0" w:color="auto"/>
        <w:right w:val="none" w:sz="0" w:space="0" w:color="auto"/>
      </w:divBdr>
    </w:div>
    <w:div w:id="1983579320">
      <w:bodyDiv w:val="1"/>
      <w:marLeft w:val="0"/>
      <w:marRight w:val="0"/>
      <w:marTop w:val="0"/>
      <w:marBottom w:val="0"/>
      <w:divBdr>
        <w:top w:val="none" w:sz="0" w:space="0" w:color="auto"/>
        <w:left w:val="none" w:sz="0" w:space="0" w:color="auto"/>
        <w:bottom w:val="none" w:sz="0" w:space="0" w:color="auto"/>
        <w:right w:val="none" w:sz="0" w:space="0" w:color="auto"/>
      </w:divBdr>
    </w:div>
    <w:div w:id="1988045792">
      <w:bodyDiv w:val="1"/>
      <w:marLeft w:val="0"/>
      <w:marRight w:val="0"/>
      <w:marTop w:val="0"/>
      <w:marBottom w:val="0"/>
      <w:divBdr>
        <w:top w:val="none" w:sz="0" w:space="0" w:color="auto"/>
        <w:left w:val="none" w:sz="0" w:space="0" w:color="auto"/>
        <w:bottom w:val="none" w:sz="0" w:space="0" w:color="auto"/>
        <w:right w:val="none" w:sz="0" w:space="0" w:color="auto"/>
      </w:divBdr>
    </w:div>
    <w:div w:id="202416015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Employment%20White%20Paper%20A4%20Report.dotm" TargetMode="Externa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CD9A92701787041929FC10E98C81651" ma:contentTypeVersion="15" ma:contentTypeDescription="Create a new document." ma:contentTypeScope="" ma:versionID="d08610351689c54fc3ea2c58d06a8a98">
  <xsd:schema xmlns:xsd="http://www.w3.org/2001/XMLSchema" xmlns:xs="http://www.w3.org/2001/XMLSchema" xmlns:p="http://schemas.microsoft.com/office/2006/metadata/properties" xmlns:ns2="b5303c29-baa3-47cf-8a8d-7012a9b89ee1" xmlns:ns3="38264d7d-ec83-4119-a5fb-8498c694c855" targetNamespace="http://schemas.microsoft.com/office/2006/metadata/properties" ma:root="true" ma:fieldsID="d7a3615f09c7926c6febc8674aad0f91" ns2:_="" ns3:_="">
    <xsd:import namespace="b5303c29-baa3-47cf-8a8d-7012a9b89ee1"/>
    <xsd:import namespace="38264d7d-ec83-4119-a5fb-8498c694c8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Test"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3c29-baa3-47cf-8a8d-7012a9b89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est" ma:index="20" nillable="true" ma:displayName="Test" ma:format="Dropdown" ma:internalName="Test">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264d7d-ec83-4119-a5fb-8498c694c85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a5fca06-1e18-42fc-8d71-fc64f34db113}" ma:internalName="TaxCatchAll" ma:showField="CatchAllData" ma:web="38264d7d-ec83-4119-a5fb-8498c694c85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8264d7d-ec83-4119-a5fb-8498c694c855" xsi:nil="true"/>
    <lcf76f155ced4ddcb4097134ff3c332f xmlns="b5303c29-baa3-47cf-8a8d-7012a9b89ee1">
      <Terms xmlns="http://schemas.microsoft.com/office/infopath/2007/PartnerControls"/>
    </lcf76f155ced4ddcb4097134ff3c332f>
    <SharedWithUsers xmlns="38264d7d-ec83-4119-a5fb-8498c694c855">
      <UserInfo>
        <DisplayName>Moore, Ruth</DisplayName>
        <AccountId>1007</AccountId>
        <AccountType/>
      </UserInfo>
      <UserInfo>
        <DisplayName>Nagle, Grace</DisplayName>
        <AccountId>39</AccountId>
        <AccountType/>
      </UserInfo>
      <UserInfo>
        <DisplayName>Woolley, Victoria</DisplayName>
        <AccountId>222</AccountId>
        <AccountType/>
      </UserInfo>
      <UserInfo>
        <DisplayName>Bathgate, Michael</DisplayName>
        <AccountId>62</AccountId>
        <AccountType/>
      </UserInfo>
      <UserInfo>
        <DisplayName>Williams-Brooks, Llewellyn</DisplayName>
        <AccountId>700</AccountId>
        <AccountType/>
      </UserInfo>
      <UserInfo>
        <DisplayName>Deamer, Tiffany</DisplayName>
        <AccountId>585</AccountId>
        <AccountType/>
      </UserInfo>
      <UserInfo>
        <DisplayName>Svintradze, Ia</DisplayName>
        <AccountId>69</AccountId>
        <AccountType/>
      </UserInfo>
      <UserInfo>
        <DisplayName>Rawlings, Louise</DisplayName>
        <AccountId>51</AccountId>
        <AccountType/>
      </UserInfo>
      <UserInfo>
        <DisplayName>Long, Anthea</DisplayName>
        <AccountId>1001</AccountId>
        <AccountType/>
      </UserInfo>
      <UserInfo>
        <DisplayName>Gan, Michael</DisplayName>
        <AccountId>383</AccountId>
        <AccountType/>
      </UserInfo>
      <UserInfo>
        <DisplayName>Ricketts, Simon</DisplayName>
        <AccountId>147</AccountId>
        <AccountType/>
      </UserInfo>
      <UserInfo>
        <DisplayName>Jia, Kelly</DisplayName>
        <AccountId>15</AccountId>
        <AccountType/>
      </UserInfo>
      <UserInfo>
        <DisplayName>Walters, Joseph</DisplayName>
        <AccountId>18</AccountId>
        <AccountType/>
      </UserInfo>
      <UserInfo>
        <DisplayName>Grassia, Gino</DisplayName>
        <AccountId>856</AccountId>
        <AccountType/>
      </UserInfo>
      <UserInfo>
        <DisplayName>Cotterill, Paul</DisplayName>
        <AccountId>208</AccountId>
        <AccountType/>
      </UserInfo>
      <UserInfo>
        <DisplayName>Latimer, Nick</DisplayName>
        <AccountId>21</AccountId>
        <AccountType/>
      </UserInfo>
      <UserInfo>
        <DisplayName>Phillips, Leah</DisplayName>
        <AccountId>211</AccountId>
        <AccountType/>
      </UserInfo>
    </SharedWithUsers>
    <MediaLengthInSeconds xmlns="b5303c29-baa3-47cf-8a8d-7012a9b89ee1" xsi:nil="true"/>
    <Test xmlns="b5303c29-baa3-47cf-8a8d-7012a9b89ee1" xsi:nil="true"/>
  </documentManagement>
</p:properties>
</file>

<file path=customXml/itemProps1.xml><?xml version="1.0" encoding="utf-8"?>
<ds:datastoreItem xmlns:ds="http://schemas.openxmlformats.org/officeDocument/2006/customXml" ds:itemID="{17195069-B5E3-4F23-B988-B36B108A4262}">
  <ds:schemaRefs>
    <ds:schemaRef ds:uri="http://schemas.microsoft.com/sharepoint/v3/contenttype/forms"/>
  </ds:schemaRefs>
</ds:datastoreItem>
</file>

<file path=customXml/itemProps2.xml><?xml version="1.0" encoding="utf-8"?>
<ds:datastoreItem xmlns:ds="http://schemas.openxmlformats.org/officeDocument/2006/customXml" ds:itemID="{C739E77C-4213-4C54-8E41-F8834CA9BDD9}">
  <ds:schemaRefs>
    <ds:schemaRef ds:uri="http://schemas.openxmlformats.org/officeDocument/2006/bibliography"/>
  </ds:schemaRefs>
</ds:datastoreItem>
</file>

<file path=customXml/itemProps3.xml><?xml version="1.0" encoding="utf-8"?>
<ds:datastoreItem xmlns:ds="http://schemas.openxmlformats.org/officeDocument/2006/customXml" ds:itemID="{02E36544-9337-4054-B86F-A93325515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3c29-baa3-47cf-8a8d-7012a9b89ee1"/>
    <ds:schemaRef ds:uri="38264d7d-ec83-4119-a5fb-8498c694c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F5E3D4-AADA-4028-B016-8E9346941821}">
  <ds:schemaRefs>
    <ds:schemaRef ds:uri="http://schemas.microsoft.com/office/infopath/2007/PartnerControls"/>
    <ds:schemaRef ds:uri="http://purl.org/dc/elements/1.1/"/>
    <ds:schemaRef ds:uri="http://schemas.microsoft.com/office/2006/documentManagement/types"/>
    <ds:schemaRef ds:uri="http://purl.org/dc/terms/"/>
    <ds:schemaRef ds:uri="b5303c29-baa3-47cf-8a8d-7012a9b89ee1"/>
    <ds:schemaRef ds:uri="http://www.w3.org/XML/1998/namespace"/>
    <ds:schemaRef ds:uri="http://purl.org/dc/dcmitype/"/>
    <ds:schemaRef ds:uri="http://schemas.microsoft.com/office/2006/metadata/properties"/>
    <ds:schemaRef ds:uri="http://schemas.openxmlformats.org/package/2006/metadata/core-properties"/>
    <ds:schemaRef ds:uri="38264d7d-ec83-4119-a5fb-8498c694c855"/>
  </ds:schemaRefs>
</ds:datastoreItem>
</file>

<file path=docProps/app.xml><?xml version="1.0" encoding="utf-8"?>
<Properties xmlns="http://schemas.openxmlformats.org/officeDocument/2006/extended-properties" xmlns:vt="http://schemas.openxmlformats.org/officeDocument/2006/docPropsVTypes">
  <Template>Employment White Paper A4 Report.dotm</Template>
  <TotalTime>899</TotalTime>
  <Pages>74</Pages>
  <Words>33613</Words>
  <Characters>200058</Characters>
  <Application>Microsoft Office Word</Application>
  <DocSecurity>8</DocSecurity>
  <Lines>3929</Lines>
  <Paragraphs>1185</Paragraphs>
  <ScaleCrop>false</ScaleCrop>
  <HeadingPairs>
    <vt:vector size="2" baseType="variant">
      <vt:variant>
        <vt:lpstr>Title</vt:lpstr>
      </vt:variant>
      <vt:variant>
        <vt:i4>1</vt:i4>
      </vt:variant>
    </vt:vector>
  </HeadingPairs>
  <TitlesOfParts>
    <vt:vector size="1" baseType="lpstr">
      <vt:lpstr>Working Future: The Australian Government’s White Paper on Jobs and Opportunities</vt:lpstr>
    </vt:vector>
  </TitlesOfParts>
  <Company>Australian Government - The Treasury</Company>
  <LinksUpToDate>false</LinksUpToDate>
  <CharactersWithSpaces>233436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Future: The Australian Government’s White Paper on Jobs and Opportunities</dc:title>
  <dc:subject>Our Roadmap for a dynamic and inclusive labour market </dc:subject>
  <dc:creator>Australian Government</dc:creator>
  <cp:keywords/>
  <cp:lastModifiedBy>Hill, Christine</cp:lastModifiedBy>
  <cp:revision>1069</cp:revision>
  <cp:lastPrinted>2023-09-24T02:57:00Z</cp:lastPrinted>
  <dcterms:created xsi:type="dcterms:W3CDTF">2023-10-06T05:53:00Z</dcterms:created>
  <dcterms:modified xsi:type="dcterms:W3CDTF">2023-09-25T00:10:00Z</dcterms:modified>
</cp:coreProperties>
</file>