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6A8A" w14:textId="7E49FE48" w:rsidR="00475085" w:rsidRDefault="0083772C" w:rsidP="009C616A">
      <w:pPr>
        <w:pStyle w:val="Heading1Appendix"/>
      </w:pPr>
      <w:bookmarkStart w:id="0" w:name="_Toc145939356"/>
      <w:r>
        <w:t>Glossary</w:t>
      </w:r>
      <w:r w:rsidR="00E638B2">
        <w:t xml:space="preserve"> of terms</w:t>
      </w:r>
      <w:bookmarkEnd w:id="0"/>
    </w:p>
    <w:p w14:paraId="4F9FA67E" w14:textId="742FFDDA" w:rsidR="00EA46B2" w:rsidRPr="00E121E3" w:rsidRDefault="00EA46B2" w:rsidP="00EA46B2">
      <w:r w:rsidRPr="007F635B">
        <w:rPr>
          <w:rStyle w:val="Emphasis"/>
        </w:rPr>
        <w:t>Capital deepening</w:t>
      </w:r>
      <w:r w:rsidRPr="00E121E3">
        <w:t xml:space="preserve">: </w:t>
      </w:r>
      <w:r w:rsidR="00494F0F" w:rsidRPr="00E121E3">
        <w:t>an increase in the ratio of capital to labour either through an increase in the capital stock or through a decrease in the number of workers.</w:t>
      </w:r>
    </w:p>
    <w:p w14:paraId="4FEC2961" w14:textId="176D6929" w:rsidR="00233579" w:rsidRDefault="00C42321" w:rsidP="00FF77C8">
      <w:r>
        <w:rPr>
          <w:rStyle w:val="Emphasis"/>
        </w:rPr>
        <w:t>Child care</w:t>
      </w:r>
      <w:r w:rsidR="001040D9">
        <w:rPr>
          <w:rStyle w:val="Emphasis"/>
          <w:i w:val="0"/>
          <w:iCs w:val="0"/>
        </w:rPr>
        <w:t xml:space="preserve">: </w:t>
      </w:r>
      <w:r w:rsidR="00605E46">
        <w:rPr>
          <w:rStyle w:val="Emphasis"/>
          <w:i w:val="0"/>
          <w:iCs w:val="0"/>
        </w:rPr>
        <w:t xml:space="preserve">services that provide </w:t>
      </w:r>
      <w:r w:rsidR="000605D4">
        <w:rPr>
          <w:rStyle w:val="Emphasis"/>
          <w:i w:val="0"/>
          <w:iCs w:val="0"/>
        </w:rPr>
        <w:t xml:space="preserve">education and care services to children aged </w:t>
      </w:r>
      <w:r w:rsidR="00DD3435">
        <w:rPr>
          <w:rStyle w:val="Emphasis"/>
          <w:i w:val="0"/>
          <w:iCs w:val="0"/>
        </w:rPr>
        <w:t>zero</w:t>
      </w:r>
      <w:r w:rsidR="00BB5053">
        <w:rPr>
          <w:rStyle w:val="Emphasis"/>
          <w:i w:val="0"/>
          <w:iCs w:val="0"/>
        </w:rPr>
        <w:t xml:space="preserve"> to school age</w:t>
      </w:r>
      <w:r w:rsidR="000605D4">
        <w:rPr>
          <w:rStyle w:val="Emphasis"/>
          <w:i w:val="0"/>
          <w:iCs w:val="0"/>
        </w:rPr>
        <w:t xml:space="preserve"> including centre</w:t>
      </w:r>
      <w:r w:rsidR="00AE4FC6">
        <w:rPr>
          <w:rStyle w:val="Emphasis"/>
          <w:i w:val="0"/>
          <w:iCs w:val="0"/>
        </w:rPr>
        <w:noBreakHyphen/>
      </w:r>
      <w:r w:rsidR="000605D4">
        <w:rPr>
          <w:rStyle w:val="Emphasis"/>
          <w:i w:val="0"/>
          <w:iCs w:val="0"/>
        </w:rPr>
        <w:t>based day care, family day care</w:t>
      </w:r>
      <w:r w:rsidR="001B1305">
        <w:rPr>
          <w:rStyle w:val="Emphasis"/>
          <w:i w:val="0"/>
          <w:iCs w:val="0"/>
        </w:rPr>
        <w:t xml:space="preserve"> and</w:t>
      </w:r>
      <w:r w:rsidR="0095535E">
        <w:rPr>
          <w:rStyle w:val="Emphasis"/>
          <w:i w:val="0"/>
          <w:iCs w:val="0"/>
        </w:rPr>
        <w:t xml:space="preserve"> outside school hours care</w:t>
      </w:r>
      <w:r w:rsidR="00A50985">
        <w:rPr>
          <w:rStyle w:val="Emphasis"/>
          <w:i w:val="0"/>
          <w:iCs w:val="0"/>
        </w:rPr>
        <w:t>,</w:t>
      </w:r>
      <w:r w:rsidR="00A95500">
        <w:rPr>
          <w:rStyle w:val="Emphasis"/>
          <w:i w:val="0"/>
          <w:iCs w:val="0"/>
        </w:rPr>
        <w:t xml:space="preserve"> but excluding preschool and </w:t>
      </w:r>
      <w:r w:rsidR="00F15AA5">
        <w:rPr>
          <w:rStyle w:val="Emphasis"/>
          <w:i w:val="0"/>
          <w:iCs w:val="0"/>
        </w:rPr>
        <w:t>school</w:t>
      </w:r>
      <w:r w:rsidR="0095535E">
        <w:rPr>
          <w:rStyle w:val="Emphasis"/>
          <w:i w:val="0"/>
          <w:iCs w:val="0"/>
        </w:rPr>
        <w:t xml:space="preserve">. </w:t>
      </w:r>
    </w:p>
    <w:p w14:paraId="67C98AA3" w14:textId="41C01C8B" w:rsidR="0083772C" w:rsidRDefault="61CAADD5" w:rsidP="6539C85D">
      <w:pPr>
        <w:rPr>
          <w:rStyle w:val="Emphasis"/>
          <w:i w:val="0"/>
          <w:iCs w:val="0"/>
        </w:rPr>
      </w:pPr>
      <w:r w:rsidRPr="007F635B">
        <w:rPr>
          <w:rStyle w:val="Emphasis"/>
          <w:rFonts w:eastAsia="Calibri Light"/>
        </w:rPr>
        <w:t>Collaborative robotics</w:t>
      </w:r>
      <w:r w:rsidRPr="00062334">
        <w:rPr>
          <w:rFonts w:eastAsia="Calibri Light" w:cs="Calibri Light"/>
          <w:color w:val="000000" w:themeColor="text1"/>
          <w:szCs w:val="22"/>
        </w:rPr>
        <w:t xml:space="preserve">: </w:t>
      </w:r>
      <w:r w:rsidRPr="00666F61">
        <w:rPr>
          <w:rStyle w:val="Emphasis"/>
          <w:i w:val="0"/>
          <w:iCs w:val="0"/>
        </w:rPr>
        <w:t>a form of robotic automation built to work safely alongside human workers in a shared, collaborative workspace. In most applications, a collaborative robot is responsible for repetitive, menial tasks while a human worker completes more complex and thought</w:t>
      </w:r>
      <w:r w:rsidR="00AE4FC6">
        <w:rPr>
          <w:rStyle w:val="Emphasis"/>
          <w:i w:val="0"/>
          <w:iCs w:val="0"/>
        </w:rPr>
        <w:noBreakHyphen/>
      </w:r>
      <w:r w:rsidRPr="00666F61">
        <w:rPr>
          <w:rStyle w:val="Emphasis"/>
          <w:i w:val="0"/>
          <w:iCs w:val="0"/>
        </w:rPr>
        <w:t>intensive tasks.</w:t>
      </w:r>
    </w:p>
    <w:p w14:paraId="0A79C131" w14:textId="1B77B9CD" w:rsidR="00414841" w:rsidRPr="00062334" w:rsidRDefault="00414841" w:rsidP="6539C85D">
      <w:pPr>
        <w:rPr>
          <w:rFonts w:eastAsia="Calibri Light" w:cs="Calibri Light"/>
          <w:szCs w:val="22"/>
        </w:rPr>
      </w:pPr>
      <w:r w:rsidRPr="00666F61">
        <w:rPr>
          <w:rStyle w:val="Emphasis"/>
        </w:rPr>
        <w:t>Consumer Price Index</w:t>
      </w:r>
      <w:r>
        <w:rPr>
          <w:rStyle w:val="Emphasis"/>
          <w:i w:val="0"/>
          <w:iCs w:val="0"/>
        </w:rPr>
        <w:t xml:space="preserve"> (CPI)</w:t>
      </w:r>
      <w:r w:rsidR="002D2AE8" w:rsidRPr="008D6073">
        <w:rPr>
          <w:rStyle w:val="Emphasis"/>
        </w:rPr>
        <w:t xml:space="preserve"> inflation</w:t>
      </w:r>
      <w:r>
        <w:rPr>
          <w:rStyle w:val="Emphasis"/>
          <w:i w:val="0"/>
          <w:iCs w:val="0"/>
        </w:rPr>
        <w:t xml:space="preserve">: </w:t>
      </w:r>
      <w:r w:rsidR="00A742EE">
        <w:rPr>
          <w:rStyle w:val="Emphasis"/>
          <w:i w:val="0"/>
          <w:iCs w:val="0"/>
        </w:rPr>
        <w:t>t</w:t>
      </w:r>
      <w:r>
        <w:rPr>
          <w:rStyle w:val="Emphasis"/>
          <w:i w:val="0"/>
          <w:iCs w:val="0"/>
        </w:rPr>
        <w:t xml:space="preserve">he most commonly used </w:t>
      </w:r>
      <w:r w:rsidR="00A84A92">
        <w:rPr>
          <w:rStyle w:val="Emphasis"/>
          <w:i w:val="0"/>
          <w:iCs w:val="0"/>
        </w:rPr>
        <w:t>measure of household inflation</w:t>
      </w:r>
      <w:r w:rsidR="00A742EE">
        <w:rPr>
          <w:rStyle w:val="Emphasis"/>
          <w:i w:val="0"/>
          <w:iCs w:val="0"/>
        </w:rPr>
        <w:t>. I</w:t>
      </w:r>
      <w:r w:rsidR="00DB485A">
        <w:rPr>
          <w:rStyle w:val="Emphasis"/>
          <w:i w:val="0"/>
          <w:iCs w:val="0"/>
        </w:rPr>
        <w:t>t</w:t>
      </w:r>
      <w:r w:rsidR="00024615">
        <w:rPr>
          <w:rStyle w:val="Emphasis"/>
          <w:i w:val="0"/>
          <w:iCs w:val="0"/>
        </w:rPr>
        <w:t> </w:t>
      </w:r>
      <w:r w:rsidR="00014F26">
        <w:rPr>
          <w:rStyle w:val="Emphasis"/>
          <w:i w:val="0"/>
          <w:iCs w:val="0"/>
        </w:rPr>
        <w:t>measures the</w:t>
      </w:r>
      <w:r w:rsidR="00014F26" w:rsidRPr="00014F26">
        <w:rPr>
          <w:rStyle w:val="Emphasis"/>
          <w:i w:val="0"/>
          <w:iCs w:val="0"/>
        </w:rPr>
        <w:t xml:space="preserve"> change in the price of a </w:t>
      </w:r>
      <w:r w:rsidR="00014F26">
        <w:rPr>
          <w:rStyle w:val="Emphasis"/>
          <w:i w:val="0"/>
          <w:iCs w:val="0"/>
        </w:rPr>
        <w:t xml:space="preserve">representative </w:t>
      </w:r>
      <w:r w:rsidR="00AE4FC6">
        <w:rPr>
          <w:rStyle w:val="Emphasis"/>
          <w:i w:val="0"/>
          <w:iCs w:val="0"/>
        </w:rPr>
        <w:t>‘</w:t>
      </w:r>
      <w:r w:rsidR="00014F26" w:rsidRPr="00014F26">
        <w:rPr>
          <w:rStyle w:val="Emphasis"/>
          <w:i w:val="0"/>
          <w:iCs w:val="0"/>
        </w:rPr>
        <w:t>basket</w:t>
      </w:r>
      <w:r w:rsidR="00AE4FC6">
        <w:rPr>
          <w:rStyle w:val="Emphasis"/>
          <w:i w:val="0"/>
          <w:iCs w:val="0"/>
        </w:rPr>
        <w:t>’</w:t>
      </w:r>
      <w:r w:rsidR="00014F26" w:rsidRPr="00014F26">
        <w:rPr>
          <w:rStyle w:val="Emphasis"/>
          <w:i w:val="0"/>
          <w:iCs w:val="0"/>
        </w:rPr>
        <w:t xml:space="preserve"> of goods and services</w:t>
      </w:r>
      <w:r w:rsidR="00014F26">
        <w:rPr>
          <w:rStyle w:val="Emphasis"/>
          <w:i w:val="0"/>
          <w:iCs w:val="0"/>
        </w:rPr>
        <w:t>.</w:t>
      </w:r>
    </w:p>
    <w:p w14:paraId="626D5DA5" w14:textId="610B4D8F" w:rsidR="007D42F9" w:rsidRDefault="007D42F9" w:rsidP="00740BC5">
      <w:r w:rsidRPr="7324FF92">
        <w:rPr>
          <w:rStyle w:val="Emphasis"/>
        </w:rPr>
        <w:t>Employability skills</w:t>
      </w:r>
      <w:r w:rsidR="006656CD">
        <w:t xml:space="preserve">: </w:t>
      </w:r>
      <w:r>
        <w:t>the non</w:t>
      </w:r>
      <w:r w:rsidR="00AE4FC6">
        <w:noBreakHyphen/>
      </w:r>
      <w:r>
        <w:t>technical skills needed to get a job</w:t>
      </w:r>
      <w:r w:rsidR="007243CE">
        <w:t>,</w:t>
      </w:r>
      <w:r w:rsidR="00B01928">
        <w:t xml:space="preserve"> </w:t>
      </w:r>
      <w:r>
        <w:t>includ</w:t>
      </w:r>
      <w:r w:rsidR="007243CE">
        <w:t>ing</w:t>
      </w:r>
      <w:r>
        <w:t xml:space="preserve"> communication, </w:t>
      </w:r>
      <w:r w:rsidR="00B01928">
        <w:t>teamwork</w:t>
      </w:r>
      <w:r>
        <w:t>, problem solving, initiative, planning and organising, decision</w:t>
      </w:r>
      <w:r w:rsidR="00D063D4">
        <w:t>-</w:t>
      </w:r>
      <w:r>
        <w:t>making and self</w:t>
      </w:r>
      <w:r w:rsidR="00AE4FC6">
        <w:noBreakHyphen/>
      </w:r>
      <w:r>
        <w:t>management.</w:t>
      </w:r>
    </w:p>
    <w:p w14:paraId="50286E28" w14:textId="18AA46A4" w:rsidR="001F2E74" w:rsidRDefault="001F2E74" w:rsidP="00740BC5">
      <w:bookmarkStart w:id="1" w:name="_Hlk145940077"/>
      <w:r>
        <w:rPr>
          <w:rStyle w:val="Emphasis"/>
        </w:rPr>
        <w:t>Employed</w:t>
      </w:r>
      <w:r w:rsidRPr="007F635B">
        <w:rPr>
          <w:i/>
          <w:iCs/>
        </w:rPr>
        <w:t xml:space="preserve">: </w:t>
      </w:r>
      <w:r>
        <w:t>when</w:t>
      </w:r>
      <w:r w:rsidRPr="007F635B">
        <w:t xml:space="preserve"> a person works</w:t>
      </w:r>
      <w:r>
        <w:t xml:space="preserve"> in paid employment for</w:t>
      </w:r>
      <w:r w:rsidRPr="007F635B">
        <w:t xml:space="preserve"> one hour or more </w:t>
      </w:r>
      <w:r>
        <w:t>per</w:t>
      </w:r>
      <w:r w:rsidRPr="007F635B">
        <w:t xml:space="preserve"> week.</w:t>
      </w:r>
      <w:r>
        <w:rPr>
          <w:rFonts w:ascii="Arial" w:hAnsi="Arial" w:cs="Arial"/>
          <w:color w:val="333333"/>
          <w:shd w:val="clear" w:color="auto" w:fill="FFFFFF"/>
        </w:rPr>
        <w:t> </w:t>
      </w:r>
      <w:bookmarkEnd w:id="1"/>
    </w:p>
    <w:p w14:paraId="21784D53" w14:textId="24F57A76" w:rsidR="00404B3C" w:rsidRDefault="00404B3C" w:rsidP="00740BC5">
      <w:r w:rsidRPr="00B01928">
        <w:rPr>
          <w:rStyle w:val="Emphasis"/>
        </w:rPr>
        <w:t>Foundation skills</w:t>
      </w:r>
      <w:r w:rsidRPr="00740BC5">
        <w:t>:</w:t>
      </w:r>
      <w:r>
        <w:t xml:space="preserve"> </w:t>
      </w:r>
      <w:r w:rsidR="00B01928">
        <w:t>c</w:t>
      </w:r>
      <w:r w:rsidRPr="00175D68">
        <w:t>ompetencies that underpin workforce participation, productivity and social inclusion</w:t>
      </w:r>
      <w:r>
        <w:t>, in</w:t>
      </w:r>
      <w:r w:rsidR="00B01928">
        <w:t>c</w:t>
      </w:r>
      <w:r>
        <w:t>luding</w:t>
      </w:r>
      <w:r w:rsidRPr="00175D68">
        <w:t xml:space="preserve"> English language, literacy, numeracy</w:t>
      </w:r>
      <w:r w:rsidR="00BC23D5">
        <w:t>,</w:t>
      </w:r>
      <w:r w:rsidRPr="00175D68">
        <w:t xml:space="preserve"> digital and employability skills.</w:t>
      </w:r>
    </w:p>
    <w:p w14:paraId="1A04F9AD" w14:textId="6B736DA6" w:rsidR="006656CD" w:rsidRPr="00740BC5" w:rsidRDefault="00DB2A0C" w:rsidP="00740BC5">
      <w:r w:rsidRPr="6CBE0709">
        <w:rPr>
          <w:rStyle w:val="Emphasis"/>
        </w:rPr>
        <w:t xml:space="preserve">Gross National Income </w:t>
      </w:r>
      <w:r w:rsidRPr="6CBE0709">
        <w:rPr>
          <w:rStyle w:val="Emphasis"/>
          <w:i w:val="0"/>
          <w:iCs w:val="0"/>
        </w:rPr>
        <w:t>(GNI)</w:t>
      </w:r>
      <w:r>
        <w:t>: measures how much Australia earns, rather than what output is produced in the economy. It is used as an indicator of Australia</w:t>
      </w:r>
      <w:r w:rsidR="00AE4FC6">
        <w:t>’</w:t>
      </w:r>
      <w:r>
        <w:t>s standard of living. GNI measures total income received in Australia from its residents and businesses in Australia and abroad. It can be</w:t>
      </w:r>
      <w:r w:rsidR="002E25AA">
        <w:t> </w:t>
      </w:r>
      <w:r>
        <w:t xml:space="preserve">measured in real or in nominal terms similar to GDP. </w:t>
      </w:r>
    </w:p>
    <w:p w14:paraId="3D494179" w14:textId="0008ACA7" w:rsidR="00382D5C" w:rsidRDefault="00382D5C" w:rsidP="00382D5C">
      <w:r w:rsidRPr="6539C85D">
        <w:rPr>
          <w:rStyle w:val="Emphasis"/>
        </w:rPr>
        <w:t>Job carving:</w:t>
      </w:r>
      <w:r w:rsidRPr="6539C85D">
        <w:rPr>
          <w:rFonts w:eastAsia="Calibri Light" w:cs="Calibri Light"/>
        </w:rPr>
        <w:t xml:space="preserve"> an employment strategy used to assist with overcoming labour market challenges of people who face barriers. Job carving involves analysis and rearranging of tasks within an organisation to customise duties or create tailor‑made employment opportunities to make the most of individual skills and abilities.</w:t>
      </w:r>
    </w:p>
    <w:p w14:paraId="7E5E4D2F" w14:textId="7867C8DF" w:rsidR="0083772C" w:rsidRPr="00740BC5" w:rsidRDefault="6A7A7356" w:rsidP="00740BC5">
      <w:r w:rsidRPr="14F47CAA">
        <w:rPr>
          <w:rStyle w:val="Emphasis"/>
        </w:rPr>
        <w:t>Labour force</w:t>
      </w:r>
      <w:r>
        <w:t xml:space="preserve">: the </w:t>
      </w:r>
      <w:r w:rsidR="006B4035">
        <w:t xml:space="preserve">total number </w:t>
      </w:r>
      <w:r>
        <w:t xml:space="preserve">of employed </w:t>
      </w:r>
      <w:r w:rsidR="541F0C95">
        <w:t xml:space="preserve">people </w:t>
      </w:r>
      <w:r>
        <w:t>and unemployed people</w:t>
      </w:r>
      <w:r w:rsidR="5B036C43">
        <w:t>, aged 15 years and over</w:t>
      </w:r>
      <w:r w:rsidR="00DD3435">
        <w:t>.</w:t>
      </w:r>
    </w:p>
    <w:p w14:paraId="02C405EE" w14:textId="25588044" w:rsidR="0083772C" w:rsidRDefault="6A7A7356" w:rsidP="14F47CAA">
      <w:r w:rsidRPr="14F47CAA">
        <w:rPr>
          <w:rStyle w:val="Emphasis"/>
        </w:rPr>
        <w:t>Labour force participation rate</w:t>
      </w:r>
      <w:r>
        <w:t xml:space="preserve">: </w:t>
      </w:r>
      <w:r w:rsidR="68CF727A" w:rsidRPr="008D6073">
        <w:t>the labour force expressed as a percentage of the civilian population aged 15 years and over</w:t>
      </w:r>
      <w:r>
        <w:t>.</w:t>
      </w:r>
    </w:p>
    <w:p w14:paraId="47EED978" w14:textId="7C8A6102" w:rsidR="00F741BF" w:rsidRDefault="00DB2EA9">
      <w:pPr>
        <w:rPr>
          <w:rFonts w:ascii="Times New Roman" w:eastAsiaTheme="minorEastAsia" w:hAnsi="Times New Roman"/>
          <w:sz w:val="24"/>
          <w:szCs w:val="24"/>
        </w:rPr>
      </w:pPr>
      <w:r w:rsidRPr="00E40A41">
        <w:rPr>
          <w:rStyle w:val="Emphasis"/>
        </w:rPr>
        <w:t xml:space="preserve">Labour </w:t>
      </w:r>
      <w:r w:rsidR="00833B5B">
        <w:rPr>
          <w:rStyle w:val="Emphasis"/>
        </w:rPr>
        <w:t>market scarring</w:t>
      </w:r>
      <w:r w:rsidRPr="00BD7E67">
        <w:t>:</w:t>
      </w:r>
      <w:r w:rsidRPr="00B90C9C">
        <w:t xml:space="preserve"> </w:t>
      </w:r>
      <w:r w:rsidR="001609EC">
        <w:t xml:space="preserve">a </w:t>
      </w:r>
      <w:r w:rsidR="000A0EA2" w:rsidRPr="000A0EA2">
        <w:t xml:space="preserve">negative effect of unemployment </w:t>
      </w:r>
      <w:r w:rsidR="4E701967">
        <w:t xml:space="preserve">that </w:t>
      </w:r>
      <w:r w:rsidR="005F3550">
        <w:t>reduce</w:t>
      </w:r>
      <w:r w:rsidR="00BF27C3">
        <w:t>s</w:t>
      </w:r>
      <w:r w:rsidR="005F3550">
        <w:t xml:space="preserve"> a</w:t>
      </w:r>
      <w:r w:rsidR="005F3550" w:rsidRPr="00A36614">
        <w:t xml:space="preserve"> </w:t>
      </w:r>
      <w:r w:rsidR="00A36614" w:rsidRPr="00A36614">
        <w:t>worker</w:t>
      </w:r>
      <w:r w:rsidR="00AE4FC6">
        <w:t>’</w:t>
      </w:r>
      <w:r w:rsidR="00A36614" w:rsidRPr="00A36614">
        <w:t xml:space="preserve">s </w:t>
      </w:r>
      <w:r w:rsidR="05DDDCA9">
        <w:t>chan</w:t>
      </w:r>
      <w:r w:rsidR="00E57B45">
        <w:t>c</w:t>
      </w:r>
      <w:r w:rsidR="05DDDCA9">
        <w:t>e of</w:t>
      </w:r>
      <w:r w:rsidR="00A36614">
        <w:t xml:space="preserve"> </w:t>
      </w:r>
      <w:r w:rsidR="00BF27C3">
        <w:t>re</w:t>
      </w:r>
      <w:r w:rsidR="00AE4FC6">
        <w:noBreakHyphen/>
      </w:r>
      <w:r w:rsidR="00BF27C3">
        <w:t>entering</w:t>
      </w:r>
      <w:r w:rsidR="00A36614" w:rsidRPr="00A36614">
        <w:t xml:space="preserve"> employment</w:t>
      </w:r>
      <w:r w:rsidR="00B8446D">
        <w:t xml:space="preserve">, or </w:t>
      </w:r>
      <w:r w:rsidR="00C865D7">
        <w:t>has long</w:t>
      </w:r>
      <w:r w:rsidR="00AE4FC6">
        <w:noBreakHyphen/>
      </w:r>
      <w:r w:rsidR="00A207C4">
        <w:t>term</w:t>
      </w:r>
      <w:r w:rsidR="00C865D7">
        <w:t xml:space="preserve"> impacts on income</w:t>
      </w:r>
      <w:r w:rsidR="00A207C4">
        <w:t xml:space="preserve"> even once re</w:t>
      </w:r>
      <w:r w:rsidR="00AE4FC6">
        <w:noBreakHyphen/>
      </w:r>
      <w:r w:rsidR="00A207C4">
        <w:t>employed</w:t>
      </w:r>
      <w:r w:rsidR="00BF27C3">
        <w:t>.</w:t>
      </w:r>
      <w:r w:rsidR="00C865D7">
        <w:t xml:space="preserve"> </w:t>
      </w:r>
    </w:p>
    <w:p w14:paraId="67C51FDF" w14:textId="071330AD" w:rsidR="00A3355C" w:rsidRPr="00B90C9C" w:rsidRDefault="009B7476" w:rsidP="001C65A5">
      <w:r w:rsidRPr="00C26446">
        <w:rPr>
          <w:i/>
          <w:iCs/>
        </w:rPr>
        <w:t>Labour productivity</w:t>
      </w:r>
      <w:r w:rsidR="001C65A5">
        <w:rPr>
          <w:i/>
          <w:iCs/>
        </w:rPr>
        <w:t>:</w:t>
      </w:r>
      <w:r>
        <w:t xml:space="preserve"> a measure of output per hour worked. Growth in labour productivity can be decomposed into capital deepening and multifactor productivity (MFP). Capital deepening measures increases in capital per hour worked. MFP captures how efficiently labour and capital are used together to produce output and is considered the main driver of economic growth in the long term.</w:t>
      </w:r>
    </w:p>
    <w:p w14:paraId="7F446179" w14:textId="5121832B" w:rsidR="00F62406" w:rsidRPr="00740BC5" w:rsidRDefault="00F62406" w:rsidP="009A7911">
      <w:r w:rsidRPr="00E40A41">
        <w:rPr>
          <w:rStyle w:val="Emphasis"/>
        </w:rPr>
        <w:t>Labour shortages</w:t>
      </w:r>
      <w:r w:rsidRPr="00740BC5">
        <w:t xml:space="preserve">: </w:t>
      </w:r>
      <w:r w:rsidR="000C7B15">
        <w:t>where there are more vacancies in the labour market than available workers</w:t>
      </w:r>
      <w:r w:rsidRPr="00740BC5">
        <w:t>.</w:t>
      </w:r>
      <w:r w:rsidR="00A04090">
        <w:t xml:space="preserve"> Labour shortages can exist across the economy or they can exist</w:t>
      </w:r>
      <w:r w:rsidR="007D22C3">
        <w:t xml:space="preserve"> for particular occupations, skills or in</w:t>
      </w:r>
      <w:r w:rsidR="002E4147">
        <w:t> </w:t>
      </w:r>
      <w:r w:rsidR="0024563E">
        <w:t xml:space="preserve">particular areas. </w:t>
      </w:r>
      <w:r w:rsidR="00517FC3">
        <w:t>For most markets, shortages resolve through changes in price. For labour</w:t>
      </w:r>
      <w:r w:rsidR="000742E8">
        <w:t>,</w:t>
      </w:r>
      <w:r w:rsidR="00517FC3">
        <w:t xml:space="preserve"> this is complicated by</w:t>
      </w:r>
      <w:r w:rsidR="0057153D">
        <w:t xml:space="preserve"> factors such as labour mobility</w:t>
      </w:r>
      <w:r w:rsidR="002B5C94">
        <w:t>, worker</w:t>
      </w:r>
      <w:r w:rsidR="009417E5">
        <w:t xml:space="preserve"> preferences, </w:t>
      </w:r>
      <w:r w:rsidR="001E7588">
        <w:t>life</w:t>
      </w:r>
      <w:r w:rsidR="00FF1700">
        <w:t xml:space="preserve"> </w:t>
      </w:r>
      <w:r w:rsidR="00EE7699">
        <w:t>circumstances</w:t>
      </w:r>
      <w:r w:rsidR="00066358">
        <w:t>, and policy settings.</w:t>
      </w:r>
    </w:p>
    <w:p w14:paraId="119AA8A5" w14:textId="39486484" w:rsidR="00D079E6" w:rsidRPr="00692FA3" w:rsidRDefault="00D079E6" w:rsidP="00D079E6">
      <w:r w:rsidRPr="00924180">
        <w:rPr>
          <w:rStyle w:val="Emphasis"/>
        </w:rPr>
        <w:lastRenderedPageBreak/>
        <w:t>Labour underutilisation</w:t>
      </w:r>
      <w:r w:rsidRPr="00740BC5">
        <w:t>:</w:t>
      </w:r>
      <w:r w:rsidRPr="00692FA3">
        <w:t xml:space="preserve"> the extent to which people</w:t>
      </w:r>
      <w:r w:rsidR="00AE4FC6">
        <w:t>’</w:t>
      </w:r>
      <w:r w:rsidRPr="00692FA3">
        <w:t>s desire for work is not being met,</w:t>
      </w:r>
      <w:r w:rsidR="00FD4CE6">
        <w:t xml:space="preserve"> </w:t>
      </w:r>
      <w:r w:rsidRPr="00692FA3">
        <w:t>including people who are not working but want to work, and those who are working but want to work more</w:t>
      </w:r>
      <w:r w:rsidR="006B1F22">
        <w:t xml:space="preserve"> hours</w:t>
      </w:r>
      <w:r w:rsidRPr="00692FA3">
        <w:t>.</w:t>
      </w:r>
      <w:r w:rsidR="00B14094">
        <w:t xml:space="preserve"> Labour underutilisation can be due to </w:t>
      </w:r>
      <w:r w:rsidR="0097311F" w:rsidRPr="00EF21E8">
        <w:t>cyclical</w:t>
      </w:r>
      <w:r w:rsidR="0097311F">
        <w:t xml:space="preserve"> or </w:t>
      </w:r>
      <w:r w:rsidR="0097311F" w:rsidRPr="00EF21E8">
        <w:t>structural</w:t>
      </w:r>
      <w:r w:rsidR="0097311F">
        <w:t xml:space="preserve"> reasons.</w:t>
      </w:r>
      <w:r w:rsidRPr="00692FA3">
        <w:t xml:space="preserve"> </w:t>
      </w:r>
    </w:p>
    <w:p w14:paraId="4D15A27B" w14:textId="79FBB374" w:rsidR="0083772C" w:rsidRPr="00B90C9C" w:rsidRDefault="0083772C" w:rsidP="00740BC5">
      <w:r w:rsidRPr="00E40A41">
        <w:rPr>
          <w:rStyle w:val="Emphasis"/>
        </w:rPr>
        <w:t>Long</w:t>
      </w:r>
      <w:r w:rsidR="00AE4FC6">
        <w:rPr>
          <w:rStyle w:val="Emphasis"/>
        </w:rPr>
        <w:noBreakHyphen/>
      </w:r>
      <w:r w:rsidRPr="00E40A41">
        <w:rPr>
          <w:rStyle w:val="Emphasis"/>
        </w:rPr>
        <w:t>term unemployment</w:t>
      </w:r>
      <w:r w:rsidRPr="00740BC5">
        <w:t xml:space="preserve"> (LTU):</w:t>
      </w:r>
      <w:r w:rsidRPr="00B90C9C">
        <w:t xml:space="preserve"> people who have been unemployed for 12 months or more. LTU may be a result of mismatch in the labour market, skills deficiency or other factors that inhibit a person from </w:t>
      </w:r>
      <w:r w:rsidR="007F635B">
        <w:t>gaining employment</w:t>
      </w:r>
      <w:r w:rsidRPr="00B90C9C">
        <w:t>.</w:t>
      </w:r>
    </w:p>
    <w:p w14:paraId="520717BB" w14:textId="77777777" w:rsidR="0083772C" w:rsidRDefault="0083772C" w:rsidP="00740BC5">
      <w:r w:rsidRPr="00282A1E">
        <w:rPr>
          <w:rStyle w:val="Emphasis"/>
        </w:rPr>
        <w:t>Matching</w:t>
      </w:r>
      <w:r w:rsidRPr="00D66D0B">
        <w:rPr>
          <w:rStyle w:val="Emphasis"/>
        </w:rPr>
        <w:t xml:space="preserve"> efficiency</w:t>
      </w:r>
      <w:r w:rsidRPr="00740BC5">
        <w:t>:</w:t>
      </w:r>
      <w:r w:rsidRPr="00B90C9C">
        <w:t xml:space="preserve"> refers to the effectiveness and speed with which unemployed workers find jobs and vacancies are filled.</w:t>
      </w:r>
    </w:p>
    <w:p w14:paraId="2BC796AC" w14:textId="1560307D" w:rsidR="00397819" w:rsidRDefault="00397819" w:rsidP="00740BC5">
      <w:r w:rsidRPr="00D66D0B">
        <w:rPr>
          <w:rStyle w:val="Emphasis"/>
        </w:rPr>
        <w:t>Microcredentials</w:t>
      </w:r>
      <w:r w:rsidRPr="00740BC5">
        <w:t>:</w:t>
      </w:r>
      <w:r>
        <w:t xml:space="preserve"> </w:t>
      </w:r>
      <w:r w:rsidR="00143E8F">
        <w:t>are a certification of assessed learning or competency, with a minimum volume of learning of one hour and less than an A</w:t>
      </w:r>
      <w:r w:rsidR="00EE2298">
        <w:t>u</w:t>
      </w:r>
      <w:r w:rsidR="00B126C8">
        <w:t xml:space="preserve">stralian </w:t>
      </w:r>
      <w:r w:rsidR="00143E8F">
        <w:t>Q</w:t>
      </w:r>
      <w:r w:rsidR="00B126C8">
        <w:t xml:space="preserve">ualification </w:t>
      </w:r>
      <w:r w:rsidR="00143E8F">
        <w:t>F</w:t>
      </w:r>
      <w:r w:rsidR="00B126C8">
        <w:t>ramework (AQF)</w:t>
      </w:r>
      <w:r w:rsidR="00143E8F">
        <w:t xml:space="preserve"> award qualification</w:t>
      </w:r>
      <w:r w:rsidR="00BF7C76">
        <w:t xml:space="preserve"> that is additional, alternate, complementary to or a component part of an AQF award qualification. </w:t>
      </w:r>
    </w:p>
    <w:p w14:paraId="13C40A9C" w14:textId="1B2BECAF" w:rsidR="00EA46B2" w:rsidRDefault="00EA46B2" w:rsidP="00EA46B2">
      <w:r w:rsidRPr="007F635B">
        <w:rPr>
          <w:rStyle w:val="Emphasis"/>
        </w:rPr>
        <w:t>Multi</w:t>
      </w:r>
      <w:r w:rsidR="00AE4FC6">
        <w:rPr>
          <w:rStyle w:val="Emphasis"/>
        </w:rPr>
        <w:noBreakHyphen/>
      </w:r>
      <w:r w:rsidRPr="007F635B">
        <w:rPr>
          <w:rStyle w:val="Emphasis"/>
        </w:rPr>
        <w:t>factor productivity</w:t>
      </w:r>
      <w:r>
        <w:t>:</w:t>
      </w:r>
      <w:r w:rsidR="004D6327">
        <w:t xml:space="preserve"> </w:t>
      </w:r>
      <w:r w:rsidR="004D6327" w:rsidRPr="004D6327">
        <w:t xml:space="preserve">a ratio of output to a combined input of multiple factors, </w:t>
      </w:r>
      <w:r w:rsidR="00E4008D">
        <w:t>including</w:t>
      </w:r>
      <w:r w:rsidR="004D6327" w:rsidRPr="004D6327">
        <w:t xml:space="preserve"> labour and capital.</w:t>
      </w:r>
    </w:p>
    <w:p w14:paraId="5D9B1683" w14:textId="26E4732A" w:rsidR="00B25218" w:rsidRDefault="006656CD" w:rsidP="00740BC5">
      <w:r w:rsidRPr="00D66D0B">
        <w:rPr>
          <w:rStyle w:val="Emphasis"/>
        </w:rPr>
        <w:t xml:space="preserve">Mutual </w:t>
      </w:r>
      <w:r w:rsidRPr="5790391D">
        <w:rPr>
          <w:rStyle w:val="Emphasis"/>
        </w:rPr>
        <w:t>obligation</w:t>
      </w:r>
      <w:r w:rsidR="7303A024" w:rsidRPr="5790391D">
        <w:rPr>
          <w:rStyle w:val="Emphasis"/>
        </w:rPr>
        <w:t>s</w:t>
      </w:r>
      <w:r w:rsidRPr="00740BC5">
        <w:t>:</w:t>
      </w:r>
      <w:r>
        <w:t xml:space="preserve"> </w:t>
      </w:r>
      <w:r w:rsidRPr="006D0DD6">
        <w:t xml:space="preserve">tasks and activities </w:t>
      </w:r>
      <w:r w:rsidR="7B6F9D79">
        <w:t xml:space="preserve">people </w:t>
      </w:r>
      <w:r>
        <w:t>agree</w:t>
      </w:r>
      <w:r w:rsidR="24E1EB7B">
        <w:t xml:space="preserve"> </w:t>
      </w:r>
      <w:r w:rsidRPr="006D0DD6">
        <w:t>to do</w:t>
      </w:r>
      <w:r w:rsidR="00606C83">
        <w:t xml:space="preserve"> </w:t>
      </w:r>
      <w:r w:rsidR="597D4A89">
        <w:t xml:space="preserve">in return for </w:t>
      </w:r>
      <w:r w:rsidR="750F6BBD">
        <w:t xml:space="preserve">certain </w:t>
      </w:r>
      <w:r w:rsidR="597D4A89">
        <w:t>income support</w:t>
      </w:r>
      <w:r w:rsidR="1A9E0A81">
        <w:t xml:space="preserve"> payments</w:t>
      </w:r>
      <w:r>
        <w:t>.</w:t>
      </w:r>
    </w:p>
    <w:p w14:paraId="2CD686B2" w14:textId="1AD912B1" w:rsidR="00DB2A0C" w:rsidRPr="00B90C9C" w:rsidRDefault="00DB2A0C" w:rsidP="00740BC5">
      <w:r w:rsidRPr="00D26884">
        <w:rPr>
          <w:rStyle w:val="Emphasis"/>
        </w:rPr>
        <w:t>Non</w:t>
      </w:r>
      <w:r w:rsidR="00AE4FC6">
        <w:rPr>
          <w:rStyle w:val="Emphasis"/>
        </w:rPr>
        <w:noBreakHyphen/>
      </w:r>
      <w:r w:rsidRPr="00D26884">
        <w:rPr>
          <w:rStyle w:val="Emphasis"/>
        </w:rPr>
        <w:t xml:space="preserve">Accelerating Inflation Rate of </w:t>
      </w:r>
      <w:r w:rsidRPr="002B1A4A">
        <w:rPr>
          <w:rStyle w:val="Emphasis"/>
        </w:rPr>
        <w:t>Unemployment</w:t>
      </w:r>
      <w:r w:rsidRPr="002B1A4A">
        <w:t>:</w:t>
      </w:r>
      <w:r w:rsidRPr="00B90C9C">
        <w:t xml:space="preserve"> the </w:t>
      </w:r>
      <w:r w:rsidR="007A73F0">
        <w:t>level</w:t>
      </w:r>
      <w:r w:rsidRPr="00B90C9C">
        <w:t xml:space="preserve"> of unemployment that </w:t>
      </w:r>
      <w:r w:rsidR="007A73F0">
        <w:t xml:space="preserve">is consistent with </w:t>
      </w:r>
      <w:r w:rsidR="00CA0F7D">
        <w:t>stable wage or price inflation</w:t>
      </w:r>
      <w:r w:rsidRPr="00B90C9C">
        <w:t xml:space="preserve">. </w:t>
      </w:r>
    </w:p>
    <w:p w14:paraId="5A4A05D4" w14:textId="1A86AAA9" w:rsidR="0083772C" w:rsidRPr="00740BC5" w:rsidRDefault="0083772C" w:rsidP="00740BC5">
      <w:r w:rsidRPr="00D26884">
        <w:rPr>
          <w:rStyle w:val="Emphasis"/>
        </w:rPr>
        <w:t>Not in the labour force</w:t>
      </w:r>
      <w:r w:rsidRPr="00740BC5">
        <w:t xml:space="preserve">: </w:t>
      </w:r>
      <w:r w:rsidR="00720D63">
        <w:t>p</w:t>
      </w:r>
      <w:r w:rsidRPr="00CE6BFE">
        <w:t>eople of working age, who do not meet the</w:t>
      </w:r>
      <w:r w:rsidR="00CE4AC3">
        <w:t xml:space="preserve"> ABS</w:t>
      </w:r>
      <w:r w:rsidRPr="00CE6BFE">
        <w:t xml:space="preserve"> criteria for </w:t>
      </w:r>
      <w:r w:rsidR="00E872EB">
        <w:t xml:space="preserve">being </w:t>
      </w:r>
      <w:r w:rsidRPr="00CE6BFE">
        <w:t>employed</w:t>
      </w:r>
      <w:r w:rsidR="00CE4AC3">
        <w:t xml:space="preserve"> </w:t>
      </w:r>
      <w:r w:rsidRPr="00CE6BFE">
        <w:t>or unemployed. People may be temporarily out of the labour force for a specific reason (</w:t>
      </w:r>
      <w:r w:rsidR="00EB5D94">
        <w:t>for example,</w:t>
      </w:r>
      <w:r w:rsidRPr="00CE6BFE">
        <w:t xml:space="preserve"> child r</w:t>
      </w:r>
      <w:r w:rsidR="004560CB">
        <w:t>aising</w:t>
      </w:r>
      <w:r w:rsidRPr="00CE6BFE">
        <w:t xml:space="preserve">) or </w:t>
      </w:r>
      <w:r w:rsidR="00EA6949">
        <w:t xml:space="preserve">may </w:t>
      </w:r>
      <w:r w:rsidRPr="00CE6BFE">
        <w:t>have permanently left the labour force (</w:t>
      </w:r>
      <w:r w:rsidR="00EB5D94">
        <w:t xml:space="preserve">for example, </w:t>
      </w:r>
      <w:r w:rsidRPr="00692FA3">
        <w:t>retirees)</w:t>
      </w:r>
      <w:r w:rsidR="00CE4AC3">
        <w:t>.</w:t>
      </w:r>
    </w:p>
    <w:p w14:paraId="5A1A4237" w14:textId="199FDFAB" w:rsidR="00983836" w:rsidRPr="007E3493" w:rsidRDefault="00983836" w:rsidP="00740BC5">
      <w:pPr>
        <w:rPr>
          <w:rStyle w:val="Emphasis"/>
          <w:i w:val="0"/>
          <w:iCs w:val="0"/>
        </w:rPr>
      </w:pPr>
      <w:r>
        <w:rPr>
          <w:rStyle w:val="Emphasis"/>
        </w:rPr>
        <w:t>Preschool</w:t>
      </w:r>
      <w:r w:rsidR="007E3493">
        <w:rPr>
          <w:rStyle w:val="Emphasis"/>
          <w:i w:val="0"/>
          <w:iCs w:val="0"/>
        </w:rPr>
        <w:t xml:space="preserve">: </w:t>
      </w:r>
      <w:r w:rsidR="00825638">
        <w:rPr>
          <w:rStyle w:val="Emphasis"/>
          <w:i w:val="0"/>
          <w:iCs w:val="0"/>
        </w:rPr>
        <w:t>a structured, play</w:t>
      </w:r>
      <w:r w:rsidR="00AE4FC6">
        <w:rPr>
          <w:rStyle w:val="Emphasis"/>
          <w:i w:val="0"/>
          <w:iCs w:val="0"/>
        </w:rPr>
        <w:noBreakHyphen/>
      </w:r>
      <w:r w:rsidR="00825638">
        <w:rPr>
          <w:rStyle w:val="Emphasis"/>
          <w:i w:val="0"/>
          <w:iCs w:val="0"/>
        </w:rPr>
        <w:t>based learning program delivered by a qualified teacher aimed at children in the year or two before the</w:t>
      </w:r>
      <w:r w:rsidR="00B34858">
        <w:rPr>
          <w:rStyle w:val="Emphasis"/>
          <w:i w:val="0"/>
          <w:iCs w:val="0"/>
        </w:rPr>
        <w:t>y</w:t>
      </w:r>
      <w:r w:rsidR="00825638">
        <w:rPr>
          <w:rStyle w:val="Emphasis"/>
          <w:i w:val="0"/>
          <w:iCs w:val="0"/>
        </w:rPr>
        <w:t xml:space="preserve"> commence full</w:t>
      </w:r>
      <w:r w:rsidR="00AE4FC6">
        <w:rPr>
          <w:rStyle w:val="Emphasis"/>
          <w:i w:val="0"/>
          <w:iCs w:val="0"/>
        </w:rPr>
        <w:noBreakHyphen/>
      </w:r>
      <w:r w:rsidR="00825638">
        <w:rPr>
          <w:rStyle w:val="Emphasis"/>
          <w:i w:val="0"/>
          <w:iCs w:val="0"/>
        </w:rPr>
        <w:t>time schooling.</w:t>
      </w:r>
    </w:p>
    <w:p w14:paraId="4A0FA7E8" w14:textId="258901AB" w:rsidR="00EA46B2" w:rsidRDefault="0083772C" w:rsidP="00740BC5">
      <w:r w:rsidRPr="00CE4AC3">
        <w:rPr>
          <w:rStyle w:val="Emphasis"/>
        </w:rPr>
        <w:t>Productivity</w:t>
      </w:r>
      <w:r w:rsidRPr="00740BC5">
        <w:t xml:space="preserve">: </w:t>
      </w:r>
      <w:r w:rsidRPr="00692FA3">
        <w:t>the efficiency with which inputs are transformed into outputs using capital, labour, and</w:t>
      </w:r>
      <w:r w:rsidR="00114382">
        <w:t> </w:t>
      </w:r>
      <w:r w:rsidRPr="00692FA3">
        <w:t xml:space="preserve">other resources. </w:t>
      </w:r>
      <w:r w:rsidR="00EA46B2" w:rsidRPr="00692FA3">
        <w:t>The most common measure of productivity is labour productivity.</w:t>
      </w:r>
    </w:p>
    <w:p w14:paraId="3D3DC160" w14:textId="33D50BDA" w:rsidR="00A14437" w:rsidRDefault="00A14437" w:rsidP="00A14437">
      <w:pPr>
        <w:rPr>
          <w:rStyle w:val="Emphasis"/>
          <w:i w:val="0"/>
          <w:iCs w:val="0"/>
        </w:rPr>
      </w:pPr>
      <w:r>
        <w:rPr>
          <w:rStyle w:val="Emphasis"/>
        </w:rPr>
        <w:t xml:space="preserve">Safeguard mechanism: </w:t>
      </w:r>
      <w:r w:rsidR="00A51E83">
        <w:rPr>
          <w:rStyle w:val="Emphasis"/>
          <w:i w:val="0"/>
          <w:iCs w:val="0"/>
        </w:rPr>
        <w:t>s</w:t>
      </w:r>
      <w:r w:rsidRPr="00091074">
        <w:rPr>
          <w:rStyle w:val="Emphasis"/>
          <w:i w:val="0"/>
          <w:iCs w:val="0"/>
        </w:rPr>
        <w:t>ets a baseline limit on how much CO</w:t>
      </w:r>
      <w:r w:rsidRPr="007B49F8">
        <w:rPr>
          <w:rStyle w:val="Emphasis"/>
          <w:i w:val="0"/>
          <w:iCs w:val="0"/>
          <w:vertAlign w:val="subscript"/>
        </w:rPr>
        <w:t>2</w:t>
      </w:r>
      <w:r w:rsidR="00AE4FC6">
        <w:rPr>
          <w:rStyle w:val="Emphasis"/>
          <w:i w:val="0"/>
          <w:iCs w:val="0"/>
        </w:rPr>
        <w:noBreakHyphen/>
      </w:r>
      <w:r w:rsidRPr="00091074">
        <w:rPr>
          <w:rStyle w:val="Emphasis"/>
          <w:i w:val="0"/>
          <w:iCs w:val="0"/>
        </w:rPr>
        <w:t>equivalent can be emitted by a facility in</w:t>
      </w:r>
      <w:r w:rsidR="00114382">
        <w:rPr>
          <w:rStyle w:val="Emphasis"/>
          <w:i w:val="0"/>
          <w:iCs w:val="0"/>
        </w:rPr>
        <w:t> </w:t>
      </w:r>
      <w:r w:rsidRPr="00091074">
        <w:rPr>
          <w:rStyle w:val="Emphasis"/>
          <w:i w:val="0"/>
          <w:iCs w:val="0"/>
        </w:rPr>
        <w:t xml:space="preserve">a year. </w:t>
      </w:r>
    </w:p>
    <w:p w14:paraId="69480622" w14:textId="3B4DE6B1" w:rsidR="00A02FAB" w:rsidRPr="008D6073" w:rsidRDefault="00A02FAB" w:rsidP="00A14437">
      <w:pPr>
        <w:rPr>
          <w:rStyle w:val="Emphasis"/>
          <w:i w:val="0"/>
          <w:iCs w:val="0"/>
        </w:rPr>
      </w:pPr>
      <w:bookmarkStart w:id="2" w:name="_Hlk145940210"/>
      <w:r>
        <w:rPr>
          <w:rStyle w:val="Emphasis"/>
        </w:rPr>
        <w:t xml:space="preserve">Underemployed workers: </w:t>
      </w:r>
      <w:r w:rsidR="004560CB">
        <w:rPr>
          <w:rStyle w:val="Emphasis"/>
          <w:i w:val="0"/>
          <w:iCs w:val="0"/>
        </w:rPr>
        <w:t>e</w:t>
      </w:r>
      <w:r w:rsidR="009F3BF0" w:rsidRPr="008D6073">
        <w:rPr>
          <w:rStyle w:val="Emphasis"/>
          <w:i w:val="0"/>
          <w:iCs w:val="0"/>
        </w:rPr>
        <w:t>mployed people aged 15 years and over who want, and are available for, more hours of work than they currently have</w:t>
      </w:r>
      <w:r w:rsidR="0017231B">
        <w:rPr>
          <w:rStyle w:val="Emphasis"/>
          <w:i w:val="0"/>
          <w:iCs w:val="0"/>
        </w:rPr>
        <w:t>.</w:t>
      </w:r>
    </w:p>
    <w:p w14:paraId="31886425" w14:textId="4A1DAAD3" w:rsidR="00784DC4" w:rsidRPr="00027C94" w:rsidRDefault="7BF7BECB" w:rsidP="00A14437">
      <w:r w:rsidRPr="00027C94">
        <w:rPr>
          <w:rStyle w:val="Emphasis"/>
        </w:rPr>
        <w:t>Unemployed</w:t>
      </w:r>
      <w:r w:rsidRPr="00027C94">
        <w:rPr>
          <w:rStyle w:val="Emphasis"/>
          <w:i w:val="0"/>
          <w:iCs w:val="0"/>
        </w:rPr>
        <w:t xml:space="preserve">: </w:t>
      </w:r>
      <w:r w:rsidRPr="00027C94">
        <w:t xml:space="preserve">when a person is </w:t>
      </w:r>
      <w:r w:rsidR="0093022B" w:rsidRPr="008D6073">
        <w:t>not employed</w:t>
      </w:r>
      <w:r w:rsidR="004778A9" w:rsidRPr="008D6073">
        <w:t xml:space="preserve">, </w:t>
      </w:r>
      <w:r w:rsidR="00027C94" w:rsidRPr="008D6073">
        <w:t xml:space="preserve">but </w:t>
      </w:r>
      <w:r w:rsidR="004778A9" w:rsidRPr="008D6073">
        <w:t xml:space="preserve">is </w:t>
      </w:r>
      <w:r w:rsidR="00185E0B" w:rsidRPr="008D6073">
        <w:t>looking for work</w:t>
      </w:r>
      <w:r w:rsidR="00612388" w:rsidRPr="008D6073">
        <w:t xml:space="preserve"> and </w:t>
      </w:r>
      <w:r w:rsidR="006E76C1">
        <w:t>is</w:t>
      </w:r>
      <w:r w:rsidR="004778A9" w:rsidRPr="008D6073">
        <w:t xml:space="preserve"> available to work in the </w:t>
      </w:r>
      <w:r w:rsidR="00027C94" w:rsidRPr="008D6073">
        <w:t>reference week</w:t>
      </w:r>
      <w:r w:rsidRPr="00027C94">
        <w:t>.</w:t>
      </w:r>
    </w:p>
    <w:bookmarkEnd w:id="2"/>
    <w:p w14:paraId="1D374E43" w14:textId="5CD67BC1" w:rsidR="00C249D8" w:rsidRPr="00692FA3" w:rsidRDefault="0083772C" w:rsidP="00740BC5">
      <w:r w:rsidRPr="00924180">
        <w:rPr>
          <w:rStyle w:val="Emphasis"/>
        </w:rPr>
        <w:t>Unemployment rate</w:t>
      </w:r>
      <w:r w:rsidRPr="00692FA3">
        <w:t xml:space="preserve">: </w:t>
      </w:r>
      <w:r w:rsidR="00B6711E">
        <w:t>t</w:t>
      </w:r>
      <w:r w:rsidR="00B6711E" w:rsidRPr="008D6073">
        <w:t>he number of underemployed workers expressed as a percentage of the labour force</w:t>
      </w:r>
      <w:r w:rsidRPr="00692FA3">
        <w:t>.</w:t>
      </w:r>
      <w:r w:rsidR="00286B49" w:rsidRPr="00692FA3">
        <w:t xml:space="preserve"> </w:t>
      </w:r>
    </w:p>
    <w:p w14:paraId="5C061494" w14:textId="5D87946B" w:rsidR="3E9699A8" w:rsidRPr="00740BC5" w:rsidRDefault="00205D94" w:rsidP="385D30AB">
      <w:r w:rsidRPr="00666F61">
        <w:rPr>
          <w:i/>
          <w:iCs/>
        </w:rPr>
        <w:t>Wage Price Index</w:t>
      </w:r>
      <w:r>
        <w:t xml:space="preserve"> (WPI)</w:t>
      </w:r>
      <w:r w:rsidR="00563E80">
        <w:t xml:space="preserve"> </w:t>
      </w:r>
      <w:r w:rsidR="00563E80" w:rsidRPr="008D6073">
        <w:rPr>
          <w:i/>
          <w:iCs/>
        </w:rPr>
        <w:t>inflation</w:t>
      </w:r>
      <w:r>
        <w:t xml:space="preserve">: </w:t>
      </w:r>
      <w:r w:rsidR="00065DF8">
        <w:t>A commonly used measure of wage growth</w:t>
      </w:r>
      <w:r w:rsidR="008906AF">
        <w:t xml:space="preserve"> which </w:t>
      </w:r>
      <w:r w:rsidR="00065DF8" w:rsidRPr="00065DF8">
        <w:t>measures changes in the price of labour in the Australian labour market. In a similar manner to CPI</w:t>
      </w:r>
      <w:r w:rsidR="003804A9">
        <w:t xml:space="preserve"> inflation</w:t>
      </w:r>
      <w:r w:rsidR="00065DF8" w:rsidRPr="00065DF8">
        <w:t xml:space="preserve">, WPI </w:t>
      </w:r>
      <w:r w:rsidR="003804A9">
        <w:t xml:space="preserve">inflation </w:t>
      </w:r>
      <w:r w:rsidR="00065DF8" w:rsidRPr="00065DF8">
        <w:t xml:space="preserve">follows </w:t>
      </w:r>
      <w:r w:rsidR="003804A9">
        <w:t xml:space="preserve">wage growth for a </w:t>
      </w:r>
      <w:r w:rsidR="00065DF8" w:rsidRPr="00065DF8">
        <w:t xml:space="preserve">fixed </w:t>
      </w:r>
      <w:r w:rsidR="00AE4FC6">
        <w:t>‘</w:t>
      </w:r>
      <w:r w:rsidR="00065DF8" w:rsidRPr="00065DF8">
        <w:t>basket</w:t>
      </w:r>
      <w:r w:rsidR="00AE4FC6">
        <w:t>’</w:t>
      </w:r>
      <w:r w:rsidR="00065DF8" w:rsidRPr="00065DF8">
        <w:t xml:space="preserve"> of </w:t>
      </w:r>
      <w:r w:rsidR="003804A9">
        <w:t>constant</w:t>
      </w:r>
      <w:r w:rsidR="00AE4FC6">
        <w:noBreakHyphen/>
      </w:r>
      <w:r w:rsidR="003804A9">
        <w:t xml:space="preserve">quality </w:t>
      </w:r>
      <w:r w:rsidR="00065DF8" w:rsidRPr="00065DF8">
        <w:t>jobs</w:t>
      </w:r>
      <w:r w:rsidR="00065DF8">
        <w:t>.</w:t>
      </w:r>
    </w:p>
    <w:sectPr w:rsidR="3E9699A8" w:rsidRPr="00740BC5" w:rsidSect="00A12944">
      <w:headerReference w:type="even" r:id="rId11"/>
      <w:headerReference w:type="default" r:id="rId12"/>
      <w:footerReference w:type="even" r:id="rId13"/>
      <w:footerReference w:type="default" r:id="rId14"/>
      <w:headerReference w:type="first" r:id="rId15"/>
      <w:footerReference w:type="first" r:id="rId16"/>
      <w:pgSz w:w="11906" w:h="16838" w:code="9"/>
      <w:pgMar w:top="2268" w:right="1418" w:bottom="1418" w:left="1418" w:header="709" w:footer="709" w:gutter="0"/>
      <w:pgNumType w:start="2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DAB6" w14:textId="77777777" w:rsidR="001C1EDF" w:rsidRDefault="001C1EDF">
      <w:pPr>
        <w:spacing w:before="0" w:after="0"/>
      </w:pPr>
      <w:r>
        <w:separator/>
      </w:r>
    </w:p>
  </w:endnote>
  <w:endnote w:type="continuationSeparator" w:id="0">
    <w:p w14:paraId="46393516" w14:textId="77777777" w:rsidR="001C1EDF" w:rsidRDefault="001C1EDF">
      <w:pPr>
        <w:spacing w:before="0" w:after="0"/>
      </w:pPr>
      <w:r>
        <w:continuationSeparator/>
      </w:r>
    </w:p>
  </w:endnote>
  <w:endnote w:type="continuationNotice" w:id="1">
    <w:p w14:paraId="423A2C88" w14:textId="77777777" w:rsidR="001C1EDF" w:rsidRDefault="001C1E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24CB" w14:textId="2D8767F5" w:rsidR="002567AD" w:rsidRPr="0027070B" w:rsidRDefault="002567AD" w:rsidP="0027070B">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fldSimple w:instr=" STYLEREF  &quot;Heading 1 Appendix&quot; \l  \* MERGEFORMAT ">
      <w:r w:rsidR="0087474B">
        <w:t>Glossary of terms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0279" w14:textId="2D490392" w:rsidR="002567AD" w:rsidRPr="0027070B" w:rsidRDefault="0003774C" w:rsidP="0027070B">
    <w:pPr>
      <w:pStyle w:val="FooterOdd"/>
    </w:pPr>
    <w:fldSimple w:instr=" STYLEREF  &quot;Heading 1 Appendix&quot;  \* MERGEFORMAT ">
      <w:r w:rsidR="0087474B">
        <w:rPr>
          <w:noProof/>
        </w:rPr>
        <w:t>Glossary of terms</w:t>
      </w:r>
    </w:fldSimple>
    <w:r w:rsidR="002567AD" w:rsidRPr="002567AD">
      <w:t xml:space="preserve"> | </w:t>
    </w:r>
    <w:r w:rsidR="002567AD" w:rsidRPr="002567AD">
      <w:fldChar w:fldCharType="begin"/>
    </w:r>
    <w:r w:rsidR="002567AD" w:rsidRPr="002567AD">
      <w:instrText xml:space="preserve"> PAGE   \* MERGEFORMAT </w:instrText>
    </w:r>
    <w:r w:rsidR="002567AD" w:rsidRPr="002567AD">
      <w:fldChar w:fldCharType="separate"/>
    </w:r>
    <w:r w:rsidR="002567AD" w:rsidRPr="002567AD">
      <w:t>1</w:t>
    </w:r>
    <w:r w:rsidR="002567AD"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872A" w14:textId="77777777" w:rsidR="008C2986" w:rsidRDefault="008C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ECF9" w14:textId="77777777" w:rsidR="001C1EDF" w:rsidRPr="00ED5A20" w:rsidRDefault="001C1EDF" w:rsidP="000F6233">
      <w:pPr>
        <w:rPr>
          <w:color w:val="4D7861" w:themeColor="accent2"/>
        </w:rPr>
      </w:pPr>
      <w:r w:rsidRPr="00ED5A20">
        <w:rPr>
          <w:color w:val="4D7861" w:themeColor="accent2"/>
        </w:rPr>
        <w:separator/>
      </w:r>
    </w:p>
  </w:footnote>
  <w:footnote w:type="continuationSeparator" w:id="0">
    <w:p w14:paraId="3FD7AFB3" w14:textId="77777777" w:rsidR="001C1EDF" w:rsidRPr="00B737EB" w:rsidRDefault="001C1EDF">
      <w:pPr>
        <w:spacing w:before="0" w:after="0"/>
        <w:rPr>
          <w:color w:val="2C384A" w:themeColor="accent1"/>
        </w:rPr>
      </w:pPr>
      <w:r w:rsidRPr="00B737EB">
        <w:rPr>
          <w:color w:val="2C384A" w:themeColor="accent1"/>
        </w:rPr>
        <w:continuationSeparator/>
      </w:r>
    </w:p>
  </w:footnote>
  <w:footnote w:type="continuationNotice" w:id="1">
    <w:p w14:paraId="48C503AB" w14:textId="77777777" w:rsidR="001C1EDF" w:rsidRDefault="001C1E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FD9" w14:textId="77777777" w:rsidR="002567AD" w:rsidRPr="00AC75E2" w:rsidRDefault="002567AD" w:rsidP="00AC75E2">
    <w:pPr>
      <w:pStyle w:val="HeaderEven"/>
    </w:pPr>
    <w:r>
      <w:rPr>
        <w:noProof/>
      </w:rPr>
      <w:drawing>
        <wp:anchor distT="0" distB="0" distL="114300" distR="114300" simplePos="0" relativeHeight="251658241" behindDoc="1" locked="1" layoutInCell="1" allowOverlap="1" wp14:anchorId="4A153691" wp14:editId="08C3F8F5">
          <wp:simplePos x="0" y="0"/>
          <wp:positionH relativeFrom="page">
            <wp:posOffset>3810</wp:posOffset>
          </wp:positionH>
          <wp:positionV relativeFrom="page">
            <wp:posOffset>0</wp:posOffset>
          </wp:positionV>
          <wp:extent cx="7551420" cy="1083310"/>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0A6C" w14:textId="12CC9692" w:rsidR="002567AD" w:rsidRPr="00F60198" w:rsidRDefault="002567AD" w:rsidP="00A12F62">
    <w:pPr>
      <w:pStyle w:val="HeaderOdd"/>
    </w:pPr>
    <w:r w:rsidRPr="00F6019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2AAA" w14:textId="77777777" w:rsidR="008C2986" w:rsidRDefault="008C2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47E20CB2"/>
    <w:lvl w:ilvl="0">
      <w:start w:val="1"/>
      <w:numFmt w:val="decimal"/>
      <w:pStyle w:val="BoxHeadingBoxR1Roadmap"/>
      <w:lvlText w:val="Box R.%1"/>
      <w:lvlJc w:val="left"/>
      <w:pPr>
        <w:ind w:left="0" w:firstLine="0"/>
      </w:pPr>
      <w:rPr>
        <w:rFonts w:hint="default"/>
      </w:rPr>
    </w:lvl>
    <w:lvl w:ilvl="1">
      <w:start w:val="1"/>
      <w:numFmt w:val="decimal"/>
      <w:lvlRestart w:val="0"/>
      <w:pStyle w:val="ChartMainHeadingRoadmap"/>
      <w:lvlText w:val="Chart R.%2"/>
      <w:lvlJc w:val="left"/>
      <w:pPr>
        <w:ind w:left="0" w:firstLine="0"/>
      </w:pPr>
      <w:rPr>
        <w:rFonts w:hint="default"/>
      </w:rPr>
    </w:lvl>
    <w:lvl w:ilvl="2">
      <w:start w:val="1"/>
      <w:numFmt w:val="decimal"/>
      <w:lvlRestart w:val="0"/>
      <w:pStyle w:val="FigureMainHeadingRoadmap"/>
      <w:lvlText w:val="Figure R.%3"/>
      <w:lvlJc w:val="left"/>
      <w:pPr>
        <w:ind w:left="0" w:firstLine="0"/>
      </w:pPr>
      <w:rPr>
        <w:rFonts w:hint="default"/>
      </w:rPr>
    </w:lvl>
    <w:lvl w:ilvl="3">
      <w:start w:val="1"/>
      <w:numFmt w:val="decimal"/>
      <w:lvlRestart w:val="0"/>
      <w:pStyle w:val="TableMainHeadingRoadmap"/>
      <w:lvlText w:val="Table R.%4"/>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CC4E5D"/>
    <w:multiLevelType w:val="multilevel"/>
    <w:tmpl w:val="D10E9CF6"/>
    <w:numStyleLink w:val="OneLevelList"/>
  </w:abstractNum>
  <w:abstractNum w:abstractNumId="17" w15:restartNumberingAfterBreak="0">
    <w:nsid w:val="17DF7717"/>
    <w:multiLevelType w:val="multilevel"/>
    <w:tmpl w:val="E50A5148"/>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18"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9B057D"/>
    <w:multiLevelType w:val="multilevel"/>
    <w:tmpl w:val="526EC7D4"/>
    <w:lvl w:ilvl="0">
      <w:numFmt w:val="decimal"/>
      <w:lvlText w:val="•"/>
      <w:lvlJc w:val="left"/>
      <w:pPr>
        <w:tabs>
          <w:tab w:val="num" w:pos="520"/>
        </w:tabs>
        <w:ind w:left="520" w:hanging="520"/>
      </w:pPr>
      <w:rPr>
        <w:rFonts w:ascii="Times New Roman" w:hAnsi="Times New Roman" w:hint="default"/>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7" w15:restartNumberingAfterBreak="0">
    <w:nsid w:val="510D2021"/>
    <w:multiLevelType w:val="multilevel"/>
    <w:tmpl w:val="72F8140E"/>
    <w:numStyleLink w:val="OutlineList"/>
  </w:abstractNum>
  <w:abstractNum w:abstractNumId="2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4"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1"/>
  </w:num>
  <w:num w:numId="2">
    <w:abstractNumId w:val="12"/>
  </w:num>
  <w:num w:numId="3">
    <w:abstractNumId w:val="24"/>
  </w:num>
  <w:num w:numId="4">
    <w:abstractNumId w:val="15"/>
  </w:num>
  <w:num w:numId="5">
    <w:abstractNumId w:val="16"/>
  </w:num>
  <w:num w:numId="6">
    <w:abstractNumId w:val="27"/>
  </w:num>
  <w:num w:numId="7">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7"/>
  </w:num>
  <w:num w:numId="9">
    <w:abstractNumId w:val="13"/>
  </w:num>
  <w:num w:numId="10">
    <w:abstractNumId w:val="20"/>
  </w:num>
  <w:num w:numId="11">
    <w:abstractNumId w:val="32"/>
  </w:num>
  <w:num w:numId="12">
    <w:abstractNumId w:val="27"/>
  </w:num>
  <w:num w:numId="13">
    <w:abstractNumId w:val="33"/>
  </w:num>
  <w:num w:numId="14">
    <w:abstractNumId w:val="26"/>
  </w:num>
  <w:num w:numId="15">
    <w:abstractNumId w:val="19"/>
  </w:num>
  <w:num w:numId="16">
    <w:abstractNumId w:val="29"/>
  </w:num>
  <w:num w:numId="17">
    <w:abstractNumId w:val="2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2"/>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3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documentProtection w:edit="readOnly" w:enforcement="1" w:cryptProviderType="rsaAES" w:cryptAlgorithmClass="hash" w:cryptAlgorithmType="typeAny" w:cryptAlgorithmSid="14" w:cryptSpinCount="100000" w:hash="Diiz3W6Rp+AAaTfloSHrXXJYPj1Gd+sHI9cCyAWG5fPYXPnRzxAatVjQxZFrdE31oCgbom1lMUqcZZSxSceHXg==" w:salt="6YRV4UNmQpu4SSU2aJcJEw=="/>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3772C"/>
    <w:rsid w:val="00006EC1"/>
    <w:rsid w:val="00010D8E"/>
    <w:rsid w:val="00011725"/>
    <w:rsid w:val="00012C62"/>
    <w:rsid w:val="0001396A"/>
    <w:rsid w:val="00013B49"/>
    <w:rsid w:val="00014F26"/>
    <w:rsid w:val="00021B84"/>
    <w:rsid w:val="0002293F"/>
    <w:rsid w:val="00024615"/>
    <w:rsid w:val="00025211"/>
    <w:rsid w:val="0002544D"/>
    <w:rsid w:val="00027C94"/>
    <w:rsid w:val="00034ED6"/>
    <w:rsid w:val="0003774C"/>
    <w:rsid w:val="0004274D"/>
    <w:rsid w:val="00043348"/>
    <w:rsid w:val="00044445"/>
    <w:rsid w:val="0004483F"/>
    <w:rsid w:val="00046CB4"/>
    <w:rsid w:val="000477D1"/>
    <w:rsid w:val="00050E46"/>
    <w:rsid w:val="0005138B"/>
    <w:rsid w:val="00051B53"/>
    <w:rsid w:val="00051DE3"/>
    <w:rsid w:val="000522B7"/>
    <w:rsid w:val="00053717"/>
    <w:rsid w:val="00053C98"/>
    <w:rsid w:val="00055E2C"/>
    <w:rsid w:val="00056880"/>
    <w:rsid w:val="000605D4"/>
    <w:rsid w:val="00062334"/>
    <w:rsid w:val="00065DF8"/>
    <w:rsid w:val="00066358"/>
    <w:rsid w:val="000675D1"/>
    <w:rsid w:val="00073521"/>
    <w:rsid w:val="000742E8"/>
    <w:rsid w:val="000772C0"/>
    <w:rsid w:val="000775DE"/>
    <w:rsid w:val="00082E14"/>
    <w:rsid w:val="00087FAF"/>
    <w:rsid w:val="000901F3"/>
    <w:rsid w:val="00091074"/>
    <w:rsid w:val="00095D88"/>
    <w:rsid w:val="000A0EA2"/>
    <w:rsid w:val="000A3AA7"/>
    <w:rsid w:val="000A3C48"/>
    <w:rsid w:val="000A4AAA"/>
    <w:rsid w:val="000A79A5"/>
    <w:rsid w:val="000B093F"/>
    <w:rsid w:val="000B1A18"/>
    <w:rsid w:val="000B302A"/>
    <w:rsid w:val="000B398B"/>
    <w:rsid w:val="000B6FBF"/>
    <w:rsid w:val="000C0DF4"/>
    <w:rsid w:val="000C168A"/>
    <w:rsid w:val="000C571D"/>
    <w:rsid w:val="000C5F40"/>
    <w:rsid w:val="000C7B15"/>
    <w:rsid w:val="000D5610"/>
    <w:rsid w:val="000D5DE4"/>
    <w:rsid w:val="000E0B74"/>
    <w:rsid w:val="000E367A"/>
    <w:rsid w:val="000E460D"/>
    <w:rsid w:val="000E7901"/>
    <w:rsid w:val="000F5E67"/>
    <w:rsid w:val="000F6233"/>
    <w:rsid w:val="000F7B2B"/>
    <w:rsid w:val="00103F3C"/>
    <w:rsid w:val="001040D9"/>
    <w:rsid w:val="001118CB"/>
    <w:rsid w:val="00111E86"/>
    <w:rsid w:val="00112150"/>
    <w:rsid w:val="00114382"/>
    <w:rsid w:val="00116826"/>
    <w:rsid w:val="00116C72"/>
    <w:rsid w:val="00122F11"/>
    <w:rsid w:val="00131DC3"/>
    <w:rsid w:val="001321C6"/>
    <w:rsid w:val="00133283"/>
    <w:rsid w:val="00133E0A"/>
    <w:rsid w:val="00133F53"/>
    <w:rsid w:val="00135E4C"/>
    <w:rsid w:val="001373F5"/>
    <w:rsid w:val="00141831"/>
    <w:rsid w:val="00143E8F"/>
    <w:rsid w:val="00144A4E"/>
    <w:rsid w:val="00150812"/>
    <w:rsid w:val="00155265"/>
    <w:rsid w:val="001574C0"/>
    <w:rsid w:val="001606CF"/>
    <w:rsid w:val="001609EC"/>
    <w:rsid w:val="0016128D"/>
    <w:rsid w:val="00161C37"/>
    <w:rsid w:val="00164599"/>
    <w:rsid w:val="0017089D"/>
    <w:rsid w:val="0017231B"/>
    <w:rsid w:val="00172EF6"/>
    <w:rsid w:val="001805A8"/>
    <w:rsid w:val="001806B0"/>
    <w:rsid w:val="00185E0B"/>
    <w:rsid w:val="00186E81"/>
    <w:rsid w:val="0019039D"/>
    <w:rsid w:val="0019101A"/>
    <w:rsid w:val="00195C8E"/>
    <w:rsid w:val="00195E07"/>
    <w:rsid w:val="00196B04"/>
    <w:rsid w:val="001972D2"/>
    <w:rsid w:val="0019770D"/>
    <w:rsid w:val="001A5B44"/>
    <w:rsid w:val="001B016E"/>
    <w:rsid w:val="001B1305"/>
    <w:rsid w:val="001B28C2"/>
    <w:rsid w:val="001B3183"/>
    <w:rsid w:val="001B7C07"/>
    <w:rsid w:val="001C0D2D"/>
    <w:rsid w:val="001C1EDF"/>
    <w:rsid w:val="001C358D"/>
    <w:rsid w:val="001C40A0"/>
    <w:rsid w:val="001C53E9"/>
    <w:rsid w:val="001C55C6"/>
    <w:rsid w:val="001C65A5"/>
    <w:rsid w:val="001D07AC"/>
    <w:rsid w:val="001D62D2"/>
    <w:rsid w:val="001D70C4"/>
    <w:rsid w:val="001E1C7F"/>
    <w:rsid w:val="001E7588"/>
    <w:rsid w:val="001F1B27"/>
    <w:rsid w:val="001F1DAA"/>
    <w:rsid w:val="001F2E74"/>
    <w:rsid w:val="00200969"/>
    <w:rsid w:val="00201380"/>
    <w:rsid w:val="00205D94"/>
    <w:rsid w:val="00212A5C"/>
    <w:rsid w:val="0021314B"/>
    <w:rsid w:val="002200E5"/>
    <w:rsid w:val="00221EC0"/>
    <w:rsid w:val="00223868"/>
    <w:rsid w:val="00231049"/>
    <w:rsid w:val="002314D2"/>
    <w:rsid w:val="00231536"/>
    <w:rsid w:val="0023305C"/>
    <w:rsid w:val="00233579"/>
    <w:rsid w:val="00234B57"/>
    <w:rsid w:val="002366C5"/>
    <w:rsid w:val="00240C31"/>
    <w:rsid w:val="00241881"/>
    <w:rsid w:val="00241B6C"/>
    <w:rsid w:val="0024261D"/>
    <w:rsid w:val="002426DD"/>
    <w:rsid w:val="0024294C"/>
    <w:rsid w:val="0024357C"/>
    <w:rsid w:val="0024563E"/>
    <w:rsid w:val="002461BA"/>
    <w:rsid w:val="002533C4"/>
    <w:rsid w:val="002543D8"/>
    <w:rsid w:val="0025652F"/>
    <w:rsid w:val="002567AD"/>
    <w:rsid w:val="00256A9B"/>
    <w:rsid w:val="00260209"/>
    <w:rsid w:val="002618E0"/>
    <w:rsid w:val="00262156"/>
    <w:rsid w:val="00263B6C"/>
    <w:rsid w:val="0027070B"/>
    <w:rsid w:val="00270B07"/>
    <w:rsid w:val="00271A0B"/>
    <w:rsid w:val="00272939"/>
    <w:rsid w:val="0027590B"/>
    <w:rsid w:val="002767BF"/>
    <w:rsid w:val="002769BD"/>
    <w:rsid w:val="00277DF4"/>
    <w:rsid w:val="00280C59"/>
    <w:rsid w:val="00282A1E"/>
    <w:rsid w:val="002849CB"/>
    <w:rsid w:val="00285969"/>
    <w:rsid w:val="00286B49"/>
    <w:rsid w:val="00292187"/>
    <w:rsid w:val="00293FC9"/>
    <w:rsid w:val="00295B30"/>
    <w:rsid w:val="00296346"/>
    <w:rsid w:val="00297E3D"/>
    <w:rsid w:val="002A683C"/>
    <w:rsid w:val="002A74EF"/>
    <w:rsid w:val="002A7A31"/>
    <w:rsid w:val="002B1A4A"/>
    <w:rsid w:val="002B27FB"/>
    <w:rsid w:val="002B3829"/>
    <w:rsid w:val="002B458C"/>
    <w:rsid w:val="002B555C"/>
    <w:rsid w:val="002B5C94"/>
    <w:rsid w:val="002B7642"/>
    <w:rsid w:val="002C0FCF"/>
    <w:rsid w:val="002C139A"/>
    <w:rsid w:val="002C1E20"/>
    <w:rsid w:val="002C22EF"/>
    <w:rsid w:val="002D293A"/>
    <w:rsid w:val="002D2AE8"/>
    <w:rsid w:val="002D6F59"/>
    <w:rsid w:val="002E1FB6"/>
    <w:rsid w:val="002E25AA"/>
    <w:rsid w:val="002E3197"/>
    <w:rsid w:val="002E4147"/>
    <w:rsid w:val="002E454C"/>
    <w:rsid w:val="002E6B1C"/>
    <w:rsid w:val="002E7353"/>
    <w:rsid w:val="002F617F"/>
    <w:rsid w:val="00300109"/>
    <w:rsid w:val="00301755"/>
    <w:rsid w:val="00302E82"/>
    <w:rsid w:val="003037C5"/>
    <w:rsid w:val="00305225"/>
    <w:rsid w:val="0030665E"/>
    <w:rsid w:val="00306894"/>
    <w:rsid w:val="00311C8A"/>
    <w:rsid w:val="003122F4"/>
    <w:rsid w:val="00317D4F"/>
    <w:rsid w:val="00320AD9"/>
    <w:rsid w:val="00321A7A"/>
    <w:rsid w:val="003268D5"/>
    <w:rsid w:val="0033755F"/>
    <w:rsid w:val="003436CD"/>
    <w:rsid w:val="00344093"/>
    <w:rsid w:val="003448F6"/>
    <w:rsid w:val="00350759"/>
    <w:rsid w:val="00354D27"/>
    <w:rsid w:val="00355BE0"/>
    <w:rsid w:val="003563F7"/>
    <w:rsid w:val="0035738A"/>
    <w:rsid w:val="00360BEC"/>
    <w:rsid w:val="00363760"/>
    <w:rsid w:val="00370CC8"/>
    <w:rsid w:val="00371D53"/>
    <w:rsid w:val="00375655"/>
    <w:rsid w:val="003804A9"/>
    <w:rsid w:val="003808EC"/>
    <w:rsid w:val="003808F4"/>
    <w:rsid w:val="003812A1"/>
    <w:rsid w:val="00382D5C"/>
    <w:rsid w:val="00383459"/>
    <w:rsid w:val="00385048"/>
    <w:rsid w:val="003858A6"/>
    <w:rsid w:val="00392314"/>
    <w:rsid w:val="00392DCC"/>
    <w:rsid w:val="00394B31"/>
    <w:rsid w:val="00396261"/>
    <w:rsid w:val="00397819"/>
    <w:rsid w:val="00397BB5"/>
    <w:rsid w:val="003A1428"/>
    <w:rsid w:val="003A2EE8"/>
    <w:rsid w:val="003A4AF9"/>
    <w:rsid w:val="003A5B36"/>
    <w:rsid w:val="003A70EF"/>
    <w:rsid w:val="003B1194"/>
    <w:rsid w:val="003B47DB"/>
    <w:rsid w:val="003B6195"/>
    <w:rsid w:val="003B64F8"/>
    <w:rsid w:val="003C243B"/>
    <w:rsid w:val="003C24B4"/>
    <w:rsid w:val="003C33D3"/>
    <w:rsid w:val="003C5F49"/>
    <w:rsid w:val="003C6BA4"/>
    <w:rsid w:val="003D1985"/>
    <w:rsid w:val="003D5699"/>
    <w:rsid w:val="003D5994"/>
    <w:rsid w:val="003D68E2"/>
    <w:rsid w:val="003E102B"/>
    <w:rsid w:val="003E20D6"/>
    <w:rsid w:val="003E421A"/>
    <w:rsid w:val="003E4D87"/>
    <w:rsid w:val="003E6AEA"/>
    <w:rsid w:val="003F1986"/>
    <w:rsid w:val="003F38D7"/>
    <w:rsid w:val="003F5CD8"/>
    <w:rsid w:val="00401082"/>
    <w:rsid w:val="0040415A"/>
    <w:rsid w:val="00404B3C"/>
    <w:rsid w:val="004074E4"/>
    <w:rsid w:val="00410819"/>
    <w:rsid w:val="00411D5E"/>
    <w:rsid w:val="00413699"/>
    <w:rsid w:val="00414841"/>
    <w:rsid w:val="00414A00"/>
    <w:rsid w:val="00416762"/>
    <w:rsid w:val="00416E55"/>
    <w:rsid w:val="00421955"/>
    <w:rsid w:val="00422EE0"/>
    <w:rsid w:val="00423F79"/>
    <w:rsid w:val="0042518A"/>
    <w:rsid w:val="004276A0"/>
    <w:rsid w:val="004307B2"/>
    <w:rsid w:val="00442650"/>
    <w:rsid w:val="00443C17"/>
    <w:rsid w:val="00444A63"/>
    <w:rsid w:val="00445265"/>
    <w:rsid w:val="004459E1"/>
    <w:rsid w:val="0044628D"/>
    <w:rsid w:val="004559CE"/>
    <w:rsid w:val="004560CB"/>
    <w:rsid w:val="00460E1A"/>
    <w:rsid w:val="00463DF8"/>
    <w:rsid w:val="004650C2"/>
    <w:rsid w:val="00473A57"/>
    <w:rsid w:val="00475085"/>
    <w:rsid w:val="00476CF6"/>
    <w:rsid w:val="004778A9"/>
    <w:rsid w:val="00477A20"/>
    <w:rsid w:val="00477AA8"/>
    <w:rsid w:val="00483C3F"/>
    <w:rsid w:val="004854D5"/>
    <w:rsid w:val="004859F3"/>
    <w:rsid w:val="00486380"/>
    <w:rsid w:val="00491CCE"/>
    <w:rsid w:val="00492FCB"/>
    <w:rsid w:val="0049322E"/>
    <w:rsid w:val="00494B0C"/>
    <w:rsid w:val="00494F0F"/>
    <w:rsid w:val="004A0DCB"/>
    <w:rsid w:val="004A0F11"/>
    <w:rsid w:val="004A2EC1"/>
    <w:rsid w:val="004A3EAA"/>
    <w:rsid w:val="004A6BCA"/>
    <w:rsid w:val="004A775E"/>
    <w:rsid w:val="004A7C1E"/>
    <w:rsid w:val="004A7D97"/>
    <w:rsid w:val="004B168F"/>
    <w:rsid w:val="004B27CB"/>
    <w:rsid w:val="004B3DF4"/>
    <w:rsid w:val="004B4677"/>
    <w:rsid w:val="004B5133"/>
    <w:rsid w:val="004C2844"/>
    <w:rsid w:val="004C2902"/>
    <w:rsid w:val="004C41B6"/>
    <w:rsid w:val="004C5C68"/>
    <w:rsid w:val="004D6327"/>
    <w:rsid w:val="004D6E37"/>
    <w:rsid w:val="004E00EA"/>
    <w:rsid w:val="004E1891"/>
    <w:rsid w:val="004E478D"/>
    <w:rsid w:val="004E6B14"/>
    <w:rsid w:val="004F1B3C"/>
    <w:rsid w:val="004F4B92"/>
    <w:rsid w:val="004F5A95"/>
    <w:rsid w:val="004F79A1"/>
    <w:rsid w:val="00501B6C"/>
    <w:rsid w:val="005021AD"/>
    <w:rsid w:val="00502A9D"/>
    <w:rsid w:val="00510136"/>
    <w:rsid w:val="00516785"/>
    <w:rsid w:val="00516B74"/>
    <w:rsid w:val="00517802"/>
    <w:rsid w:val="00517FC3"/>
    <w:rsid w:val="005221E4"/>
    <w:rsid w:val="00522A31"/>
    <w:rsid w:val="0052419D"/>
    <w:rsid w:val="00524E5E"/>
    <w:rsid w:val="00525B05"/>
    <w:rsid w:val="0052657B"/>
    <w:rsid w:val="005301F8"/>
    <w:rsid w:val="005312FC"/>
    <w:rsid w:val="00532C6D"/>
    <w:rsid w:val="0053569E"/>
    <w:rsid w:val="00535C47"/>
    <w:rsid w:val="0053603D"/>
    <w:rsid w:val="0053742A"/>
    <w:rsid w:val="00537C85"/>
    <w:rsid w:val="00541D29"/>
    <w:rsid w:val="00543F23"/>
    <w:rsid w:val="00545EC5"/>
    <w:rsid w:val="00550060"/>
    <w:rsid w:val="005569DB"/>
    <w:rsid w:val="0056128B"/>
    <w:rsid w:val="005624FB"/>
    <w:rsid w:val="00562F17"/>
    <w:rsid w:val="00563E80"/>
    <w:rsid w:val="0056582C"/>
    <w:rsid w:val="005672A6"/>
    <w:rsid w:val="0057083E"/>
    <w:rsid w:val="0057153D"/>
    <w:rsid w:val="00574C9F"/>
    <w:rsid w:val="00575ED1"/>
    <w:rsid w:val="005776B2"/>
    <w:rsid w:val="00581D13"/>
    <w:rsid w:val="00586605"/>
    <w:rsid w:val="005868DE"/>
    <w:rsid w:val="005877AC"/>
    <w:rsid w:val="00592971"/>
    <w:rsid w:val="005966B7"/>
    <w:rsid w:val="00597329"/>
    <w:rsid w:val="005B5A10"/>
    <w:rsid w:val="005B5E2A"/>
    <w:rsid w:val="005C02A4"/>
    <w:rsid w:val="005C0789"/>
    <w:rsid w:val="005C20D2"/>
    <w:rsid w:val="005C2A13"/>
    <w:rsid w:val="005C32FE"/>
    <w:rsid w:val="005C503A"/>
    <w:rsid w:val="005D024A"/>
    <w:rsid w:val="005D2EBB"/>
    <w:rsid w:val="005D34FA"/>
    <w:rsid w:val="005D4521"/>
    <w:rsid w:val="005D4FD4"/>
    <w:rsid w:val="005D6738"/>
    <w:rsid w:val="005D6D64"/>
    <w:rsid w:val="005D6F61"/>
    <w:rsid w:val="005E1D03"/>
    <w:rsid w:val="005E28E6"/>
    <w:rsid w:val="005E3F07"/>
    <w:rsid w:val="005E56C0"/>
    <w:rsid w:val="005F3550"/>
    <w:rsid w:val="005F4260"/>
    <w:rsid w:val="005F52BF"/>
    <w:rsid w:val="005F5956"/>
    <w:rsid w:val="00601650"/>
    <w:rsid w:val="00603E91"/>
    <w:rsid w:val="00604EEF"/>
    <w:rsid w:val="00605AFD"/>
    <w:rsid w:val="00605E46"/>
    <w:rsid w:val="00606C83"/>
    <w:rsid w:val="00606F68"/>
    <w:rsid w:val="006101B0"/>
    <w:rsid w:val="00612388"/>
    <w:rsid w:val="006123D4"/>
    <w:rsid w:val="0061445B"/>
    <w:rsid w:val="00617E8E"/>
    <w:rsid w:val="00620E74"/>
    <w:rsid w:val="00624C4B"/>
    <w:rsid w:val="006250E2"/>
    <w:rsid w:val="00631AB0"/>
    <w:rsid w:val="00632EFD"/>
    <w:rsid w:val="00636955"/>
    <w:rsid w:val="00645AC2"/>
    <w:rsid w:val="006469CC"/>
    <w:rsid w:val="0065285F"/>
    <w:rsid w:val="006533D9"/>
    <w:rsid w:val="00657E89"/>
    <w:rsid w:val="00663610"/>
    <w:rsid w:val="006656CD"/>
    <w:rsid w:val="00665EBD"/>
    <w:rsid w:val="00666F61"/>
    <w:rsid w:val="00667439"/>
    <w:rsid w:val="00672B5D"/>
    <w:rsid w:val="0067622C"/>
    <w:rsid w:val="0067665E"/>
    <w:rsid w:val="00680C8A"/>
    <w:rsid w:val="00680D8E"/>
    <w:rsid w:val="0068216C"/>
    <w:rsid w:val="00682249"/>
    <w:rsid w:val="00685418"/>
    <w:rsid w:val="00685CF7"/>
    <w:rsid w:val="00686165"/>
    <w:rsid w:val="0068617F"/>
    <w:rsid w:val="00687EDE"/>
    <w:rsid w:val="00691CB5"/>
    <w:rsid w:val="006923DF"/>
    <w:rsid w:val="00692FA3"/>
    <w:rsid w:val="006A16EF"/>
    <w:rsid w:val="006A197F"/>
    <w:rsid w:val="006A3250"/>
    <w:rsid w:val="006A37F5"/>
    <w:rsid w:val="006A48CF"/>
    <w:rsid w:val="006A5CDC"/>
    <w:rsid w:val="006A608D"/>
    <w:rsid w:val="006A740B"/>
    <w:rsid w:val="006B1BBC"/>
    <w:rsid w:val="006B1F22"/>
    <w:rsid w:val="006B3619"/>
    <w:rsid w:val="006B38FF"/>
    <w:rsid w:val="006B4035"/>
    <w:rsid w:val="006C0702"/>
    <w:rsid w:val="006C099B"/>
    <w:rsid w:val="006C1892"/>
    <w:rsid w:val="006C5B73"/>
    <w:rsid w:val="006C645D"/>
    <w:rsid w:val="006D4E41"/>
    <w:rsid w:val="006D61D2"/>
    <w:rsid w:val="006E1A81"/>
    <w:rsid w:val="006E2D2A"/>
    <w:rsid w:val="006E3CC3"/>
    <w:rsid w:val="006E72B4"/>
    <w:rsid w:val="006E76C1"/>
    <w:rsid w:val="006E7AA7"/>
    <w:rsid w:val="006F2558"/>
    <w:rsid w:val="006F49D6"/>
    <w:rsid w:val="006F6939"/>
    <w:rsid w:val="00701B3E"/>
    <w:rsid w:val="00702063"/>
    <w:rsid w:val="00704C8F"/>
    <w:rsid w:val="00706E8E"/>
    <w:rsid w:val="0070730E"/>
    <w:rsid w:val="007110CC"/>
    <w:rsid w:val="0071333B"/>
    <w:rsid w:val="00714CDB"/>
    <w:rsid w:val="00720821"/>
    <w:rsid w:val="00720D63"/>
    <w:rsid w:val="00721B01"/>
    <w:rsid w:val="00721B38"/>
    <w:rsid w:val="00722B53"/>
    <w:rsid w:val="007243CE"/>
    <w:rsid w:val="00726E75"/>
    <w:rsid w:val="00735FDE"/>
    <w:rsid w:val="007371CE"/>
    <w:rsid w:val="00740BC5"/>
    <w:rsid w:val="00742366"/>
    <w:rsid w:val="00744484"/>
    <w:rsid w:val="0074642A"/>
    <w:rsid w:val="007479BE"/>
    <w:rsid w:val="00747DA9"/>
    <w:rsid w:val="007509DD"/>
    <w:rsid w:val="00752B3E"/>
    <w:rsid w:val="0075498E"/>
    <w:rsid w:val="00754E97"/>
    <w:rsid w:val="00756162"/>
    <w:rsid w:val="007564B5"/>
    <w:rsid w:val="00763474"/>
    <w:rsid w:val="00763FB8"/>
    <w:rsid w:val="00764D1E"/>
    <w:rsid w:val="00765667"/>
    <w:rsid w:val="00766184"/>
    <w:rsid w:val="00771F2E"/>
    <w:rsid w:val="00772D74"/>
    <w:rsid w:val="007811A4"/>
    <w:rsid w:val="0078257B"/>
    <w:rsid w:val="00783D75"/>
    <w:rsid w:val="00784C0A"/>
    <w:rsid w:val="00784DC4"/>
    <w:rsid w:val="00785DCB"/>
    <w:rsid w:val="00787ECD"/>
    <w:rsid w:val="0079333B"/>
    <w:rsid w:val="00794B40"/>
    <w:rsid w:val="00796E26"/>
    <w:rsid w:val="007A1079"/>
    <w:rsid w:val="007A2316"/>
    <w:rsid w:val="007A29B7"/>
    <w:rsid w:val="007A73F0"/>
    <w:rsid w:val="007B2677"/>
    <w:rsid w:val="007B3CFD"/>
    <w:rsid w:val="007B49F8"/>
    <w:rsid w:val="007B76AB"/>
    <w:rsid w:val="007C4362"/>
    <w:rsid w:val="007C4EAC"/>
    <w:rsid w:val="007D163B"/>
    <w:rsid w:val="007D22C3"/>
    <w:rsid w:val="007D42F9"/>
    <w:rsid w:val="007D538D"/>
    <w:rsid w:val="007D592B"/>
    <w:rsid w:val="007D5989"/>
    <w:rsid w:val="007D5AA6"/>
    <w:rsid w:val="007D76D9"/>
    <w:rsid w:val="007D7A91"/>
    <w:rsid w:val="007E3493"/>
    <w:rsid w:val="007E3634"/>
    <w:rsid w:val="007E37B0"/>
    <w:rsid w:val="007E6456"/>
    <w:rsid w:val="007F492B"/>
    <w:rsid w:val="007F635B"/>
    <w:rsid w:val="007F7F8A"/>
    <w:rsid w:val="00803EB5"/>
    <w:rsid w:val="00804E0E"/>
    <w:rsid w:val="00810569"/>
    <w:rsid w:val="00811943"/>
    <w:rsid w:val="00815C81"/>
    <w:rsid w:val="0082076D"/>
    <w:rsid w:val="00822BC9"/>
    <w:rsid w:val="008243A3"/>
    <w:rsid w:val="00825638"/>
    <w:rsid w:val="008311B8"/>
    <w:rsid w:val="008337CC"/>
    <w:rsid w:val="00833B5B"/>
    <w:rsid w:val="00834243"/>
    <w:rsid w:val="008374C4"/>
    <w:rsid w:val="0083772C"/>
    <w:rsid w:val="0085116C"/>
    <w:rsid w:val="008528CC"/>
    <w:rsid w:val="00853505"/>
    <w:rsid w:val="00855264"/>
    <w:rsid w:val="00857969"/>
    <w:rsid w:val="00857A19"/>
    <w:rsid w:val="00863548"/>
    <w:rsid w:val="00864CEA"/>
    <w:rsid w:val="00872247"/>
    <w:rsid w:val="0087474B"/>
    <w:rsid w:val="00874773"/>
    <w:rsid w:val="00874C28"/>
    <w:rsid w:val="00875AD4"/>
    <w:rsid w:val="008761B3"/>
    <w:rsid w:val="00882CC4"/>
    <w:rsid w:val="008844AC"/>
    <w:rsid w:val="008906AF"/>
    <w:rsid w:val="00890D82"/>
    <w:rsid w:val="00891061"/>
    <w:rsid w:val="00893441"/>
    <w:rsid w:val="00896F41"/>
    <w:rsid w:val="00897044"/>
    <w:rsid w:val="00897F46"/>
    <w:rsid w:val="008A45CB"/>
    <w:rsid w:val="008A7C97"/>
    <w:rsid w:val="008B34CC"/>
    <w:rsid w:val="008B39DF"/>
    <w:rsid w:val="008B3D35"/>
    <w:rsid w:val="008B6FDB"/>
    <w:rsid w:val="008C2986"/>
    <w:rsid w:val="008C70CA"/>
    <w:rsid w:val="008C7F71"/>
    <w:rsid w:val="008D0F46"/>
    <w:rsid w:val="008D1DCB"/>
    <w:rsid w:val="008D213C"/>
    <w:rsid w:val="008D339F"/>
    <w:rsid w:val="008D5366"/>
    <w:rsid w:val="008D6073"/>
    <w:rsid w:val="008E24D2"/>
    <w:rsid w:val="008E3446"/>
    <w:rsid w:val="008E6292"/>
    <w:rsid w:val="008F1082"/>
    <w:rsid w:val="008F23EB"/>
    <w:rsid w:val="008F31C8"/>
    <w:rsid w:val="008F7D86"/>
    <w:rsid w:val="00900E97"/>
    <w:rsid w:val="00906599"/>
    <w:rsid w:val="00906E61"/>
    <w:rsid w:val="009124D3"/>
    <w:rsid w:val="00917E28"/>
    <w:rsid w:val="0092035E"/>
    <w:rsid w:val="00921630"/>
    <w:rsid w:val="00923F62"/>
    <w:rsid w:val="00924180"/>
    <w:rsid w:val="00924E16"/>
    <w:rsid w:val="00925AA5"/>
    <w:rsid w:val="0093022B"/>
    <w:rsid w:val="00930BF2"/>
    <w:rsid w:val="00931604"/>
    <w:rsid w:val="0093540D"/>
    <w:rsid w:val="0094019D"/>
    <w:rsid w:val="0094108B"/>
    <w:rsid w:val="009417E5"/>
    <w:rsid w:val="00942319"/>
    <w:rsid w:val="00942C11"/>
    <w:rsid w:val="00943428"/>
    <w:rsid w:val="0094351F"/>
    <w:rsid w:val="00943D27"/>
    <w:rsid w:val="009472E5"/>
    <w:rsid w:val="009506A9"/>
    <w:rsid w:val="00950EB3"/>
    <w:rsid w:val="009547F8"/>
    <w:rsid w:val="0095535E"/>
    <w:rsid w:val="00955A38"/>
    <w:rsid w:val="00956858"/>
    <w:rsid w:val="00957102"/>
    <w:rsid w:val="00961133"/>
    <w:rsid w:val="00962ACF"/>
    <w:rsid w:val="00962D62"/>
    <w:rsid w:val="00967D92"/>
    <w:rsid w:val="009729D4"/>
    <w:rsid w:val="0097311F"/>
    <w:rsid w:val="00973F7E"/>
    <w:rsid w:val="00980759"/>
    <w:rsid w:val="009817B0"/>
    <w:rsid w:val="009821CE"/>
    <w:rsid w:val="00983836"/>
    <w:rsid w:val="00986D7E"/>
    <w:rsid w:val="009900B4"/>
    <w:rsid w:val="00990AB6"/>
    <w:rsid w:val="009A277C"/>
    <w:rsid w:val="009A518D"/>
    <w:rsid w:val="009A658F"/>
    <w:rsid w:val="009A672D"/>
    <w:rsid w:val="009A75F1"/>
    <w:rsid w:val="009A7911"/>
    <w:rsid w:val="009B088F"/>
    <w:rsid w:val="009B0A86"/>
    <w:rsid w:val="009B2249"/>
    <w:rsid w:val="009B7476"/>
    <w:rsid w:val="009C1BE2"/>
    <w:rsid w:val="009C4296"/>
    <w:rsid w:val="009C45BA"/>
    <w:rsid w:val="009C4E50"/>
    <w:rsid w:val="009C5A9D"/>
    <w:rsid w:val="009C616A"/>
    <w:rsid w:val="009D119C"/>
    <w:rsid w:val="009D2CFF"/>
    <w:rsid w:val="009D4E29"/>
    <w:rsid w:val="009E0CA5"/>
    <w:rsid w:val="009E1675"/>
    <w:rsid w:val="009E171B"/>
    <w:rsid w:val="009F2328"/>
    <w:rsid w:val="009F3BF0"/>
    <w:rsid w:val="00A015E8"/>
    <w:rsid w:val="00A026A6"/>
    <w:rsid w:val="00A02FAB"/>
    <w:rsid w:val="00A03796"/>
    <w:rsid w:val="00A04090"/>
    <w:rsid w:val="00A0549F"/>
    <w:rsid w:val="00A07D47"/>
    <w:rsid w:val="00A10593"/>
    <w:rsid w:val="00A12944"/>
    <w:rsid w:val="00A12BBC"/>
    <w:rsid w:val="00A12F62"/>
    <w:rsid w:val="00A14437"/>
    <w:rsid w:val="00A14FE9"/>
    <w:rsid w:val="00A152F6"/>
    <w:rsid w:val="00A207C4"/>
    <w:rsid w:val="00A235FE"/>
    <w:rsid w:val="00A2723C"/>
    <w:rsid w:val="00A27A5C"/>
    <w:rsid w:val="00A3355C"/>
    <w:rsid w:val="00A36614"/>
    <w:rsid w:val="00A36F74"/>
    <w:rsid w:val="00A373F0"/>
    <w:rsid w:val="00A3749B"/>
    <w:rsid w:val="00A3764C"/>
    <w:rsid w:val="00A37D87"/>
    <w:rsid w:val="00A50985"/>
    <w:rsid w:val="00A50D88"/>
    <w:rsid w:val="00A51392"/>
    <w:rsid w:val="00A5165A"/>
    <w:rsid w:val="00A51E83"/>
    <w:rsid w:val="00A52C71"/>
    <w:rsid w:val="00A540D3"/>
    <w:rsid w:val="00A54107"/>
    <w:rsid w:val="00A5446D"/>
    <w:rsid w:val="00A54654"/>
    <w:rsid w:val="00A560C6"/>
    <w:rsid w:val="00A56923"/>
    <w:rsid w:val="00A62E42"/>
    <w:rsid w:val="00A64A71"/>
    <w:rsid w:val="00A653ED"/>
    <w:rsid w:val="00A70CFB"/>
    <w:rsid w:val="00A7236C"/>
    <w:rsid w:val="00A72960"/>
    <w:rsid w:val="00A72D8F"/>
    <w:rsid w:val="00A7342E"/>
    <w:rsid w:val="00A742EE"/>
    <w:rsid w:val="00A746BC"/>
    <w:rsid w:val="00A74815"/>
    <w:rsid w:val="00A74A26"/>
    <w:rsid w:val="00A74B62"/>
    <w:rsid w:val="00A802B9"/>
    <w:rsid w:val="00A818FE"/>
    <w:rsid w:val="00A82CF4"/>
    <w:rsid w:val="00A84A92"/>
    <w:rsid w:val="00A93401"/>
    <w:rsid w:val="00A9391D"/>
    <w:rsid w:val="00A95500"/>
    <w:rsid w:val="00A97160"/>
    <w:rsid w:val="00A971E4"/>
    <w:rsid w:val="00AA2527"/>
    <w:rsid w:val="00AA44E4"/>
    <w:rsid w:val="00AA57A2"/>
    <w:rsid w:val="00AB04CD"/>
    <w:rsid w:val="00AB0675"/>
    <w:rsid w:val="00AC3196"/>
    <w:rsid w:val="00AC4065"/>
    <w:rsid w:val="00AC481F"/>
    <w:rsid w:val="00AC5E47"/>
    <w:rsid w:val="00AC75E2"/>
    <w:rsid w:val="00AD3D13"/>
    <w:rsid w:val="00AD52EE"/>
    <w:rsid w:val="00AD7FC2"/>
    <w:rsid w:val="00AE1D06"/>
    <w:rsid w:val="00AE2F90"/>
    <w:rsid w:val="00AE4FC6"/>
    <w:rsid w:val="00AE7E09"/>
    <w:rsid w:val="00AF1303"/>
    <w:rsid w:val="00AF18EE"/>
    <w:rsid w:val="00AF2741"/>
    <w:rsid w:val="00AF6C95"/>
    <w:rsid w:val="00B01928"/>
    <w:rsid w:val="00B03DD6"/>
    <w:rsid w:val="00B04870"/>
    <w:rsid w:val="00B11C5D"/>
    <w:rsid w:val="00B126C8"/>
    <w:rsid w:val="00B14094"/>
    <w:rsid w:val="00B214C6"/>
    <w:rsid w:val="00B21AEC"/>
    <w:rsid w:val="00B25218"/>
    <w:rsid w:val="00B26517"/>
    <w:rsid w:val="00B2707D"/>
    <w:rsid w:val="00B30242"/>
    <w:rsid w:val="00B327AD"/>
    <w:rsid w:val="00B34858"/>
    <w:rsid w:val="00B3583B"/>
    <w:rsid w:val="00B37A8F"/>
    <w:rsid w:val="00B4768D"/>
    <w:rsid w:val="00B508D2"/>
    <w:rsid w:val="00B52DAF"/>
    <w:rsid w:val="00B55154"/>
    <w:rsid w:val="00B55B04"/>
    <w:rsid w:val="00B6236B"/>
    <w:rsid w:val="00B62988"/>
    <w:rsid w:val="00B65347"/>
    <w:rsid w:val="00B65B84"/>
    <w:rsid w:val="00B65DE1"/>
    <w:rsid w:val="00B6711E"/>
    <w:rsid w:val="00B709ED"/>
    <w:rsid w:val="00B72AF0"/>
    <w:rsid w:val="00B737EB"/>
    <w:rsid w:val="00B75F04"/>
    <w:rsid w:val="00B775EE"/>
    <w:rsid w:val="00B833EC"/>
    <w:rsid w:val="00B8446D"/>
    <w:rsid w:val="00B85904"/>
    <w:rsid w:val="00B87927"/>
    <w:rsid w:val="00B87A65"/>
    <w:rsid w:val="00B92BA0"/>
    <w:rsid w:val="00B946B7"/>
    <w:rsid w:val="00B95984"/>
    <w:rsid w:val="00B95BC6"/>
    <w:rsid w:val="00BA0C63"/>
    <w:rsid w:val="00BA4E8D"/>
    <w:rsid w:val="00BA60FB"/>
    <w:rsid w:val="00BA7073"/>
    <w:rsid w:val="00BB00EC"/>
    <w:rsid w:val="00BB00F3"/>
    <w:rsid w:val="00BB5053"/>
    <w:rsid w:val="00BB5524"/>
    <w:rsid w:val="00BC23D5"/>
    <w:rsid w:val="00BC36E2"/>
    <w:rsid w:val="00BC40C1"/>
    <w:rsid w:val="00BC6E69"/>
    <w:rsid w:val="00BD02AF"/>
    <w:rsid w:val="00BD0E26"/>
    <w:rsid w:val="00BD26AA"/>
    <w:rsid w:val="00BD2B12"/>
    <w:rsid w:val="00BD454F"/>
    <w:rsid w:val="00BD5D5C"/>
    <w:rsid w:val="00BD759B"/>
    <w:rsid w:val="00BE39CF"/>
    <w:rsid w:val="00BE433F"/>
    <w:rsid w:val="00BE6828"/>
    <w:rsid w:val="00BE7EA5"/>
    <w:rsid w:val="00BF1033"/>
    <w:rsid w:val="00BF17DB"/>
    <w:rsid w:val="00BF27C3"/>
    <w:rsid w:val="00BF2F5A"/>
    <w:rsid w:val="00BF7C76"/>
    <w:rsid w:val="00BF7D22"/>
    <w:rsid w:val="00C01DCC"/>
    <w:rsid w:val="00C03EBD"/>
    <w:rsid w:val="00C07685"/>
    <w:rsid w:val="00C158C1"/>
    <w:rsid w:val="00C178C5"/>
    <w:rsid w:val="00C17DB5"/>
    <w:rsid w:val="00C202B3"/>
    <w:rsid w:val="00C21EE0"/>
    <w:rsid w:val="00C249D8"/>
    <w:rsid w:val="00C26446"/>
    <w:rsid w:val="00C30297"/>
    <w:rsid w:val="00C3776E"/>
    <w:rsid w:val="00C407D9"/>
    <w:rsid w:val="00C42321"/>
    <w:rsid w:val="00C50B48"/>
    <w:rsid w:val="00C51250"/>
    <w:rsid w:val="00C555AC"/>
    <w:rsid w:val="00C563D4"/>
    <w:rsid w:val="00C57516"/>
    <w:rsid w:val="00C607C0"/>
    <w:rsid w:val="00C611DE"/>
    <w:rsid w:val="00C62B59"/>
    <w:rsid w:val="00C713ED"/>
    <w:rsid w:val="00C72318"/>
    <w:rsid w:val="00C724E6"/>
    <w:rsid w:val="00C72F28"/>
    <w:rsid w:val="00C747A5"/>
    <w:rsid w:val="00C81CDD"/>
    <w:rsid w:val="00C84F98"/>
    <w:rsid w:val="00C85314"/>
    <w:rsid w:val="00C865D7"/>
    <w:rsid w:val="00C922D5"/>
    <w:rsid w:val="00C93583"/>
    <w:rsid w:val="00C964E0"/>
    <w:rsid w:val="00C96F66"/>
    <w:rsid w:val="00CA0116"/>
    <w:rsid w:val="00CA0F7D"/>
    <w:rsid w:val="00CA151C"/>
    <w:rsid w:val="00CA347F"/>
    <w:rsid w:val="00CA391B"/>
    <w:rsid w:val="00CA4366"/>
    <w:rsid w:val="00CA4BC0"/>
    <w:rsid w:val="00CA5CA8"/>
    <w:rsid w:val="00CB0157"/>
    <w:rsid w:val="00CB1717"/>
    <w:rsid w:val="00CB28E9"/>
    <w:rsid w:val="00CB4E2C"/>
    <w:rsid w:val="00CB5205"/>
    <w:rsid w:val="00CC17A7"/>
    <w:rsid w:val="00CC38AC"/>
    <w:rsid w:val="00CC3FF2"/>
    <w:rsid w:val="00CC559D"/>
    <w:rsid w:val="00CC6154"/>
    <w:rsid w:val="00CD0C13"/>
    <w:rsid w:val="00CD166D"/>
    <w:rsid w:val="00CD654B"/>
    <w:rsid w:val="00CE1E77"/>
    <w:rsid w:val="00CE223E"/>
    <w:rsid w:val="00CE2F00"/>
    <w:rsid w:val="00CE35CF"/>
    <w:rsid w:val="00CE40E1"/>
    <w:rsid w:val="00CE4AC3"/>
    <w:rsid w:val="00CE4D85"/>
    <w:rsid w:val="00CF3F0D"/>
    <w:rsid w:val="00D00064"/>
    <w:rsid w:val="00D01D5B"/>
    <w:rsid w:val="00D024EB"/>
    <w:rsid w:val="00D063D4"/>
    <w:rsid w:val="00D079E6"/>
    <w:rsid w:val="00D101F7"/>
    <w:rsid w:val="00D107E8"/>
    <w:rsid w:val="00D145F5"/>
    <w:rsid w:val="00D150A9"/>
    <w:rsid w:val="00D20C7A"/>
    <w:rsid w:val="00D232CC"/>
    <w:rsid w:val="00D26884"/>
    <w:rsid w:val="00D27104"/>
    <w:rsid w:val="00D27FCB"/>
    <w:rsid w:val="00D316A1"/>
    <w:rsid w:val="00D329F1"/>
    <w:rsid w:val="00D355F0"/>
    <w:rsid w:val="00D356C7"/>
    <w:rsid w:val="00D4361F"/>
    <w:rsid w:val="00D43AC8"/>
    <w:rsid w:val="00D4687F"/>
    <w:rsid w:val="00D50879"/>
    <w:rsid w:val="00D51610"/>
    <w:rsid w:val="00D56113"/>
    <w:rsid w:val="00D56CAA"/>
    <w:rsid w:val="00D643F4"/>
    <w:rsid w:val="00D649EC"/>
    <w:rsid w:val="00D66D0B"/>
    <w:rsid w:val="00D709B3"/>
    <w:rsid w:val="00D71FAE"/>
    <w:rsid w:val="00D72F9D"/>
    <w:rsid w:val="00D73B89"/>
    <w:rsid w:val="00D833D9"/>
    <w:rsid w:val="00D83BD9"/>
    <w:rsid w:val="00D85ABB"/>
    <w:rsid w:val="00D917F7"/>
    <w:rsid w:val="00D94763"/>
    <w:rsid w:val="00D94DCF"/>
    <w:rsid w:val="00D94EAE"/>
    <w:rsid w:val="00D95C14"/>
    <w:rsid w:val="00D96C9D"/>
    <w:rsid w:val="00DA229C"/>
    <w:rsid w:val="00DA586F"/>
    <w:rsid w:val="00DA7CB7"/>
    <w:rsid w:val="00DB08DA"/>
    <w:rsid w:val="00DB130A"/>
    <w:rsid w:val="00DB1D72"/>
    <w:rsid w:val="00DB2A0C"/>
    <w:rsid w:val="00DB2E78"/>
    <w:rsid w:val="00DB2EA9"/>
    <w:rsid w:val="00DB485A"/>
    <w:rsid w:val="00DB58E1"/>
    <w:rsid w:val="00DB5B1C"/>
    <w:rsid w:val="00DB7F09"/>
    <w:rsid w:val="00DC00E8"/>
    <w:rsid w:val="00DC01D1"/>
    <w:rsid w:val="00DC1C56"/>
    <w:rsid w:val="00DC4756"/>
    <w:rsid w:val="00DC626A"/>
    <w:rsid w:val="00DC6379"/>
    <w:rsid w:val="00DC6AAD"/>
    <w:rsid w:val="00DD0816"/>
    <w:rsid w:val="00DD336F"/>
    <w:rsid w:val="00DD3435"/>
    <w:rsid w:val="00DD4F87"/>
    <w:rsid w:val="00DD7E97"/>
    <w:rsid w:val="00DE1E0C"/>
    <w:rsid w:val="00DE2763"/>
    <w:rsid w:val="00DE2AFF"/>
    <w:rsid w:val="00DE3A53"/>
    <w:rsid w:val="00DE3C77"/>
    <w:rsid w:val="00DE3FC9"/>
    <w:rsid w:val="00DE491E"/>
    <w:rsid w:val="00DE56BE"/>
    <w:rsid w:val="00DE57A2"/>
    <w:rsid w:val="00DE70F1"/>
    <w:rsid w:val="00DF1F46"/>
    <w:rsid w:val="00DF60FD"/>
    <w:rsid w:val="00DF6F61"/>
    <w:rsid w:val="00E00443"/>
    <w:rsid w:val="00E012B8"/>
    <w:rsid w:val="00E033F7"/>
    <w:rsid w:val="00E0514E"/>
    <w:rsid w:val="00E061DE"/>
    <w:rsid w:val="00E06C74"/>
    <w:rsid w:val="00E101C6"/>
    <w:rsid w:val="00E10FA9"/>
    <w:rsid w:val="00E121E3"/>
    <w:rsid w:val="00E16430"/>
    <w:rsid w:val="00E22C80"/>
    <w:rsid w:val="00E22D51"/>
    <w:rsid w:val="00E23857"/>
    <w:rsid w:val="00E24E22"/>
    <w:rsid w:val="00E273AD"/>
    <w:rsid w:val="00E27A4A"/>
    <w:rsid w:val="00E27D6A"/>
    <w:rsid w:val="00E31296"/>
    <w:rsid w:val="00E31903"/>
    <w:rsid w:val="00E349A7"/>
    <w:rsid w:val="00E34BA5"/>
    <w:rsid w:val="00E4008D"/>
    <w:rsid w:val="00E404EB"/>
    <w:rsid w:val="00E40A41"/>
    <w:rsid w:val="00E44E9A"/>
    <w:rsid w:val="00E46238"/>
    <w:rsid w:val="00E4776B"/>
    <w:rsid w:val="00E509CA"/>
    <w:rsid w:val="00E50E7C"/>
    <w:rsid w:val="00E511C0"/>
    <w:rsid w:val="00E51545"/>
    <w:rsid w:val="00E51D9E"/>
    <w:rsid w:val="00E52302"/>
    <w:rsid w:val="00E537D1"/>
    <w:rsid w:val="00E55534"/>
    <w:rsid w:val="00E567E6"/>
    <w:rsid w:val="00E56971"/>
    <w:rsid w:val="00E57B45"/>
    <w:rsid w:val="00E57D63"/>
    <w:rsid w:val="00E61484"/>
    <w:rsid w:val="00E638B2"/>
    <w:rsid w:val="00E7017C"/>
    <w:rsid w:val="00E711D7"/>
    <w:rsid w:val="00E73156"/>
    <w:rsid w:val="00E7507D"/>
    <w:rsid w:val="00E77AF5"/>
    <w:rsid w:val="00E815E1"/>
    <w:rsid w:val="00E82949"/>
    <w:rsid w:val="00E8590B"/>
    <w:rsid w:val="00E872EB"/>
    <w:rsid w:val="00E902B0"/>
    <w:rsid w:val="00E902E8"/>
    <w:rsid w:val="00E908F0"/>
    <w:rsid w:val="00E9296B"/>
    <w:rsid w:val="00E93FC4"/>
    <w:rsid w:val="00E9421B"/>
    <w:rsid w:val="00E97C19"/>
    <w:rsid w:val="00EA198B"/>
    <w:rsid w:val="00EA23AC"/>
    <w:rsid w:val="00EA398F"/>
    <w:rsid w:val="00EA46B2"/>
    <w:rsid w:val="00EA6949"/>
    <w:rsid w:val="00EA79E8"/>
    <w:rsid w:val="00EA7C3D"/>
    <w:rsid w:val="00EB2309"/>
    <w:rsid w:val="00EB43C3"/>
    <w:rsid w:val="00EB4B0B"/>
    <w:rsid w:val="00EB5D94"/>
    <w:rsid w:val="00EB6878"/>
    <w:rsid w:val="00EB6CD6"/>
    <w:rsid w:val="00EB7002"/>
    <w:rsid w:val="00EC1E0E"/>
    <w:rsid w:val="00EC20F5"/>
    <w:rsid w:val="00EC236D"/>
    <w:rsid w:val="00EC424F"/>
    <w:rsid w:val="00EC6B16"/>
    <w:rsid w:val="00ED5A20"/>
    <w:rsid w:val="00EE033C"/>
    <w:rsid w:val="00EE1447"/>
    <w:rsid w:val="00EE18EA"/>
    <w:rsid w:val="00EE19B9"/>
    <w:rsid w:val="00EE1BF1"/>
    <w:rsid w:val="00EE2298"/>
    <w:rsid w:val="00EE37D8"/>
    <w:rsid w:val="00EE4864"/>
    <w:rsid w:val="00EE7699"/>
    <w:rsid w:val="00EE7744"/>
    <w:rsid w:val="00EF03E1"/>
    <w:rsid w:val="00EF145E"/>
    <w:rsid w:val="00EF214F"/>
    <w:rsid w:val="00EF21E8"/>
    <w:rsid w:val="00EF2BBB"/>
    <w:rsid w:val="00EF4AA0"/>
    <w:rsid w:val="00F0082D"/>
    <w:rsid w:val="00F01562"/>
    <w:rsid w:val="00F015AB"/>
    <w:rsid w:val="00F03469"/>
    <w:rsid w:val="00F045E0"/>
    <w:rsid w:val="00F0537B"/>
    <w:rsid w:val="00F06262"/>
    <w:rsid w:val="00F07C90"/>
    <w:rsid w:val="00F113AF"/>
    <w:rsid w:val="00F12FEE"/>
    <w:rsid w:val="00F15A4D"/>
    <w:rsid w:val="00F15AA5"/>
    <w:rsid w:val="00F20F8A"/>
    <w:rsid w:val="00F27842"/>
    <w:rsid w:val="00F3007B"/>
    <w:rsid w:val="00F304A4"/>
    <w:rsid w:val="00F33DB8"/>
    <w:rsid w:val="00F35AB9"/>
    <w:rsid w:val="00F37EE0"/>
    <w:rsid w:val="00F41FDE"/>
    <w:rsid w:val="00F43A47"/>
    <w:rsid w:val="00F47BAF"/>
    <w:rsid w:val="00F47FBA"/>
    <w:rsid w:val="00F51D7F"/>
    <w:rsid w:val="00F52855"/>
    <w:rsid w:val="00F52C55"/>
    <w:rsid w:val="00F52EB0"/>
    <w:rsid w:val="00F5365A"/>
    <w:rsid w:val="00F5390B"/>
    <w:rsid w:val="00F5468C"/>
    <w:rsid w:val="00F54920"/>
    <w:rsid w:val="00F565B2"/>
    <w:rsid w:val="00F57BED"/>
    <w:rsid w:val="00F60198"/>
    <w:rsid w:val="00F62406"/>
    <w:rsid w:val="00F6330D"/>
    <w:rsid w:val="00F669CD"/>
    <w:rsid w:val="00F67035"/>
    <w:rsid w:val="00F737DB"/>
    <w:rsid w:val="00F741BF"/>
    <w:rsid w:val="00F74B47"/>
    <w:rsid w:val="00F7613A"/>
    <w:rsid w:val="00F80998"/>
    <w:rsid w:val="00F814A8"/>
    <w:rsid w:val="00F82746"/>
    <w:rsid w:val="00F836F9"/>
    <w:rsid w:val="00F840AD"/>
    <w:rsid w:val="00F845D7"/>
    <w:rsid w:val="00F92279"/>
    <w:rsid w:val="00F957C4"/>
    <w:rsid w:val="00F95DA0"/>
    <w:rsid w:val="00F96DEE"/>
    <w:rsid w:val="00FA2399"/>
    <w:rsid w:val="00FA5931"/>
    <w:rsid w:val="00FA6C6F"/>
    <w:rsid w:val="00FA7440"/>
    <w:rsid w:val="00FA7C3C"/>
    <w:rsid w:val="00FA7E67"/>
    <w:rsid w:val="00FB2201"/>
    <w:rsid w:val="00FB4D21"/>
    <w:rsid w:val="00FB4F52"/>
    <w:rsid w:val="00FB762B"/>
    <w:rsid w:val="00FB7AF0"/>
    <w:rsid w:val="00FC6ADA"/>
    <w:rsid w:val="00FC7185"/>
    <w:rsid w:val="00FC7EAA"/>
    <w:rsid w:val="00FD06B4"/>
    <w:rsid w:val="00FD0E1C"/>
    <w:rsid w:val="00FD40CA"/>
    <w:rsid w:val="00FD4CE6"/>
    <w:rsid w:val="00FD52F4"/>
    <w:rsid w:val="00FE0901"/>
    <w:rsid w:val="00FE101C"/>
    <w:rsid w:val="00FE1363"/>
    <w:rsid w:val="00FE3A95"/>
    <w:rsid w:val="00FF1700"/>
    <w:rsid w:val="00FF77C8"/>
    <w:rsid w:val="00FF7A82"/>
    <w:rsid w:val="00FF7FAC"/>
    <w:rsid w:val="05BD910F"/>
    <w:rsid w:val="05DDDCA9"/>
    <w:rsid w:val="070E8E63"/>
    <w:rsid w:val="0A2EE7D2"/>
    <w:rsid w:val="0C3D441C"/>
    <w:rsid w:val="0CBBA948"/>
    <w:rsid w:val="0ED6B726"/>
    <w:rsid w:val="0F4388AA"/>
    <w:rsid w:val="1085CB42"/>
    <w:rsid w:val="10C182B7"/>
    <w:rsid w:val="14F47CAA"/>
    <w:rsid w:val="15C504D2"/>
    <w:rsid w:val="16C9055C"/>
    <w:rsid w:val="1747EEEF"/>
    <w:rsid w:val="190776CE"/>
    <w:rsid w:val="1951BA25"/>
    <w:rsid w:val="1A9E0A81"/>
    <w:rsid w:val="1C29BFA4"/>
    <w:rsid w:val="1D502BED"/>
    <w:rsid w:val="1EAC66CC"/>
    <w:rsid w:val="1EC1B381"/>
    <w:rsid w:val="24A8F2D1"/>
    <w:rsid w:val="24E1EB7B"/>
    <w:rsid w:val="257CE53F"/>
    <w:rsid w:val="25E7E065"/>
    <w:rsid w:val="2721C599"/>
    <w:rsid w:val="29FE0D34"/>
    <w:rsid w:val="2DCDAF7D"/>
    <w:rsid w:val="2DEC9956"/>
    <w:rsid w:val="309E8896"/>
    <w:rsid w:val="31463590"/>
    <w:rsid w:val="32ED9F73"/>
    <w:rsid w:val="35F58019"/>
    <w:rsid w:val="385D30AB"/>
    <w:rsid w:val="38CD5B39"/>
    <w:rsid w:val="39B0BE86"/>
    <w:rsid w:val="3C99ABBD"/>
    <w:rsid w:val="3D8B5417"/>
    <w:rsid w:val="3E55E5C3"/>
    <w:rsid w:val="3E9699A8"/>
    <w:rsid w:val="422BC2F5"/>
    <w:rsid w:val="4726AD6E"/>
    <w:rsid w:val="4E701967"/>
    <w:rsid w:val="4F1FE18A"/>
    <w:rsid w:val="4FBD308F"/>
    <w:rsid w:val="509D5F8A"/>
    <w:rsid w:val="537310E5"/>
    <w:rsid w:val="541F0C95"/>
    <w:rsid w:val="549AFB74"/>
    <w:rsid w:val="560BC17E"/>
    <w:rsid w:val="5790391D"/>
    <w:rsid w:val="58720825"/>
    <w:rsid w:val="5924AC72"/>
    <w:rsid w:val="596DE16A"/>
    <w:rsid w:val="597D4A89"/>
    <w:rsid w:val="5B036C43"/>
    <w:rsid w:val="5C5D2754"/>
    <w:rsid w:val="5CD50414"/>
    <w:rsid w:val="5E6DD7F6"/>
    <w:rsid w:val="5F2F47B9"/>
    <w:rsid w:val="600DABD2"/>
    <w:rsid w:val="61CAADD5"/>
    <w:rsid w:val="6539C85D"/>
    <w:rsid w:val="66658BFE"/>
    <w:rsid w:val="672A1AE6"/>
    <w:rsid w:val="68CF727A"/>
    <w:rsid w:val="6A7A7356"/>
    <w:rsid w:val="6BAA237F"/>
    <w:rsid w:val="6CBE0709"/>
    <w:rsid w:val="6EB6AD3B"/>
    <w:rsid w:val="7303A024"/>
    <w:rsid w:val="7324FF92"/>
    <w:rsid w:val="750F6BBD"/>
    <w:rsid w:val="7517B8D0"/>
    <w:rsid w:val="798AD9D8"/>
    <w:rsid w:val="7A217ADB"/>
    <w:rsid w:val="7A30805F"/>
    <w:rsid w:val="7B6F9D79"/>
    <w:rsid w:val="7BF7BECB"/>
    <w:rsid w:val="7F0B1F03"/>
    <w:rsid w:val="7F93AB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B0BF"/>
  <w15:docId w15:val="{D3A20874-96C6-415A-9A5E-52659388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6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9C616A"/>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9C616A"/>
    <w:pPr>
      <w:spacing w:before="480" w:after="240"/>
      <w:outlineLvl w:val="1"/>
    </w:pPr>
    <w:rPr>
      <w:bCs w:val="0"/>
      <w:iCs/>
      <w:color w:val="2C384A"/>
      <w:sz w:val="36"/>
      <w:szCs w:val="28"/>
    </w:rPr>
  </w:style>
  <w:style w:type="paragraph" w:styleId="Heading3">
    <w:name w:val="heading 3"/>
    <w:basedOn w:val="HeadingBase"/>
    <w:next w:val="Normal"/>
    <w:link w:val="Heading3Char"/>
    <w:qFormat/>
    <w:rsid w:val="009C616A"/>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9C616A"/>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9C616A"/>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9C616A"/>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9C616A"/>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16A"/>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9C616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9C616A"/>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9C616A"/>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9C616A"/>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9C616A"/>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9C616A"/>
    <w:pPr>
      <w:keepNext/>
      <w:spacing w:after="240"/>
      <w:jc w:val="center"/>
    </w:pPr>
    <w:rPr>
      <w:color w:val="4D7861" w:themeColor="accent2"/>
      <w:sz w:val="20"/>
    </w:rPr>
  </w:style>
  <w:style w:type="paragraph" w:customStyle="1" w:styleId="AlphaParagraph">
    <w:name w:val="Alpha Paragraph"/>
    <w:basedOn w:val="Normal"/>
    <w:rsid w:val="009C616A"/>
    <w:pPr>
      <w:numPr>
        <w:ilvl w:val="1"/>
        <w:numId w:val="10"/>
      </w:numPr>
      <w:spacing w:before="0"/>
    </w:pPr>
  </w:style>
  <w:style w:type="character" w:customStyle="1" w:styleId="DashChar">
    <w:name w:val="Dash Char"/>
    <w:basedOn w:val="DefaultParagraphFont"/>
    <w:link w:val="Dash"/>
    <w:locked/>
    <w:rsid w:val="009C616A"/>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9C616A"/>
    <w:rPr>
      <w:rFonts w:ascii="Calibri Light" w:eastAsia="Times New Roman" w:hAnsi="Calibri Light" w:cs="Times New Roman"/>
      <w:szCs w:val="20"/>
      <w:lang w:eastAsia="en-AU"/>
    </w:rPr>
  </w:style>
  <w:style w:type="character" w:customStyle="1" w:styleId="BulletChar">
    <w:name w:val="Bullet Char"/>
    <w:aliases w:val="b + line Char Char,b Char,b Char Char,Body Char,Bullet + line Char,Number Char,b + line Char,b1 Char,level 1 Char,L Char,List Paragraph Char,1 heading Char,Bullet point Char,Bulletr List Paragraph Char,Dot point 1.5 line spacing Char"/>
    <w:basedOn w:val="DefaultParagraphFont"/>
    <w:link w:val="Bullet"/>
    <w:locked/>
    <w:rsid w:val="009C616A"/>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9C616A"/>
    <w:pPr>
      <w:keepNext/>
      <w:numPr>
        <w:ilvl w:val="5"/>
        <w:numId w:val="43"/>
      </w:numPr>
    </w:pPr>
  </w:style>
  <w:style w:type="paragraph" w:customStyle="1" w:styleId="BoxText">
    <w:name w:val="Box Text"/>
    <w:basedOn w:val="Normal"/>
    <w:link w:val="BoxTextChar"/>
    <w:rsid w:val="009C616A"/>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
    <w:basedOn w:val="Normal"/>
    <w:link w:val="BulletChar"/>
    <w:qFormat/>
    <w:rsid w:val="009C616A"/>
    <w:pPr>
      <w:numPr>
        <w:numId w:val="19"/>
      </w:numPr>
      <w:spacing w:before="0"/>
    </w:pPr>
  </w:style>
  <w:style w:type="paragraph" w:customStyle="1" w:styleId="ChartandTableFootnoteAlpha">
    <w:name w:val="Chart and Table Footnote Alpha"/>
    <w:basedOn w:val="ChartorTableNote"/>
    <w:rsid w:val="009C616A"/>
    <w:pPr>
      <w:numPr>
        <w:numId w:val="34"/>
      </w:numPr>
      <w:contextualSpacing/>
    </w:pPr>
    <w:rPr>
      <w:szCs w:val="16"/>
    </w:rPr>
  </w:style>
  <w:style w:type="paragraph" w:customStyle="1" w:styleId="ChartMainHeading">
    <w:name w:val="Chart Main Heading"/>
    <w:basedOn w:val="TableMainHeading"/>
    <w:next w:val="ChartGraphic"/>
    <w:rsid w:val="009C616A"/>
    <w:pPr>
      <w:numPr>
        <w:ilvl w:val="7"/>
      </w:numPr>
    </w:pPr>
  </w:style>
  <w:style w:type="paragraph" w:customStyle="1" w:styleId="ChartorTableNote">
    <w:name w:val="Chart or Table Note"/>
    <w:basedOn w:val="Normal"/>
    <w:rsid w:val="009C616A"/>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9C616A"/>
    <w:pPr>
      <w:ind w:right="284"/>
    </w:pPr>
    <w:rPr>
      <w:bCs/>
    </w:rPr>
  </w:style>
  <w:style w:type="paragraph" w:customStyle="1" w:styleId="ReportDate">
    <w:name w:val="Report Date"/>
    <w:basedOn w:val="Normal"/>
    <w:link w:val="ReportDateChar"/>
    <w:uiPriority w:val="5"/>
    <w:rsid w:val="009C616A"/>
    <w:pPr>
      <w:keepNext/>
      <w:spacing w:before="0" w:after="600"/>
    </w:pPr>
    <w:rPr>
      <w:color w:val="2C384A" w:themeColor="accent1"/>
      <w:sz w:val="32"/>
    </w:rPr>
  </w:style>
  <w:style w:type="paragraph" w:customStyle="1" w:styleId="Dash">
    <w:name w:val="Dash"/>
    <w:basedOn w:val="Normal"/>
    <w:link w:val="DashChar"/>
    <w:qFormat/>
    <w:rsid w:val="009C616A"/>
    <w:pPr>
      <w:numPr>
        <w:ilvl w:val="1"/>
        <w:numId w:val="19"/>
      </w:numPr>
      <w:spacing w:before="0"/>
    </w:pPr>
  </w:style>
  <w:style w:type="paragraph" w:customStyle="1" w:styleId="DoubleDot">
    <w:name w:val="Double Dot"/>
    <w:basedOn w:val="Normal"/>
    <w:link w:val="DoubleDotChar"/>
    <w:qFormat/>
    <w:rsid w:val="009C616A"/>
    <w:pPr>
      <w:numPr>
        <w:ilvl w:val="2"/>
        <w:numId w:val="19"/>
      </w:numPr>
      <w:spacing w:before="0"/>
    </w:pPr>
  </w:style>
  <w:style w:type="paragraph" w:customStyle="1" w:styleId="TableMainHeading">
    <w:name w:val="Table Main Heading"/>
    <w:basedOn w:val="Normal"/>
    <w:next w:val="Normal"/>
    <w:rsid w:val="009C616A"/>
    <w:pPr>
      <w:keepNext/>
      <w:numPr>
        <w:ilvl w:val="8"/>
        <w:numId w:val="43"/>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9C616A"/>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9C616A"/>
    <w:pPr>
      <w:keepNext/>
      <w:tabs>
        <w:tab w:val="clear" w:pos="4513"/>
        <w:tab w:val="clear" w:pos="9026"/>
        <w:tab w:val="right" w:pos="9072"/>
      </w:tabs>
      <w:jc w:val="right"/>
    </w:pPr>
    <w:rPr>
      <w:color w:val="2C384A" w:themeColor="accent1"/>
    </w:rPr>
  </w:style>
  <w:style w:type="character" w:styleId="Hyperlink">
    <w:name w:val="Hyperlink"/>
    <w:basedOn w:val="DefaultParagraphFont"/>
    <w:rsid w:val="009C616A"/>
    <w:rPr>
      <w:color w:val="5D779D" w:themeColor="accent3"/>
      <w:u w:val="none"/>
    </w:rPr>
  </w:style>
  <w:style w:type="paragraph" w:customStyle="1" w:styleId="OutlineNumbered1">
    <w:name w:val="Outline Numbered 1"/>
    <w:basedOn w:val="Normal"/>
    <w:uiPriority w:val="10"/>
    <w:unhideWhenUsed/>
    <w:rsid w:val="009C616A"/>
    <w:pPr>
      <w:numPr>
        <w:numId w:val="6"/>
      </w:numPr>
      <w:spacing w:before="0"/>
    </w:pPr>
  </w:style>
  <w:style w:type="paragraph" w:customStyle="1" w:styleId="OutlineNumbered2">
    <w:name w:val="Outline Numbered 2"/>
    <w:basedOn w:val="Normal"/>
    <w:uiPriority w:val="10"/>
    <w:unhideWhenUsed/>
    <w:rsid w:val="009C616A"/>
    <w:pPr>
      <w:numPr>
        <w:ilvl w:val="1"/>
        <w:numId w:val="6"/>
      </w:numPr>
      <w:spacing w:before="0"/>
    </w:pPr>
  </w:style>
  <w:style w:type="paragraph" w:customStyle="1" w:styleId="OutlineNumbered3">
    <w:name w:val="Outline Numbered 3"/>
    <w:basedOn w:val="Normal"/>
    <w:uiPriority w:val="10"/>
    <w:unhideWhenUsed/>
    <w:rsid w:val="009C616A"/>
    <w:pPr>
      <w:numPr>
        <w:ilvl w:val="2"/>
        <w:numId w:val="6"/>
      </w:numPr>
      <w:spacing w:before="0"/>
    </w:pPr>
  </w:style>
  <w:style w:type="paragraph" w:customStyle="1" w:styleId="SingleParagraph">
    <w:name w:val="Single Paragraph"/>
    <w:basedOn w:val="Normal"/>
    <w:link w:val="SingleParagraphChar"/>
    <w:rsid w:val="009C616A"/>
    <w:pPr>
      <w:spacing w:before="0" w:after="0"/>
    </w:pPr>
  </w:style>
  <w:style w:type="paragraph" w:customStyle="1" w:styleId="TableSecondHeading">
    <w:name w:val="Table Second Heading"/>
    <w:basedOn w:val="Normal"/>
    <w:next w:val="Normal"/>
    <w:rsid w:val="009C616A"/>
    <w:pPr>
      <w:keepNext/>
      <w:spacing w:before="0"/>
    </w:pPr>
    <w:rPr>
      <w:b/>
      <w:color w:val="5D779D" w:themeColor="accent3"/>
    </w:rPr>
  </w:style>
  <w:style w:type="paragraph" w:customStyle="1" w:styleId="TableColumnHeadingCentred">
    <w:name w:val="Table Column Heading Centred"/>
    <w:basedOn w:val="TableTextLeft"/>
    <w:rsid w:val="009C616A"/>
    <w:pPr>
      <w:jc w:val="center"/>
    </w:pPr>
    <w:rPr>
      <w:b/>
      <w:color w:val="2C384A" w:themeColor="accent1"/>
      <w:sz w:val="20"/>
    </w:rPr>
  </w:style>
  <w:style w:type="paragraph" w:customStyle="1" w:styleId="TableColumnHeadingLeft">
    <w:name w:val="Table Column Heading Left"/>
    <w:basedOn w:val="TableTextLeft"/>
    <w:rsid w:val="009C616A"/>
    <w:rPr>
      <w:b/>
      <w:color w:val="2C384A" w:themeColor="accent1"/>
      <w:sz w:val="20"/>
    </w:rPr>
  </w:style>
  <w:style w:type="paragraph" w:customStyle="1" w:styleId="TableColumnHeadingRight">
    <w:name w:val="Table Column Heading Right"/>
    <w:basedOn w:val="TableTextLeft"/>
    <w:rsid w:val="009C616A"/>
    <w:pPr>
      <w:jc w:val="right"/>
    </w:pPr>
    <w:rPr>
      <w:b/>
      <w:color w:val="2C384A" w:themeColor="accent1"/>
      <w:sz w:val="20"/>
    </w:rPr>
  </w:style>
  <w:style w:type="table" w:styleId="TableGrid">
    <w:name w:val="Table Grid"/>
    <w:basedOn w:val="TableNormal"/>
    <w:rsid w:val="009C616A"/>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9C616A"/>
    <w:pPr>
      <w:jc w:val="center"/>
    </w:pPr>
  </w:style>
  <w:style w:type="paragraph" w:customStyle="1" w:styleId="TableTextLeft">
    <w:name w:val="Table Text Left"/>
    <w:basedOn w:val="TableTextRight"/>
    <w:rsid w:val="009C616A"/>
    <w:pPr>
      <w:jc w:val="left"/>
    </w:pPr>
  </w:style>
  <w:style w:type="paragraph" w:customStyle="1" w:styleId="TableTextRight">
    <w:name w:val="Table Text Right"/>
    <w:basedOn w:val="Normal"/>
    <w:rsid w:val="009C616A"/>
    <w:pPr>
      <w:spacing w:before="40" w:after="40"/>
      <w:jc w:val="right"/>
    </w:pPr>
    <w:rPr>
      <w:color w:val="000000"/>
      <w:sz w:val="18"/>
    </w:rPr>
  </w:style>
  <w:style w:type="paragraph" w:styleId="TOC1">
    <w:name w:val="toc 1"/>
    <w:basedOn w:val="Normal"/>
    <w:next w:val="Normal"/>
    <w:uiPriority w:val="39"/>
    <w:rsid w:val="009C616A"/>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9C616A"/>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9C616A"/>
    <w:pPr>
      <w:tabs>
        <w:tab w:val="right" w:leader="dot" w:pos="9072"/>
      </w:tabs>
      <w:spacing w:before="20" w:after="0"/>
      <w:ind w:left="284" w:right="-2"/>
    </w:pPr>
    <w:rPr>
      <w:rFonts w:cs="Calibri"/>
      <w:noProof/>
    </w:rPr>
  </w:style>
  <w:style w:type="numbering" w:customStyle="1" w:styleId="OutlineList">
    <w:name w:val="OutlineList"/>
    <w:uiPriority w:val="99"/>
    <w:rsid w:val="009C616A"/>
    <w:pPr>
      <w:numPr>
        <w:numId w:val="4"/>
      </w:numPr>
    </w:pPr>
  </w:style>
  <w:style w:type="numbering" w:customStyle="1" w:styleId="BulletedList">
    <w:name w:val="Bulleted List"/>
    <w:uiPriority w:val="99"/>
    <w:rsid w:val="009C616A"/>
    <w:pPr>
      <w:numPr>
        <w:numId w:val="1"/>
      </w:numPr>
    </w:pPr>
  </w:style>
  <w:style w:type="numbering" w:customStyle="1" w:styleId="BoxBulletedList">
    <w:name w:val="Box Bulleted List"/>
    <w:uiPriority w:val="99"/>
    <w:rsid w:val="009C616A"/>
    <w:pPr>
      <w:numPr>
        <w:numId w:val="2"/>
      </w:numPr>
    </w:pPr>
  </w:style>
  <w:style w:type="numbering" w:customStyle="1" w:styleId="OneLevelList">
    <w:name w:val="OneLevelList"/>
    <w:uiPriority w:val="99"/>
    <w:rsid w:val="009C616A"/>
    <w:pPr>
      <w:numPr>
        <w:numId w:val="3"/>
      </w:numPr>
    </w:pPr>
  </w:style>
  <w:style w:type="numbering" w:customStyle="1" w:styleId="ChartandTableFootnoteAlphaList">
    <w:name w:val="ChartandTableFootnoteAlphaList"/>
    <w:uiPriority w:val="99"/>
    <w:rsid w:val="009C616A"/>
    <w:pPr>
      <w:numPr>
        <w:numId w:val="17"/>
      </w:numPr>
    </w:pPr>
  </w:style>
  <w:style w:type="paragraph" w:customStyle="1" w:styleId="Heading1Numbered">
    <w:name w:val="Heading 1 Numbered"/>
    <w:basedOn w:val="Heading1"/>
    <w:next w:val="Normal"/>
    <w:qFormat/>
    <w:rsid w:val="009C616A"/>
    <w:pPr>
      <w:numPr>
        <w:numId w:val="43"/>
      </w:numPr>
      <w:spacing w:after="480"/>
    </w:pPr>
  </w:style>
  <w:style w:type="character" w:customStyle="1" w:styleId="SingleParagraphChar">
    <w:name w:val="Single Paragraph Char"/>
    <w:basedOn w:val="DefaultParagraphFont"/>
    <w:link w:val="SingleParagraph"/>
    <w:rsid w:val="009C616A"/>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9C616A"/>
    <w:pPr>
      <w:numPr>
        <w:ilvl w:val="1"/>
        <w:numId w:val="43"/>
      </w:numPr>
    </w:pPr>
  </w:style>
  <w:style w:type="paragraph" w:customStyle="1" w:styleId="Heading3Numbered">
    <w:name w:val="Heading 3 Numbered"/>
    <w:basedOn w:val="Heading3"/>
    <w:rsid w:val="009C616A"/>
    <w:pPr>
      <w:numPr>
        <w:ilvl w:val="2"/>
        <w:numId w:val="43"/>
      </w:numPr>
    </w:pPr>
  </w:style>
  <w:style w:type="paragraph" w:styleId="Title">
    <w:name w:val="Title"/>
    <w:basedOn w:val="Normal"/>
    <w:next w:val="Normal"/>
    <w:link w:val="TitleChar"/>
    <w:uiPriority w:val="3"/>
    <w:rsid w:val="009C616A"/>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9C616A"/>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9C616A"/>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9C616A"/>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9C616A"/>
    <w:rPr>
      <w:i/>
      <w:iCs/>
      <w:color w:val="808080" w:themeColor="text1" w:themeTint="7F"/>
    </w:rPr>
  </w:style>
  <w:style w:type="paragraph" w:styleId="Footer">
    <w:name w:val="footer"/>
    <w:basedOn w:val="Normal"/>
    <w:link w:val="FooterChar"/>
    <w:unhideWhenUsed/>
    <w:rsid w:val="009C616A"/>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9C616A"/>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9C616A"/>
    <w:pPr>
      <w:keepNext/>
      <w:spacing w:before="0" w:after="0"/>
      <w:jc w:val="right"/>
    </w:pPr>
    <w:rPr>
      <w:color w:val="004A7F"/>
      <w:sz w:val="20"/>
    </w:rPr>
  </w:style>
  <w:style w:type="character" w:customStyle="1" w:styleId="HeaderChar">
    <w:name w:val="Header Char"/>
    <w:basedOn w:val="DefaultParagraphFont"/>
    <w:link w:val="Header"/>
    <w:rsid w:val="009C616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9C616A"/>
    <w:rPr>
      <w:color w:val="808080"/>
    </w:rPr>
  </w:style>
  <w:style w:type="paragraph" w:customStyle="1" w:styleId="AppendixHeading">
    <w:name w:val="Appendix Heading"/>
    <w:basedOn w:val="Heading1"/>
    <w:next w:val="Normal"/>
    <w:rsid w:val="00F045E0"/>
  </w:style>
  <w:style w:type="paragraph" w:customStyle="1" w:styleId="HeadingBase">
    <w:name w:val="Heading Base"/>
    <w:rsid w:val="009C616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9C616A"/>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9C616A"/>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semiHidden/>
    <w:rsid w:val="009C616A"/>
    <w:pPr>
      <w:ind w:left="720"/>
      <w:contextualSpacing/>
    </w:pPr>
  </w:style>
  <w:style w:type="paragraph" w:customStyle="1" w:styleId="TableTextIndented">
    <w:name w:val="Table Text Indented"/>
    <w:basedOn w:val="TableTextLeft"/>
    <w:rsid w:val="009C616A"/>
    <w:pPr>
      <w:ind w:left="284"/>
    </w:pPr>
  </w:style>
  <w:style w:type="paragraph" w:customStyle="1" w:styleId="TableHeadingContinued">
    <w:name w:val="Table Heading Continued"/>
    <w:basedOn w:val="TableMainHeading"/>
    <w:next w:val="TableGraphic"/>
    <w:rsid w:val="009C616A"/>
  </w:style>
  <w:style w:type="paragraph" w:customStyle="1" w:styleId="TableGraphic">
    <w:name w:val="Table Graphic"/>
    <w:basedOn w:val="HeadingBase"/>
    <w:next w:val="Normal"/>
    <w:rsid w:val="009C616A"/>
    <w:pPr>
      <w:spacing w:after="0"/>
    </w:pPr>
  </w:style>
  <w:style w:type="paragraph" w:customStyle="1" w:styleId="HeaderEven">
    <w:name w:val="Header Even"/>
    <w:basedOn w:val="Header"/>
    <w:qFormat/>
    <w:rsid w:val="009C616A"/>
    <w:pPr>
      <w:jc w:val="left"/>
    </w:pPr>
    <w:rPr>
      <w:color w:val="002C47"/>
    </w:rPr>
  </w:style>
  <w:style w:type="paragraph" w:customStyle="1" w:styleId="HeaderOdd">
    <w:name w:val="Header Odd"/>
    <w:basedOn w:val="Header"/>
    <w:qFormat/>
    <w:rsid w:val="009C616A"/>
    <w:rPr>
      <w:color w:val="002C47"/>
    </w:rPr>
  </w:style>
  <w:style w:type="paragraph" w:styleId="FootnoteText">
    <w:name w:val="footnote text"/>
    <w:basedOn w:val="Normal"/>
    <w:link w:val="FootnoteTextChar"/>
    <w:rsid w:val="009C616A"/>
    <w:pPr>
      <w:tabs>
        <w:tab w:val="left" w:pos="397"/>
      </w:tabs>
      <w:spacing w:before="0" w:after="0"/>
      <w:ind w:left="397" w:hanging="397"/>
    </w:pPr>
    <w:rPr>
      <w:sz w:val="18"/>
    </w:rPr>
  </w:style>
  <w:style w:type="character" w:customStyle="1" w:styleId="FootnoteTextChar">
    <w:name w:val="Footnote Text Char"/>
    <w:basedOn w:val="DefaultParagraphFont"/>
    <w:link w:val="FootnoteText"/>
    <w:rsid w:val="009C616A"/>
    <w:rPr>
      <w:rFonts w:ascii="Calibri Light" w:eastAsia="Times New Roman" w:hAnsi="Calibri Light" w:cs="Times New Roman"/>
      <w:sz w:val="18"/>
      <w:szCs w:val="20"/>
      <w:lang w:eastAsia="en-AU"/>
    </w:rPr>
  </w:style>
  <w:style w:type="character" w:styleId="FootnoteReference">
    <w:name w:val="footnote reference"/>
    <w:basedOn w:val="DefaultParagraphFont"/>
    <w:rsid w:val="009C616A"/>
    <w:rPr>
      <w:sz w:val="20"/>
      <w:vertAlign w:val="superscript"/>
    </w:rPr>
  </w:style>
  <w:style w:type="paragraph" w:styleId="BalloonText">
    <w:name w:val="Balloon Text"/>
    <w:basedOn w:val="Normal"/>
    <w:link w:val="BalloonTextChar"/>
    <w:uiPriority w:val="99"/>
    <w:semiHidden/>
    <w:unhideWhenUsed/>
    <w:rsid w:val="009C61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6A"/>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9C616A"/>
    <w:rPr>
      <w:rFonts w:ascii="Calibri Light" w:eastAsia="Times New Roman" w:hAnsi="Calibri Light" w:cs="Times New Roman"/>
      <w:sz w:val="20"/>
      <w:lang w:eastAsia="en-AU"/>
    </w:rPr>
  </w:style>
  <w:style w:type="paragraph" w:customStyle="1" w:styleId="Boxbullet">
    <w:name w:val="Box bullet"/>
    <w:basedOn w:val="Bullet"/>
    <w:rsid w:val="009C616A"/>
    <w:pPr>
      <w:numPr>
        <w:ilvl w:val="3"/>
      </w:numPr>
      <w:spacing w:before="60"/>
    </w:pPr>
    <w:rPr>
      <w:sz w:val="20"/>
    </w:rPr>
  </w:style>
  <w:style w:type="paragraph" w:customStyle="1" w:styleId="Boxdash">
    <w:name w:val="Box dash"/>
    <w:basedOn w:val="Dash"/>
    <w:rsid w:val="009C616A"/>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9C616A"/>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9C616A"/>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9C616A"/>
    <w:rPr>
      <w:sz w:val="16"/>
      <w:szCs w:val="16"/>
    </w:rPr>
  </w:style>
  <w:style w:type="paragraph" w:styleId="CommentText">
    <w:name w:val="annotation text"/>
    <w:basedOn w:val="Normal"/>
    <w:link w:val="CommentTextChar"/>
    <w:uiPriority w:val="99"/>
    <w:unhideWhenUsed/>
    <w:rsid w:val="009C616A"/>
    <w:rPr>
      <w:rFonts w:ascii="Calibri" w:hAnsi="Calibri"/>
      <w:sz w:val="20"/>
    </w:rPr>
  </w:style>
  <w:style w:type="character" w:customStyle="1" w:styleId="CommentTextChar">
    <w:name w:val="Comment Text Char"/>
    <w:basedOn w:val="DefaultParagraphFont"/>
    <w:link w:val="CommentText"/>
    <w:uiPriority w:val="99"/>
    <w:rsid w:val="009C616A"/>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9C616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9C616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9C616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9C616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9C616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9C616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9C616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9C616A"/>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9C616A"/>
    <w:rPr>
      <w:color w:val="844D9E" w:themeColor="followedHyperlink"/>
      <w:u w:val="single"/>
    </w:rPr>
  </w:style>
  <w:style w:type="paragraph" w:styleId="Quote">
    <w:name w:val="Quote"/>
    <w:basedOn w:val="Normal"/>
    <w:next w:val="Normal"/>
    <w:link w:val="QuoteChar"/>
    <w:rsid w:val="009C616A"/>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9C616A"/>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9C616A"/>
    <w:rPr>
      <w:color w:val="605E5C"/>
      <w:shd w:val="clear" w:color="auto" w:fill="E1DFDD"/>
    </w:rPr>
  </w:style>
  <w:style w:type="character" w:customStyle="1" w:styleId="Heading7Char">
    <w:name w:val="Heading 7 Char"/>
    <w:basedOn w:val="DefaultParagraphFont"/>
    <w:link w:val="Heading7"/>
    <w:rsid w:val="009C616A"/>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9C616A"/>
    <w:pPr>
      <w:numPr>
        <w:ilvl w:val="3"/>
        <w:numId w:val="43"/>
      </w:numPr>
    </w:pPr>
  </w:style>
  <w:style w:type="paragraph" w:customStyle="1" w:styleId="Heading5Numbered">
    <w:name w:val="Heading 5 Numbered"/>
    <w:basedOn w:val="Heading5"/>
    <w:next w:val="Normal"/>
    <w:unhideWhenUsed/>
    <w:rsid w:val="009C616A"/>
    <w:pPr>
      <w:numPr>
        <w:ilvl w:val="4"/>
        <w:numId w:val="43"/>
      </w:numPr>
    </w:pPr>
  </w:style>
  <w:style w:type="paragraph" w:customStyle="1" w:styleId="Heading6Numbered">
    <w:name w:val="Heading 6 Numbered"/>
    <w:basedOn w:val="Heading6"/>
    <w:next w:val="Normal"/>
    <w:unhideWhenUsed/>
    <w:rsid w:val="008A7C97"/>
  </w:style>
  <w:style w:type="paragraph" w:customStyle="1" w:styleId="Heading7Numbered">
    <w:name w:val="Heading 7 Numbered"/>
    <w:basedOn w:val="Heading7"/>
    <w:next w:val="Normal"/>
    <w:unhideWhenUsed/>
    <w:rsid w:val="008A7C97"/>
  </w:style>
  <w:style w:type="paragraph" w:customStyle="1" w:styleId="TableTextBullet">
    <w:name w:val="Table Text Bullet"/>
    <w:basedOn w:val="TableTextLeft"/>
    <w:qFormat/>
    <w:rsid w:val="009C616A"/>
    <w:pPr>
      <w:numPr>
        <w:numId w:val="33"/>
      </w:numPr>
    </w:pPr>
  </w:style>
  <w:style w:type="paragraph" w:customStyle="1" w:styleId="TableTextDash">
    <w:name w:val="Table Text Dash"/>
    <w:basedOn w:val="TableTextLeft"/>
    <w:qFormat/>
    <w:rsid w:val="009C616A"/>
    <w:pPr>
      <w:numPr>
        <w:ilvl w:val="1"/>
        <w:numId w:val="33"/>
      </w:numPr>
    </w:pPr>
  </w:style>
  <w:style w:type="paragraph" w:customStyle="1" w:styleId="ChartTableFiguresectionline">
    <w:name w:val="Chart Table Figure section line"/>
    <w:basedOn w:val="ChartGraphic"/>
    <w:next w:val="Normal"/>
    <w:qFormat/>
    <w:rsid w:val="009C616A"/>
    <w:pPr>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9C616A"/>
    <w:rPr>
      <w:rFonts w:ascii="Calibri Light" w:hAnsi="Calibri Light"/>
      <w:b/>
      <w:bCs/>
    </w:rPr>
  </w:style>
  <w:style w:type="character" w:customStyle="1" w:styleId="CommentSubjectChar">
    <w:name w:val="Comment Subject Char"/>
    <w:basedOn w:val="CommentTextChar"/>
    <w:link w:val="CommentSubject"/>
    <w:uiPriority w:val="99"/>
    <w:semiHidden/>
    <w:rsid w:val="009C616A"/>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9C616A"/>
    <w:rPr>
      <w:b/>
      <w:bCs/>
    </w:rPr>
  </w:style>
  <w:style w:type="paragraph" w:customStyle="1" w:styleId="FigureMainHeading">
    <w:name w:val="Figure Main Heading"/>
    <w:basedOn w:val="ChartMainHeading"/>
    <w:qFormat/>
    <w:rsid w:val="009C616A"/>
    <w:pPr>
      <w:numPr>
        <w:ilvl w:val="6"/>
      </w:numPr>
    </w:pPr>
  </w:style>
  <w:style w:type="paragraph" w:customStyle="1" w:styleId="FigureSecondHeading">
    <w:name w:val="Figure Second Heading"/>
    <w:basedOn w:val="ChartSecondHeading"/>
    <w:next w:val="ChartGraphic"/>
    <w:qFormat/>
    <w:rsid w:val="009C616A"/>
  </w:style>
  <w:style w:type="paragraph" w:customStyle="1" w:styleId="BoxHeadingPolicy">
    <w:name w:val="Box Heading Policy"/>
    <w:basedOn w:val="BoxHeading"/>
    <w:qFormat/>
    <w:rsid w:val="009C616A"/>
    <w:pPr>
      <w:numPr>
        <w:numId w:val="39"/>
      </w:numPr>
    </w:pPr>
    <w:rPr>
      <w:bCs w:val="0"/>
    </w:rPr>
  </w:style>
  <w:style w:type="paragraph" w:customStyle="1" w:styleId="BoxHeading">
    <w:name w:val="Box Heading"/>
    <w:basedOn w:val="Normal"/>
    <w:next w:val="BoxText"/>
    <w:qFormat/>
    <w:rsid w:val="009C616A"/>
    <w:pPr>
      <w:spacing w:before="240"/>
    </w:pPr>
    <w:rPr>
      <w:b/>
      <w:bCs/>
      <w:color w:val="2C384A" w:themeColor="accent1"/>
      <w:sz w:val="26"/>
      <w:szCs w:val="26"/>
      <w:lang w:eastAsia="en-US"/>
    </w:rPr>
  </w:style>
  <w:style w:type="paragraph" w:customStyle="1" w:styleId="BoxSubheading">
    <w:name w:val="Box Subheading"/>
    <w:basedOn w:val="BoxHeading"/>
    <w:qFormat/>
    <w:rsid w:val="009C616A"/>
    <w:rPr>
      <w:rFonts w:asciiTheme="minorHAnsi" w:hAnsiTheme="minorHAnsi"/>
      <w:b w:val="0"/>
      <w:sz w:val="22"/>
    </w:rPr>
  </w:style>
  <w:style w:type="paragraph" w:customStyle="1" w:styleId="pf0">
    <w:name w:val="pf0"/>
    <w:basedOn w:val="Normal"/>
    <w:rsid w:val="0083772C"/>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83772C"/>
    <w:rPr>
      <w:rFonts w:ascii="Segoe UI" w:hAnsi="Segoe UI" w:cs="Segoe UI" w:hint="default"/>
      <w:b/>
      <w:bCs/>
      <w:sz w:val="18"/>
      <w:szCs w:val="18"/>
    </w:rPr>
  </w:style>
  <w:style w:type="character" w:customStyle="1" w:styleId="cf21">
    <w:name w:val="cf21"/>
    <w:basedOn w:val="DefaultParagraphFont"/>
    <w:rsid w:val="0083772C"/>
    <w:rPr>
      <w:rFonts w:ascii="Segoe UI" w:hAnsi="Segoe UI" w:cs="Segoe UI" w:hint="default"/>
      <w:sz w:val="18"/>
      <w:szCs w:val="18"/>
    </w:rPr>
  </w:style>
  <w:style w:type="paragraph" w:styleId="Revision">
    <w:name w:val="Revision"/>
    <w:hidden/>
    <w:uiPriority w:val="99"/>
    <w:semiHidden/>
    <w:rsid w:val="007A2316"/>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321A7A"/>
    <w:rPr>
      <w:color w:val="2B579A"/>
      <w:shd w:val="clear" w:color="auto" w:fill="E1DFDD"/>
    </w:rPr>
  </w:style>
  <w:style w:type="character" w:styleId="Emphasis">
    <w:name w:val="Emphasis"/>
    <w:basedOn w:val="DefaultParagraphFont"/>
    <w:uiPriority w:val="20"/>
    <w:rsid w:val="00740BC5"/>
    <w:rPr>
      <w:i/>
      <w:iCs/>
    </w:rPr>
  </w:style>
  <w:style w:type="paragraph" w:customStyle="1" w:styleId="Heading1Appendix">
    <w:name w:val="Heading 1 Appendix"/>
    <w:basedOn w:val="Heading1"/>
    <w:next w:val="Normal"/>
    <w:rsid w:val="009C616A"/>
    <w:pPr>
      <w:numPr>
        <w:numId w:val="40"/>
      </w:numPr>
    </w:pPr>
  </w:style>
  <w:style w:type="paragraph" w:customStyle="1" w:styleId="Heading2Appendix">
    <w:name w:val="Heading 2 Appendix"/>
    <w:basedOn w:val="Heading2"/>
    <w:qFormat/>
    <w:rsid w:val="009C616A"/>
  </w:style>
  <w:style w:type="paragraph" w:customStyle="1" w:styleId="Heading3Appendix">
    <w:name w:val="Heading 3 Appendix"/>
    <w:basedOn w:val="Heading3"/>
    <w:qFormat/>
    <w:rsid w:val="009C616A"/>
    <w:pPr>
      <w:numPr>
        <w:ilvl w:val="2"/>
        <w:numId w:val="40"/>
      </w:numPr>
    </w:pPr>
  </w:style>
  <w:style w:type="paragraph" w:customStyle="1" w:styleId="Heading4Appendix">
    <w:name w:val="Heading 4 Appendix"/>
    <w:basedOn w:val="Heading4"/>
    <w:qFormat/>
    <w:rsid w:val="009C616A"/>
    <w:pPr>
      <w:numPr>
        <w:ilvl w:val="3"/>
        <w:numId w:val="40"/>
      </w:numPr>
    </w:pPr>
  </w:style>
  <w:style w:type="paragraph" w:customStyle="1" w:styleId="ChartMainHeadingAppendix">
    <w:name w:val="Chart Main Heading Appendix"/>
    <w:basedOn w:val="ChartMainHeading"/>
    <w:qFormat/>
    <w:rsid w:val="009C616A"/>
    <w:pPr>
      <w:numPr>
        <w:ilvl w:val="5"/>
        <w:numId w:val="40"/>
      </w:numPr>
    </w:pPr>
  </w:style>
  <w:style w:type="paragraph" w:customStyle="1" w:styleId="TableMainHeadingAppendix">
    <w:name w:val="Table Main Heading Appendix"/>
    <w:basedOn w:val="TableMainHeading"/>
    <w:qFormat/>
    <w:rsid w:val="009C616A"/>
    <w:pPr>
      <w:numPr>
        <w:ilvl w:val="7"/>
        <w:numId w:val="40"/>
      </w:numPr>
    </w:pPr>
  </w:style>
  <w:style w:type="paragraph" w:customStyle="1" w:styleId="FigureMainHeadingAppendix">
    <w:name w:val="Figure Main Heading Appendix"/>
    <w:basedOn w:val="FigureMainHeading"/>
    <w:qFormat/>
    <w:rsid w:val="009C616A"/>
    <w:pPr>
      <w:numPr>
        <w:numId w:val="40"/>
      </w:numPr>
    </w:pPr>
  </w:style>
  <w:style w:type="paragraph" w:customStyle="1" w:styleId="BoxHeadingBoxA1Appendix">
    <w:name w:val="Box Heading Box A.1 Appendix"/>
    <w:basedOn w:val="BoxHeadingBox11"/>
    <w:qFormat/>
    <w:rsid w:val="009C616A"/>
    <w:pPr>
      <w:numPr>
        <w:ilvl w:val="4"/>
        <w:numId w:val="40"/>
      </w:numPr>
    </w:pPr>
  </w:style>
  <w:style w:type="paragraph" w:customStyle="1" w:styleId="FigureGraphic">
    <w:name w:val="Figure Graphic"/>
    <w:basedOn w:val="ChartGraphic"/>
    <w:qFormat/>
    <w:rsid w:val="009C616A"/>
  </w:style>
  <w:style w:type="table" w:customStyle="1" w:styleId="BlueBox">
    <w:name w:val="Blue Box"/>
    <w:basedOn w:val="TableNormal"/>
    <w:uiPriority w:val="99"/>
    <w:rsid w:val="009C616A"/>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9C616A"/>
    <w:pPr>
      <w:numPr>
        <w:ilvl w:val="1"/>
        <w:numId w:val="41"/>
      </w:numPr>
    </w:pPr>
  </w:style>
  <w:style w:type="paragraph" w:customStyle="1" w:styleId="TableMainHeadingRoadmap">
    <w:name w:val="Table Main Heading Roadmap"/>
    <w:basedOn w:val="TableMainHeadingAppendix"/>
    <w:qFormat/>
    <w:rsid w:val="009C616A"/>
    <w:pPr>
      <w:numPr>
        <w:ilvl w:val="3"/>
        <w:numId w:val="41"/>
      </w:numPr>
      <w:spacing w:before="120"/>
    </w:pPr>
    <w:rPr>
      <w:sz w:val="28"/>
    </w:rPr>
  </w:style>
  <w:style w:type="paragraph" w:customStyle="1" w:styleId="FigureMainHeadingRoadmap">
    <w:name w:val="Figure Main Heading Roadmap"/>
    <w:basedOn w:val="FigureMainHeadingAppendix"/>
    <w:qFormat/>
    <w:rsid w:val="009C616A"/>
    <w:pPr>
      <w:numPr>
        <w:ilvl w:val="2"/>
        <w:numId w:val="41"/>
      </w:numPr>
    </w:pPr>
  </w:style>
  <w:style w:type="paragraph" w:customStyle="1" w:styleId="BoxHeadingBoxR1Roadmap">
    <w:name w:val="Box Heading Box R.1 Roadmap"/>
    <w:basedOn w:val="BoxHeadingBoxA1Appendix"/>
    <w:qFormat/>
    <w:rsid w:val="009C616A"/>
    <w:pPr>
      <w:numPr>
        <w:ilvl w:val="0"/>
        <w:numId w:val="41"/>
      </w:numPr>
    </w:pPr>
  </w:style>
  <w:style w:type="paragraph" w:styleId="EndnoteText">
    <w:name w:val="endnote text"/>
    <w:basedOn w:val="Normal"/>
    <w:link w:val="EndnoteTextChar"/>
    <w:rsid w:val="009C616A"/>
    <w:pPr>
      <w:spacing w:before="60" w:after="60"/>
      <w:ind w:left="397" w:hanging="397"/>
    </w:pPr>
    <w:rPr>
      <w:kern w:val="18"/>
      <w:sz w:val="20"/>
    </w:rPr>
  </w:style>
  <w:style w:type="character" w:customStyle="1" w:styleId="EndnoteTextChar">
    <w:name w:val="Endnote Text Char"/>
    <w:basedOn w:val="DefaultParagraphFont"/>
    <w:link w:val="EndnoteText"/>
    <w:rsid w:val="009C616A"/>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9C616A"/>
    <w:rPr>
      <w:vertAlign w:val="superscript"/>
    </w:rPr>
  </w:style>
  <w:style w:type="paragraph" w:styleId="NoSpacing">
    <w:name w:val="No Spacing"/>
    <w:rsid w:val="009C616A"/>
    <w:pPr>
      <w:spacing w:after="0" w:line="240" w:lineRule="auto"/>
    </w:pPr>
    <w:rPr>
      <w:rFonts w:ascii="Calibri Light" w:eastAsia="Times New Roman" w:hAnsi="Calibri Light" w:cs="Times New Roman"/>
      <w:szCs w:val="20"/>
      <w:lang w:eastAsia="en-AU"/>
    </w:rPr>
  </w:style>
  <w:style w:type="character" w:styleId="IntenseEmphasis">
    <w:name w:val="Intense Emphasis"/>
    <w:basedOn w:val="DefaultParagraphFont"/>
    <w:uiPriority w:val="21"/>
    <w:rsid w:val="00282A1E"/>
    <w:rPr>
      <w:i/>
      <w:iCs/>
      <w:color w:val="2C384A" w:themeColor="accent1"/>
    </w:rPr>
  </w:style>
  <w:style w:type="paragraph" w:styleId="NormalWeb">
    <w:name w:val="Normal (Web)"/>
    <w:basedOn w:val="Normal"/>
    <w:uiPriority w:val="99"/>
    <w:semiHidden/>
    <w:unhideWhenUsed/>
    <w:rsid w:val="00AE4F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25356777">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SharedWithUsers xmlns="38264d7d-ec83-4119-a5fb-8498c694c855">
      <UserInfo>
        <DisplayName>Phillips, Leah</DisplayName>
        <AccountId>211</AccountId>
        <AccountType/>
      </UserInfo>
      <UserInfo>
        <DisplayName>Jia, Kelly</DisplayName>
        <AccountId>15</AccountId>
        <AccountType/>
      </UserInfo>
      <UserInfo>
        <DisplayName>Thomas, Mike</DisplayName>
        <AccountId>557</AccountId>
        <AccountType/>
      </UserInfo>
    </SharedWithUsers>
    <MediaLengthInSeconds xmlns="b5303c29-baa3-47cf-8a8d-7012a9b89ee1" xsi:nil="true"/>
    <Test xmlns="b5303c29-baa3-47cf-8a8d-7012a9b89ee1" xsi:nil="true"/>
  </documentManagement>
</p:properties>
</file>

<file path=customXml/itemProps1.xml><?xml version="1.0" encoding="utf-8"?>
<ds:datastoreItem xmlns:ds="http://schemas.openxmlformats.org/officeDocument/2006/customXml" ds:itemID="{2E10109E-368A-46B9-990E-829554B4A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DBE3B-9258-4980-872D-5CBB79A53E43}">
  <ds:schemaRefs>
    <ds:schemaRef ds:uri="http://schemas.microsoft.com/sharepoint/v3/contenttype/forms"/>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BF5287C0-0EBC-4DE3-9B56-24E2DC2F2206}">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8264d7d-ec83-4119-a5fb-8498c694c855"/>
    <ds:schemaRef ds:uri="b5303c29-baa3-47cf-8a8d-7012a9b89ee1"/>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185</TotalTime>
  <Pages>2</Pages>
  <Words>888</Words>
  <Characters>4953</Characters>
  <Application>Microsoft Office Word</Application>
  <DocSecurity>8</DocSecurity>
  <Lines>73</Lines>
  <Paragraphs>30</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Appendix A - Glossary of Terms</dc:subject>
  <dc:creator>Australian Government</dc:creator>
  <cp:keywords/>
  <cp:lastModifiedBy>Hill, Christine</cp:lastModifiedBy>
  <cp:revision>412</cp:revision>
  <cp:lastPrinted>2023-09-24T03:23:00Z</cp:lastPrinted>
  <dcterms:created xsi:type="dcterms:W3CDTF">2023-08-07T06:07:00Z</dcterms:created>
  <dcterms:modified xsi:type="dcterms:W3CDTF">2023-09-25T00:12:00Z</dcterms:modified>
</cp:coreProperties>
</file>