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B494" w14:textId="36E78F3A" w:rsidR="00211600" w:rsidRDefault="00A56D27" w:rsidP="008E6292">
      <w:bookmarkStart w:id="0" w:name="_Hlk140592377"/>
      <w:bookmarkEnd w:id="0"/>
      <w:r>
        <w:rPr>
          <w:noProof/>
          <w:lang w:eastAsia="zh-CN"/>
        </w:rPr>
        <w:drawing>
          <wp:anchor distT="0" distB="0" distL="114300" distR="114300" simplePos="0" relativeHeight="251658247" behindDoc="1" locked="0" layoutInCell="1" allowOverlap="1" wp14:anchorId="38184C76" wp14:editId="122F971D">
            <wp:simplePos x="0" y="0"/>
            <wp:positionH relativeFrom="margin">
              <wp:align>center</wp:align>
            </wp:positionH>
            <wp:positionV relativeFrom="page">
              <wp:posOffset>-305484</wp:posOffset>
            </wp:positionV>
            <wp:extent cx="7918145" cy="11200353"/>
            <wp:effectExtent l="0" t="0" r="6985"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145" cy="11200353"/>
                    </a:xfrm>
                    <a:prstGeom prst="rect">
                      <a:avLst/>
                    </a:prstGeom>
                  </pic:spPr>
                </pic:pic>
              </a:graphicData>
            </a:graphic>
            <wp14:sizeRelH relativeFrom="margin">
              <wp14:pctWidth>0</wp14:pctWidth>
            </wp14:sizeRelH>
            <wp14:sizeRelV relativeFrom="margin">
              <wp14:pctHeight>0</wp14:pctHeight>
            </wp14:sizeRelV>
          </wp:anchor>
        </w:drawing>
      </w:r>
    </w:p>
    <w:sdt>
      <w:sdtPr>
        <w:id w:val="-1206409104"/>
        <w:docPartObj>
          <w:docPartGallery w:val="Cover Pages"/>
          <w:docPartUnique/>
        </w:docPartObj>
      </w:sdtPr>
      <w:sdtEndPr/>
      <w:sdtContent>
        <w:p w14:paraId="156A436C" w14:textId="0BA43DE7" w:rsidR="00A652B8" w:rsidRPr="006D0240" w:rsidRDefault="00A652B8" w:rsidP="008E6292"/>
        <w:p w14:paraId="28A93837" w14:textId="77777777" w:rsidR="00A652B8" w:rsidRPr="006D0240" w:rsidRDefault="00A652B8" w:rsidP="001D4EAA">
          <w:pPr>
            <w:pStyle w:val="Header"/>
            <w:spacing w:after="1320"/>
            <w:jc w:val="left"/>
          </w:pPr>
        </w:p>
        <w:p w14:paraId="54234D19" w14:textId="1DE4F335" w:rsidR="00F15673" w:rsidRPr="00DB5D66" w:rsidRDefault="00F15673" w:rsidP="00F15673">
          <w:pPr>
            <w:pStyle w:val="Heading3"/>
            <w:rPr>
              <w:rFonts w:ascii="Calibri Light" w:eastAsiaTheme="majorEastAsia" w:hAnsi="Calibri Light" w:cstheme="majorBidi"/>
              <w:color w:val="2C384A" w:themeColor="accent1"/>
              <w:spacing w:val="5"/>
              <w:kern w:val="28"/>
              <w:sz w:val="72"/>
              <w:szCs w:val="52"/>
            </w:rPr>
          </w:pPr>
          <w:bookmarkStart w:id="1" w:name="_Toc147500238"/>
          <w:r w:rsidRPr="00DB5D66">
            <w:rPr>
              <w:rFonts w:ascii="Calibri Light" w:eastAsiaTheme="majorEastAsia" w:hAnsi="Calibri Light" w:cstheme="majorBidi"/>
              <w:color w:val="2C384A" w:themeColor="accent1"/>
              <w:spacing w:val="5"/>
              <w:kern w:val="28"/>
              <w:sz w:val="72"/>
              <w:szCs w:val="52"/>
            </w:rPr>
            <w:t>Securing Australians’ Super</w:t>
          </w:r>
          <w:r w:rsidR="00B42D3F">
            <w:rPr>
              <w:rFonts w:ascii="Calibri Light" w:eastAsiaTheme="majorEastAsia" w:hAnsi="Calibri Light" w:cstheme="majorBidi"/>
              <w:color w:val="2C384A" w:themeColor="accent1"/>
              <w:spacing w:val="5"/>
              <w:kern w:val="28"/>
              <w:sz w:val="72"/>
              <w:szCs w:val="52"/>
            </w:rPr>
            <w:t>annuation</w:t>
          </w:r>
          <w:bookmarkEnd w:id="1"/>
          <w:r w:rsidRPr="00DB5D66">
            <w:rPr>
              <w:rFonts w:ascii="Calibri Light" w:eastAsiaTheme="majorEastAsia" w:hAnsi="Calibri Light" w:cstheme="majorBidi"/>
              <w:color w:val="2C384A" w:themeColor="accent1"/>
              <w:spacing w:val="5"/>
              <w:kern w:val="28"/>
              <w:sz w:val="72"/>
              <w:szCs w:val="52"/>
            </w:rPr>
            <w:t xml:space="preserve"> </w:t>
          </w:r>
        </w:p>
        <w:p w14:paraId="7EDE4F5F" w14:textId="7FEE4F5E" w:rsidR="00A652B8" w:rsidRPr="001D4EAA" w:rsidRDefault="006D7439" w:rsidP="001D4EAA">
          <w:pPr>
            <w:pStyle w:val="Title"/>
          </w:pPr>
          <w:r>
            <w:t xml:space="preserve">Budget </w:t>
          </w:r>
          <w:r w:rsidR="00543760">
            <w:t>2023-24</w:t>
          </w:r>
        </w:p>
        <w:p w14:paraId="3197F4F6" w14:textId="77777777" w:rsidR="00A652B8" w:rsidRPr="001D4EAA" w:rsidRDefault="00A652B8" w:rsidP="00082FC2">
          <w:pPr>
            <w:pStyle w:val="Subtitle"/>
            <w:spacing w:after="240"/>
          </w:pPr>
          <w:r>
            <w:t>Consultation paper</w:t>
          </w:r>
        </w:p>
        <w:p w14:paraId="2D9D482D" w14:textId="53DA0F24" w:rsidR="00A652B8" w:rsidRDefault="00AA0424" w:rsidP="001D4EAA">
          <w:pPr>
            <w:pStyle w:val="ReportDate"/>
            <w:rPr>
              <w:rFonts w:ascii="Rockwell" w:hAnsi="Rockwell"/>
              <w:sz w:val="24"/>
            </w:rPr>
          </w:pPr>
          <w:r>
            <w:rPr>
              <w:rStyle w:val="ReportDateChar"/>
            </w:rPr>
            <w:t>October</w:t>
          </w:r>
          <w:r w:rsidR="00260933" w:rsidRPr="00916B47">
            <w:rPr>
              <w:rStyle w:val="ReportDateChar"/>
            </w:rPr>
            <w:t xml:space="preserve"> </w:t>
          </w:r>
          <w:r w:rsidR="006D7439" w:rsidRPr="00916B47">
            <w:rPr>
              <w:rStyle w:val="ReportDateChar"/>
            </w:rPr>
            <w:t>2023</w:t>
          </w:r>
        </w:p>
        <w:p w14:paraId="56CB2CF8" w14:textId="77777777" w:rsidR="00A652B8" w:rsidRDefault="00A652B8" w:rsidP="00775702">
          <w:pPr>
            <w:spacing w:after="1640"/>
          </w:pPr>
        </w:p>
        <w:p w14:paraId="4B8911B1" w14:textId="77777777" w:rsidR="00A652B8" w:rsidRDefault="00A652B8">
          <w:pPr>
            <w:spacing w:before="0" w:after="160" w:line="259" w:lineRule="auto"/>
          </w:pPr>
          <w:r>
            <w:br w:type="page"/>
          </w:r>
        </w:p>
      </w:sdtContent>
    </w:sdt>
    <w:p w14:paraId="647886D8" w14:textId="77777777" w:rsidR="000E0B74" w:rsidRDefault="000E0B74" w:rsidP="000E0B74">
      <w:pPr>
        <w:sectPr w:rsidR="000E0B74" w:rsidSect="00555D14">
          <w:pgSz w:w="11906" w:h="16838" w:code="9"/>
          <w:pgMar w:top="1843" w:right="1418" w:bottom="1418" w:left="1418" w:header="709" w:footer="709" w:gutter="0"/>
          <w:pgNumType w:fmt="lowerRoman" w:start="0"/>
          <w:cols w:space="720"/>
          <w:titlePg/>
          <w:docGrid w:linePitch="299"/>
        </w:sectPr>
      </w:pPr>
    </w:p>
    <w:p w14:paraId="2EDEF017" w14:textId="6F077C71" w:rsidR="000E0B74" w:rsidRDefault="000E0B74" w:rsidP="000E0B74">
      <w:pPr>
        <w:spacing w:before="240"/>
      </w:pPr>
      <w:r w:rsidRPr="00661BF0">
        <w:lastRenderedPageBreak/>
        <w:t>© Commonwealth of Australia</w:t>
      </w:r>
      <w:r w:rsidR="006D7439">
        <w:t xml:space="preserve"> 2023</w:t>
      </w:r>
    </w:p>
    <w:p w14:paraId="39AD7A9F" w14:textId="0C32EB6E" w:rsidR="000E0B74" w:rsidRPr="00086F82" w:rsidRDefault="000E0B74" w:rsidP="000E0B74">
      <w:pPr>
        <w:tabs>
          <w:tab w:val="left" w:pos="1650"/>
        </w:tabs>
        <w:spacing w:before="240"/>
        <w:rPr>
          <w:rFonts w:cstheme="minorBidi"/>
          <w:sz w:val="24"/>
          <w:szCs w:val="24"/>
        </w:rPr>
      </w:pPr>
      <w:r w:rsidRPr="002F1BC2">
        <w:t>This publication is available for your use under a</w:t>
      </w:r>
      <w:r w:rsidRPr="00476F09">
        <w:rPr>
          <w:rFonts w:cstheme="minorHAnsi"/>
          <w:sz w:val="24"/>
          <w:szCs w:val="24"/>
        </w:rPr>
        <w:t xml:space="preserve"> </w:t>
      </w:r>
      <w:hyperlink r:id="rId9" w:history="1">
        <w:r w:rsidRPr="006627B4">
          <w:rPr>
            <w:rStyle w:val="Hyperlink"/>
          </w:rPr>
          <w:t>Creative Commons Attribution 3.0 Australia</w:t>
        </w:r>
      </w:hyperlink>
      <w:r w:rsidRPr="00476F09">
        <w:rPr>
          <w:rFonts w:cstheme="minorHAnsi"/>
          <w:sz w:val="24"/>
          <w:szCs w:val="24"/>
        </w:rPr>
        <w:t xml:space="preserve"> </w:t>
      </w:r>
      <w:r w:rsidRPr="002F1BC2">
        <w:t>licence, with the exception of the Commonwealth Coat of Arms, the Treasury logo</w:t>
      </w:r>
      <w:r>
        <w:t xml:space="preserve">, photographs, images, signatures </w:t>
      </w:r>
      <w:r w:rsidRPr="002F1BC2">
        <w:t>and where otherwise stated. The full licence terms are available from</w:t>
      </w:r>
      <w:r w:rsidRPr="00476F09">
        <w:rPr>
          <w:rFonts w:cstheme="minorHAnsi"/>
          <w:sz w:val="24"/>
          <w:szCs w:val="24"/>
        </w:rPr>
        <w:t xml:space="preserve"> </w:t>
      </w:r>
      <w:hyperlink r:id="rId10" w:history="1">
        <w:r w:rsidRPr="00D45AF8">
          <w:rPr>
            <w:rStyle w:val="Hyperlink"/>
          </w:rPr>
          <w:t>http://creativecommons.org/licenses/by/3.0/au/legalcode</w:t>
        </w:r>
      </w:hyperlink>
      <w:r w:rsidRPr="006627B4">
        <w:rPr>
          <w:rStyle w:val="Hyperlink"/>
        </w:rPr>
        <w:t>.</w:t>
      </w:r>
      <w:r w:rsidRPr="00D06A21">
        <w:rPr>
          <w:sz w:val="24"/>
          <w:szCs w:val="24"/>
        </w:rPr>
        <w:t xml:space="preserve"> </w:t>
      </w:r>
    </w:p>
    <w:p w14:paraId="4F45FE8D" w14:textId="77777777" w:rsidR="000E0B74" w:rsidRDefault="000E0B74" w:rsidP="000E0B74">
      <w:pPr>
        <w:pStyle w:val="ChartGraphic"/>
        <w:jc w:val="left"/>
      </w:pPr>
      <w:r w:rsidRPr="00E56DFB">
        <w:rPr>
          <w:noProof/>
          <w:lang w:eastAsia="zh-CN"/>
        </w:rPr>
        <w:drawing>
          <wp:inline distT="0" distB="0" distL="0" distR="0" wp14:anchorId="6D26B5C0" wp14:editId="01177EF0">
            <wp:extent cx="809625" cy="285750"/>
            <wp:effectExtent l="0" t="0" r="9525" b="0"/>
            <wp:docPr id="3" name="Picture 3" descr="Creative Commons attribution licence 3.0 icon. " title="Creative Common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_gre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w="9525">
                      <a:noFill/>
                      <a:miter lim="800000"/>
                      <a:headEnd/>
                      <a:tailEnd/>
                    </a:ln>
                  </pic:spPr>
                </pic:pic>
              </a:graphicData>
            </a:graphic>
          </wp:inline>
        </w:drawing>
      </w:r>
    </w:p>
    <w:p w14:paraId="4B434A6D" w14:textId="77777777" w:rsidR="000E0B74" w:rsidRPr="006627B4" w:rsidRDefault="000E0B74" w:rsidP="000E0B74">
      <w:pPr>
        <w:tabs>
          <w:tab w:val="left" w:pos="1650"/>
        </w:tabs>
        <w:spacing w:before="240"/>
      </w:pPr>
      <w:r w:rsidRPr="006627B4">
        <w:t>Use of Treasury material under a</w:t>
      </w:r>
      <w:r w:rsidRPr="00476F09">
        <w:rPr>
          <w:rFonts w:cstheme="minorHAnsi"/>
          <w:sz w:val="24"/>
          <w:szCs w:val="24"/>
        </w:rPr>
        <w:t xml:space="preserve"> </w:t>
      </w:r>
      <w:hyperlink r:id="rId12" w:history="1">
        <w:r w:rsidRPr="002F1BC2">
          <w:rPr>
            <w:rStyle w:val="Hyperlink"/>
          </w:rPr>
          <w:t>Creative Commons Attribution 3.0 Australia</w:t>
        </w:r>
      </w:hyperlink>
      <w:r w:rsidR="00474693">
        <w:t xml:space="preserve"> l</w:t>
      </w:r>
      <w:r w:rsidRPr="006627B4">
        <w:t>icence requires you to attribute the work (but not in any way that suggests that the Treasury endorse</w:t>
      </w:r>
      <w:r>
        <w:t>s you or your use of the work).</w:t>
      </w:r>
    </w:p>
    <w:p w14:paraId="6F8B2451" w14:textId="77777777" w:rsidR="000E0B74" w:rsidRPr="0031276E" w:rsidRDefault="000E0B74" w:rsidP="0031276E">
      <w:pPr>
        <w:spacing w:before="240"/>
        <w:rPr>
          <w:b/>
        </w:rPr>
      </w:pPr>
      <w:r w:rsidRPr="0031276E">
        <w:rPr>
          <w:b/>
        </w:rPr>
        <w:t xml:space="preserve">Treasury material used ‘as </w:t>
      </w:r>
      <w:proofErr w:type="gramStart"/>
      <w:r w:rsidRPr="0031276E">
        <w:rPr>
          <w:b/>
        </w:rPr>
        <w:t>supplied’</w:t>
      </w:r>
      <w:proofErr w:type="gramEnd"/>
    </w:p>
    <w:p w14:paraId="47FD26C5" w14:textId="77777777" w:rsidR="000E0B74" w:rsidRPr="00476F09" w:rsidRDefault="000E0B74" w:rsidP="00823A66">
      <w:r w:rsidRPr="00476F09">
        <w:t>Provided you have not modified or transformed Treasury material in any way including, for example, by</w:t>
      </w:r>
      <w:r>
        <w:t xml:space="preserve"> </w:t>
      </w:r>
      <w:r w:rsidRPr="0096692D">
        <w:t>changing the Treasury text; calculating percentage changes; graphing or charting data</w:t>
      </w:r>
      <w:r>
        <w:t>;</w:t>
      </w:r>
      <w:r w:rsidRPr="0096692D">
        <w:t xml:space="preserve"> or deriving new statistics from published Treasury statistics</w:t>
      </w:r>
      <w:r>
        <w:t xml:space="preserve"> — then Treasury prefers t</w:t>
      </w:r>
      <w:r w:rsidRPr="00476F09">
        <w:t xml:space="preserve">he following attribution: </w:t>
      </w:r>
    </w:p>
    <w:p w14:paraId="55C52A68" w14:textId="65E4146E" w:rsidR="000E0B74" w:rsidRPr="00A13A11" w:rsidRDefault="000E0B74" w:rsidP="000E0B74">
      <w:pPr>
        <w:ind w:firstLine="720"/>
      </w:pPr>
      <w:r w:rsidRPr="002F1BC2">
        <w:rPr>
          <w:i/>
        </w:rPr>
        <w:t xml:space="preserve">Source: The </w:t>
      </w:r>
      <w:r w:rsidRPr="002F1BC2">
        <w:rPr>
          <w:i/>
          <w:iCs/>
        </w:rPr>
        <w:t>Australian Government the Treasury</w:t>
      </w:r>
    </w:p>
    <w:p w14:paraId="07F8C5A1" w14:textId="77777777" w:rsidR="000E0B74" w:rsidRPr="006627B4" w:rsidRDefault="000E0B74" w:rsidP="000E0B74">
      <w:pPr>
        <w:spacing w:before="240"/>
      </w:pPr>
      <w:r w:rsidRPr="00CC63CC">
        <w:rPr>
          <w:b/>
        </w:rPr>
        <w:t>Derivative</w:t>
      </w:r>
      <w:r w:rsidRPr="006627B4">
        <w:t xml:space="preserve"> </w:t>
      </w:r>
      <w:r w:rsidRPr="00CC63CC">
        <w:rPr>
          <w:b/>
        </w:rPr>
        <w:t>material</w:t>
      </w:r>
    </w:p>
    <w:p w14:paraId="6DC26FE7" w14:textId="77777777" w:rsidR="000E0B74" w:rsidRPr="006627B4" w:rsidRDefault="000E0B74" w:rsidP="000E0B74">
      <w:r w:rsidRPr="006627B4">
        <w:t xml:space="preserve">If you have modified or transformed Treasury material, or derived new material from those of the Treasury in any way, then Treasury prefers the following attribution: </w:t>
      </w:r>
    </w:p>
    <w:p w14:paraId="574BD685" w14:textId="619FE4AB" w:rsidR="000E0B74" w:rsidRPr="006627B4" w:rsidRDefault="000E0B74" w:rsidP="000E0B74">
      <w:pPr>
        <w:ind w:firstLine="720"/>
      </w:pPr>
      <w:r w:rsidRPr="002F1BC2">
        <w:rPr>
          <w:i/>
        </w:rPr>
        <w:t>Based on The Australian Government the Treasury data</w:t>
      </w:r>
      <w:r w:rsidRPr="006627B4">
        <w:t xml:space="preserve"> </w:t>
      </w:r>
    </w:p>
    <w:p w14:paraId="137191D9" w14:textId="77777777" w:rsidR="000E0B74" w:rsidRPr="006627B4" w:rsidRDefault="000E0B74" w:rsidP="000E0B74">
      <w:pPr>
        <w:spacing w:before="240"/>
        <w:rPr>
          <w:b/>
        </w:rPr>
      </w:pPr>
      <w:r w:rsidRPr="006627B4">
        <w:rPr>
          <w:b/>
        </w:rPr>
        <w:t>Use of the Coat of Arms</w:t>
      </w:r>
    </w:p>
    <w:p w14:paraId="06F4EA08" w14:textId="77777777" w:rsidR="000E0B74" w:rsidRPr="006627B4" w:rsidRDefault="004A7BC2" w:rsidP="000E0B74">
      <w:r w:rsidRPr="004A7BC2">
        <w:t>The terms under which the Coat of Arms can be used are set out</w:t>
      </w:r>
      <w:r>
        <w:t xml:space="preserve"> on the Department of the Prime </w:t>
      </w:r>
      <w:r w:rsidRPr="004A7BC2">
        <w:t xml:space="preserve">Minister and Cabinet website (see </w:t>
      </w:r>
      <w:hyperlink r:id="rId13" w:history="1">
        <w:r w:rsidR="00474693" w:rsidRPr="00770ED6">
          <w:rPr>
            <w:rStyle w:val="Hyperlink"/>
          </w:rPr>
          <w:t>www.pmc.gov.au/government/commonwealth-coat-arms</w:t>
        </w:r>
      </w:hyperlink>
      <w:r w:rsidRPr="004A7BC2">
        <w:t>).</w:t>
      </w:r>
    </w:p>
    <w:p w14:paraId="7CC2F138" w14:textId="77777777" w:rsidR="000E0B74" w:rsidRPr="006627B4" w:rsidRDefault="000E0B74" w:rsidP="000E0B74">
      <w:pPr>
        <w:spacing w:before="240"/>
        <w:rPr>
          <w:b/>
        </w:rPr>
      </w:pPr>
      <w:r>
        <w:rPr>
          <w:b/>
        </w:rPr>
        <w:t>Other u</w:t>
      </w:r>
      <w:r w:rsidRPr="006627B4">
        <w:rPr>
          <w:b/>
        </w:rPr>
        <w:t>ses</w:t>
      </w:r>
    </w:p>
    <w:p w14:paraId="5DACFA03" w14:textId="77777777" w:rsidR="000E0B74" w:rsidRPr="006627B4" w:rsidRDefault="000E0B74" w:rsidP="000E0B74">
      <w:r>
        <w:t>E</w:t>
      </w:r>
      <w:r w:rsidRPr="006627B4">
        <w:t>nquiries regarding this licence and any other use of this document are welcome at:</w:t>
      </w:r>
    </w:p>
    <w:p w14:paraId="50002AEB" w14:textId="77777777" w:rsidR="000E0B74" w:rsidRPr="002F1BC2" w:rsidRDefault="000E0B74" w:rsidP="000E0B74">
      <w:pPr>
        <w:ind w:left="720"/>
        <w:rPr>
          <w:rStyle w:val="Hyperlink"/>
        </w:rPr>
      </w:pPr>
      <w:r w:rsidRPr="006627B4">
        <w:t>Manager</w:t>
      </w:r>
      <w:r w:rsidR="009A668A">
        <w:br/>
      </w:r>
      <w:r>
        <w:t>Media Unit</w:t>
      </w:r>
      <w:r>
        <w:br/>
      </w:r>
      <w:r w:rsidRPr="006627B4">
        <w:t>The Treasury</w:t>
      </w:r>
      <w:r>
        <w:br/>
      </w:r>
      <w:r w:rsidRPr="006627B4">
        <w:t xml:space="preserve">Langton Crescent </w:t>
      </w:r>
      <w:r>
        <w:br/>
      </w:r>
      <w:r w:rsidRPr="006627B4">
        <w:t xml:space="preserve">Parkes </w:t>
      </w:r>
      <w:r>
        <w:t xml:space="preserve"> </w:t>
      </w:r>
      <w:r w:rsidRPr="006627B4">
        <w:t xml:space="preserve">ACT </w:t>
      </w:r>
      <w:r>
        <w:t xml:space="preserve"> </w:t>
      </w:r>
      <w:r w:rsidRPr="006627B4">
        <w:t>2600</w:t>
      </w:r>
      <w:r>
        <w:br/>
      </w:r>
      <w:r w:rsidRPr="006627B4">
        <w:t xml:space="preserve">Email: </w:t>
      </w:r>
      <w:hyperlink r:id="rId14" w:history="1">
        <w:r w:rsidR="004A077D" w:rsidRPr="000951A5">
          <w:rPr>
            <w:rStyle w:val="Hyperlink"/>
          </w:rPr>
          <w:t>media@treasury.gov.au</w:t>
        </w:r>
      </w:hyperlink>
      <w:r w:rsidR="004A077D">
        <w:t xml:space="preserve"> </w:t>
      </w:r>
    </w:p>
    <w:p w14:paraId="317B4D71" w14:textId="77777777" w:rsidR="000E0B74" w:rsidRDefault="000E0B74" w:rsidP="000E0B74">
      <w:pPr>
        <w:pStyle w:val="SingleParagraph"/>
        <w:sectPr w:rsidR="000E0B74" w:rsidSect="008043EA">
          <w:headerReference w:type="even" r:id="rId15"/>
          <w:headerReference w:type="default" r:id="rId16"/>
          <w:footerReference w:type="even" r:id="rId17"/>
          <w:pgSz w:w="11906" w:h="16838" w:code="9"/>
          <w:pgMar w:top="1843" w:right="1418" w:bottom="1418" w:left="1418" w:header="709" w:footer="709" w:gutter="0"/>
          <w:pgNumType w:fmt="lowerRoman"/>
          <w:cols w:space="708"/>
          <w:titlePg/>
          <w:docGrid w:linePitch="360"/>
        </w:sectPr>
      </w:pPr>
    </w:p>
    <w:bookmarkStart w:id="2" w:name="_Toc130814233" w:displacedByCustomXml="next"/>
    <w:bookmarkStart w:id="3" w:name="_Toc131688116" w:displacedByCustomXml="next"/>
    <w:sdt>
      <w:sdtPr>
        <w:rPr>
          <w:rFonts w:ascii="Calibri Light" w:eastAsia="Times New Roman" w:hAnsi="Calibri Light" w:cs="Times New Roman"/>
          <w:color w:val="auto"/>
          <w:sz w:val="22"/>
          <w:szCs w:val="20"/>
          <w:lang w:val="en-AU" w:eastAsia="en-AU"/>
        </w:rPr>
        <w:id w:val="1878353783"/>
        <w:docPartObj>
          <w:docPartGallery w:val="Table of Contents"/>
          <w:docPartUnique/>
        </w:docPartObj>
      </w:sdtPr>
      <w:sdtEndPr>
        <w:rPr>
          <w:b/>
          <w:bCs/>
          <w:noProof/>
        </w:rPr>
      </w:sdtEndPr>
      <w:sdtContent>
        <w:p w14:paraId="3109D215" w14:textId="39C43A3D" w:rsidR="00711AA7" w:rsidRDefault="00711AA7">
          <w:pPr>
            <w:pStyle w:val="TOCHeading"/>
          </w:pPr>
          <w:r>
            <w:t>Contents</w:t>
          </w:r>
        </w:p>
        <w:p w14:paraId="7FC74409" w14:textId="4B34AC65" w:rsidR="00395C99" w:rsidRDefault="00711AA7">
          <w:pPr>
            <w:pStyle w:val="TOC3"/>
            <w:rPr>
              <w:rFonts w:asciiTheme="minorHAnsi" w:eastAsiaTheme="minorEastAsia" w:hAnsiTheme="minorHAnsi" w:cstheme="minorBidi"/>
              <w:szCs w:val="22"/>
            </w:rPr>
          </w:pPr>
          <w:r>
            <w:rPr>
              <w:color w:val="002C4A"/>
              <w:szCs w:val="22"/>
            </w:rPr>
            <w:fldChar w:fldCharType="begin"/>
          </w:r>
          <w:r>
            <w:instrText xml:space="preserve"> TOC \o "1-3" \h \z \u </w:instrText>
          </w:r>
          <w:r>
            <w:rPr>
              <w:color w:val="002C4A"/>
              <w:szCs w:val="22"/>
            </w:rPr>
            <w:fldChar w:fldCharType="separate"/>
          </w:r>
          <w:hyperlink w:anchor="_Toc147500238" w:history="1">
            <w:r w:rsidR="00395C99" w:rsidRPr="00DA4D2D">
              <w:rPr>
                <w:rStyle w:val="Hyperlink"/>
                <w:rFonts w:eastAsiaTheme="majorEastAsia" w:cstheme="majorBidi"/>
                <w:spacing w:val="5"/>
                <w:kern w:val="28"/>
              </w:rPr>
              <w:t>Securing Australians’ Superannuation</w:t>
            </w:r>
            <w:r w:rsidR="00395C99">
              <w:rPr>
                <w:webHidden/>
              </w:rPr>
              <w:tab/>
            </w:r>
            <w:r w:rsidR="00395C99">
              <w:rPr>
                <w:webHidden/>
              </w:rPr>
              <w:fldChar w:fldCharType="begin"/>
            </w:r>
            <w:r w:rsidR="00395C99">
              <w:rPr>
                <w:webHidden/>
              </w:rPr>
              <w:instrText xml:space="preserve"> PAGEREF _Toc147500238 \h </w:instrText>
            </w:r>
            <w:r w:rsidR="00395C99">
              <w:rPr>
                <w:webHidden/>
              </w:rPr>
            </w:r>
            <w:r w:rsidR="00395C99">
              <w:rPr>
                <w:webHidden/>
              </w:rPr>
              <w:fldChar w:fldCharType="separate"/>
            </w:r>
            <w:r w:rsidR="00203737">
              <w:rPr>
                <w:webHidden/>
              </w:rPr>
              <w:t xml:space="preserve"> </w:t>
            </w:r>
            <w:r w:rsidR="00395C99">
              <w:rPr>
                <w:webHidden/>
              </w:rPr>
              <w:fldChar w:fldCharType="end"/>
            </w:r>
          </w:hyperlink>
        </w:p>
        <w:p w14:paraId="1A8A09A7" w14:textId="2530F357" w:rsidR="00395C99" w:rsidRDefault="001911F1">
          <w:pPr>
            <w:pStyle w:val="TOC1"/>
            <w:rPr>
              <w:rFonts w:asciiTheme="minorHAnsi" w:eastAsiaTheme="minorEastAsia" w:hAnsiTheme="minorHAnsi" w:cstheme="minorBidi"/>
              <w:b w:val="0"/>
              <w:color w:val="auto"/>
            </w:rPr>
          </w:pPr>
          <w:hyperlink w:anchor="_Toc147500239" w:history="1">
            <w:r w:rsidR="00395C99" w:rsidRPr="00DA4D2D">
              <w:rPr>
                <w:rStyle w:val="Hyperlink"/>
              </w:rPr>
              <w:t>Abbreviations</w:t>
            </w:r>
            <w:r w:rsidR="00395C99">
              <w:rPr>
                <w:webHidden/>
              </w:rPr>
              <w:tab/>
            </w:r>
            <w:r w:rsidR="00395C99">
              <w:rPr>
                <w:webHidden/>
              </w:rPr>
              <w:fldChar w:fldCharType="begin"/>
            </w:r>
            <w:r w:rsidR="00395C99">
              <w:rPr>
                <w:webHidden/>
              </w:rPr>
              <w:instrText xml:space="preserve"> PAGEREF _Toc147500239 \h </w:instrText>
            </w:r>
            <w:r w:rsidR="00395C99">
              <w:rPr>
                <w:webHidden/>
              </w:rPr>
            </w:r>
            <w:r w:rsidR="00395C99">
              <w:rPr>
                <w:webHidden/>
              </w:rPr>
              <w:fldChar w:fldCharType="separate"/>
            </w:r>
            <w:r w:rsidR="00203737">
              <w:rPr>
                <w:webHidden/>
              </w:rPr>
              <w:t>4</w:t>
            </w:r>
            <w:r w:rsidR="00395C99">
              <w:rPr>
                <w:webHidden/>
              </w:rPr>
              <w:fldChar w:fldCharType="end"/>
            </w:r>
          </w:hyperlink>
        </w:p>
        <w:p w14:paraId="3CA1133A" w14:textId="6D555CDF" w:rsidR="00395C99" w:rsidRDefault="001911F1">
          <w:pPr>
            <w:pStyle w:val="TOC1"/>
            <w:rPr>
              <w:rFonts w:asciiTheme="minorHAnsi" w:eastAsiaTheme="minorEastAsia" w:hAnsiTheme="minorHAnsi" w:cstheme="minorBidi"/>
              <w:b w:val="0"/>
              <w:color w:val="auto"/>
            </w:rPr>
          </w:pPr>
          <w:hyperlink w:anchor="_Toc147500240" w:history="1">
            <w:r w:rsidR="00395C99" w:rsidRPr="00DA4D2D">
              <w:rPr>
                <w:rStyle w:val="Hyperlink"/>
              </w:rPr>
              <w:t>Consultation Process</w:t>
            </w:r>
            <w:r w:rsidR="00395C99">
              <w:rPr>
                <w:webHidden/>
              </w:rPr>
              <w:tab/>
            </w:r>
            <w:r w:rsidR="00395C99">
              <w:rPr>
                <w:webHidden/>
              </w:rPr>
              <w:fldChar w:fldCharType="begin"/>
            </w:r>
            <w:r w:rsidR="00395C99">
              <w:rPr>
                <w:webHidden/>
              </w:rPr>
              <w:instrText xml:space="preserve"> PAGEREF _Toc147500240 \h </w:instrText>
            </w:r>
            <w:r w:rsidR="00395C99">
              <w:rPr>
                <w:webHidden/>
              </w:rPr>
            </w:r>
            <w:r w:rsidR="00395C99">
              <w:rPr>
                <w:webHidden/>
              </w:rPr>
              <w:fldChar w:fldCharType="separate"/>
            </w:r>
            <w:r w:rsidR="00203737">
              <w:rPr>
                <w:webHidden/>
              </w:rPr>
              <w:t>5</w:t>
            </w:r>
            <w:r w:rsidR="00395C99">
              <w:rPr>
                <w:webHidden/>
              </w:rPr>
              <w:fldChar w:fldCharType="end"/>
            </w:r>
          </w:hyperlink>
        </w:p>
        <w:p w14:paraId="0A6B5D75" w14:textId="5C7530CD" w:rsidR="00395C99" w:rsidRDefault="001911F1">
          <w:pPr>
            <w:pStyle w:val="TOC2"/>
            <w:rPr>
              <w:rFonts w:asciiTheme="minorHAnsi" w:eastAsiaTheme="minorEastAsia" w:hAnsiTheme="minorHAnsi" w:cstheme="minorBidi"/>
              <w:color w:val="auto"/>
              <w:szCs w:val="22"/>
            </w:rPr>
          </w:pPr>
          <w:hyperlink w:anchor="_Toc147500241" w:history="1">
            <w:r w:rsidR="00395C99" w:rsidRPr="00DA4D2D">
              <w:rPr>
                <w:rStyle w:val="Hyperlink"/>
              </w:rPr>
              <w:t>Request for feedback and comments</w:t>
            </w:r>
            <w:r w:rsidR="00395C99">
              <w:rPr>
                <w:webHidden/>
              </w:rPr>
              <w:tab/>
            </w:r>
            <w:r w:rsidR="00395C99">
              <w:rPr>
                <w:webHidden/>
              </w:rPr>
              <w:fldChar w:fldCharType="begin"/>
            </w:r>
            <w:r w:rsidR="00395C99">
              <w:rPr>
                <w:webHidden/>
              </w:rPr>
              <w:instrText xml:space="preserve"> PAGEREF _Toc147500241 \h </w:instrText>
            </w:r>
            <w:r w:rsidR="00395C99">
              <w:rPr>
                <w:webHidden/>
              </w:rPr>
            </w:r>
            <w:r w:rsidR="00395C99">
              <w:rPr>
                <w:webHidden/>
              </w:rPr>
              <w:fldChar w:fldCharType="separate"/>
            </w:r>
            <w:r w:rsidR="00203737">
              <w:rPr>
                <w:webHidden/>
              </w:rPr>
              <w:t>5</w:t>
            </w:r>
            <w:r w:rsidR="00395C99">
              <w:rPr>
                <w:webHidden/>
              </w:rPr>
              <w:fldChar w:fldCharType="end"/>
            </w:r>
          </w:hyperlink>
        </w:p>
        <w:p w14:paraId="53ED0C9F" w14:textId="61F3DBBA" w:rsidR="00395C99" w:rsidRDefault="001911F1">
          <w:pPr>
            <w:pStyle w:val="TOC3"/>
            <w:rPr>
              <w:rFonts w:asciiTheme="minorHAnsi" w:eastAsiaTheme="minorEastAsia" w:hAnsiTheme="minorHAnsi" w:cstheme="minorBidi"/>
              <w:szCs w:val="22"/>
            </w:rPr>
          </w:pPr>
          <w:hyperlink w:anchor="_Toc147500242" w:history="1">
            <w:r w:rsidR="00395C99" w:rsidRPr="00DA4D2D">
              <w:rPr>
                <w:rStyle w:val="Hyperlink"/>
              </w:rPr>
              <w:t>Closing date for submissions: 3 November 2023</w:t>
            </w:r>
            <w:r w:rsidR="00395C99">
              <w:rPr>
                <w:webHidden/>
              </w:rPr>
              <w:tab/>
            </w:r>
            <w:r w:rsidR="00395C99">
              <w:rPr>
                <w:webHidden/>
              </w:rPr>
              <w:fldChar w:fldCharType="begin"/>
            </w:r>
            <w:r w:rsidR="00395C99">
              <w:rPr>
                <w:webHidden/>
              </w:rPr>
              <w:instrText xml:space="preserve"> PAGEREF _Toc147500242 \h </w:instrText>
            </w:r>
            <w:r w:rsidR="00395C99">
              <w:rPr>
                <w:webHidden/>
              </w:rPr>
            </w:r>
            <w:r w:rsidR="00395C99">
              <w:rPr>
                <w:webHidden/>
              </w:rPr>
              <w:fldChar w:fldCharType="separate"/>
            </w:r>
            <w:r w:rsidR="00203737">
              <w:rPr>
                <w:webHidden/>
              </w:rPr>
              <w:t>5</w:t>
            </w:r>
            <w:r w:rsidR="00395C99">
              <w:rPr>
                <w:webHidden/>
              </w:rPr>
              <w:fldChar w:fldCharType="end"/>
            </w:r>
          </w:hyperlink>
        </w:p>
        <w:p w14:paraId="480A15AA" w14:textId="5DFECDB9" w:rsidR="00395C99" w:rsidRDefault="001911F1">
          <w:pPr>
            <w:pStyle w:val="TOC1"/>
            <w:rPr>
              <w:rFonts w:asciiTheme="minorHAnsi" w:eastAsiaTheme="minorEastAsia" w:hAnsiTheme="minorHAnsi" w:cstheme="minorBidi"/>
              <w:b w:val="0"/>
              <w:color w:val="auto"/>
            </w:rPr>
          </w:pPr>
          <w:hyperlink w:anchor="_Toc147500243" w:history="1">
            <w:r w:rsidR="00395C99" w:rsidRPr="00DA4D2D">
              <w:rPr>
                <w:rStyle w:val="Hyperlink"/>
              </w:rPr>
              <w:t>Introduction</w:t>
            </w:r>
            <w:r w:rsidR="00395C99">
              <w:rPr>
                <w:webHidden/>
              </w:rPr>
              <w:tab/>
            </w:r>
            <w:r w:rsidR="00395C99">
              <w:rPr>
                <w:webHidden/>
              </w:rPr>
              <w:fldChar w:fldCharType="begin"/>
            </w:r>
            <w:r w:rsidR="00395C99">
              <w:rPr>
                <w:webHidden/>
              </w:rPr>
              <w:instrText xml:space="preserve"> PAGEREF _Toc147500243 \h </w:instrText>
            </w:r>
            <w:r w:rsidR="00395C99">
              <w:rPr>
                <w:webHidden/>
              </w:rPr>
            </w:r>
            <w:r w:rsidR="00395C99">
              <w:rPr>
                <w:webHidden/>
              </w:rPr>
              <w:fldChar w:fldCharType="separate"/>
            </w:r>
            <w:r w:rsidR="00203737">
              <w:rPr>
                <w:webHidden/>
              </w:rPr>
              <w:t>6</w:t>
            </w:r>
            <w:r w:rsidR="00395C99">
              <w:rPr>
                <w:webHidden/>
              </w:rPr>
              <w:fldChar w:fldCharType="end"/>
            </w:r>
          </w:hyperlink>
        </w:p>
        <w:p w14:paraId="45EDF5CC" w14:textId="5FF9CC82" w:rsidR="00395C99" w:rsidRDefault="001911F1">
          <w:pPr>
            <w:pStyle w:val="TOC3"/>
            <w:rPr>
              <w:rFonts w:asciiTheme="minorHAnsi" w:eastAsiaTheme="minorEastAsia" w:hAnsiTheme="minorHAnsi" w:cstheme="minorBidi"/>
              <w:szCs w:val="22"/>
            </w:rPr>
          </w:pPr>
          <w:hyperlink w:anchor="_Toc147500244" w:history="1">
            <w:r w:rsidR="00395C99" w:rsidRPr="00DA4D2D">
              <w:rPr>
                <w:rStyle w:val="Hyperlink"/>
              </w:rPr>
              <w:t>Chart 1: SG gross and net gap, 2014-15 to 2019-20</w:t>
            </w:r>
            <w:r w:rsidR="00395C99">
              <w:rPr>
                <w:webHidden/>
              </w:rPr>
              <w:tab/>
            </w:r>
            <w:r w:rsidR="00395C99">
              <w:rPr>
                <w:webHidden/>
              </w:rPr>
              <w:fldChar w:fldCharType="begin"/>
            </w:r>
            <w:r w:rsidR="00395C99">
              <w:rPr>
                <w:webHidden/>
              </w:rPr>
              <w:instrText xml:space="preserve"> PAGEREF _Toc147500244 \h </w:instrText>
            </w:r>
            <w:r w:rsidR="00395C99">
              <w:rPr>
                <w:webHidden/>
              </w:rPr>
            </w:r>
            <w:r w:rsidR="00395C99">
              <w:rPr>
                <w:webHidden/>
              </w:rPr>
              <w:fldChar w:fldCharType="separate"/>
            </w:r>
            <w:r w:rsidR="00203737">
              <w:rPr>
                <w:webHidden/>
              </w:rPr>
              <w:t>7</w:t>
            </w:r>
            <w:r w:rsidR="00395C99">
              <w:rPr>
                <w:webHidden/>
              </w:rPr>
              <w:fldChar w:fldCharType="end"/>
            </w:r>
          </w:hyperlink>
        </w:p>
        <w:p w14:paraId="54FB612F" w14:textId="3E2C1F35" w:rsidR="00395C99" w:rsidRDefault="001911F1">
          <w:pPr>
            <w:pStyle w:val="TOC2"/>
            <w:rPr>
              <w:rFonts w:asciiTheme="minorHAnsi" w:eastAsiaTheme="minorEastAsia" w:hAnsiTheme="minorHAnsi" w:cstheme="minorBidi"/>
              <w:color w:val="auto"/>
              <w:szCs w:val="22"/>
            </w:rPr>
          </w:pPr>
          <w:hyperlink w:anchor="_Toc147500245" w:history="1">
            <w:r w:rsidR="00395C99" w:rsidRPr="00DA4D2D">
              <w:rPr>
                <w:rStyle w:val="Hyperlink"/>
              </w:rPr>
              <w:t>Government commitments to reducing unpaid SG</w:t>
            </w:r>
            <w:r w:rsidR="00395C99">
              <w:rPr>
                <w:webHidden/>
              </w:rPr>
              <w:tab/>
            </w:r>
            <w:r w:rsidR="00395C99">
              <w:rPr>
                <w:webHidden/>
              </w:rPr>
              <w:fldChar w:fldCharType="begin"/>
            </w:r>
            <w:r w:rsidR="00395C99">
              <w:rPr>
                <w:webHidden/>
              </w:rPr>
              <w:instrText xml:space="preserve"> PAGEREF _Toc147500245 \h </w:instrText>
            </w:r>
            <w:r w:rsidR="00395C99">
              <w:rPr>
                <w:webHidden/>
              </w:rPr>
            </w:r>
            <w:r w:rsidR="00395C99">
              <w:rPr>
                <w:webHidden/>
              </w:rPr>
              <w:fldChar w:fldCharType="separate"/>
            </w:r>
            <w:r w:rsidR="00203737">
              <w:rPr>
                <w:webHidden/>
              </w:rPr>
              <w:t>7</w:t>
            </w:r>
            <w:r w:rsidR="00395C99">
              <w:rPr>
                <w:webHidden/>
              </w:rPr>
              <w:fldChar w:fldCharType="end"/>
            </w:r>
          </w:hyperlink>
        </w:p>
        <w:p w14:paraId="4ACC2C41" w14:textId="0E1EEB2F" w:rsidR="00395C99" w:rsidRDefault="001911F1">
          <w:pPr>
            <w:pStyle w:val="TOC3"/>
            <w:rPr>
              <w:rFonts w:asciiTheme="minorHAnsi" w:eastAsiaTheme="minorEastAsia" w:hAnsiTheme="minorHAnsi" w:cstheme="minorBidi"/>
              <w:szCs w:val="22"/>
            </w:rPr>
          </w:pPr>
          <w:hyperlink w:anchor="_Toc147500246" w:history="1">
            <w:r w:rsidR="00395C99" w:rsidRPr="00DA4D2D">
              <w:rPr>
                <w:rStyle w:val="Hyperlink"/>
              </w:rPr>
              <w:t>Securing Australians’ Superannuation</w:t>
            </w:r>
            <w:r w:rsidR="00395C99">
              <w:rPr>
                <w:webHidden/>
              </w:rPr>
              <w:tab/>
            </w:r>
            <w:r w:rsidR="00395C99">
              <w:rPr>
                <w:webHidden/>
              </w:rPr>
              <w:fldChar w:fldCharType="begin"/>
            </w:r>
            <w:r w:rsidR="00395C99">
              <w:rPr>
                <w:webHidden/>
              </w:rPr>
              <w:instrText xml:space="preserve"> PAGEREF _Toc147500246 \h </w:instrText>
            </w:r>
            <w:r w:rsidR="00395C99">
              <w:rPr>
                <w:webHidden/>
              </w:rPr>
            </w:r>
            <w:r w:rsidR="00395C99">
              <w:rPr>
                <w:webHidden/>
              </w:rPr>
              <w:fldChar w:fldCharType="separate"/>
            </w:r>
            <w:r w:rsidR="00203737">
              <w:rPr>
                <w:webHidden/>
              </w:rPr>
              <w:t>7</w:t>
            </w:r>
            <w:r w:rsidR="00395C99">
              <w:rPr>
                <w:webHidden/>
              </w:rPr>
              <w:fldChar w:fldCharType="end"/>
            </w:r>
          </w:hyperlink>
        </w:p>
        <w:p w14:paraId="15CA8DD6" w14:textId="2069A353" w:rsidR="00395C99" w:rsidRDefault="001911F1">
          <w:pPr>
            <w:pStyle w:val="TOC3"/>
            <w:rPr>
              <w:rFonts w:asciiTheme="minorHAnsi" w:eastAsiaTheme="minorEastAsia" w:hAnsiTheme="minorHAnsi" w:cstheme="minorBidi"/>
              <w:szCs w:val="22"/>
            </w:rPr>
          </w:pPr>
          <w:hyperlink w:anchor="_Toc147500247" w:history="1">
            <w:r w:rsidR="00395C99" w:rsidRPr="00DA4D2D">
              <w:rPr>
                <w:rStyle w:val="Hyperlink"/>
              </w:rPr>
              <w:t>Unpaid SG recovery targets for the ATO</w:t>
            </w:r>
            <w:r w:rsidR="00395C99">
              <w:rPr>
                <w:webHidden/>
              </w:rPr>
              <w:tab/>
            </w:r>
            <w:r w:rsidR="00395C99">
              <w:rPr>
                <w:webHidden/>
              </w:rPr>
              <w:fldChar w:fldCharType="begin"/>
            </w:r>
            <w:r w:rsidR="00395C99">
              <w:rPr>
                <w:webHidden/>
              </w:rPr>
              <w:instrText xml:space="preserve"> PAGEREF _Toc147500247 \h </w:instrText>
            </w:r>
            <w:r w:rsidR="00395C99">
              <w:rPr>
                <w:webHidden/>
              </w:rPr>
            </w:r>
            <w:r w:rsidR="00395C99">
              <w:rPr>
                <w:webHidden/>
              </w:rPr>
              <w:fldChar w:fldCharType="separate"/>
            </w:r>
            <w:r w:rsidR="00203737">
              <w:rPr>
                <w:webHidden/>
              </w:rPr>
              <w:t>8</w:t>
            </w:r>
            <w:r w:rsidR="00395C99">
              <w:rPr>
                <w:webHidden/>
              </w:rPr>
              <w:fldChar w:fldCharType="end"/>
            </w:r>
          </w:hyperlink>
        </w:p>
        <w:p w14:paraId="16B00484" w14:textId="3F137DE1" w:rsidR="00395C99" w:rsidRDefault="001911F1">
          <w:pPr>
            <w:pStyle w:val="TOC2"/>
            <w:rPr>
              <w:rFonts w:asciiTheme="minorHAnsi" w:eastAsiaTheme="minorEastAsia" w:hAnsiTheme="minorHAnsi" w:cstheme="minorBidi"/>
              <w:color w:val="auto"/>
              <w:szCs w:val="22"/>
            </w:rPr>
          </w:pPr>
          <w:hyperlink w:anchor="_Toc147500248" w:history="1">
            <w:r w:rsidR="00395C99" w:rsidRPr="00DA4D2D">
              <w:rPr>
                <w:rStyle w:val="Hyperlink"/>
              </w:rPr>
              <w:t>Purpose of consultation</w:t>
            </w:r>
            <w:r w:rsidR="00395C99">
              <w:rPr>
                <w:webHidden/>
              </w:rPr>
              <w:tab/>
            </w:r>
            <w:r w:rsidR="00395C99">
              <w:rPr>
                <w:webHidden/>
              </w:rPr>
              <w:fldChar w:fldCharType="begin"/>
            </w:r>
            <w:r w:rsidR="00395C99">
              <w:rPr>
                <w:webHidden/>
              </w:rPr>
              <w:instrText xml:space="preserve"> PAGEREF _Toc147500248 \h </w:instrText>
            </w:r>
            <w:r w:rsidR="00395C99">
              <w:rPr>
                <w:webHidden/>
              </w:rPr>
            </w:r>
            <w:r w:rsidR="00395C99">
              <w:rPr>
                <w:webHidden/>
              </w:rPr>
              <w:fldChar w:fldCharType="separate"/>
            </w:r>
            <w:r w:rsidR="00203737">
              <w:rPr>
                <w:webHidden/>
              </w:rPr>
              <w:t>9</w:t>
            </w:r>
            <w:r w:rsidR="00395C99">
              <w:rPr>
                <w:webHidden/>
              </w:rPr>
              <w:fldChar w:fldCharType="end"/>
            </w:r>
          </w:hyperlink>
        </w:p>
        <w:p w14:paraId="79A9F126" w14:textId="124384C4" w:rsidR="00395C99" w:rsidRDefault="001911F1">
          <w:pPr>
            <w:pStyle w:val="TOC2"/>
            <w:rPr>
              <w:rFonts w:asciiTheme="minorHAnsi" w:eastAsiaTheme="minorEastAsia" w:hAnsiTheme="minorHAnsi" w:cstheme="minorBidi"/>
              <w:color w:val="auto"/>
              <w:szCs w:val="22"/>
            </w:rPr>
          </w:pPr>
          <w:hyperlink w:anchor="_Toc147500249" w:history="1">
            <w:r w:rsidR="00395C99" w:rsidRPr="00DA4D2D">
              <w:rPr>
                <w:rStyle w:val="Hyperlink"/>
              </w:rPr>
              <w:t>Structure of consultation</w:t>
            </w:r>
            <w:r w:rsidR="00395C99">
              <w:rPr>
                <w:webHidden/>
              </w:rPr>
              <w:tab/>
            </w:r>
            <w:r w:rsidR="00395C99">
              <w:rPr>
                <w:webHidden/>
              </w:rPr>
              <w:fldChar w:fldCharType="begin"/>
            </w:r>
            <w:r w:rsidR="00395C99">
              <w:rPr>
                <w:webHidden/>
              </w:rPr>
              <w:instrText xml:space="preserve"> PAGEREF _Toc147500249 \h </w:instrText>
            </w:r>
            <w:r w:rsidR="00395C99">
              <w:rPr>
                <w:webHidden/>
              </w:rPr>
            </w:r>
            <w:r w:rsidR="00395C99">
              <w:rPr>
                <w:webHidden/>
              </w:rPr>
              <w:fldChar w:fldCharType="separate"/>
            </w:r>
            <w:r w:rsidR="00203737">
              <w:rPr>
                <w:webHidden/>
              </w:rPr>
              <w:t>9</w:t>
            </w:r>
            <w:r w:rsidR="00395C99">
              <w:rPr>
                <w:webHidden/>
              </w:rPr>
              <w:fldChar w:fldCharType="end"/>
            </w:r>
          </w:hyperlink>
        </w:p>
        <w:p w14:paraId="07953DA9" w14:textId="6638745C" w:rsidR="00395C99" w:rsidRDefault="001911F1">
          <w:pPr>
            <w:pStyle w:val="TOC1"/>
            <w:rPr>
              <w:rFonts w:asciiTheme="minorHAnsi" w:eastAsiaTheme="minorEastAsia" w:hAnsiTheme="minorHAnsi" w:cstheme="minorBidi"/>
              <w:b w:val="0"/>
              <w:color w:val="auto"/>
            </w:rPr>
          </w:pPr>
          <w:hyperlink w:anchor="_Toc147500250" w:history="1">
            <w:r w:rsidR="00395C99" w:rsidRPr="00DA4D2D">
              <w:rPr>
                <w:rStyle w:val="Hyperlink"/>
              </w:rPr>
              <w:t>Policy considerations: Securing Australians’ Superannuation package</w:t>
            </w:r>
            <w:r w:rsidR="00395C99">
              <w:rPr>
                <w:webHidden/>
              </w:rPr>
              <w:tab/>
            </w:r>
            <w:r w:rsidR="00395C99">
              <w:rPr>
                <w:webHidden/>
              </w:rPr>
              <w:fldChar w:fldCharType="begin"/>
            </w:r>
            <w:r w:rsidR="00395C99">
              <w:rPr>
                <w:webHidden/>
              </w:rPr>
              <w:instrText xml:space="preserve"> PAGEREF _Toc147500250 \h </w:instrText>
            </w:r>
            <w:r w:rsidR="00395C99">
              <w:rPr>
                <w:webHidden/>
              </w:rPr>
            </w:r>
            <w:r w:rsidR="00395C99">
              <w:rPr>
                <w:webHidden/>
              </w:rPr>
              <w:fldChar w:fldCharType="separate"/>
            </w:r>
            <w:r w:rsidR="00203737">
              <w:rPr>
                <w:webHidden/>
              </w:rPr>
              <w:t>11</w:t>
            </w:r>
            <w:r w:rsidR="00395C99">
              <w:rPr>
                <w:webHidden/>
              </w:rPr>
              <w:fldChar w:fldCharType="end"/>
            </w:r>
          </w:hyperlink>
        </w:p>
        <w:p w14:paraId="036B43CE" w14:textId="67963CD9" w:rsidR="00395C99" w:rsidRDefault="001911F1">
          <w:pPr>
            <w:pStyle w:val="TOC2"/>
            <w:rPr>
              <w:rFonts w:asciiTheme="minorHAnsi" w:eastAsiaTheme="minorEastAsia" w:hAnsiTheme="minorHAnsi" w:cstheme="minorBidi"/>
              <w:color w:val="auto"/>
              <w:szCs w:val="22"/>
            </w:rPr>
          </w:pPr>
          <w:hyperlink w:anchor="_Toc147500251" w:history="1">
            <w:r w:rsidR="00395C99" w:rsidRPr="00DA4D2D">
              <w:rPr>
                <w:rStyle w:val="Hyperlink"/>
              </w:rPr>
              <w:t>Areas for consultation</w:t>
            </w:r>
            <w:r w:rsidR="00395C99">
              <w:rPr>
                <w:webHidden/>
              </w:rPr>
              <w:tab/>
            </w:r>
            <w:r w:rsidR="00395C99">
              <w:rPr>
                <w:webHidden/>
              </w:rPr>
              <w:fldChar w:fldCharType="begin"/>
            </w:r>
            <w:r w:rsidR="00395C99">
              <w:rPr>
                <w:webHidden/>
              </w:rPr>
              <w:instrText xml:space="preserve"> PAGEREF _Toc147500251 \h </w:instrText>
            </w:r>
            <w:r w:rsidR="00395C99">
              <w:rPr>
                <w:webHidden/>
              </w:rPr>
            </w:r>
            <w:r w:rsidR="00395C99">
              <w:rPr>
                <w:webHidden/>
              </w:rPr>
              <w:fldChar w:fldCharType="separate"/>
            </w:r>
            <w:r w:rsidR="00203737">
              <w:rPr>
                <w:webHidden/>
              </w:rPr>
              <w:t>11</w:t>
            </w:r>
            <w:r w:rsidR="00395C99">
              <w:rPr>
                <w:webHidden/>
              </w:rPr>
              <w:fldChar w:fldCharType="end"/>
            </w:r>
          </w:hyperlink>
        </w:p>
        <w:p w14:paraId="4514ED48" w14:textId="3F689A03" w:rsidR="00395C99" w:rsidRDefault="001911F1">
          <w:pPr>
            <w:pStyle w:val="TOC3"/>
            <w:rPr>
              <w:rFonts w:asciiTheme="minorHAnsi" w:eastAsiaTheme="minorEastAsia" w:hAnsiTheme="minorHAnsi" w:cstheme="minorBidi"/>
              <w:szCs w:val="22"/>
            </w:rPr>
          </w:pPr>
          <w:hyperlink w:anchor="_Toc147500252" w:history="1">
            <w:r w:rsidR="00395C99" w:rsidRPr="00DA4D2D">
              <w:rPr>
                <w:rStyle w:val="Hyperlink"/>
              </w:rPr>
              <w:t>Payday super</w:t>
            </w:r>
            <w:r w:rsidR="00395C99">
              <w:rPr>
                <w:webHidden/>
              </w:rPr>
              <w:tab/>
            </w:r>
            <w:r w:rsidR="00395C99">
              <w:rPr>
                <w:webHidden/>
              </w:rPr>
              <w:fldChar w:fldCharType="begin"/>
            </w:r>
            <w:r w:rsidR="00395C99">
              <w:rPr>
                <w:webHidden/>
              </w:rPr>
              <w:instrText xml:space="preserve"> PAGEREF _Toc147500252 \h </w:instrText>
            </w:r>
            <w:r w:rsidR="00395C99">
              <w:rPr>
                <w:webHidden/>
              </w:rPr>
            </w:r>
            <w:r w:rsidR="00395C99">
              <w:rPr>
                <w:webHidden/>
              </w:rPr>
              <w:fldChar w:fldCharType="separate"/>
            </w:r>
            <w:r w:rsidR="00203737">
              <w:rPr>
                <w:webHidden/>
              </w:rPr>
              <w:t>11</w:t>
            </w:r>
            <w:r w:rsidR="00395C99">
              <w:rPr>
                <w:webHidden/>
              </w:rPr>
              <w:fldChar w:fldCharType="end"/>
            </w:r>
          </w:hyperlink>
        </w:p>
        <w:p w14:paraId="4EDFCCE1" w14:textId="4F70D588" w:rsidR="00395C99" w:rsidRDefault="001911F1">
          <w:pPr>
            <w:pStyle w:val="TOC3"/>
            <w:rPr>
              <w:rFonts w:asciiTheme="minorHAnsi" w:eastAsiaTheme="minorEastAsia" w:hAnsiTheme="minorHAnsi" w:cstheme="minorBidi"/>
              <w:szCs w:val="22"/>
            </w:rPr>
          </w:pPr>
          <w:hyperlink w:anchor="_Toc147500253" w:history="1">
            <w:r w:rsidR="00395C99" w:rsidRPr="00DA4D2D">
              <w:rPr>
                <w:rStyle w:val="Hyperlink"/>
              </w:rPr>
              <w:t>Updating the SG charge</w:t>
            </w:r>
            <w:r w:rsidR="00395C99">
              <w:rPr>
                <w:webHidden/>
              </w:rPr>
              <w:tab/>
            </w:r>
            <w:r w:rsidR="00395C99">
              <w:rPr>
                <w:webHidden/>
              </w:rPr>
              <w:fldChar w:fldCharType="begin"/>
            </w:r>
            <w:r w:rsidR="00395C99">
              <w:rPr>
                <w:webHidden/>
              </w:rPr>
              <w:instrText xml:space="preserve"> PAGEREF _Toc147500253 \h </w:instrText>
            </w:r>
            <w:r w:rsidR="00395C99">
              <w:rPr>
                <w:webHidden/>
              </w:rPr>
            </w:r>
            <w:r w:rsidR="00395C99">
              <w:rPr>
                <w:webHidden/>
              </w:rPr>
              <w:fldChar w:fldCharType="separate"/>
            </w:r>
            <w:r w:rsidR="00203737">
              <w:rPr>
                <w:webHidden/>
              </w:rPr>
              <w:t>12</w:t>
            </w:r>
            <w:r w:rsidR="00395C99">
              <w:rPr>
                <w:webHidden/>
              </w:rPr>
              <w:fldChar w:fldCharType="end"/>
            </w:r>
          </w:hyperlink>
        </w:p>
        <w:p w14:paraId="7AC3B8E3" w14:textId="7D5867D5" w:rsidR="00395C99" w:rsidRDefault="001911F1">
          <w:pPr>
            <w:pStyle w:val="TOC3"/>
            <w:rPr>
              <w:rFonts w:asciiTheme="minorHAnsi" w:eastAsiaTheme="minorEastAsia" w:hAnsiTheme="minorHAnsi" w:cstheme="minorBidi"/>
              <w:szCs w:val="22"/>
            </w:rPr>
          </w:pPr>
          <w:hyperlink w:anchor="_Toc147500254" w:history="1">
            <w:r w:rsidR="00395C99" w:rsidRPr="00DA4D2D">
              <w:rPr>
                <w:rStyle w:val="Hyperlink"/>
              </w:rPr>
              <w:t>Figure 1: Employer payment model - SG charge and nominal interest accrual</w:t>
            </w:r>
            <w:r w:rsidR="00395C99">
              <w:rPr>
                <w:webHidden/>
              </w:rPr>
              <w:tab/>
            </w:r>
            <w:r w:rsidR="00395C99">
              <w:rPr>
                <w:webHidden/>
              </w:rPr>
              <w:fldChar w:fldCharType="begin"/>
            </w:r>
            <w:r w:rsidR="00395C99">
              <w:rPr>
                <w:webHidden/>
              </w:rPr>
              <w:instrText xml:space="preserve"> PAGEREF _Toc147500254 \h </w:instrText>
            </w:r>
            <w:r w:rsidR="00395C99">
              <w:rPr>
                <w:webHidden/>
              </w:rPr>
            </w:r>
            <w:r w:rsidR="00395C99">
              <w:rPr>
                <w:webHidden/>
              </w:rPr>
              <w:fldChar w:fldCharType="separate"/>
            </w:r>
            <w:r w:rsidR="00203737">
              <w:rPr>
                <w:webHidden/>
              </w:rPr>
              <w:t>12</w:t>
            </w:r>
            <w:r w:rsidR="00395C99">
              <w:rPr>
                <w:webHidden/>
              </w:rPr>
              <w:fldChar w:fldCharType="end"/>
            </w:r>
          </w:hyperlink>
        </w:p>
        <w:p w14:paraId="4198E4E9" w14:textId="295ACB73" w:rsidR="00395C99" w:rsidRDefault="001911F1">
          <w:pPr>
            <w:pStyle w:val="TOC3"/>
            <w:rPr>
              <w:rFonts w:asciiTheme="minorHAnsi" w:eastAsiaTheme="minorEastAsia" w:hAnsiTheme="minorHAnsi" w:cstheme="minorBidi"/>
              <w:szCs w:val="22"/>
            </w:rPr>
          </w:pPr>
          <w:hyperlink w:anchor="_Toc147500255" w:history="1">
            <w:r w:rsidR="00395C99" w:rsidRPr="00DA4D2D">
              <w:rPr>
                <w:rStyle w:val="Hyperlink"/>
              </w:rPr>
              <w:t>Figure 2: Due date model - SG charge and nominal interest accrual</w:t>
            </w:r>
            <w:r w:rsidR="00395C99">
              <w:rPr>
                <w:webHidden/>
              </w:rPr>
              <w:tab/>
            </w:r>
            <w:r w:rsidR="00395C99">
              <w:rPr>
                <w:webHidden/>
              </w:rPr>
              <w:fldChar w:fldCharType="begin"/>
            </w:r>
            <w:r w:rsidR="00395C99">
              <w:rPr>
                <w:webHidden/>
              </w:rPr>
              <w:instrText xml:space="preserve"> PAGEREF _Toc147500255 \h </w:instrText>
            </w:r>
            <w:r w:rsidR="00395C99">
              <w:rPr>
                <w:webHidden/>
              </w:rPr>
            </w:r>
            <w:r w:rsidR="00395C99">
              <w:rPr>
                <w:webHidden/>
              </w:rPr>
              <w:fldChar w:fldCharType="separate"/>
            </w:r>
            <w:r w:rsidR="00203737">
              <w:rPr>
                <w:webHidden/>
              </w:rPr>
              <w:t>13</w:t>
            </w:r>
            <w:r w:rsidR="00395C99">
              <w:rPr>
                <w:webHidden/>
              </w:rPr>
              <w:fldChar w:fldCharType="end"/>
            </w:r>
          </w:hyperlink>
        </w:p>
        <w:p w14:paraId="21928FA5" w14:textId="6194E05A" w:rsidR="00395C99" w:rsidRDefault="001911F1">
          <w:pPr>
            <w:pStyle w:val="TOC3"/>
            <w:rPr>
              <w:rFonts w:asciiTheme="minorHAnsi" w:eastAsiaTheme="minorEastAsia" w:hAnsiTheme="minorHAnsi" w:cstheme="minorBidi"/>
              <w:szCs w:val="22"/>
            </w:rPr>
          </w:pPr>
          <w:hyperlink w:anchor="_Toc147500256" w:history="1">
            <w:r w:rsidR="00395C99" w:rsidRPr="00DA4D2D">
              <w:rPr>
                <w:rStyle w:val="Hyperlink"/>
              </w:rPr>
              <w:t>Compliance mechanisms</w:t>
            </w:r>
            <w:r w:rsidR="00395C99">
              <w:rPr>
                <w:webHidden/>
              </w:rPr>
              <w:tab/>
            </w:r>
            <w:r w:rsidR="00395C99">
              <w:rPr>
                <w:webHidden/>
              </w:rPr>
              <w:fldChar w:fldCharType="begin"/>
            </w:r>
            <w:r w:rsidR="00395C99">
              <w:rPr>
                <w:webHidden/>
              </w:rPr>
              <w:instrText xml:space="preserve"> PAGEREF _Toc147500256 \h </w:instrText>
            </w:r>
            <w:r w:rsidR="00395C99">
              <w:rPr>
                <w:webHidden/>
              </w:rPr>
            </w:r>
            <w:r w:rsidR="00395C99">
              <w:rPr>
                <w:webHidden/>
              </w:rPr>
              <w:fldChar w:fldCharType="separate"/>
            </w:r>
            <w:r w:rsidR="00203737">
              <w:rPr>
                <w:webHidden/>
              </w:rPr>
              <w:t>14</w:t>
            </w:r>
            <w:r w:rsidR="00395C99">
              <w:rPr>
                <w:webHidden/>
              </w:rPr>
              <w:fldChar w:fldCharType="end"/>
            </w:r>
          </w:hyperlink>
        </w:p>
        <w:p w14:paraId="0E9D6DFC" w14:textId="07F066F3" w:rsidR="00395C99" w:rsidRDefault="001911F1">
          <w:pPr>
            <w:pStyle w:val="TOC3"/>
            <w:rPr>
              <w:rFonts w:asciiTheme="minorHAnsi" w:eastAsiaTheme="minorEastAsia" w:hAnsiTheme="minorHAnsi" w:cstheme="minorBidi"/>
              <w:szCs w:val="22"/>
            </w:rPr>
          </w:pPr>
          <w:hyperlink w:anchor="_Toc147500257" w:history="1">
            <w:r w:rsidR="00395C99" w:rsidRPr="00DA4D2D">
              <w:rPr>
                <w:rStyle w:val="Hyperlink"/>
              </w:rPr>
              <w:t>Figure 3: Grace period - SG charge and nominal interest accrual</w:t>
            </w:r>
            <w:r w:rsidR="00395C99">
              <w:rPr>
                <w:webHidden/>
              </w:rPr>
              <w:tab/>
            </w:r>
            <w:r w:rsidR="00395C99">
              <w:rPr>
                <w:webHidden/>
              </w:rPr>
              <w:fldChar w:fldCharType="begin"/>
            </w:r>
            <w:r w:rsidR="00395C99">
              <w:rPr>
                <w:webHidden/>
              </w:rPr>
              <w:instrText xml:space="preserve"> PAGEREF _Toc147500257 \h </w:instrText>
            </w:r>
            <w:r w:rsidR="00395C99">
              <w:rPr>
                <w:webHidden/>
              </w:rPr>
            </w:r>
            <w:r w:rsidR="00395C99">
              <w:rPr>
                <w:webHidden/>
              </w:rPr>
              <w:fldChar w:fldCharType="separate"/>
            </w:r>
            <w:r w:rsidR="00203737">
              <w:rPr>
                <w:webHidden/>
              </w:rPr>
              <w:t>19</w:t>
            </w:r>
            <w:r w:rsidR="00395C99">
              <w:rPr>
                <w:webHidden/>
              </w:rPr>
              <w:fldChar w:fldCharType="end"/>
            </w:r>
          </w:hyperlink>
        </w:p>
        <w:p w14:paraId="48910322" w14:textId="15AB5051" w:rsidR="00395C99" w:rsidRDefault="001911F1">
          <w:pPr>
            <w:pStyle w:val="TOC3"/>
            <w:rPr>
              <w:rFonts w:asciiTheme="minorHAnsi" w:eastAsiaTheme="minorEastAsia" w:hAnsiTheme="minorHAnsi" w:cstheme="minorBidi"/>
              <w:szCs w:val="22"/>
            </w:rPr>
          </w:pPr>
          <w:hyperlink w:anchor="_Toc147500258" w:history="1">
            <w:r w:rsidR="00395C99" w:rsidRPr="00DA4D2D">
              <w:rPr>
                <w:rStyle w:val="Hyperlink"/>
              </w:rPr>
              <w:t>Other payday super issues</w:t>
            </w:r>
            <w:r w:rsidR="00395C99">
              <w:rPr>
                <w:webHidden/>
              </w:rPr>
              <w:tab/>
            </w:r>
            <w:r w:rsidR="00395C99">
              <w:rPr>
                <w:webHidden/>
              </w:rPr>
              <w:fldChar w:fldCharType="begin"/>
            </w:r>
            <w:r w:rsidR="00395C99">
              <w:rPr>
                <w:webHidden/>
              </w:rPr>
              <w:instrText xml:space="preserve"> PAGEREF _Toc147500258 \h </w:instrText>
            </w:r>
            <w:r w:rsidR="00395C99">
              <w:rPr>
                <w:webHidden/>
              </w:rPr>
            </w:r>
            <w:r w:rsidR="00395C99">
              <w:rPr>
                <w:webHidden/>
              </w:rPr>
              <w:fldChar w:fldCharType="separate"/>
            </w:r>
            <w:r w:rsidR="00203737">
              <w:rPr>
                <w:webHidden/>
              </w:rPr>
              <w:t>21</w:t>
            </w:r>
            <w:r w:rsidR="00395C99">
              <w:rPr>
                <w:webHidden/>
              </w:rPr>
              <w:fldChar w:fldCharType="end"/>
            </w:r>
          </w:hyperlink>
        </w:p>
        <w:p w14:paraId="7E321E18" w14:textId="51BE8FC0" w:rsidR="00395C99" w:rsidRDefault="001911F1">
          <w:pPr>
            <w:pStyle w:val="TOC3"/>
            <w:rPr>
              <w:rFonts w:asciiTheme="minorHAnsi" w:eastAsiaTheme="minorEastAsia" w:hAnsiTheme="minorHAnsi" w:cstheme="minorBidi"/>
              <w:szCs w:val="22"/>
            </w:rPr>
          </w:pPr>
          <w:hyperlink w:anchor="_Toc147500259" w:history="1">
            <w:r w:rsidR="00395C99" w:rsidRPr="00DA4D2D">
              <w:rPr>
                <w:rStyle w:val="Hyperlink"/>
              </w:rPr>
              <w:t>Table 1: Current quarterly super payment due dates</w:t>
            </w:r>
            <w:r w:rsidR="00395C99">
              <w:rPr>
                <w:webHidden/>
              </w:rPr>
              <w:tab/>
            </w:r>
            <w:r w:rsidR="00395C99">
              <w:rPr>
                <w:webHidden/>
              </w:rPr>
              <w:fldChar w:fldCharType="begin"/>
            </w:r>
            <w:r w:rsidR="00395C99">
              <w:rPr>
                <w:webHidden/>
              </w:rPr>
              <w:instrText xml:space="preserve"> PAGEREF _Toc147500259 \h </w:instrText>
            </w:r>
            <w:r w:rsidR="00395C99">
              <w:rPr>
                <w:webHidden/>
              </w:rPr>
            </w:r>
            <w:r w:rsidR="00395C99">
              <w:rPr>
                <w:webHidden/>
              </w:rPr>
              <w:fldChar w:fldCharType="separate"/>
            </w:r>
            <w:r w:rsidR="00203737">
              <w:rPr>
                <w:webHidden/>
              </w:rPr>
              <w:t>22</w:t>
            </w:r>
            <w:r w:rsidR="00395C99">
              <w:rPr>
                <w:webHidden/>
              </w:rPr>
              <w:fldChar w:fldCharType="end"/>
            </w:r>
          </w:hyperlink>
        </w:p>
        <w:p w14:paraId="63B96A64" w14:textId="38E4BBCF" w:rsidR="00395C99" w:rsidRDefault="001911F1">
          <w:pPr>
            <w:pStyle w:val="TOC3"/>
            <w:rPr>
              <w:rFonts w:asciiTheme="minorHAnsi" w:eastAsiaTheme="minorEastAsia" w:hAnsiTheme="minorHAnsi" w:cstheme="minorBidi"/>
              <w:szCs w:val="22"/>
            </w:rPr>
          </w:pPr>
          <w:hyperlink w:anchor="_Toc147500260" w:history="1">
            <w:r w:rsidR="00395C99" w:rsidRPr="00DA4D2D">
              <w:rPr>
                <w:rStyle w:val="Hyperlink"/>
              </w:rPr>
              <w:t>Table 2: Comparison of current and proposed quarterly super payment due dates*</w:t>
            </w:r>
            <w:r w:rsidR="00395C99">
              <w:rPr>
                <w:webHidden/>
              </w:rPr>
              <w:tab/>
            </w:r>
            <w:r w:rsidR="00395C99">
              <w:rPr>
                <w:webHidden/>
              </w:rPr>
              <w:fldChar w:fldCharType="begin"/>
            </w:r>
            <w:r w:rsidR="00395C99">
              <w:rPr>
                <w:webHidden/>
              </w:rPr>
              <w:instrText xml:space="preserve"> PAGEREF _Toc147500260 \h </w:instrText>
            </w:r>
            <w:r w:rsidR="00395C99">
              <w:rPr>
                <w:webHidden/>
              </w:rPr>
            </w:r>
            <w:r w:rsidR="00395C99">
              <w:rPr>
                <w:webHidden/>
              </w:rPr>
              <w:fldChar w:fldCharType="separate"/>
            </w:r>
            <w:r w:rsidR="00203737">
              <w:rPr>
                <w:webHidden/>
              </w:rPr>
              <w:t>22</w:t>
            </w:r>
            <w:r w:rsidR="00395C99">
              <w:rPr>
                <w:webHidden/>
              </w:rPr>
              <w:fldChar w:fldCharType="end"/>
            </w:r>
          </w:hyperlink>
        </w:p>
        <w:p w14:paraId="5B3358EA" w14:textId="0AA753DA" w:rsidR="00395C99" w:rsidRDefault="001911F1">
          <w:pPr>
            <w:pStyle w:val="TOC1"/>
            <w:rPr>
              <w:rFonts w:asciiTheme="minorHAnsi" w:eastAsiaTheme="minorEastAsia" w:hAnsiTheme="minorHAnsi" w:cstheme="minorBidi"/>
              <w:b w:val="0"/>
              <w:color w:val="auto"/>
            </w:rPr>
          </w:pPr>
          <w:hyperlink w:anchor="_Toc147500261" w:history="1">
            <w:r w:rsidR="00395C99" w:rsidRPr="00DA4D2D">
              <w:rPr>
                <w:rStyle w:val="Hyperlink"/>
              </w:rPr>
              <w:t>Appendix A: The current SG framework</w:t>
            </w:r>
            <w:r w:rsidR="00395C99">
              <w:rPr>
                <w:webHidden/>
              </w:rPr>
              <w:tab/>
            </w:r>
            <w:r w:rsidR="00395C99">
              <w:rPr>
                <w:webHidden/>
              </w:rPr>
              <w:fldChar w:fldCharType="begin"/>
            </w:r>
            <w:r w:rsidR="00395C99">
              <w:rPr>
                <w:webHidden/>
              </w:rPr>
              <w:instrText xml:space="preserve"> PAGEREF _Toc147500261 \h </w:instrText>
            </w:r>
            <w:r w:rsidR="00395C99">
              <w:rPr>
                <w:webHidden/>
              </w:rPr>
            </w:r>
            <w:r w:rsidR="00395C99">
              <w:rPr>
                <w:webHidden/>
              </w:rPr>
              <w:fldChar w:fldCharType="separate"/>
            </w:r>
            <w:r w:rsidR="00203737">
              <w:rPr>
                <w:webHidden/>
              </w:rPr>
              <w:t>25</w:t>
            </w:r>
            <w:r w:rsidR="00395C99">
              <w:rPr>
                <w:webHidden/>
              </w:rPr>
              <w:fldChar w:fldCharType="end"/>
            </w:r>
          </w:hyperlink>
        </w:p>
        <w:p w14:paraId="5BE6FA00" w14:textId="0B95AE21" w:rsidR="00395C99" w:rsidRDefault="001911F1">
          <w:pPr>
            <w:pStyle w:val="TOC2"/>
            <w:rPr>
              <w:rFonts w:asciiTheme="minorHAnsi" w:eastAsiaTheme="minorEastAsia" w:hAnsiTheme="minorHAnsi" w:cstheme="minorBidi"/>
              <w:color w:val="auto"/>
              <w:szCs w:val="22"/>
            </w:rPr>
          </w:pPr>
          <w:hyperlink w:anchor="_Toc147500262" w:history="1">
            <w:r w:rsidR="00395C99" w:rsidRPr="00DA4D2D">
              <w:rPr>
                <w:rStyle w:val="Hyperlink"/>
              </w:rPr>
              <w:t>Employer superannuation contributions</w:t>
            </w:r>
            <w:r w:rsidR="00395C99">
              <w:rPr>
                <w:webHidden/>
              </w:rPr>
              <w:tab/>
            </w:r>
            <w:r w:rsidR="00395C99">
              <w:rPr>
                <w:webHidden/>
              </w:rPr>
              <w:fldChar w:fldCharType="begin"/>
            </w:r>
            <w:r w:rsidR="00395C99">
              <w:rPr>
                <w:webHidden/>
              </w:rPr>
              <w:instrText xml:space="preserve"> PAGEREF _Toc147500262 \h </w:instrText>
            </w:r>
            <w:r w:rsidR="00395C99">
              <w:rPr>
                <w:webHidden/>
              </w:rPr>
            </w:r>
            <w:r w:rsidR="00395C99">
              <w:rPr>
                <w:webHidden/>
              </w:rPr>
              <w:fldChar w:fldCharType="separate"/>
            </w:r>
            <w:r w:rsidR="00203737">
              <w:rPr>
                <w:webHidden/>
              </w:rPr>
              <w:t>25</w:t>
            </w:r>
            <w:r w:rsidR="00395C99">
              <w:rPr>
                <w:webHidden/>
              </w:rPr>
              <w:fldChar w:fldCharType="end"/>
            </w:r>
          </w:hyperlink>
        </w:p>
        <w:p w14:paraId="4711A88B" w14:textId="7E17B256" w:rsidR="00395C99" w:rsidRDefault="001911F1">
          <w:pPr>
            <w:pStyle w:val="TOC3"/>
            <w:rPr>
              <w:rFonts w:asciiTheme="minorHAnsi" w:eastAsiaTheme="minorEastAsia" w:hAnsiTheme="minorHAnsi" w:cstheme="minorBidi"/>
              <w:szCs w:val="22"/>
            </w:rPr>
          </w:pPr>
          <w:hyperlink w:anchor="_Toc147500263" w:history="1">
            <w:r w:rsidR="00395C99" w:rsidRPr="00DA4D2D">
              <w:rPr>
                <w:rStyle w:val="Hyperlink"/>
              </w:rPr>
              <w:t>Contributions above the minimum rate of SG</w:t>
            </w:r>
            <w:r w:rsidR="00395C99">
              <w:rPr>
                <w:webHidden/>
              </w:rPr>
              <w:tab/>
            </w:r>
            <w:r w:rsidR="00395C99">
              <w:rPr>
                <w:webHidden/>
              </w:rPr>
              <w:fldChar w:fldCharType="begin"/>
            </w:r>
            <w:r w:rsidR="00395C99">
              <w:rPr>
                <w:webHidden/>
              </w:rPr>
              <w:instrText xml:space="preserve"> PAGEREF _Toc147500263 \h </w:instrText>
            </w:r>
            <w:r w:rsidR="00395C99">
              <w:rPr>
                <w:webHidden/>
              </w:rPr>
            </w:r>
            <w:r w:rsidR="00395C99">
              <w:rPr>
                <w:webHidden/>
              </w:rPr>
              <w:fldChar w:fldCharType="separate"/>
            </w:r>
            <w:r w:rsidR="00203737">
              <w:rPr>
                <w:webHidden/>
              </w:rPr>
              <w:t>25</w:t>
            </w:r>
            <w:r w:rsidR="00395C99">
              <w:rPr>
                <w:webHidden/>
              </w:rPr>
              <w:fldChar w:fldCharType="end"/>
            </w:r>
          </w:hyperlink>
        </w:p>
        <w:p w14:paraId="0B7BAE79" w14:textId="150EA4B0" w:rsidR="00395C99" w:rsidRDefault="001911F1">
          <w:pPr>
            <w:pStyle w:val="TOC3"/>
            <w:rPr>
              <w:rFonts w:asciiTheme="minorHAnsi" w:eastAsiaTheme="minorEastAsia" w:hAnsiTheme="minorHAnsi" w:cstheme="minorBidi"/>
              <w:szCs w:val="22"/>
            </w:rPr>
          </w:pPr>
          <w:hyperlink w:anchor="_Toc147500264" w:history="1">
            <w:r w:rsidR="00395C99" w:rsidRPr="00DA4D2D">
              <w:rPr>
                <w:rStyle w:val="Hyperlink"/>
              </w:rPr>
              <w:t>Salary sacrifice superannuation contributions</w:t>
            </w:r>
            <w:r w:rsidR="00395C99">
              <w:rPr>
                <w:webHidden/>
              </w:rPr>
              <w:tab/>
            </w:r>
            <w:r w:rsidR="00395C99">
              <w:rPr>
                <w:webHidden/>
              </w:rPr>
              <w:fldChar w:fldCharType="begin"/>
            </w:r>
            <w:r w:rsidR="00395C99">
              <w:rPr>
                <w:webHidden/>
              </w:rPr>
              <w:instrText xml:space="preserve"> PAGEREF _Toc147500264 \h </w:instrText>
            </w:r>
            <w:r w:rsidR="00395C99">
              <w:rPr>
                <w:webHidden/>
              </w:rPr>
            </w:r>
            <w:r w:rsidR="00395C99">
              <w:rPr>
                <w:webHidden/>
              </w:rPr>
              <w:fldChar w:fldCharType="separate"/>
            </w:r>
            <w:r w:rsidR="00203737">
              <w:rPr>
                <w:webHidden/>
              </w:rPr>
              <w:t>25</w:t>
            </w:r>
            <w:r w:rsidR="00395C99">
              <w:rPr>
                <w:webHidden/>
              </w:rPr>
              <w:fldChar w:fldCharType="end"/>
            </w:r>
          </w:hyperlink>
        </w:p>
        <w:p w14:paraId="22E1007F" w14:textId="7AF24550" w:rsidR="00395C99" w:rsidRDefault="001911F1">
          <w:pPr>
            <w:pStyle w:val="TOC3"/>
            <w:rPr>
              <w:rFonts w:asciiTheme="minorHAnsi" w:eastAsiaTheme="minorEastAsia" w:hAnsiTheme="minorHAnsi" w:cstheme="minorBidi"/>
              <w:szCs w:val="22"/>
            </w:rPr>
          </w:pPr>
          <w:hyperlink w:anchor="_Toc147500265" w:history="1">
            <w:r w:rsidR="00395C99" w:rsidRPr="00DA4D2D">
              <w:rPr>
                <w:rStyle w:val="Hyperlink"/>
              </w:rPr>
              <w:t>Defined benefit contributions</w:t>
            </w:r>
            <w:r w:rsidR="00395C99">
              <w:rPr>
                <w:webHidden/>
              </w:rPr>
              <w:tab/>
            </w:r>
            <w:r w:rsidR="00395C99">
              <w:rPr>
                <w:webHidden/>
              </w:rPr>
              <w:fldChar w:fldCharType="begin"/>
            </w:r>
            <w:r w:rsidR="00395C99">
              <w:rPr>
                <w:webHidden/>
              </w:rPr>
              <w:instrText xml:space="preserve"> PAGEREF _Toc147500265 \h </w:instrText>
            </w:r>
            <w:r w:rsidR="00395C99">
              <w:rPr>
                <w:webHidden/>
              </w:rPr>
            </w:r>
            <w:r w:rsidR="00395C99">
              <w:rPr>
                <w:webHidden/>
              </w:rPr>
              <w:fldChar w:fldCharType="separate"/>
            </w:r>
            <w:r w:rsidR="00203737">
              <w:rPr>
                <w:webHidden/>
              </w:rPr>
              <w:t>25</w:t>
            </w:r>
            <w:r w:rsidR="00395C99">
              <w:rPr>
                <w:webHidden/>
              </w:rPr>
              <w:fldChar w:fldCharType="end"/>
            </w:r>
          </w:hyperlink>
        </w:p>
        <w:p w14:paraId="2CDCC5E1" w14:textId="060DB90B" w:rsidR="00395C99" w:rsidRDefault="001911F1">
          <w:pPr>
            <w:pStyle w:val="TOC3"/>
            <w:rPr>
              <w:rFonts w:asciiTheme="minorHAnsi" w:eastAsiaTheme="minorEastAsia" w:hAnsiTheme="minorHAnsi" w:cstheme="minorBidi"/>
              <w:szCs w:val="22"/>
            </w:rPr>
          </w:pPr>
          <w:hyperlink w:anchor="_Toc147500266" w:history="1">
            <w:r w:rsidR="00395C99" w:rsidRPr="00DA4D2D">
              <w:rPr>
                <w:rStyle w:val="Hyperlink"/>
              </w:rPr>
              <w:t>Maximum superannuation contribution base</w:t>
            </w:r>
            <w:r w:rsidR="00395C99">
              <w:rPr>
                <w:webHidden/>
              </w:rPr>
              <w:tab/>
            </w:r>
            <w:r w:rsidR="00395C99">
              <w:rPr>
                <w:webHidden/>
              </w:rPr>
              <w:fldChar w:fldCharType="begin"/>
            </w:r>
            <w:r w:rsidR="00395C99">
              <w:rPr>
                <w:webHidden/>
              </w:rPr>
              <w:instrText xml:space="preserve"> PAGEREF _Toc147500266 \h </w:instrText>
            </w:r>
            <w:r w:rsidR="00395C99">
              <w:rPr>
                <w:webHidden/>
              </w:rPr>
            </w:r>
            <w:r w:rsidR="00395C99">
              <w:rPr>
                <w:webHidden/>
              </w:rPr>
              <w:fldChar w:fldCharType="separate"/>
            </w:r>
            <w:r w:rsidR="00203737">
              <w:rPr>
                <w:webHidden/>
              </w:rPr>
              <w:t>26</w:t>
            </w:r>
            <w:r w:rsidR="00395C99">
              <w:rPr>
                <w:webHidden/>
              </w:rPr>
              <w:fldChar w:fldCharType="end"/>
            </w:r>
          </w:hyperlink>
        </w:p>
        <w:p w14:paraId="2CA015FE" w14:textId="7B4819B8" w:rsidR="00395C99" w:rsidRDefault="001911F1">
          <w:pPr>
            <w:pStyle w:val="TOC3"/>
            <w:rPr>
              <w:rFonts w:asciiTheme="minorHAnsi" w:eastAsiaTheme="minorEastAsia" w:hAnsiTheme="minorHAnsi" w:cstheme="minorBidi"/>
              <w:szCs w:val="22"/>
            </w:rPr>
          </w:pPr>
          <w:hyperlink w:anchor="_Toc147500267" w:history="1">
            <w:r w:rsidR="00395C99" w:rsidRPr="00DA4D2D">
              <w:rPr>
                <w:rStyle w:val="Hyperlink"/>
              </w:rPr>
              <w:t>Tax deductibility of employer contributions</w:t>
            </w:r>
            <w:r w:rsidR="00395C99">
              <w:rPr>
                <w:webHidden/>
              </w:rPr>
              <w:tab/>
            </w:r>
            <w:r w:rsidR="00395C99">
              <w:rPr>
                <w:webHidden/>
              </w:rPr>
              <w:fldChar w:fldCharType="begin"/>
            </w:r>
            <w:r w:rsidR="00395C99">
              <w:rPr>
                <w:webHidden/>
              </w:rPr>
              <w:instrText xml:space="preserve"> PAGEREF _Toc147500267 \h </w:instrText>
            </w:r>
            <w:r w:rsidR="00395C99">
              <w:rPr>
                <w:webHidden/>
              </w:rPr>
            </w:r>
            <w:r w:rsidR="00395C99">
              <w:rPr>
                <w:webHidden/>
              </w:rPr>
              <w:fldChar w:fldCharType="separate"/>
            </w:r>
            <w:r w:rsidR="00203737">
              <w:rPr>
                <w:webHidden/>
              </w:rPr>
              <w:t>26</w:t>
            </w:r>
            <w:r w:rsidR="00395C99">
              <w:rPr>
                <w:webHidden/>
              </w:rPr>
              <w:fldChar w:fldCharType="end"/>
            </w:r>
          </w:hyperlink>
        </w:p>
        <w:p w14:paraId="14786F2B" w14:textId="2A6414E8" w:rsidR="00395C99" w:rsidRDefault="001911F1">
          <w:pPr>
            <w:pStyle w:val="TOC2"/>
            <w:rPr>
              <w:rFonts w:asciiTheme="minorHAnsi" w:eastAsiaTheme="minorEastAsia" w:hAnsiTheme="minorHAnsi" w:cstheme="minorBidi"/>
              <w:color w:val="auto"/>
              <w:szCs w:val="22"/>
            </w:rPr>
          </w:pPr>
          <w:hyperlink w:anchor="_Toc147500268" w:history="1">
            <w:r w:rsidR="00395C99" w:rsidRPr="00DA4D2D">
              <w:rPr>
                <w:rStyle w:val="Hyperlink"/>
              </w:rPr>
              <w:t>Superannuation payment frequency</w:t>
            </w:r>
            <w:r w:rsidR="00395C99">
              <w:rPr>
                <w:webHidden/>
              </w:rPr>
              <w:tab/>
            </w:r>
            <w:r w:rsidR="00395C99">
              <w:rPr>
                <w:webHidden/>
              </w:rPr>
              <w:fldChar w:fldCharType="begin"/>
            </w:r>
            <w:r w:rsidR="00395C99">
              <w:rPr>
                <w:webHidden/>
              </w:rPr>
              <w:instrText xml:space="preserve"> PAGEREF _Toc147500268 \h </w:instrText>
            </w:r>
            <w:r w:rsidR="00395C99">
              <w:rPr>
                <w:webHidden/>
              </w:rPr>
            </w:r>
            <w:r w:rsidR="00395C99">
              <w:rPr>
                <w:webHidden/>
              </w:rPr>
              <w:fldChar w:fldCharType="separate"/>
            </w:r>
            <w:r w:rsidR="00203737">
              <w:rPr>
                <w:webHidden/>
              </w:rPr>
              <w:t>26</w:t>
            </w:r>
            <w:r w:rsidR="00395C99">
              <w:rPr>
                <w:webHidden/>
              </w:rPr>
              <w:fldChar w:fldCharType="end"/>
            </w:r>
          </w:hyperlink>
        </w:p>
        <w:p w14:paraId="6B4D7971" w14:textId="2060DC85" w:rsidR="00395C99" w:rsidRDefault="001911F1">
          <w:pPr>
            <w:pStyle w:val="TOC3"/>
            <w:rPr>
              <w:rFonts w:asciiTheme="minorHAnsi" w:eastAsiaTheme="minorEastAsia" w:hAnsiTheme="minorHAnsi" w:cstheme="minorBidi"/>
              <w:szCs w:val="22"/>
            </w:rPr>
          </w:pPr>
          <w:hyperlink w:anchor="_Toc147500269" w:history="1">
            <w:r w:rsidR="00395C99" w:rsidRPr="00DA4D2D">
              <w:rPr>
                <w:rStyle w:val="Hyperlink"/>
              </w:rPr>
              <w:t>Table 3: Quarterly super payment due dates*</w:t>
            </w:r>
            <w:r w:rsidR="00395C99">
              <w:rPr>
                <w:webHidden/>
              </w:rPr>
              <w:tab/>
            </w:r>
            <w:r w:rsidR="00395C99">
              <w:rPr>
                <w:webHidden/>
              </w:rPr>
              <w:fldChar w:fldCharType="begin"/>
            </w:r>
            <w:r w:rsidR="00395C99">
              <w:rPr>
                <w:webHidden/>
              </w:rPr>
              <w:instrText xml:space="preserve"> PAGEREF _Toc147500269 \h </w:instrText>
            </w:r>
            <w:r w:rsidR="00395C99">
              <w:rPr>
                <w:webHidden/>
              </w:rPr>
            </w:r>
            <w:r w:rsidR="00395C99">
              <w:rPr>
                <w:webHidden/>
              </w:rPr>
              <w:fldChar w:fldCharType="separate"/>
            </w:r>
            <w:r w:rsidR="00203737">
              <w:rPr>
                <w:webHidden/>
              </w:rPr>
              <w:t>26</w:t>
            </w:r>
            <w:r w:rsidR="00395C99">
              <w:rPr>
                <w:webHidden/>
              </w:rPr>
              <w:fldChar w:fldCharType="end"/>
            </w:r>
          </w:hyperlink>
        </w:p>
        <w:p w14:paraId="1638E66E" w14:textId="617B49DF" w:rsidR="00395C99" w:rsidRDefault="001911F1">
          <w:pPr>
            <w:pStyle w:val="TOC3"/>
            <w:rPr>
              <w:rFonts w:asciiTheme="minorHAnsi" w:eastAsiaTheme="minorEastAsia" w:hAnsiTheme="minorHAnsi" w:cstheme="minorBidi"/>
              <w:szCs w:val="22"/>
            </w:rPr>
          </w:pPr>
          <w:hyperlink w:anchor="_Toc147500270" w:history="1">
            <w:r w:rsidR="00395C99" w:rsidRPr="00DA4D2D">
              <w:rPr>
                <w:rStyle w:val="Hyperlink"/>
              </w:rPr>
              <w:t>Table 4: Employer SG payment frequency for the 2021-22 financial year – count of employers</w:t>
            </w:r>
            <w:r w:rsidR="00395C99">
              <w:rPr>
                <w:webHidden/>
              </w:rPr>
              <w:tab/>
            </w:r>
            <w:r w:rsidR="00395C99">
              <w:rPr>
                <w:webHidden/>
              </w:rPr>
              <w:fldChar w:fldCharType="begin"/>
            </w:r>
            <w:r w:rsidR="00395C99">
              <w:rPr>
                <w:webHidden/>
              </w:rPr>
              <w:instrText xml:space="preserve"> PAGEREF _Toc147500270 \h </w:instrText>
            </w:r>
            <w:r w:rsidR="00395C99">
              <w:rPr>
                <w:webHidden/>
              </w:rPr>
            </w:r>
            <w:r w:rsidR="00395C99">
              <w:rPr>
                <w:webHidden/>
              </w:rPr>
              <w:fldChar w:fldCharType="separate"/>
            </w:r>
            <w:r w:rsidR="00203737">
              <w:rPr>
                <w:webHidden/>
              </w:rPr>
              <w:t>27</w:t>
            </w:r>
            <w:r w:rsidR="00395C99">
              <w:rPr>
                <w:webHidden/>
              </w:rPr>
              <w:fldChar w:fldCharType="end"/>
            </w:r>
          </w:hyperlink>
        </w:p>
        <w:p w14:paraId="1FECBF89" w14:textId="6209FC3B" w:rsidR="00395C99" w:rsidRDefault="001911F1">
          <w:pPr>
            <w:pStyle w:val="TOC2"/>
            <w:rPr>
              <w:rFonts w:asciiTheme="minorHAnsi" w:eastAsiaTheme="minorEastAsia" w:hAnsiTheme="minorHAnsi" w:cstheme="minorBidi"/>
              <w:color w:val="auto"/>
              <w:szCs w:val="22"/>
            </w:rPr>
          </w:pPr>
          <w:hyperlink w:anchor="_Toc147500271" w:history="1">
            <w:r w:rsidR="00395C99" w:rsidRPr="00DA4D2D">
              <w:rPr>
                <w:rStyle w:val="Hyperlink"/>
              </w:rPr>
              <w:t>The SG charge</w:t>
            </w:r>
            <w:r w:rsidR="00395C99">
              <w:rPr>
                <w:webHidden/>
              </w:rPr>
              <w:tab/>
            </w:r>
            <w:r w:rsidR="00395C99">
              <w:rPr>
                <w:webHidden/>
              </w:rPr>
              <w:fldChar w:fldCharType="begin"/>
            </w:r>
            <w:r w:rsidR="00395C99">
              <w:rPr>
                <w:webHidden/>
              </w:rPr>
              <w:instrText xml:space="preserve"> PAGEREF _Toc147500271 \h </w:instrText>
            </w:r>
            <w:r w:rsidR="00395C99">
              <w:rPr>
                <w:webHidden/>
              </w:rPr>
            </w:r>
            <w:r w:rsidR="00395C99">
              <w:rPr>
                <w:webHidden/>
              </w:rPr>
              <w:fldChar w:fldCharType="separate"/>
            </w:r>
            <w:r w:rsidR="00203737">
              <w:rPr>
                <w:webHidden/>
              </w:rPr>
              <w:t>28</w:t>
            </w:r>
            <w:r w:rsidR="00395C99">
              <w:rPr>
                <w:webHidden/>
              </w:rPr>
              <w:fldChar w:fldCharType="end"/>
            </w:r>
          </w:hyperlink>
        </w:p>
        <w:p w14:paraId="587CBFBD" w14:textId="0B51A7DE" w:rsidR="00395C99" w:rsidRDefault="001911F1">
          <w:pPr>
            <w:pStyle w:val="TOC3"/>
            <w:rPr>
              <w:rFonts w:asciiTheme="minorHAnsi" w:eastAsiaTheme="minorEastAsia" w:hAnsiTheme="minorHAnsi" w:cstheme="minorBidi"/>
              <w:szCs w:val="22"/>
            </w:rPr>
          </w:pPr>
          <w:hyperlink w:anchor="_Toc147500272" w:history="1">
            <w:r w:rsidR="00395C99" w:rsidRPr="00DA4D2D">
              <w:rPr>
                <w:rStyle w:val="Hyperlink"/>
              </w:rPr>
              <w:t>Design of the SG charge</w:t>
            </w:r>
            <w:r w:rsidR="00395C99">
              <w:rPr>
                <w:webHidden/>
              </w:rPr>
              <w:tab/>
            </w:r>
            <w:r w:rsidR="00395C99">
              <w:rPr>
                <w:webHidden/>
              </w:rPr>
              <w:fldChar w:fldCharType="begin"/>
            </w:r>
            <w:r w:rsidR="00395C99">
              <w:rPr>
                <w:webHidden/>
              </w:rPr>
              <w:instrText xml:space="preserve"> PAGEREF _Toc147500272 \h </w:instrText>
            </w:r>
            <w:r w:rsidR="00395C99">
              <w:rPr>
                <w:webHidden/>
              </w:rPr>
            </w:r>
            <w:r w:rsidR="00395C99">
              <w:rPr>
                <w:webHidden/>
              </w:rPr>
              <w:fldChar w:fldCharType="separate"/>
            </w:r>
            <w:r w:rsidR="00203737">
              <w:rPr>
                <w:webHidden/>
              </w:rPr>
              <w:t>28</w:t>
            </w:r>
            <w:r w:rsidR="00395C99">
              <w:rPr>
                <w:webHidden/>
              </w:rPr>
              <w:fldChar w:fldCharType="end"/>
            </w:r>
          </w:hyperlink>
        </w:p>
        <w:p w14:paraId="44D48EC0" w14:textId="1185F99A" w:rsidR="00395C99" w:rsidRDefault="001911F1">
          <w:pPr>
            <w:pStyle w:val="TOC3"/>
            <w:rPr>
              <w:rFonts w:asciiTheme="minorHAnsi" w:eastAsiaTheme="minorEastAsia" w:hAnsiTheme="minorHAnsi" w:cstheme="minorBidi"/>
              <w:szCs w:val="22"/>
            </w:rPr>
          </w:pPr>
          <w:hyperlink w:anchor="_Toc147500273" w:history="1">
            <w:r w:rsidR="00395C99" w:rsidRPr="00DA4D2D">
              <w:rPr>
                <w:rStyle w:val="Hyperlink"/>
              </w:rPr>
              <w:t>SG charge statement</w:t>
            </w:r>
            <w:r w:rsidR="00395C99">
              <w:rPr>
                <w:webHidden/>
              </w:rPr>
              <w:tab/>
            </w:r>
            <w:r w:rsidR="00395C99">
              <w:rPr>
                <w:webHidden/>
              </w:rPr>
              <w:fldChar w:fldCharType="begin"/>
            </w:r>
            <w:r w:rsidR="00395C99">
              <w:rPr>
                <w:webHidden/>
              </w:rPr>
              <w:instrText xml:space="preserve"> PAGEREF _Toc147500273 \h </w:instrText>
            </w:r>
            <w:r w:rsidR="00395C99">
              <w:rPr>
                <w:webHidden/>
              </w:rPr>
            </w:r>
            <w:r w:rsidR="00395C99">
              <w:rPr>
                <w:webHidden/>
              </w:rPr>
              <w:fldChar w:fldCharType="separate"/>
            </w:r>
            <w:r w:rsidR="00203737">
              <w:rPr>
                <w:webHidden/>
              </w:rPr>
              <w:t>28</w:t>
            </w:r>
            <w:r w:rsidR="00395C99">
              <w:rPr>
                <w:webHidden/>
              </w:rPr>
              <w:fldChar w:fldCharType="end"/>
            </w:r>
          </w:hyperlink>
        </w:p>
        <w:p w14:paraId="29753478" w14:textId="3AED92EA" w:rsidR="00395C99" w:rsidRDefault="001911F1">
          <w:pPr>
            <w:pStyle w:val="TOC3"/>
            <w:rPr>
              <w:rFonts w:asciiTheme="minorHAnsi" w:eastAsiaTheme="minorEastAsia" w:hAnsiTheme="minorHAnsi" w:cstheme="minorBidi"/>
              <w:szCs w:val="22"/>
            </w:rPr>
          </w:pPr>
          <w:hyperlink w:anchor="_Toc147500274" w:history="1">
            <w:r w:rsidR="00395C99" w:rsidRPr="00DA4D2D">
              <w:rPr>
                <w:rStyle w:val="Hyperlink"/>
              </w:rPr>
              <w:t>Discretion to reduce or remit SG charge</w:t>
            </w:r>
            <w:r w:rsidR="00395C99">
              <w:rPr>
                <w:webHidden/>
              </w:rPr>
              <w:tab/>
            </w:r>
            <w:r w:rsidR="00395C99">
              <w:rPr>
                <w:webHidden/>
              </w:rPr>
              <w:fldChar w:fldCharType="begin"/>
            </w:r>
            <w:r w:rsidR="00395C99">
              <w:rPr>
                <w:webHidden/>
              </w:rPr>
              <w:instrText xml:space="preserve"> PAGEREF _Toc147500274 \h </w:instrText>
            </w:r>
            <w:r w:rsidR="00395C99">
              <w:rPr>
                <w:webHidden/>
              </w:rPr>
            </w:r>
            <w:r w:rsidR="00395C99">
              <w:rPr>
                <w:webHidden/>
              </w:rPr>
              <w:fldChar w:fldCharType="separate"/>
            </w:r>
            <w:r w:rsidR="00203737">
              <w:rPr>
                <w:webHidden/>
              </w:rPr>
              <w:t>29</w:t>
            </w:r>
            <w:r w:rsidR="00395C99">
              <w:rPr>
                <w:webHidden/>
              </w:rPr>
              <w:fldChar w:fldCharType="end"/>
            </w:r>
          </w:hyperlink>
        </w:p>
        <w:p w14:paraId="106A9578" w14:textId="2C2AC278" w:rsidR="00395C99" w:rsidRDefault="001911F1">
          <w:pPr>
            <w:pStyle w:val="TOC3"/>
            <w:rPr>
              <w:rFonts w:asciiTheme="minorHAnsi" w:eastAsiaTheme="minorEastAsia" w:hAnsiTheme="minorHAnsi" w:cstheme="minorBidi"/>
              <w:szCs w:val="22"/>
            </w:rPr>
          </w:pPr>
          <w:hyperlink w:anchor="_Toc147500275" w:history="1">
            <w:r w:rsidR="00395C99" w:rsidRPr="00DA4D2D">
              <w:rPr>
                <w:rStyle w:val="Hyperlink"/>
              </w:rPr>
              <w:t>Late Payment Offset and tax deductibility</w:t>
            </w:r>
            <w:r w:rsidR="00395C99">
              <w:rPr>
                <w:webHidden/>
              </w:rPr>
              <w:tab/>
            </w:r>
            <w:r w:rsidR="00395C99">
              <w:rPr>
                <w:webHidden/>
              </w:rPr>
              <w:fldChar w:fldCharType="begin"/>
            </w:r>
            <w:r w:rsidR="00395C99">
              <w:rPr>
                <w:webHidden/>
              </w:rPr>
              <w:instrText xml:space="preserve"> PAGEREF _Toc147500275 \h </w:instrText>
            </w:r>
            <w:r w:rsidR="00395C99">
              <w:rPr>
                <w:webHidden/>
              </w:rPr>
            </w:r>
            <w:r w:rsidR="00395C99">
              <w:rPr>
                <w:webHidden/>
              </w:rPr>
              <w:fldChar w:fldCharType="separate"/>
            </w:r>
            <w:r w:rsidR="00203737">
              <w:rPr>
                <w:webHidden/>
              </w:rPr>
              <w:t>29</w:t>
            </w:r>
            <w:r w:rsidR="00395C99">
              <w:rPr>
                <w:webHidden/>
              </w:rPr>
              <w:fldChar w:fldCharType="end"/>
            </w:r>
          </w:hyperlink>
        </w:p>
        <w:p w14:paraId="63F4E712" w14:textId="0106BD30" w:rsidR="00395C99" w:rsidRDefault="001911F1">
          <w:pPr>
            <w:pStyle w:val="TOC2"/>
            <w:rPr>
              <w:rFonts w:asciiTheme="minorHAnsi" w:eastAsiaTheme="minorEastAsia" w:hAnsiTheme="minorHAnsi" w:cstheme="minorBidi"/>
              <w:color w:val="auto"/>
              <w:szCs w:val="22"/>
            </w:rPr>
          </w:pPr>
          <w:hyperlink w:anchor="_Toc147500276" w:history="1">
            <w:r w:rsidR="00395C99" w:rsidRPr="00DA4D2D">
              <w:rPr>
                <w:rStyle w:val="Hyperlink"/>
              </w:rPr>
              <w:t>Penalties for non-compliance</w:t>
            </w:r>
            <w:r w:rsidR="00395C99">
              <w:rPr>
                <w:webHidden/>
              </w:rPr>
              <w:tab/>
            </w:r>
            <w:r w:rsidR="00395C99">
              <w:rPr>
                <w:webHidden/>
              </w:rPr>
              <w:fldChar w:fldCharType="begin"/>
            </w:r>
            <w:r w:rsidR="00395C99">
              <w:rPr>
                <w:webHidden/>
              </w:rPr>
              <w:instrText xml:space="preserve"> PAGEREF _Toc147500276 \h </w:instrText>
            </w:r>
            <w:r w:rsidR="00395C99">
              <w:rPr>
                <w:webHidden/>
              </w:rPr>
            </w:r>
            <w:r w:rsidR="00395C99">
              <w:rPr>
                <w:webHidden/>
              </w:rPr>
              <w:fldChar w:fldCharType="separate"/>
            </w:r>
            <w:r w:rsidR="00203737">
              <w:rPr>
                <w:webHidden/>
              </w:rPr>
              <w:t>29</w:t>
            </w:r>
            <w:r w:rsidR="00395C99">
              <w:rPr>
                <w:webHidden/>
              </w:rPr>
              <w:fldChar w:fldCharType="end"/>
            </w:r>
          </w:hyperlink>
        </w:p>
        <w:p w14:paraId="45518C82" w14:textId="30151BAF" w:rsidR="00395C99" w:rsidRDefault="001911F1">
          <w:pPr>
            <w:pStyle w:val="TOC3"/>
            <w:rPr>
              <w:rFonts w:asciiTheme="minorHAnsi" w:eastAsiaTheme="minorEastAsia" w:hAnsiTheme="minorHAnsi" w:cstheme="minorBidi"/>
              <w:szCs w:val="22"/>
            </w:rPr>
          </w:pPr>
          <w:hyperlink w:anchor="_Toc147500277" w:history="1">
            <w:r w:rsidR="00395C99" w:rsidRPr="00DA4D2D">
              <w:rPr>
                <w:rStyle w:val="Hyperlink"/>
              </w:rPr>
              <w:t>Additional SG charge (Part 7 penalties)</w:t>
            </w:r>
            <w:r w:rsidR="00395C99">
              <w:rPr>
                <w:webHidden/>
              </w:rPr>
              <w:tab/>
            </w:r>
            <w:r w:rsidR="00395C99">
              <w:rPr>
                <w:webHidden/>
              </w:rPr>
              <w:fldChar w:fldCharType="begin"/>
            </w:r>
            <w:r w:rsidR="00395C99">
              <w:rPr>
                <w:webHidden/>
              </w:rPr>
              <w:instrText xml:space="preserve"> PAGEREF _Toc147500277 \h </w:instrText>
            </w:r>
            <w:r w:rsidR="00395C99">
              <w:rPr>
                <w:webHidden/>
              </w:rPr>
            </w:r>
            <w:r w:rsidR="00395C99">
              <w:rPr>
                <w:webHidden/>
              </w:rPr>
              <w:fldChar w:fldCharType="separate"/>
            </w:r>
            <w:r w:rsidR="00203737">
              <w:rPr>
                <w:webHidden/>
              </w:rPr>
              <w:t>29</w:t>
            </w:r>
            <w:r w:rsidR="00395C99">
              <w:rPr>
                <w:webHidden/>
              </w:rPr>
              <w:fldChar w:fldCharType="end"/>
            </w:r>
          </w:hyperlink>
        </w:p>
        <w:p w14:paraId="64883170" w14:textId="3B8B7D41" w:rsidR="00395C99" w:rsidRDefault="001911F1">
          <w:pPr>
            <w:pStyle w:val="TOC3"/>
            <w:rPr>
              <w:rFonts w:asciiTheme="minorHAnsi" w:eastAsiaTheme="minorEastAsia" w:hAnsiTheme="minorHAnsi" w:cstheme="minorBidi"/>
              <w:szCs w:val="22"/>
            </w:rPr>
          </w:pPr>
          <w:hyperlink w:anchor="_Toc147500278" w:history="1">
            <w:r w:rsidR="00395C99" w:rsidRPr="00DA4D2D">
              <w:rPr>
                <w:rStyle w:val="Hyperlink"/>
              </w:rPr>
              <w:t>Other penalties</w:t>
            </w:r>
            <w:r w:rsidR="00395C99">
              <w:rPr>
                <w:webHidden/>
              </w:rPr>
              <w:tab/>
            </w:r>
            <w:r w:rsidR="00395C99">
              <w:rPr>
                <w:webHidden/>
              </w:rPr>
              <w:fldChar w:fldCharType="begin"/>
            </w:r>
            <w:r w:rsidR="00395C99">
              <w:rPr>
                <w:webHidden/>
              </w:rPr>
              <w:instrText xml:space="preserve"> PAGEREF _Toc147500278 \h </w:instrText>
            </w:r>
            <w:r w:rsidR="00395C99">
              <w:rPr>
                <w:webHidden/>
              </w:rPr>
            </w:r>
            <w:r w:rsidR="00395C99">
              <w:rPr>
                <w:webHidden/>
              </w:rPr>
              <w:fldChar w:fldCharType="separate"/>
            </w:r>
            <w:r w:rsidR="00203737">
              <w:rPr>
                <w:webHidden/>
              </w:rPr>
              <w:t>29</w:t>
            </w:r>
            <w:r w:rsidR="00395C99">
              <w:rPr>
                <w:webHidden/>
              </w:rPr>
              <w:fldChar w:fldCharType="end"/>
            </w:r>
          </w:hyperlink>
        </w:p>
        <w:p w14:paraId="57DD8A33" w14:textId="4C0F6DDD" w:rsidR="00395C99" w:rsidRDefault="001911F1">
          <w:pPr>
            <w:pStyle w:val="TOC2"/>
            <w:rPr>
              <w:rFonts w:asciiTheme="minorHAnsi" w:eastAsiaTheme="minorEastAsia" w:hAnsiTheme="minorHAnsi" w:cstheme="minorBidi"/>
              <w:color w:val="auto"/>
              <w:szCs w:val="22"/>
            </w:rPr>
          </w:pPr>
          <w:hyperlink w:anchor="_Toc147500279" w:history="1">
            <w:r w:rsidR="00395C99" w:rsidRPr="00DA4D2D">
              <w:rPr>
                <w:rStyle w:val="Hyperlink"/>
              </w:rPr>
              <w:t>Payment and reporting requirements</w:t>
            </w:r>
            <w:r w:rsidR="00395C99">
              <w:rPr>
                <w:webHidden/>
              </w:rPr>
              <w:tab/>
            </w:r>
            <w:r w:rsidR="00395C99">
              <w:rPr>
                <w:webHidden/>
              </w:rPr>
              <w:fldChar w:fldCharType="begin"/>
            </w:r>
            <w:r w:rsidR="00395C99">
              <w:rPr>
                <w:webHidden/>
              </w:rPr>
              <w:instrText xml:space="preserve"> PAGEREF _Toc147500279 \h </w:instrText>
            </w:r>
            <w:r w:rsidR="00395C99">
              <w:rPr>
                <w:webHidden/>
              </w:rPr>
            </w:r>
            <w:r w:rsidR="00395C99">
              <w:rPr>
                <w:webHidden/>
              </w:rPr>
              <w:fldChar w:fldCharType="separate"/>
            </w:r>
            <w:r w:rsidR="00203737">
              <w:rPr>
                <w:webHidden/>
              </w:rPr>
              <w:t>30</w:t>
            </w:r>
            <w:r w:rsidR="00395C99">
              <w:rPr>
                <w:webHidden/>
              </w:rPr>
              <w:fldChar w:fldCharType="end"/>
            </w:r>
          </w:hyperlink>
        </w:p>
        <w:p w14:paraId="690BB1AC" w14:textId="3C6F4732" w:rsidR="00395C99" w:rsidRDefault="001911F1">
          <w:pPr>
            <w:pStyle w:val="TOC3"/>
            <w:rPr>
              <w:rFonts w:asciiTheme="minorHAnsi" w:eastAsiaTheme="minorEastAsia" w:hAnsiTheme="minorHAnsi" w:cstheme="minorBidi"/>
              <w:szCs w:val="22"/>
            </w:rPr>
          </w:pPr>
          <w:hyperlink w:anchor="_Toc147500280" w:history="1">
            <w:r w:rsidR="00395C99" w:rsidRPr="00DA4D2D">
              <w:rPr>
                <w:rStyle w:val="Hyperlink"/>
              </w:rPr>
              <w:t>Superannuation fund requirements</w:t>
            </w:r>
            <w:r w:rsidR="00395C99">
              <w:rPr>
                <w:webHidden/>
              </w:rPr>
              <w:tab/>
            </w:r>
            <w:r w:rsidR="00395C99">
              <w:rPr>
                <w:webHidden/>
              </w:rPr>
              <w:fldChar w:fldCharType="begin"/>
            </w:r>
            <w:r w:rsidR="00395C99">
              <w:rPr>
                <w:webHidden/>
              </w:rPr>
              <w:instrText xml:space="preserve"> PAGEREF _Toc147500280 \h </w:instrText>
            </w:r>
            <w:r w:rsidR="00395C99">
              <w:rPr>
                <w:webHidden/>
              </w:rPr>
            </w:r>
            <w:r w:rsidR="00395C99">
              <w:rPr>
                <w:webHidden/>
              </w:rPr>
              <w:fldChar w:fldCharType="separate"/>
            </w:r>
            <w:r w:rsidR="00203737">
              <w:rPr>
                <w:webHidden/>
              </w:rPr>
              <w:t>32</w:t>
            </w:r>
            <w:r w:rsidR="00395C99">
              <w:rPr>
                <w:webHidden/>
              </w:rPr>
              <w:fldChar w:fldCharType="end"/>
            </w:r>
          </w:hyperlink>
        </w:p>
        <w:p w14:paraId="00AC09F3" w14:textId="06E69618" w:rsidR="00395C99" w:rsidRDefault="001911F1">
          <w:pPr>
            <w:pStyle w:val="TOC2"/>
            <w:rPr>
              <w:rFonts w:asciiTheme="minorHAnsi" w:eastAsiaTheme="minorEastAsia" w:hAnsiTheme="minorHAnsi" w:cstheme="minorBidi"/>
              <w:color w:val="auto"/>
              <w:szCs w:val="22"/>
            </w:rPr>
          </w:pPr>
          <w:hyperlink w:anchor="_Toc147500281" w:history="1">
            <w:r w:rsidR="00395C99" w:rsidRPr="00DA4D2D">
              <w:rPr>
                <w:rStyle w:val="Hyperlink"/>
              </w:rPr>
              <w:t>SG compliance initiation</w:t>
            </w:r>
            <w:r w:rsidR="00395C99">
              <w:rPr>
                <w:webHidden/>
              </w:rPr>
              <w:tab/>
            </w:r>
            <w:r w:rsidR="00395C99">
              <w:rPr>
                <w:webHidden/>
              </w:rPr>
              <w:fldChar w:fldCharType="begin"/>
            </w:r>
            <w:r w:rsidR="00395C99">
              <w:rPr>
                <w:webHidden/>
              </w:rPr>
              <w:instrText xml:space="preserve"> PAGEREF _Toc147500281 \h </w:instrText>
            </w:r>
            <w:r w:rsidR="00395C99">
              <w:rPr>
                <w:webHidden/>
              </w:rPr>
            </w:r>
            <w:r w:rsidR="00395C99">
              <w:rPr>
                <w:webHidden/>
              </w:rPr>
              <w:fldChar w:fldCharType="separate"/>
            </w:r>
            <w:r w:rsidR="00203737">
              <w:rPr>
                <w:webHidden/>
              </w:rPr>
              <w:t>32</w:t>
            </w:r>
            <w:r w:rsidR="00395C99">
              <w:rPr>
                <w:webHidden/>
              </w:rPr>
              <w:fldChar w:fldCharType="end"/>
            </w:r>
          </w:hyperlink>
        </w:p>
        <w:p w14:paraId="6306696B" w14:textId="6F8A1562" w:rsidR="00395C99" w:rsidRDefault="001911F1">
          <w:pPr>
            <w:pStyle w:val="TOC3"/>
            <w:rPr>
              <w:rFonts w:asciiTheme="minorHAnsi" w:eastAsiaTheme="minorEastAsia" w:hAnsiTheme="minorHAnsi" w:cstheme="minorBidi"/>
              <w:szCs w:val="22"/>
            </w:rPr>
          </w:pPr>
          <w:hyperlink w:anchor="_Toc147500282" w:history="1">
            <w:r w:rsidR="00395C99" w:rsidRPr="00DA4D2D">
              <w:rPr>
                <w:rStyle w:val="Hyperlink"/>
              </w:rPr>
              <w:t>Employer-initiated compliance</w:t>
            </w:r>
            <w:r w:rsidR="00395C99">
              <w:rPr>
                <w:webHidden/>
              </w:rPr>
              <w:tab/>
            </w:r>
            <w:r w:rsidR="00395C99">
              <w:rPr>
                <w:webHidden/>
              </w:rPr>
              <w:fldChar w:fldCharType="begin"/>
            </w:r>
            <w:r w:rsidR="00395C99">
              <w:rPr>
                <w:webHidden/>
              </w:rPr>
              <w:instrText xml:space="preserve"> PAGEREF _Toc147500282 \h </w:instrText>
            </w:r>
            <w:r w:rsidR="00395C99">
              <w:rPr>
                <w:webHidden/>
              </w:rPr>
            </w:r>
            <w:r w:rsidR="00395C99">
              <w:rPr>
                <w:webHidden/>
              </w:rPr>
              <w:fldChar w:fldCharType="separate"/>
            </w:r>
            <w:r w:rsidR="00203737">
              <w:rPr>
                <w:webHidden/>
              </w:rPr>
              <w:t>32</w:t>
            </w:r>
            <w:r w:rsidR="00395C99">
              <w:rPr>
                <w:webHidden/>
              </w:rPr>
              <w:fldChar w:fldCharType="end"/>
            </w:r>
          </w:hyperlink>
        </w:p>
        <w:p w14:paraId="08072C48" w14:textId="3C6B2B43" w:rsidR="00395C99" w:rsidRDefault="001911F1">
          <w:pPr>
            <w:pStyle w:val="TOC3"/>
            <w:rPr>
              <w:rFonts w:asciiTheme="minorHAnsi" w:eastAsiaTheme="minorEastAsia" w:hAnsiTheme="minorHAnsi" w:cstheme="minorBidi"/>
              <w:szCs w:val="22"/>
            </w:rPr>
          </w:pPr>
          <w:hyperlink w:anchor="_Toc147500283" w:history="1">
            <w:r w:rsidR="00395C99" w:rsidRPr="00DA4D2D">
              <w:rPr>
                <w:rStyle w:val="Hyperlink"/>
              </w:rPr>
              <w:t>Employee-initiated compliance</w:t>
            </w:r>
            <w:r w:rsidR="00395C99">
              <w:rPr>
                <w:webHidden/>
              </w:rPr>
              <w:tab/>
            </w:r>
            <w:r w:rsidR="00395C99">
              <w:rPr>
                <w:webHidden/>
              </w:rPr>
              <w:fldChar w:fldCharType="begin"/>
            </w:r>
            <w:r w:rsidR="00395C99">
              <w:rPr>
                <w:webHidden/>
              </w:rPr>
              <w:instrText xml:space="preserve"> PAGEREF _Toc147500283 \h </w:instrText>
            </w:r>
            <w:r w:rsidR="00395C99">
              <w:rPr>
                <w:webHidden/>
              </w:rPr>
            </w:r>
            <w:r w:rsidR="00395C99">
              <w:rPr>
                <w:webHidden/>
              </w:rPr>
              <w:fldChar w:fldCharType="separate"/>
            </w:r>
            <w:r w:rsidR="00203737">
              <w:rPr>
                <w:webHidden/>
              </w:rPr>
              <w:t>32</w:t>
            </w:r>
            <w:r w:rsidR="00395C99">
              <w:rPr>
                <w:webHidden/>
              </w:rPr>
              <w:fldChar w:fldCharType="end"/>
            </w:r>
          </w:hyperlink>
        </w:p>
        <w:p w14:paraId="163A6F25" w14:textId="79EFC699" w:rsidR="00395C99" w:rsidRDefault="001911F1">
          <w:pPr>
            <w:pStyle w:val="TOC3"/>
            <w:rPr>
              <w:rFonts w:asciiTheme="minorHAnsi" w:eastAsiaTheme="minorEastAsia" w:hAnsiTheme="minorHAnsi" w:cstheme="minorBidi"/>
              <w:szCs w:val="22"/>
            </w:rPr>
          </w:pPr>
          <w:hyperlink w:anchor="_Toc147500284" w:history="1">
            <w:r w:rsidR="00395C99" w:rsidRPr="00DA4D2D">
              <w:rPr>
                <w:rStyle w:val="Hyperlink"/>
              </w:rPr>
              <w:t>ATO-initiated compliance</w:t>
            </w:r>
            <w:r w:rsidR="00395C99">
              <w:rPr>
                <w:webHidden/>
              </w:rPr>
              <w:tab/>
            </w:r>
            <w:r w:rsidR="00395C99">
              <w:rPr>
                <w:webHidden/>
              </w:rPr>
              <w:fldChar w:fldCharType="begin"/>
            </w:r>
            <w:r w:rsidR="00395C99">
              <w:rPr>
                <w:webHidden/>
              </w:rPr>
              <w:instrText xml:space="preserve"> PAGEREF _Toc147500284 \h </w:instrText>
            </w:r>
            <w:r w:rsidR="00395C99">
              <w:rPr>
                <w:webHidden/>
              </w:rPr>
            </w:r>
            <w:r w:rsidR="00395C99">
              <w:rPr>
                <w:webHidden/>
              </w:rPr>
              <w:fldChar w:fldCharType="separate"/>
            </w:r>
            <w:r w:rsidR="00203737">
              <w:rPr>
                <w:webHidden/>
              </w:rPr>
              <w:t>33</w:t>
            </w:r>
            <w:r w:rsidR="00395C99">
              <w:rPr>
                <w:webHidden/>
              </w:rPr>
              <w:fldChar w:fldCharType="end"/>
            </w:r>
          </w:hyperlink>
        </w:p>
        <w:p w14:paraId="5AC69FA1" w14:textId="487A83E8" w:rsidR="00395C99" w:rsidRDefault="001911F1">
          <w:pPr>
            <w:pStyle w:val="TOC1"/>
            <w:rPr>
              <w:rFonts w:asciiTheme="minorHAnsi" w:eastAsiaTheme="minorEastAsia" w:hAnsiTheme="minorHAnsi" w:cstheme="minorBidi"/>
              <w:b w:val="0"/>
              <w:color w:val="auto"/>
            </w:rPr>
          </w:pPr>
          <w:hyperlink w:anchor="_Toc147500285" w:history="1">
            <w:r w:rsidR="00395C99" w:rsidRPr="00DA4D2D">
              <w:rPr>
                <w:rStyle w:val="Hyperlink"/>
              </w:rPr>
              <w:t>Appendix B: Implementation timeline</w:t>
            </w:r>
            <w:r w:rsidR="00395C99">
              <w:rPr>
                <w:webHidden/>
              </w:rPr>
              <w:tab/>
            </w:r>
            <w:r w:rsidR="00395C99">
              <w:rPr>
                <w:webHidden/>
              </w:rPr>
              <w:fldChar w:fldCharType="begin"/>
            </w:r>
            <w:r w:rsidR="00395C99">
              <w:rPr>
                <w:webHidden/>
              </w:rPr>
              <w:instrText xml:space="preserve"> PAGEREF _Toc147500285 \h </w:instrText>
            </w:r>
            <w:r w:rsidR="00395C99">
              <w:rPr>
                <w:webHidden/>
              </w:rPr>
            </w:r>
            <w:r w:rsidR="00395C99">
              <w:rPr>
                <w:webHidden/>
              </w:rPr>
              <w:fldChar w:fldCharType="separate"/>
            </w:r>
            <w:r w:rsidR="00203737">
              <w:rPr>
                <w:webHidden/>
              </w:rPr>
              <w:t>34</w:t>
            </w:r>
            <w:r w:rsidR="00395C99">
              <w:rPr>
                <w:webHidden/>
              </w:rPr>
              <w:fldChar w:fldCharType="end"/>
            </w:r>
          </w:hyperlink>
        </w:p>
        <w:p w14:paraId="10E6BE61" w14:textId="227AD1CD" w:rsidR="00395C99" w:rsidRDefault="001911F1">
          <w:pPr>
            <w:pStyle w:val="TOC2"/>
            <w:rPr>
              <w:rFonts w:asciiTheme="minorHAnsi" w:eastAsiaTheme="minorEastAsia" w:hAnsiTheme="minorHAnsi" w:cstheme="minorBidi"/>
              <w:color w:val="auto"/>
              <w:szCs w:val="22"/>
            </w:rPr>
          </w:pPr>
          <w:hyperlink w:anchor="_Toc147500286" w:history="1">
            <w:r w:rsidR="00395C99" w:rsidRPr="00DA4D2D">
              <w:rPr>
                <w:rStyle w:val="Hyperlink"/>
              </w:rPr>
              <w:t>Stage 1: 2023 – 2024</w:t>
            </w:r>
            <w:r w:rsidR="00395C99">
              <w:rPr>
                <w:webHidden/>
              </w:rPr>
              <w:tab/>
            </w:r>
            <w:r w:rsidR="00395C99">
              <w:rPr>
                <w:webHidden/>
              </w:rPr>
              <w:fldChar w:fldCharType="begin"/>
            </w:r>
            <w:r w:rsidR="00395C99">
              <w:rPr>
                <w:webHidden/>
              </w:rPr>
              <w:instrText xml:space="preserve"> PAGEREF _Toc147500286 \h </w:instrText>
            </w:r>
            <w:r w:rsidR="00395C99">
              <w:rPr>
                <w:webHidden/>
              </w:rPr>
            </w:r>
            <w:r w:rsidR="00395C99">
              <w:rPr>
                <w:webHidden/>
              </w:rPr>
              <w:fldChar w:fldCharType="separate"/>
            </w:r>
            <w:r w:rsidR="00203737">
              <w:rPr>
                <w:webHidden/>
              </w:rPr>
              <w:t>34</w:t>
            </w:r>
            <w:r w:rsidR="00395C99">
              <w:rPr>
                <w:webHidden/>
              </w:rPr>
              <w:fldChar w:fldCharType="end"/>
            </w:r>
          </w:hyperlink>
        </w:p>
        <w:p w14:paraId="7F224F60" w14:textId="1C4BD4A8" w:rsidR="00395C99" w:rsidRDefault="001911F1">
          <w:pPr>
            <w:pStyle w:val="TOC2"/>
            <w:rPr>
              <w:rFonts w:asciiTheme="minorHAnsi" w:eastAsiaTheme="minorEastAsia" w:hAnsiTheme="minorHAnsi" w:cstheme="minorBidi"/>
              <w:color w:val="auto"/>
              <w:szCs w:val="22"/>
            </w:rPr>
          </w:pPr>
          <w:hyperlink w:anchor="_Toc147500287" w:history="1">
            <w:r w:rsidR="00395C99" w:rsidRPr="00DA4D2D">
              <w:rPr>
                <w:rStyle w:val="Hyperlink"/>
              </w:rPr>
              <w:t>Stage 2: 2024 to 1 July 2026</w:t>
            </w:r>
            <w:r w:rsidR="00395C99">
              <w:rPr>
                <w:webHidden/>
              </w:rPr>
              <w:tab/>
            </w:r>
            <w:r w:rsidR="00395C99">
              <w:rPr>
                <w:webHidden/>
              </w:rPr>
              <w:fldChar w:fldCharType="begin"/>
            </w:r>
            <w:r w:rsidR="00395C99">
              <w:rPr>
                <w:webHidden/>
              </w:rPr>
              <w:instrText xml:space="preserve"> PAGEREF _Toc147500287 \h </w:instrText>
            </w:r>
            <w:r w:rsidR="00395C99">
              <w:rPr>
                <w:webHidden/>
              </w:rPr>
            </w:r>
            <w:r w:rsidR="00395C99">
              <w:rPr>
                <w:webHidden/>
              </w:rPr>
              <w:fldChar w:fldCharType="separate"/>
            </w:r>
            <w:r w:rsidR="00203737">
              <w:rPr>
                <w:webHidden/>
              </w:rPr>
              <w:t>34</w:t>
            </w:r>
            <w:r w:rsidR="00395C99">
              <w:rPr>
                <w:webHidden/>
              </w:rPr>
              <w:fldChar w:fldCharType="end"/>
            </w:r>
          </w:hyperlink>
        </w:p>
        <w:p w14:paraId="624C024B" w14:textId="7624A16A" w:rsidR="00395C99" w:rsidRDefault="001911F1">
          <w:pPr>
            <w:pStyle w:val="TOC2"/>
            <w:rPr>
              <w:rFonts w:asciiTheme="minorHAnsi" w:eastAsiaTheme="minorEastAsia" w:hAnsiTheme="minorHAnsi" w:cstheme="minorBidi"/>
              <w:color w:val="auto"/>
              <w:szCs w:val="22"/>
            </w:rPr>
          </w:pPr>
          <w:hyperlink w:anchor="_Toc147500288" w:history="1">
            <w:r w:rsidR="00395C99" w:rsidRPr="00DA4D2D">
              <w:rPr>
                <w:rStyle w:val="Hyperlink"/>
              </w:rPr>
              <w:t>Stage 3: 2026 onwards</w:t>
            </w:r>
            <w:r w:rsidR="00395C99">
              <w:rPr>
                <w:webHidden/>
              </w:rPr>
              <w:tab/>
            </w:r>
            <w:r w:rsidR="00395C99">
              <w:rPr>
                <w:webHidden/>
              </w:rPr>
              <w:fldChar w:fldCharType="begin"/>
            </w:r>
            <w:r w:rsidR="00395C99">
              <w:rPr>
                <w:webHidden/>
              </w:rPr>
              <w:instrText xml:space="preserve"> PAGEREF _Toc147500288 \h </w:instrText>
            </w:r>
            <w:r w:rsidR="00395C99">
              <w:rPr>
                <w:webHidden/>
              </w:rPr>
            </w:r>
            <w:r w:rsidR="00395C99">
              <w:rPr>
                <w:webHidden/>
              </w:rPr>
              <w:fldChar w:fldCharType="separate"/>
            </w:r>
            <w:r w:rsidR="00203737">
              <w:rPr>
                <w:webHidden/>
              </w:rPr>
              <w:t>34</w:t>
            </w:r>
            <w:r w:rsidR="00395C99">
              <w:rPr>
                <w:webHidden/>
              </w:rPr>
              <w:fldChar w:fldCharType="end"/>
            </w:r>
          </w:hyperlink>
        </w:p>
        <w:p w14:paraId="60CD305E" w14:textId="32223659" w:rsidR="00711AA7" w:rsidRDefault="00711AA7">
          <w:r>
            <w:rPr>
              <w:b/>
              <w:bCs/>
              <w:noProof/>
            </w:rPr>
            <w:fldChar w:fldCharType="end"/>
          </w:r>
        </w:p>
      </w:sdtContent>
    </w:sdt>
    <w:bookmarkEnd w:id="3"/>
    <w:bookmarkEnd w:id="2"/>
    <w:p w14:paraId="4976654F" w14:textId="41C17294" w:rsidR="000E0B74" w:rsidRDefault="000E0B74" w:rsidP="00656356">
      <w:pPr>
        <w:pStyle w:val="SingleParagraph"/>
        <w:tabs>
          <w:tab w:val="right" w:leader="dot" w:pos="9072"/>
        </w:tabs>
        <w:ind w:right="-2"/>
        <w:sectPr w:rsidR="000E0B74" w:rsidSect="008043EA">
          <w:footerReference w:type="default" r:id="rId18"/>
          <w:pgSz w:w="11906" w:h="16838" w:code="9"/>
          <w:pgMar w:top="1843" w:right="1418" w:bottom="1418" w:left="1418" w:header="709" w:footer="709" w:gutter="0"/>
          <w:pgNumType w:fmt="lowerRoman"/>
          <w:cols w:space="708"/>
          <w:titlePg/>
          <w:docGrid w:linePitch="360"/>
        </w:sectPr>
      </w:pPr>
    </w:p>
    <w:p w14:paraId="79BA3A9A" w14:textId="77777777" w:rsidR="00E21F00" w:rsidRDefault="00E21F00" w:rsidP="00E21F00">
      <w:pPr>
        <w:pStyle w:val="Heading1"/>
      </w:pPr>
      <w:bookmarkStart w:id="4" w:name="_Toc131508391"/>
      <w:bookmarkStart w:id="5" w:name="_Toc147500239"/>
      <w:bookmarkStart w:id="6" w:name="_Toc130814234"/>
      <w:bookmarkStart w:id="7" w:name="_Toc131688117"/>
      <w:bookmarkStart w:id="8" w:name="_Toc432067103"/>
      <w:r>
        <w:t>Abbreviations</w:t>
      </w:r>
      <w:bookmarkEnd w:id="4"/>
      <w:bookmarkEnd w:id="5"/>
    </w:p>
    <w:tbl>
      <w:tblPr>
        <w:tblStyle w:val="PlainTable1"/>
        <w:tblW w:w="9424" w:type="dxa"/>
        <w:tblLook w:val="04A0" w:firstRow="1" w:lastRow="0" w:firstColumn="1" w:lastColumn="0" w:noHBand="0" w:noVBand="1"/>
      </w:tblPr>
      <w:tblGrid>
        <w:gridCol w:w="3681"/>
        <w:gridCol w:w="5743"/>
      </w:tblGrid>
      <w:tr w:rsidR="00E21F00" w14:paraId="46603872" w14:textId="77777777" w:rsidTr="003F4010">
        <w:trPr>
          <w:cnfStyle w:val="100000000000" w:firstRow="1" w:lastRow="0" w:firstColumn="0" w:lastColumn="0" w:oddVBand="0" w:evenVBand="0" w:oddHBand="0"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3681" w:type="dxa"/>
            <w:tcBorders>
              <w:bottom w:val="single" w:sz="12" w:space="0" w:color="auto"/>
            </w:tcBorders>
            <w:hideMark/>
          </w:tcPr>
          <w:p w14:paraId="78671DFA" w14:textId="77777777" w:rsidR="00E21F00" w:rsidRPr="00BA07B1" w:rsidRDefault="00E21F00" w:rsidP="00E21F00">
            <w:pPr>
              <w:spacing w:before="240" w:line="360" w:lineRule="auto"/>
              <w:rPr>
                <w:rFonts w:ascii="Calibri" w:hAnsi="Calibri" w:cs="Calibri"/>
                <w:color w:val="262626"/>
                <w:szCs w:val="22"/>
              </w:rPr>
            </w:pPr>
            <w:r w:rsidRPr="00BA07B1">
              <w:rPr>
                <w:rFonts w:ascii="Calibri" w:hAnsi="Calibri" w:cs="Calibri"/>
                <w:color w:val="262626"/>
                <w:szCs w:val="22"/>
              </w:rPr>
              <w:t>Acronym or term</w:t>
            </w:r>
          </w:p>
        </w:tc>
        <w:tc>
          <w:tcPr>
            <w:tcW w:w="5743" w:type="dxa"/>
            <w:tcBorders>
              <w:bottom w:val="single" w:sz="12" w:space="0" w:color="auto"/>
            </w:tcBorders>
            <w:hideMark/>
          </w:tcPr>
          <w:p w14:paraId="26F5FFBA" w14:textId="77777777" w:rsidR="00E21F00" w:rsidRPr="0049666B" w:rsidRDefault="00E21F00" w:rsidP="00E21F00">
            <w:pPr>
              <w:spacing w:before="240" w:line="360" w:lineRule="auto"/>
              <w:cnfStyle w:val="100000000000" w:firstRow="1" w:lastRow="0" w:firstColumn="0" w:lastColumn="0" w:oddVBand="0" w:evenVBand="0" w:oddHBand="0" w:evenHBand="0" w:firstRowFirstColumn="0" w:firstRowLastColumn="0" w:lastRowFirstColumn="0" w:lastRowLastColumn="0"/>
              <w:rPr>
                <w:rFonts w:ascii="Calibri" w:hAnsi="Calibri" w:cs="Calibri"/>
                <w:color w:val="262626"/>
                <w:szCs w:val="22"/>
              </w:rPr>
            </w:pPr>
            <w:r w:rsidRPr="00BA07B1">
              <w:rPr>
                <w:rFonts w:ascii="Calibri" w:hAnsi="Calibri" w:cs="Calibri"/>
                <w:color w:val="262626"/>
                <w:szCs w:val="22"/>
              </w:rPr>
              <w:t>Meaning</w:t>
            </w:r>
          </w:p>
        </w:tc>
      </w:tr>
      <w:tr w:rsidR="00E21F00" w14:paraId="65B5B065" w14:textId="77777777" w:rsidTr="003F40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81" w:type="dxa"/>
            <w:tcBorders>
              <w:top w:val="single" w:sz="12" w:space="0" w:color="auto"/>
            </w:tcBorders>
            <w:hideMark/>
          </w:tcPr>
          <w:p w14:paraId="746237E4" w14:textId="77777777" w:rsidR="00E21F00" w:rsidRPr="0049666B" w:rsidRDefault="00E21F00" w:rsidP="00E21F00">
            <w:pPr>
              <w:spacing w:line="360" w:lineRule="auto"/>
              <w:rPr>
                <w:rFonts w:ascii="Calibri" w:hAnsi="Calibri" w:cs="Calibri"/>
                <w:color w:val="262626"/>
                <w:szCs w:val="22"/>
              </w:rPr>
            </w:pPr>
            <w:r w:rsidRPr="00BA07B1">
              <w:rPr>
                <w:rFonts w:ascii="Calibri" w:hAnsi="Calibri" w:cs="Calibri"/>
                <w:color w:val="262626"/>
                <w:szCs w:val="22"/>
              </w:rPr>
              <w:t>ANAO</w:t>
            </w:r>
          </w:p>
        </w:tc>
        <w:tc>
          <w:tcPr>
            <w:tcW w:w="5743" w:type="dxa"/>
            <w:tcBorders>
              <w:top w:val="single" w:sz="12" w:space="0" w:color="auto"/>
            </w:tcBorders>
            <w:hideMark/>
          </w:tcPr>
          <w:p w14:paraId="770714CB" w14:textId="77777777" w:rsidR="00E21F00" w:rsidRDefault="00E21F00" w:rsidP="00E21F0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Australian National Audit Office</w:t>
            </w:r>
          </w:p>
        </w:tc>
      </w:tr>
      <w:tr w:rsidR="00E21F00" w14:paraId="2F88CE74" w14:textId="77777777" w:rsidTr="003F4010">
        <w:trPr>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063D0E41"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 xml:space="preserve">ATO </w:t>
            </w:r>
          </w:p>
        </w:tc>
        <w:tc>
          <w:tcPr>
            <w:tcW w:w="5743" w:type="dxa"/>
            <w:hideMark/>
          </w:tcPr>
          <w:p w14:paraId="6F5874E1" w14:textId="77777777" w:rsidR="00E21F00" w:rsidRDefault="00E21F00" w:rsidP="00E21F00">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Australian Taxation Office</w:t>
            </w:r>
          </w:p>
        </w:tc>
      </w:tr>
      <w:tr w:rsidR="00E21F00" w14:paraId="7F2EE3C6" w14:textId="77777777" w:rsidTr="003F40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6862B74F"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EN</w:t>
            </w:r>
          </w:p>
        </w:tc>
        <w:tc>
          <w:tcPr>
            <w:tcW w:w="5743" w:type="dxa"/>
            <w:hideMark/>
          </w:tcPr>
          <w:p w14:paraId="2E1F3B33" w14:textId="77777777" w:rsidR="00E21F00" w:rsidRDefault="00E21F00" w:rsidP="00E21F0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Employee Notification</w:t>
            </w:r>
          </w:p>
        </w:tc>
      </w:tr>
      <w:tr w:rsidR="00E21F00" w14:paraId="61E0F439" w14:textId="77777777" w:rsidTr="003F4010">
        <w:trPr>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44E51160"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FEG</w:t>
            </w:r>
          </w:p>
        </w:tc>
        <w:tc>
          <w:tcPr>
            <w:tcW w:w="5743" w:type="dxa"/>
            <w:hideMark/>
          </w:tcPr>
          <w:p w14:paraId="22D85FD3" w14:textId="77777777" w:rsidR="00E21F00" w:rsidRDefault="00E21F00" w:rsidP="00E21F00">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Fair Entitlement Guarantee</w:t>
            </w:r>
          </w:p>
        </w:tc>
      </w:tr>
      <w:tr w:rsidR="00E21F00" w14:paraId="74FC3164" w14:textId="77777777" w:rsidTr="003F40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0E060EFE"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MAAS</w:t>
            </w:r>
          </w:p>
        </w:tc>
        <w:tc>
          <w:tcPr>
            <w:tcW w:w="5743" w:type="dxa"/>
            <w:hideMark/>
          </w:tcPr>
          <w:p w14:paraId="1979E969" w14:textId="77777777" w:rsidR="00E21F00" w:rsidRDefault="00E21F00" w:rsidP="00E21F0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Member Account Attribute Service</w:t>
            </w:r>
          </w:p>
        </w:tc>
      </w:tr>
      <w:tr w:rsidR="00E21F00" w14:paraId="74C0E84E" w14:textId="77777777" w:rsidTr="003F4010">
        <w:trPr>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09FFB7C7"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MATS</w:t>
            </w:r>
          </w:p>
        </w:tc>
        <w:tc>
          <w:tcPr>
            <w:tcW w:w="5743" w:type="dxa"/>
            <w:hideMark/>
          </w:tcPr>
          <w:p w14:paraId="3239F6E1" w14:textId="77777777" w:rsidR="00E21F00" w:rsidRDefault="00E21F00" w:rsidP="00E21F00">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Member Account Transaction Service</w:t>
            </w:r>
          </w:p>
        </w:tc>
      </w:tr>
      <w:tr w:rsidR="00E21F00" w14:paraId="003205B3" w14:textId="77777777" w:rsidTr="003F40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279CFEFC"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OTE</w:t>
            </w:r>
          </w:p>
        </w:tc>
        <w:tc>
          <w:tcPr>
            <w:tcW w:w="5743" w:type="dxa"/>
            <w:hideMark/>
          </w:tcPr>
          <w:p w14:paraId="4CEECCC2" w14:textId="77777777" w:rsidR="00E21F00" w:rsidRDefault="00E21F00" w:rsidP="00E21F0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Ordinary Time Earnings</w:t>
            </w:r>
          </w:p>
        </w:tc>
      </w:tr>
      <w:tr w:rsidR="00D94644" w14:paraId="471B1B2A" w14:textId="77777777" w:rsidTr="003F4010">
        <w:trPr>
          <w:trHeight w:val="355"/>
        </w:trPr>
        <w:tc>
          <w:tcPr>
            <w:cnfStyle w:val="001000000000" w:firstRow="0" w:lastRow="0" w:firstColumn="1" w:lastColumn="0" w:oddVBand="0" w:evenVBand="0" w:oddHBand="0" w:evenHBand="0" w:firstRowFirstColumn="0" w:firstRowLastColumn="0" w:lastRowFirstColumn="0" w:lastRowLastColumn="0"/>
            <w:tcW w:w="3681" w:type="dxa"/>
          </w:tcPr>
          <w:p w14:paraId="2209348C" w14:textId="744A244B" w:rsidR="00D94644" w:rsidRPr="00BA07B1" w:rsidRDefault="00D94644" w:rsidP="00E21F00">
            <w:pPr>
              <w:spacing w:line="360" w:lineRule="auto"/>
              <w:rPr>
                <w:rFonts w:ascii="Calibri" w:hAnsi="Calibri" w:cs="Calibri"/>
                <w:color w:val="262626"/>
                <w:szCs w:val="22"/>
              </w:rPr>
            </w:pPr>
            <w:r>
              <w:rPr>
                <w:rFonts w:ascii="Calibri" w:hAnsi="Calibri" w:cs="Calibri"/>
                <w:color w:val="262626"/>
                <w:szCs w:val="22"/>
              </w:rPr>
              <w:t>SG</w:t>
            </w:r>
          </w:p>
        </w:tc>
        <w:tc>
          <w:tcPr>
            <w:tcW w:w="5743" w:type="dxa"/>
          </w:tcPr>
          <w:p w14:paraId="56319482" w14:textId="47875090" w:rsidR="00D94644" w:rsidRDefault="00D94644" w:rsidP="00E21F00">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Superannuation Guarantee</w:t>
            </w:r>
          </w:p>
        </w:tc>
      </w:tr>
      <w:tr w:rsidR="00E21F00" w14:paraId="20FAC474" w14:textId="77777777" w:rsidTr="003F40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1A1141A0"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SGA Act</w:t>
            </w:r>
          </w:p>
        </w:tc>
        <w:tc>
          <w:tcPr>
            <w:tcW w:w="5743" w:type="dxa"/>
            <w:hideMark/>
          </w:tcPr>
          <w:p w14:paraId="230F674D" w14:textId="77777777" w:rsidR="00E21F00" w:rsidRPr="00296DC7" w:rsidRDefault="00E21F00" w:rsidP="00E21F0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i/>
                <w:color w:val="262626"/>
                <w:szCs w:val="22"/>
              </w:rPr>
            </w:pPr>
            <w:r w:rsidRPr="00296DC7">
              <w:rPr>
                <w:rFonts w:ascii="Calibri" w:hAnsi="Calibri" w:cs="Calibri"/>
                <w:i/>
                <w:color w:val="262626"/>
                <w:szCs w:val="22"/>
              </w:rPr>
              <w:t>Superannuation Guarantee (Administration) Act 1992</w:t>
            </w:r>
          </w:p>
        </w:tc>
      </w:tr>
      <w:tr w:rsidR="00E21F00" w14:paraId="55B1101A" w14:textId="77777777" w:rsidTr="003F4010">
        <w:trPr>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4F4F6D22"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SGC Act</w:t>
            </w:r>
          </w:p>
        </w:tc>
        <w:tc>
          <w:tcPr>
            <w:tcW w:w="5743" w:type="dxa"/>
            <w:hideMark/>
          </w:tcPr>
          <w:p w14:paraId="351A86C5" w14:textId="77777777" w:rsidR="00E21F00" w:rsidRPr="00296DC7" w:rsidRDefault="00E21F00" w:rsidP="00E21F00">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i/>
                <w:color w:val="262626"/>
                <w:szCs w:val="22"/>
              </w:rPr>
            </w:pPr>
            <w:r w:rsidRPr="00296DC7">
              <w:rPr>
                <w:rFonts w:ascii="Calibri" w:hAnsi="Calibri" w:cs="Calibri"/>
                <w:i/>
                <w:color w:val="262626"/>
                <w:szCs w:val="22"/>
              </w:rPr>
              <w:t>Superannuation Guarantee Charge Act 1992</w:t>
            </w:r>
          </w:p>
        </w:tc>
      </w:tr>
      <w:tr w:rsidR="00E21F00" w14:paraId="388F05EF" w14:textId="77777777" w:rsidTr="003F40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04C39BCD"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SME</w:t>
            </w:r>
          </w:p>
        </w:tc>
        <w:tc>
          <w:tcPr>
            <w:tcW w:w="5743" w:type="dxa"/>
            <w:hideMark/>
          </w:tcPr>
          <w:p w14:paraId="5F3CBF98" w14:textId="77777777" w:rsidR="00E21F00" w:rsidRDefault="00E21F00" w:rsidP="00E21F0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Small and Medium-Sized Enterprise</w:t>
            </w:r>
          </w:p>
        </w:tc>
      </w:tr>
      <w:tr w:rsidR="00E21F00" w14:paraId="0AF4DCF7" w14:textId="77777777" w:rsidTr="003F4010">
        <w:trPr>
          <w:trHeight w:val="355"/>
        </w:trPr>
        <w:tc>
          <w:tcPr>
            <w:cnfStyle w:val="001000000000" w:firstRow="0" w:lastRow="0" w:firstColumn="1" w:lastColumn="0" w:oddVBand="0" w:evenVBand="0" w:oddHBand="0" w:evenHBand="0" w:firstRowFirstColumn="0" w:firstRowLastColumn="0" w:lastRowFirstColumn="0" w:lastRowLastColumn="0"/>
            <w:tcW w:w="3681" w:type="dxa"/>
            <w:hideMark/>
          </w:tcPr>
          <w:p w14:paraId="61E361E3" w14:textId="77777777" w:rsidR="00E21F00" w:rsidRPr="00BA07B1" w:rsidRDefault="00E21F00" w:rsidP="00E21F00">
            <w:pPr>
              <w:spacing w:line="360" w:lineRule="auto"/>
              <w:rPr>
                <w:rFonts w:ascii="Calibri" w:hAnsi="Calibri" w:cs="Calibri"/>
                <w:color w:val="262626"/>
                <w:szCs w:val="22"/>
              </w:rPr>
            </w:pPr>
            <w:r w:rsidRPr="00BA07B1">
              <w:rPr>
                <w:rFonts w:ascii="Calibri" w:hAnsi="Calibri" w:cs="Calibri"/>
                <w:color w:val="262626"/>
                <w:szCs w:val="22"/>
              </w:rPr>
              <w:t>STP</w:t>
            </w:r>
          </w:p>
        </w:tc>
        <w:tc>
          <w:tcPr>
            <w:tcW w:w="5743" w:type="dxa"/>
            <w:hideMark/>
          </w:tcPr>
          <w:p w14:paraId="6B2F26EA" w14:textId="77777777" w:rsidR="00E21F00" w:rsidRDefault="00E21F00" w:rsidP="00E21F00">
            <w:pPr>
              <w:spacing w:line="360" w:lineRule="auto"/>
              <w:cnfStyle w:val="000000000000" w:firstRow="0" w:lastRow="0" w:firstColumn="0" w:lastColumn="0" w:oddVBand="0" w:evenVBand="0" w:oddHBand="0" w:evenHBand="0" w:firstRowFirstColumn="0" w:firstRowLastColumn="0" w:lastRowFirstColumn="0" w:lastRowLastColumn="0"/>
              <w:rPr>
                <w:rFonts w:ascii="Calibri" w:hAnsi="Calibri" w:cs="Calibri"/>
                <w:color w:val="262626"/>
                <w:szCs w:val="22"/>
              </w:rPr>
            </w:pPr>
            <w:r>
              <w:rPr>
                <w:rFonts w:ascii="Calibri" w:hAnsi="Calibri" w:cs="Calibri"/>
                <w:color w:val="262626"/>
                <w:szCs w:val="22"/>
              </w:rPr>
              <w:t>Single Touch Payroll</w:t>
            </w:r>
          </w:p>
        </w:tc>
      </w:tr>
      <w:tr w:rsidR="007E1C27" w14:paraId="27066A6B" w14:textId="77777777" w:rsidTr="003F4010">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3681" w:type="dxa"/>
          </w:tcPr>
          <w:p w14:paraId="26DE6B4F" w14:textId="5BA5BA99" w:rsidR="007E1C27" w:rsidRPr="00BA07B1" w:rsidRDefault="007E1C27" w:rsidP="00E21F00">
            <w:pPr>
              <w:spacing w:line="360" w:lineRule="auto"/>
              <w:rPr>
                <w:rFonts w:ascii="Calibri" w:hAnsi="Calibri" w:cs="Calibri"/>
                <w:color w:val="262626"/>
                <w:szCs w:val="22"/>
              </w:rPr>
            </w:pPr>
            <w:r>
              <w:rPr>
                <w:rFonts w:ascii="Calibri" w:hAnsi="Calibri" w:cs="Calibri"/>
                <w:color w:val="262626"/>
                <w:szCs w:val="22"/>
              </w:rPr>
              <w:t>TA Act</w:t>
            </w:r>
          </w:p>
        </w:tc>
        <w:tc>
          <w:tcPr>
            <w:tcW w:w="5743" w:type="dxa"/>
          </w:tcPr>
          <w:p w14:paraId="3DC76F52" w14:textId="517F4B02" w:rsidR="007E1C27" w:rsidRDefault="007E1C27" w:rsidP="00E21F00">
            <w:pPr>
              <w:spacing w:line="360" w:lineRule="auto"/>
              <w:cnfStyle w:val="000000100000" w:firstRow="0" w:lastRow="0" w:firstColumn="0" w:lastColumn="0" w:oddVBand="0" w:evenVBand="0" w:oddHBand="1" w:evenHBand="0" w:firstRowFirstColumn="0" w:firstRowLastColumn="0" w:lastRowFirstColumn="0" w:lastRowLastColumn="0"/>
              <w:rPr>
                <w:rFonts w:ascii="Calibri" w:hAnsi="Calibri" w:cs="Calibri"/>
                <w:color w:val="262626"/>
                <w:szCs w:val="22"/>
              </w:rPr>
            </w:pPr>
            <w:r w:rsidRPr="00296DC7">
              <w:rPr>
                <w:rFonts w:ascii="Calibri" w:hAnsi="Calibri" w:cs="Calibri"/>
                <w:i/>
                <w:iCs/>
                <w:color w:val="262626"/>
                <w:szCs w:val="22"/>
              </w:rPr>
              <w:t>Tax Administration Act 1953</w:t>
            </w:r>
          </w:p>
        </w:tc>
      </w:tr>
    </w:tbl>
    <w:p w14:paraId="1C42AAFC" w14:textId="77777777" w:rsidR="00E21F00" w:rsidRDefault="00E21F00" w:rsidP="00D60CF3"/>
    <w:p w14:paraId="3BCEBFD9" w14:textId="77777777" w:rsidR="00E21F00" w:rsidRDefault="00E21F00">
      <w:pPr>
        <w:spacing w:before="0" w:after="160" w:line="259" w:lineRule="auto"/>
        <w:rPr>
          <w:rFonts w:ascii="Calibri" w:hAnsi="Calibri" w:cs="Arial"/>
          <w:b/>
          <w:color w:val="5D779D" w:themeColor="accent3"/>
          <w:kern w:val="32"/>
          <w:sz w:val="44"/>
          <w:szCs w:val="36"/>
        </w:rPr>
      </w:pPr>
      <w:r>
        <w:br w:type="page"/>
      </w:r>
    </w:p>
    <w:p w14:paraId="5E195267" w14:textId="44A65319" w:rsidR="000E0B74" w:rsidRDefault="000E0B74" w:rsidP="00354FBB">
      <w:pPr>
        <w:pStyle w:val="Heading1"/>
      </w:pPr>
      <w:bookmarkStart w:id="9" w:name="_Toc147500240"/>
      <w:r>
        <w:t>Consultation Process</w:t>
      </w:r>
      <w:bookmarkEnd w:id="6"/>
      <w:bookmarkEnd w:id="7"/>
      <w:bookmarkEnd w:id="9"/>
    </w:p>
    <w:p w14:paraId="0C7B16EF" w14:textId="77777777" w:rsidR="000E0B74" w:rsidRDefault="000E0B74" w:rsidP="000E0B74">
      <w:pPr>
        <w:pStyle w:val="Heading2"/>
      </w:pPr>
      <w:bookmarkStart w:id="10" w:name="_Toc130814235"/>
      <w:bookmarkStart w:id="11" w:name="_Toc131688118"/>
      <w:bookmarkStart w:id="12" w:name="_Toc147500241"/>
      <w:r>
        <w:t>Request for feedback and comments</w:t>
      </w:r>
      <w:bookmarkEnd w:id="10"/>
      <w:bookmarkEnd w:id="11"/>
      <w:bookmarkEnd w:id="12"/>
    </w:p>
    <w:p w14:paraId="22675C4B" w14:textId="53382CEF" w:rsidR="001D46CF" w:rsidRDefault="00A56A61" w:rsidP="00BA7B24">
      <w:r>
        <w:t xml:space="preserve">Interested </w:t>
      </w:r>
      <w:r w:rsidR="005A0EBC">
        <w:t>parties</w:t>
      </w:r>
      <w:r>
        <w:t xml:space="preserve"> are invited to comment on the issues raised in this </w:t>
      </w:r>
      <w:r w:rsidRPr="00AC0A1C">
        <w:t xml:space="preserve">paper by </w:t>
      </w:r>
      <w:r w:rsidR="00E535F9">
        <w:t>3</w:t>
      </w:r>
      <w:r w:rsidR="004657B5" w:rsidRPr="00F80AB2">
        <w:t xml:space="preserve"> </w:t>
      </w:r>
      <w:r w:rsidR="00E535F9">
        <w:t>November</w:t>
      </w:r>
      <w:r w:rsidR="003110E9" w:rsidRPr="00F80AB2">
        <w:t xml:space="preserve"> </w:t>
      </w:r>
      <w:r w:rsidRPr="00F80AB2">
        <w:t>2023.</w:t>
      </w:r>
      <w:r>
        <w:t xml:space="preserve"> </w:t>
      </w:r>
      <w:r w:rsidR="001D46CF">
        <w:t xml:space="preserve">Any comments received will feed into the development of future policy. </w:t>
      </w:r>
    </w:p>
    <w:p w14:paraId="0A7CA3D9" w14:textId="3E835B17" w:rsidR="00F43C3F" w:rsidRDefault="00A56A61" w:rsidP="000E0B74">
      <w:r>
        <w:t xml:space="preserve">Submissions may be lodged electronically or by post; however, electronic lodgement is preferred via email to: </w:t>
      </w:r>
      <w:r w:rsidR="00B72138">
        <w:rPr>
          <w:u w:val="single"/>
        </w:rPr>
        <w:t>paydaysuper</w:t>
      </w:r>
      <w:r w:rsidRPr="00C33CBD">
        <w:rPr>
          <w:u w:val="single"/>
        </w:rPr>
        <w:t>@treasury.gov.au</w:t>
      </w:r>
      <w:r>
        <w:t>. For accessibility reasons, please submit responses via email in a Word, RTF, or PDF format.</w:t>
      </w:r>
      <w:r w:rsidR="00F43C3F">
        <w:t xml:space="preserve"> </w:t>
      </w:r>
      <w:r>
        <w:t xml:space="preserve">Submissions will be shared with other Commonwealth agencies where necessary for the purposes of this review. </w:t>
      </w:r>
    </w:p>
    <w:p w14:paraId="40C520FB" w14:textId="69D42992" w:rsidR="00A56A61" w:rsidRDefault="00A56A61" w:rsidP="000E0B74">
      <w:r>
        <w:t>All information (including name and address details) contained in submissions may be made publicly available on the Australian Treasury website unless you indicate that you would like all or part of your submission to remain in confidence. Automatically generated confidentiality statements in emails are not sufficient for this purpose.</w:t>
      </w:r>
      <w:r w:rsidR="003C1127">
        <w:t xml:space="preserve"> Respondents who would like part of their submission to remain in confidence should provide this information marked as such in a separate attachment.</w:t>
      </w:r>
    </w:p>
    <w:p w14:paraId="692B764F" w14:textId="57A8740D" w:rsidR="000E0B74" w:rsidRDefault="00A56A61" w:rsidP="000E0B74">
      <w:r>
        <w:t xml:space="preserve">Legal requirements, such as those imposed by the </w:t>
      </w:r>
      <w:r w:rsidRPr="0086798C">
        <w:rPr>
          <w:i/>
        </w:rPr>
        <w:t>Freedom of Information Act 1982</w:t>
      </w:r>
      <w:r>
        <w:t>, may affect the confidentiality of your submission.</w:t>
      </w:r>
    </w:p>
    <w:p w14:paraId="4366AA56" w14:textId="1895702F" w:rsidR="000E0B74" w:rsidRDefault="000E0B74" w:rsidP="00257AEE">
      <w:pPr>
        <w:pStyle w:val="Heading3noTOC"/>
      </w:pPr>
      <w:bookmarkStart w:id="13" w:name="_Toc130814236"/>
      <w:bookmarkStart w:id="14" w:name="_Toc147500242"/>
      <w:r>
        <w:t>Closing date for submissions:</w:t>
      </w:r>
      <w:r w:rsidR="00A54FE5" w:rsidDel="00A54FE5">
        <w:t xml:space="preserve"> </w:t>
      </w:r>
      <w:bookmarkEnd w:id="13"/>
      <w:r w:rsidR="00D33041">
        <w:t>3</w:t>
      </w:r>
      <w:r w:rsidR="00AA6F9F" w:rsidRPr="00F80AB2">
        <w:t xml:space="preserve"> </w:t>
      </w:r>
      <w:r w:rsidR="00D33041">
        <w:t>November</w:t>
      </w:r>
      <w:r w:rsidR="003110E9" w:rsidRPr="00F80AB2">
        <w:t xml:space="preserve"> </w:t>
      </w:r>
      <w:r w:rsidR="00AA6F9F" w:rsidRPr="00F80AB2">
        <w:t>2023</w:t>
      </w:r>
      <w:bookmarkEnd w:id="14"/>
    </w:p>
    <w:tbl>
      <w:tblPr>
        <w:tblStyle w:val="TableGrid"/>
        <w:tblW w:w="0" w:type="auto"/>
        <w:tblLook w:val="04A0" w:firstRow="1" w:lastRow="0" w:firstColumn="1" w:lastColumn="0" w:noHBand="0" w:noVBand="1"/>
      </w:tblPr>
      <w:tblGrid>
        <w:gridCol w:w="1516"/>
        <w:gridCol w:w="7554"/>
      </w:tblGrid>
      <w:tr w:rsidR="000E0B74" w:rsidRPr="00B85F47" w14:paraId="01E00F87" w14:textId="77777777" w:rsidTr="00B85F47">
        <w:trPr>
          <w:cnfStyle w:val="100000000000" w:firstRow="1" w:lastRow="0" w:firstColumn="0" w:lastColumn="0" w:oddVBand="0" w:evenVBand="0" w:oddHBand="0" w:evenHBand="0" w:firstRowFirstColumn="0" w:firstRowLastColumn="0" w:lastRowFirstColumn="0" w:lastRowLastColumn="0"/>
        </w:trPr>
        <w:tc>
          <w:tcPr>
            <w:tcW w:w="1526" w:type="dxa"/>
          </w:tcPr>
          <w:p w14:paraId="54A185D3" w14:textId="77777777" w:rsidR="000E0B74" w:rsidRPr="00B85F47" w:rsidRDefault="000E0B74" w:rsidP="0017089D">
            <w:pPr>
              <w:spacing w:before="96" w:after="96"/>
              <w:rPr>
                <w:sz w:val="22"/>
                <w:szCs w:val="22"/>
              </w:rPr>
            </w:pPr>
            <w:r w:rsidRPr="00B85F47">
              <w:rPr>
                <w:sz w:val="22"/>
                <w:szCs w:val="22"/>
              </w:rPr>
              <w:t>Email</w:t>
            </w:r>
          </w:p>
        </w:tc>
        <w:tc>
          <w:tcPr>
            <w:tcW w:w="7654" w:type="dxa"/>
          </w:tcPr>
          <w:p w14:paraId="5397CEA9" w14:textId="504A4BFC" w:rsidR="000E0B74" w:rsidRPr="005B6881" w:rsidRDefault="001911F1" w:rsidP="00516785">
            <w:pPr>
              <w:spacing w:before="96" w:after="96"/>
              <w:rPr>
                <w:b w:val="0"/>
                <w:bCs/>
                <w:sz w:val="22"/>
                <w:szCs w:val="22"/>
                <w:u w:val="single"/>
              </w:rPr>
            </w:pPr>
            <w:hyperlink r:id="rId19" w:history="1">
              <w:r w:rsidR="00B72138">
                <w:rPr>
                  <w:rStyle w:val="Hyperlink"/>
                  <w:rFonts w:cs="Arial"/>
                  <w:sz w:val="22"/>
                  <w:szCs w:val="24"/>
                </w:rPr>
                <w:t>p</w:t>
              </w:r>
              <w:r w:rsidR="00B72138">
                <w:rPr>
                  <w:rStyle w:val="Hyperlink"/>
                  <w:rFonts w:cs="Arial"/>
                  <w:sz w:val="22"/>
                </w:rPr>
                <w:t>aydaysuper</w:t>
              </w:r>
              <w:r w:rsidR="00B72138" w:rsidRPr="00747FDD">
                <w:rPr>
                  <w:rStyle w:val="Hyperlink"/>
                  <w:rFonts w:cs="Arial"/>
                  <w:sz w:val="22"/>
                  <w:szCs w:val="24"/>
                </w:rPr>
                <w:t>@treasury.gov.au</w:t>
              </w:r>
            </w:hyperlink>
            <w:r w:rsidR="005B6881" w:rsidRPr="005B6881">
              <w:rPr>
                <w:rFonts w:cs="Arial"/>
                <w:b w:val="0"/>
                <w:bCs/>
                <w:sz w:val="22"/>
                <w:szCs w:val="24"/>
                <w:u w:val="single"/>
              </w:rPr>
              <w:t xml:space="preserve"> </w:t>
            </w:r>
          </w:p>
        </w:tc>
      </w:tr>
      <w:tr w:rsidR="000E0B74" w:rsidRPr="00B85F47" w14:paraId="1E2F1F87" w14:textId="77777777" w:rsidTr="00B85F47">
        <w:tc>
          <w:tcPr>
            <w:tcW w:w="1526" w:type="dxa"/>
          </w:tcPr>
          <w:p w14:paraId="0BC05143" w14:textId="77777777" w:rsidR="000E0B74" w:rsidRPr="00B85F47" w:rsidRDefault="000E0B74" w:rsidP="0017089D">
            <w:pPr>
              <w:rPr>
                <w:sz w:val="22"/>
                <w:szCs w:val="22"/>
              </w:rPr>
            </w:pPr>
            <w:r w:rsidRPr="00B85F47">
              <w:rPr>
                <w:sz w:val="22"/>
                <w:szCs w:val="22"/>
              </w:rPr>
              <w:t>Mail</w:t>
            </w:r>
          </w:p>
          <w:p w14:paraId="6BFA390D" w14:textId="77777777" w:rsidR="008D7F38" w:rsidRPr="00B85F47" w:rsidRDefault="008D7F38" w:rsidP="0017089D">
            <w:pPr>
              <w:rPr>
                <w:sz w:val="22"/>
                <w:szCs w:val="22"/>
              </w:rPr>
            </w:pPr>
          </w:p>
          <w:p w14:paraId="796BA404" w14:textId="77777777" w:rsidR="008D7F38" w:rsidRPr="00B85F47" w:rsidRDefault="008D7F38" w:rsidP="0017089D">
            <w:pPr>
              <w:rPr>
                <w:sz w:val="22"/>
                <w:szCs w:val="22"/>
              </w:rPr>
            </w:pPr>
          </w:p>
        </w:tc>
        <w:tc>
          <w:tcPr>
            <w:tcW w:w="7654" w:type="dxa"/>
          </w:tcPr>
          <w:p w14:paraId="31802B8F" w14:textId="11C87C4C" w:rsidR="000E0B74" w:rsidRPr="006D7439" w:rsidRDefault="00EA4AE1" w:rsidP="0017089D">
            <w:pPr>
              <w:pStyle w:val="SingleParagraph"/>
              <w:rPr>
                <w:rFonts w:cs="Arial"/>
                <w:sz w:val="24"/>
                <w:szCs w:val="24"/>
              </w:rPr>
            </w:pPr>
            <w:r>
              <w:rPr>
                <w:rFonts w:cs="Arial"/>
                <w:sz w:val="22"/>
                <w:szCs w:val="24"/>
              </w:rPr>
              <w:t xml:space="preserve">Wendy Hau, </w:t>
            </w:r>
            <w:r w:rsidR="006D7439">
              <w:rPr>
                <w:rFonts w:cs="Arial"/>
                <w:sz w:val="22"/>
                <w:szCs w:val="24"/>
              </w:rPr>
              <w:t xml:space="preserve">Director, </w:t>
            </w:r>
            <w:r>
              <w:rPr>
                <w:rFonts w:cs="Arial"/>
                <w:sz w:val="22"/>
                <w:szCs w:val="24"/>
              </w:rPr>
              <w:t xml:space="preserve">Superannuation </w:t>
            </w:r>
            <w:proofErr w:type="gramStart"/>
            <w:r>
              <w:rPr>
                <w:rFonts w:cs="Arial"/>
                <w:sz w:val="22"/>
                <w:szCs w:val="24"/>
              </w:rPr>
              <w:t>Access</w:t>
            </w:r>
            <w:proofErr w:type="gramEnd"/>
            <w:r>
              <w:rPr>
                <w:rFonts w:cs="Arial"/>
                <w:sz w:val="22"/>
                <w:szCs w:val="24"/>
              </w:rPr>
              <w:t xml:space="preserve"> </w:t>
            </w:r>
            <w:r w:rsidR="006D7439">
              <w:rPr>
                <w:rFonts w:cs="Arial"/>
                <w:sz w:val="22"/>
                <w:szCs w:val="24"/>
              </w:rPr>
              <w:t>and Compliance Unit</w:t>
            </w:r>
          </w:p>
          <w:p w14:paraId="1D13DB67" w14:textId="7ADA40BC" w:rsidR="000E0B74" w:rsidRPr="006D7439" w:rsidRDefault="006D7439" w:rsidP="0017089D">
            <w:pPr>
              <w:pStyle w:val="SingleParagraph"/>
              <w:rPr>
                <w:rFonts w:cs="Arial"/>
                <w:sz w:val="24"/>
                <w:szCs w:val="24"/>
              </w:rPr>
            </w:pPr>
            <w:r w:rsidRPr="006D7439">
              <w:rPr>
                <w:rFonts w:cs="Arial"/>
                <w:sz w:val="22"/>
                <w:szCs w:val="24"/>
              </w:rPr>
              <w:t xml:space="preserve">Retirement, </w:t>
            </w:r>
            <w:proofErr w:type="gramStart"/>
            <w:r w:rsidRPr="006D7439">
              <w:rPr>
                <w:rFonts w:cs="Arial"/>
                <w:sz w:val="22"/>
                <w:szCs w:val="24"/>
              </w:rPr>
              <w:t>Advice</w:t>
            </w:r>
            <w:proofErr w:type="gramEnd"/>
            <w:r w:rsidRPr="006D7439">
              <w:rPr>
                <w:rFonts w:cs="Arial"/>
                <w:sz w:val="22"/>
                <w:szCs w:val="24"/>
              </w:rPr>
              <w:t xml:space="preserve"> and Investment Division</w:t>
            </w:r>
          </w:p>
          <w:p w14:paraId="1DD4B8B7" w14:textId="77777777" w:rsidR="000E0B74" w:rsidRPr="00B85F47" w:rsidRDefault="000E0B74" w:rsidP="0017089D">
            <w:pPr>
              <w:pStyle w:val="SingleParagraph"/>
              <w:rPr>
                <w:rFonts w:cs="Arial"/>
                <w:sz w:val="22"/>
                <w:szCs w:val="22"/>
              </w:rPr>
            </w:pPr>
            <w:r w:rsidRPr="00B85F47">
              <w:rPr>
                <w:rFonts w:cs="Arial"/>
                <w:sz w:val="22"/>
                <w:szCs w:val="22"/>
              </w:rPr>
              <w:t>The Treasury</w:t>
            </w:r>
          </w:p>
          <w:p w14:paraId="04BF0419" w14:textId="77777777" w:rsidR="000E0B74" w:rsidRPr="00B85F47" w:rsidRDefault="000E0B74" w:rsidP="0017089D">
            <w:pPr>
              <w:pStyle w:val="SingleParagraph"/>
              <w:rPr>
                <w:rFonts w:cs="Arial"/>
                <w:sz w:val="22"/>
                <w:szCs w:val="22"/>
              </w:rPr>
            </w:pPr>
            <w:r w:rsidRPr="00B85F47">
              <w:rPr>
                <w:rFonts w:cs="Arial"/>
                <w:sz w:val="22"/>
                <w:szCs w:val="22"/>
              </w:rPr>
              <w:t>Langton Crescent</w:t>
            </w:r>
          </w:p>
          <w:p w14:paraId="2F0CEEBA" w14:textId="77777777" w:rsidR="000E0B74" w:rsidRPr="00B85F47" w:rsidRDefault="000E0B74" w:rsidP="0017089D">
            <w:pPr>
              <w:pStyle w:val="SingleParagraph"/>
              <w:rPr>
                <w:sz w:val="22"/>
                <w:szCs w:val="22"/>
              </w:rPr>
            </w:pPr>
            <w:r w:rsidRPr="00B85F47">
              <w:rPr>
                <w:sz w:val="22"/>
                <w:szCs w:val="22"/>
              </w:rPr>
              <w:t>PARKES ACT 2600</w:t>
            </w:r>
          </w:p>
        </w:tc>
      </w:tr>
      <w:tr w:rsidR="000E0B74" w:rsidRPr="00B85F47" w14:paraId="0E7BC5AB" w14:textId="77777777" w:rsidTr="00B85F47">
        <w:tc>
          <w:tcPr>
            <w:tcW w:w="1526" w:type="dxa"/>
          </w:tcPr>
          <w:p w14:paraId="10D93C3D" w14:textId="77777777" w:rsidR="000E0B74" w:rsidRPr="00B85F47" w:rsidRDefault="000E0B74" w:rsidP="0017089D">
            <w:pPr>
              <w:rPr>
                <w:sz w:val="22"/>
                <w:szCs w:val="22"/>
              </w:rPr>
            </w:pPr>
            <w:r w:rsidRPr="00B85F47">
              <w:rPr>
                <w:sz w:val="22"/>
                <w:szCs w:val="22"/>
              </w:rPr>
              <w:t>Enquiries</w:t>
            </w:r>
          </w:p>
        </w:tc>
        <w:tc>
          <w:tcPr>
            <w:tcW w:w="7654" w:type="dxa"/>
          </w:tcPr>
          <w:p w14:paraId="78E89A7E" w14:textId="4D51D917" w:rsidR="000E0B74" w:rsidRPr="00B85F47" w:rsidRDefault="000E0B74" w:rsidP="0017089D">
            <w:pPr>
              <w:rPr>
                <w:sz w:val="22"/>
                <w:szCs w:val="22"/>
              </w:rPr>
            </w:pPr>
            <w:r w:rsidRPr="00B85F47">
              <w:rPr>
                <w:rFonts w:cs="Arial"/>
                <w:sz w:val="22"/>
                <w:szCs w:val="22"/>
              </w:rPr>
              <w:t xml:space="preserve">Enquiries can be initially directed to </w:t>
            </w:r>
            <w:hyperlink r:id="rId20" w:history="1">
              <w:r w:rsidR="00E045EC">
                <w:rPr>
                  <w:rStyle w:val="Hyperlink"/>
                  <w:rFonts w:cs="Arial"/>
                  <w:sz w:val="22"/>
                  <w:szCs w:val="24"/>
                </w:rPr>
                <w:t>paydaysuper</w:t>
              </w:r>
              <w:r w:rsidR="00E045EC" w:rsidRPr="00747FDD">
                <w:rPr>
                  <w:rStyle w:val="Hyperlink"/>
                  <w:rFonts w:cs="Arial"/>
                  <w:sz w:val="22"/>
                  <w:szCs w:val="24"/>
                </w:rPr>
                <w:t>@treasury.gov.au</w:t>
              </w:r>
            </w:hyperlink>
            <w:r w:rsidR="005B6881" w:rsidRPr="005B6881">
              <w:rPr>
                <w:rFonts w:cs="Arial"/>
                <w:sz w:val="24"/>
                <w:szCs w:val="24"/>
                <w:u w:val="single"/>
              </w:rPr>
              <w:t xml:space="preserve"> </w:t>
            </w:r>
          </w:p>
        </w:tc>
      </w:tr>
      <w:tr w:rsidR="000E0B74" w:rsidRPr="00B85F47" w14:paraId="5551D8C1" w14:textId="77777777" w:rsidTr="00B85F47">
        <w:tc>
          <w:tcPr>
            <w:tcW w:w="1526" w:type="dxa"/>
          </w:tcPr>
          <w:p w14:paraId="3D5AE832" w14:textId="61FACD48" w:rsidR="000E0B74" w:rsidRPr="00B85F47" w:rsidRDefault="000E0B74" w:rsidP="00C945B6">
            <w:pPr>
              <w:jc w:val="center"/>
              <w:rPr>
                <w:sz w:val="22"/>
                <w:szCs w:val="22"/>
              </w:rPr>
            </w:pPr>
          </w:p>
        </w:tc>
        <w:tc>
          <w:tcPr>
            <w:tcW w:w="7654" w:type="dxa"/>
          </w:tcPr>
          <w:p w14:paraId="638A8D0B" w14:textId="524FFF1D" w:rsidR="000E0B74" w:rsidRPr="00B85F47" w:rsidRDefault="000E0B74" w:rsidP="0017089D">
            <w:pPr>
              <w:rPr>
                <w:sz w:val="22"/>
                <w:szCs w:val="22"/>
              </w:rPr>
            </w:pPr>
          </w:p>
        </w:tc>
      </w:tr>
    </w:tbl>
    <w:bookmarkEnd w:id="8"/>
    <w:p w14:paraId="3F4AE052" w14:textId="77777777" w:rsidR="00A16E03" w:rsidRDefault="00A16E03" w:rsidP="00A16E03">
      <w:r>
        <w:t xml:space="preserve">The principles outlined in this paper </w:t>
      </w:r>
      <w:r w:rsidRPr="00747FDD">
        <w:t>have not received Government approval and</w:t>
      </w:r>
      <w:r>
        <w:t xml:space="preserve"> are not yet law. </w:t>
      </w:r>
      <w:proofErr w:type="gramStart"/>
      <w:r>
        <w:t>As a consequence</w:t>
      </w:r>
      <w:proofErr w:type="gramEnd"/>
      <w:r>
        <w:t>, this paper is merely a guide as to how the principles might operate.</w:t>
      </w:r>
    </w:p>
    <w:p w14:paraId="368C7E29" w14:textId="77777777" w:rsidR="008D7F38" w:rsidRPr="008D7F38" w:rsidRDefault="008D7F38" w:rsidP="008D7F38"/>
    <w:p w14:paraId="46D0B29A" w14:textId="77777777" w:rsidR="00E10D39" w:rsidRDefault="00E10D39">
      <w:pPr>
        <w:spacing w:before="0" w:after="160" w:line="259" w:lineRule="auto"/>
        <w:rPr>
          <w:rFonts w:cs="Arial"/>
          <w:color w:val="004A7F"/>
          <w:kern w:val="32"/>
          <w:sz w:val="48"/>
          <w:szCs w:val="36"/>
        </w:rPr>
      </w:pPr>
      <w:r>
        <w:br w:type="page"/>
      </w:r>
    </w:p>
    <w:p w14:paraId="5FB6D718" w14:textId="0BDBB1B9" w:rsidR="00DC65F0" w:rsidRDefault="000E0B74" w:rsidP="00DC65F0">
      <w:pPr>
        <w:pStyle w:val="Heading1"/>
      </w:pPr>
      <w:bookmarkStart w:id="15" w:name="_Toc306887371"/>
      <w:bookmarkStart w:id="16" w:name="_Toc432064635"/>
      <w:bookmarkStart w:id="17" w:name="_Toc130814238"/>
      <w:bookmarkStart w:id="18" w:name="_Toc131688119"/>
      <w:bookmarkStart w:id="19" w:name="_Toc147500243"/>
      <w:r>
        <w:t>I</w:t>
      </w:r>
      <w:bookmarkEnd w:id="15"/>
      <w:bookmarkEnd w:id="16"/>
      <w:bookmarkEnd w:id="17"/>
      <w:bookmarkEnd w:id="18"/>
      <w:r w:rsidR="00DC65F0">
        <w:t>ntroduction</w:t>
      </w:r>
      <w:bookmarkEnd w:id="19"/>
    </w:p>
    <w:p w14:paraId="2D599EBF" w14:textId="2F64D8AC" w:rsidR="005D26FF" w:rsidRDefault="00DC65F0" w:rsidP="003717CE">
      <w:pPr>
        <w:pStyle w:val="Bullet"/>
        <w:numPr>
          <w:ilvl w:val="0"/>
          <w:numId w:val="0"/>
        </w:numPr>
      </w:pPr>
      <w:r>
        <w:t xml:space="preserve">A major feature of Australia’s world-class superannuation system is compulsory contributions by employers to their employees’ superannuation funds – known as the Superannuation Guarantee (SG). </w:t>
      </w:r>
      <w:r w:rsidR="005D26FF">
        <w:t xml:space="preserve">The SG prescribes a minimum level of superannuation to be provided by employers to employees. The SG </w:t>
      </w:r>
      <w:r w:rsidR="000F7F61">
        <w:t xml:space="preserve">rate is </w:t>
      </w:r>
      <w:r w:rsidR="005D26FF">
        <w:t xml:space="preserve">set at a percentage of an employee’s ordinary time earnings (OTE), as set out in the </w:t>
      </w:r>
      <w:r w:rsidR="003A7347" w:rsidRPr="007C6317">
        <w:rPr>
          <w:i/>
          <w:iCs/>
        </w:rPr>
        <w:t>Superannuation Guarantee (Administration) Act 1992</w:t>
      </w:r>
      <w:r w:rsidR="005D26FF">
        <w:t xml:space="preserve">. </w:t>
      </w:r>
    </w:p>
    <w:p w14:paraId="62C94E20" w14:textId="47945ADE" w:rsidR="00C7355F" w:rsidRDefault="005D26FF" w:rsidP="00DC65F0">
      <w:pPr>
        <w:pStyle w:val="Bullet"/>
        <w:numPr>
          <w:ilvl w:val="0"/>
          <w:numId w:val="0"/>
        </w:numPr>
        <w:tabs>
          <w:tab w:val="clear" w:pos="720"/>
        </w:tabs>
      </w:pPr>
      <w:r>
        <w:t xml:space="preserve">The SG rate is currently </w:t>
      </w:r>
      <w:r w:rsidR="000F7F61">
        <w:t>11 per cent</w:t>
      </w:r>
      <w:r>
        <w:t xml:space="preserve"> of OTE</w:t>
      </w:r>
      <w:r w:rsidR="003E0AE5">
        <w:t xml:space="preserve"> and is legislated to </w:t>
      </w:r>
      <w:r>
        <w:t xml:space="preserve">rise in increments of </w:t>
      </w:r>
      <w:r w:rsidR="0044334A">
        <w:t xml:space="preserve">0.5 </w:t>
      </w:r>
      <w:r>
        <w:t>percentage points each</w:t>
      </w:r>
      <w:r w:rsidR="00021340">
        <w:t xml:space="preserve"> year</w:t>
      </w:r>
      <w:r>
        <w:t xml:space="preserve"> until it reaches</w:t>
      </w:r>
      <w:r w:rsidR="0044334A">
        <w:t xml:space="preserve"> </w:t>
      </w:r>
      <w:r w:rsidR="003E0AE5">
        <w:t xml:space="preserve">12 per cent </w:t>
      </w:r>
      <w:r w:rsidR="00397C38">
        <w:t>on 1 July 2025.</w:t>
      </w:r>
      <w:r w:rsidR="00DC65F0">
        <w:t xml:space="preserve"> </w:t>
      </w:r>
      <w:r>
        <w:t xml:space="preserve">Broadly, OTE is defined in the SGA Act as amounts earned for ‘ordinary hours of work’. OTE may differ from salary and wages. For example, where overtime is included in someone’s salary and wages payment. </w:t>
      </w:r>
    </w:p>
    <w:p w14:paraId="714A63AF" w14:textId="5250D9BC" w:rsidR="00313660" w:rsidRDefault="00253FD5" w:rsidP="00313660">
      <w:pPr>
        <w:pStyle w:val="Bullet"/>
        <w:numPr>
          <w:ilvl w:val="0"/>
          <w:numId w:val="0"/>
        </w:numPr>
      </w:pPr>
      <w:r>
        <w:t>However, t</w:t>
      </w:r>
      <w:r w:rsidR="00313660">
        <w:t xml:space="preserve">he non-payment and underpayment of SG contributions by employers risks the retirement income of millions of employees. Non-payment and underpayment of SG contributions is equivalent to wage theft and has significant impacts on retirement outcomes – </w:t>
      </w:r>
      <w:r w:rsidR="00F24EB1">
        <w:t>delaying retirement, reducing the retirement savings of individuals due to the loss of compounding returns in the fund and results</w:t>
      </w:r>
      <w:r w:rsidR="00313660">
        <w:t xml:space="preserve"> in</w:t>
      </w:r>
      <w:r w:rsidR="00F24EB1">
        <w:t xml:space="preserve"> a</w:t>
      </w:r>
      <w:r w:rsidR="00313660">
        <w:t xml:space="preserve"> loss of insurance coverage for some members</w:t>
      </w:r>
      <w:r w:rsidR="00F24EB1">
        <w:t>.</w:t>
      </w:r>
      <w:r w:rsidR="00EE4818">
        <w:t xml:space="preserve"> Further, employers who are consistently complying with their SG obligations</w:t>
      </w:r>
      <w:r w:rsidR="004C68FB">
        <w:t xml:space="preserve"> </w:t>
      </w:r>
      <w:r w:rsidR="00EE7586">
        <w:t xml:space="preserve">don’t </w:t>
      </w:r>
      <w:r w:rsidR="004C68FB">
        <w:t>have a level playing field with non-compliant employers</w:t>
      </w:r>
      <w:r w:rsidR="000D3FF3">
        <w:t xml:space="preserve">. </w:t>
      </w:r>
    </w:p>
    <w:p w14:paraId="0C43F430" w14:textId="0184C7FF" w:rsidR="004C1605" w:rsidRDefault="002C73DB" w:rsidP="00DC65F0">
      <w:pPr>
        <w:pStyle w:val="Bullet"/>
        <w:numPr>
          <w:ilvl w:val="0"/>
          <w:numId w:val="0"/>
        </w:numPr>
        <w:tabs>
          <w:tab w:val="clear" w:pos="720"/>
        </w:tabs>
      </w:pPr>
      <w:r>
        <w:t xml:space="preserve">If an employer does not pay the correct SG entitlements to an employee's nominated fund by the quarterly payment due date, they may be liable for the </w:t>
      </w:r>
      <w:r w:rsidR="00584FC2">
        <w:t>SG charge</w:t>
      </w:r>
      <w:r>
        <w:t xml:space="preserve">, payable to the ATO. </w:t>
      </w:r>
      <w:r w:rsidR="000940A2">
        <w:t xml:space="preserve">The Australian Taxation Office (ATO) is responsible for administering the SG scheme, including following up with employers where SG obligations go unpaid and administering the </w:t>
      </w:r>
      <w:r w:rsidR="00584FC2">
        <w:t>SG charge</w:t>
      </w:r>
      <w:r w:rsidR="000940A2">
        <w:t>.</w:t>
      </w:r>
    </w:p>
    <w:p w14:paraId="23628D4A" w14:textId="5DF94213" w:rsidR="002B78DA" w:rsidRDefault="002B78DA" w:rsidP="00DC65F0">
      <w:pPr>
        <w:pStyle w:val="Bullet"/>
        <w:numPr>
          <w:ilvl w:val="0"/>
          <w:numId w:val="0"/>
        </w:numPr>
        <w:tabs>
          <w:tab w:val="clear" w:pos="720"/>
        </w:tabs>
      </w:pPr>
      <w:r>
        <w:t xml:space="preserve">Due to the current design of the SG system (including the frequency with which employers are required to pay SG, the operation of the </w:t>
      </w:r>
      <w:r w:rsidR="00584FC2">
        <w:t>SG charge</w:t>
      </w:r>
      <w:r>
        <w:t>, and limitations with the ATO’s IT capabilities to identify unpaid SG), many SG obligations remain unpaid for extended periods of time. This causes significant issues when employers enter liquidation without having paid their SG obligations.</w:t>
      </w:r>
    </w:p>
    <w:p w14:paraId="6C04DC80" w14:textId="3E68B4D6" w:rsidR="00907631" w:rsidRDefault="00907631" w:rsidP="00907631">
      <w:pPr>
        <w:pStyle w:val="Bullet"/>
        <w:numPr>
          <w:ilvl w:val="0"/>
          <w:numId w:val="0"/>
        </w:numPr>
      </w:pPr>
      <w:r>
        <w:t xml:space="preserve">Further, the ATO has noted that businesses often enter liquidation or bankruptcy before the underpayment is identified, limiting its ability to conduct effective compliance activities and recover unpaid superannuation. As </w:t>
      </w:r>
      <w:proofErr w:type="gramStart"/>
      <w:r>
        <w:t>at</w:t>
      </w:r>
      <w:proofErr w:type="gramEnd"/>
      <w:r>
        <w:t xml:space="preserve"> 28 February 2022, $1.1 billion of </w:t>
      </w:r>
      <w:r w:rsidR="00584FC2">
        <w:t>SG charge</w:t>
      </w:r>
      <w:r>
        <w:t xml:space="preserve"> debt was subject to insolvency, which is unlikely to ever be recovered.</w:t>
      </w:r>
    </w:p>
    <w:p w14:paraId="04668A57" w14:textId="3CBAEC75" w:rsidR="00DC65F0" w:rsidRDefault="000F4BD2" w:rsidP="00DC65F0">
      <w:pPr>
        <w:pStyle w:val="Bullet"/>
        <w:numPr>
          <w:ilvl w:val="0"/>
          <w:numId w:val="0"/>
        </w:numPr>
        <w:tabs>
          <w:tab w:val="clear" w:pos="720"/>
        </w:tabs>
      </w:pPr>
      <w:r>
        <w:t xml:space="preserve">An employer </w:t>
      </w:r>
      <w:r w:rsidR="00444262">
        <w:t>who does not contribute</w:t>
      </w:r>
      <w:r w:rsidR="00FB2D7F">
        <w:t xml:space="preserve"> </w:t>
      </w:r>
      <w:r w:rsidR="005F4227">
        <w:t xml:space="preserve">the minimum level </w:t>
      </w:r>
      <w:r w:rsidR="00771A84">
        <w:t>of required superannuation con</w:t>
      </w:r>
      <w:r w:rsidR="00001404">
        <w:t>tribut</w:t>
      </w:r>
      <w:r w:rsidR="00724276">
        <w:t xml:space="preserve">ions </w:t>
      </w:r>
      <w:r w:rsidR="00B20C9D">
        <w:t xml:space="preserve">when </w:t>
      </w:r>
      <w:r w:rsidR="00963DAD">
        <w:t xml:space="preserve">due is liable to pay </w:t>
      </w:r>
      <w:r w:rsidR="00034A06">
        <w:t>a</w:t>
      </w:r>
      <w:r w:rsidR="00264A74">
        <w:t xml:space="preserve">n </w:t>
      </w:r>
      <w:r w:rsidR="00584FC2">
        <w:t>SG charge</w:t>
      </w:r>
      <w:r w:rsidR="00D2617B">
        <w:t xml:space="preserve"> on the shortfall</w:t>
      </w:r>
      <w:r w:rsidR="0030724C">
        <w:t>.</w:t>
      </w:r>
      <w:r w:rsidR="00D37718">
        <w:t xml:space="preserve"> </w:t>
      </w:r>
      <w:r w:rsidR="00DC65F0">
        <w:t xml:space="preserve">Alongside the Age Pension, other government support and private voluntary savings, </w:t>
      </w:r>
      <w:r w:rsidR="0052195E">
        <w:t>SG</w:t>
      </w:r>
      <w:r w:rsidR="00DC65F0">
        <w:t xml:space="preserve"> contributions are crucial in ensuring a dignified retirement for all Australians. </w:t>
      </w:r>
    </w:p>
    <w:p w14:paraId="6CD5DE2E" w14:textId="0DECDFBB" w:rsidR="00DC65F0" w:rsidRPr="004B2E8B" w:rsidRDefault="00DC65F0" w:rsidP="00DC65F0">
      <w:pPr>
        <w:pStyle w:val="Bullet"/>
        <w:numPr>
          <w:ilvl w:val="0"/>
          <w:numId w:val="0"/>
        </w:numPr>
      </w:pPr>
      <w:r w:rsidRPr="008265E8">
        <w:t>I</w:t>
      </w:r>
      <w:r w:rsidRPr="001A47E0">
        <w:t xml:space="preserve">n 2019-20, the net SG gap after </w:t>
      </w:r>
      <w:r>
        <w:t>Australian Taxation Office (</w:t>
      </w:r>
      <w:r w:rsidRPr="001A47E0">
        <w:t>ATO</w:t>
      </w:r>
      <w:r>
        <w:t>)</w:t>
      </w:r>
      <w:r w:rsidRPr="001A47E0">
        <w:t xml:space="preserve"> compliance activities was $3.4 billion</w:t>
      </w:r>
      <w:r w:rsidR="00F55B67">
        <w:t xml:space="preserve"> </w:t>
      </w:r>
      <w:r w:rsidR="00590911">
        <w:t>equivalent to a net SG gap of 4.9 per cent</w:t>
      </w:r>
      <w:r w:rsidRPr="001A47E0">
        <w:t>.</w:t>
      </w:r>
      <w:r>
        <w:t xml:space="preserve"> The net gap has remained largely unchanged since 2014</w:t>
      </w:r>
      <w:r w:rsidR="00084FD7">
        <w:noBreakHyphen/>
      </w:r>
      <w:r>
        <w:t xml:space="preserve">15. </w:t>
      </w:r>
    </w:p>
    <w:p w14:paraId="63B97BDA" w14:textId="4C74F261" w:rsidR="00DC65F0" w:rsidRPr="003D79A5" w:rsidRDefault="00DC65F0" w:rsidP="00DC65F0">
      <w:pPr>
        <w:pStyle w:val="ChartMainHeading"/>
      </w:pPr>
      <w:bookmarkStart w:id="20" w:name="_Toc147500244"/>
      <w:r w:rsidRPr="003D79A5">
        <w:t>Chart 1: SG gross and net gap, 2014-15 to 2019-20</w:t>
      </w:r>
      <w:bookmarkEnd w:id="20"/>
    </w:p>
    <w:p w14:paraId="5DD13ED3" w14:textId="74ABF8D9" w:rsidR="00DC65F0" w:rsidRDefault="00DC65F0" w:rsidP="00D60CF3">
      <w:r w:rsidRPr="00000DA7">
        <w:rPr>
          <w:noProof/>
        </w:rPr>
        <w:t xml:space="preserve"> </w:t>
      </w:r>
      <w:r>
        <w:rPr>
          <w:noProof/>
        </w:rPr>
        <w:drawing>
          <wp:inline distT="0" distB="0" distL="0" distR="0" wp14:anchorId="26E1EE11" wp14:editId="4476C503">
            <wp:extent cx="5679440" cy="2920233"/>
            <wp:effectExtent l="0" t="0" r="0" b="0"/>
            <wp:docPr id="1" name="Chart 1">
              <a:extLst xmlns:a="http://schemas.openxmlformats.org/drawingml/2006/main">
                <a:ext uri="{FF2B5EF4-FFF2-40B4-BE49-F238E27FC236}">
                  <a16:creationId xmlns:a16="http://schemas.microsoft.com/office/drawing/2014/main" id="{8EA53235-89AE-115A-012C-6822F057FE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63FC52" w14:textId="77777777" w:rsidR="00DC65F0" w:rsidRPr="00BF1E9B" w:rsidRDefault="00DC65F0" w:rsidP="00DC65F0">
      <w:pPr>
        <w:pStyle w:val="Bullet"/>
        <w:numPr>
          <w:ilvl w:val="0"/>
          <w:numId w:val="0"/>
        </w:numPr>
        <w:ind w:left="520" w:hanging="520"/>
        <w:rPr>
          <w:sz w:val="20"/>
          <w:szCs w:val="18"/>
        </w:rPr>
      </w:pPr>
      <w:r w:rsidRPr="00BF1E9B">
        <w:rPr>
          <w:sz w:val="20"/>
          <w:szCs w:val="18"/>
        </w:rPr>
        <w:t>Source: ATO.</w:t>
      </w:r>
    </w:p>
    <w:p w14:paraId="79D39D31" w14:textId="77777777" w:rsidR="00DC65F0" w:rsidRPr="00AB58B5" w:rsidRDefault="00DC65F0" w:rsidP="00DC65F0">
      <w:pPr>
        <w:pStyle w:val="Heading2"/>
      </w:pPr>
      <w:bookmarkStart w:id="21" w:name="_Toc147500245"/>
      <w:r>
        <w:t xml:space="preserve">Government commitments to reducing unpaid </w:t>
      </w:r>
      <w:proofErr w:type="gramStart"/>
      <w:r>
        <w:t>SG</w:t>
      </w:r>
      <w:bookmarkEnd w:id="21"/>
      <w:proofErr w:type="gramEnd"/>
    </w:p>
    <w:p w14:paraId="464264F9" w14:textId="3CD80BE6" w:rsidR="00DC65F0" w:rsidRDefault="00DC65F0" w:rsidP="00DC65F0">
      <w:pPr>
        <w:pStyle w:val="Heading3"/>
      </w:pPr>
      <w:bookmarkStart w:id="22" w:name="_Toc147500246"/>
      <w:r>
        <w:t>Securing Australians’ Superannuation</w:t>
      </w:r>
      <w:bookmarkEnd w:id="22"/>
      <w:r>
        <w:t xml:space="preserve"> </w:t>
      </w:r>
    </w:p>
    <w:p w14:paraId="7C288E2D" w14:textId="047687FC" w:rsidR="00DC65F0" w:rsidRDefault="00DC65F0" w:rsidP="00DC65F0">
      <w:pPr>
        <w:pStyle w:val="BodyText"/>
      </w:pPr>
      <w:r>
        <w:t>At the 2023-24 Budget, the Government announced the Securing Australians’ Superannuation package</w:t>
      </w:r>
      <w:r w:rsidRPr="00F15673">
        <w:t xml:space="preserve"> </w:t>
      </w:r>
      <w:r>
        <w:t>aimed at addressing the structural drivers of unpaid SG.</w:t>
      </w:r>
      <w:r w:rsidR="001D794B">
        <w:t xml:space="preserve"> </w:t>
      </w:r>
      <w:r w:rsidR="00C36B53">
        <w:t xml:space="preserve">The Government is also further strengthening the superannuation </w:t>
      </w:r>
      <w:r w:rsidR="00DA4F59">
        <w:t xml:space="preserve">through </w:t>
      </w:r>
      <w:r w:rsidR="00773D14">
        <w:t>the Better Targeted Superannuation Concessions measure</w:t>
      </w:r>
      <w:r w:rsidR="007D59B4">
        <w:t>, commencing on 1 July 2025.</w:t>
      </w:r>
      <w:r w:rsidR="001D794B">
        <w:t xml:space="preserve"> </w:t>
      </w:r>
      <w:r w:rsidR="009D3D2F" w:rsidRPr="00296DC7">
        <w:t>The Securing Australians’ Superannuation package will provide important improvements to the way employees are paid their super, as well as crucial upgrades to ATO systems for identifying and recovering unpaid SG.</w:t>
      </w:r>
      <w:r w:rsidR="009D3D2F">
        <w:t xml:space="preserve"> </w:t>
      </w:r>
      <w:r>
        <w:t>This package contains two parts:</w:t>
      </w:r>
    </w:p>
    <w:p w14:paraId="3AE35FDD" w14:textId="524B786E" w:rsidR="00DC65F0" w:rsidRDefault="00DC65F0" w:rsidP="00DC65F0">
      <w:pPr>
        <w:pStyle w:val="Bullet"/>
        <w:numPr>
          <w:ilvl w:val="0"/>
          <w:numId w:val="0"/>
        </w:numPr>
        <w:rPr>
          <w:rStyle w:val="Heading4Char"/>
        </w:rPr>
      </w:pPr>
      <w:r w:rsidRPr="00663DF7">
        <w:rPr>
          <w:rStyle w:val="Heading4Char"/>
        </w:rPr>
        <w:t>Increasing the payment frequency of the SG</w:t>
      </w:r>
    </w:p>
    <w:p w14:paraId="3FE18384" w14:textId="3C8092B1" w:rsidR="00DC65F0" w:rsidRDefault="00DC65F0" w:rsidP="00DC65F0">
      <w:pPr>
        <w:pStyle w:val="BodyText"/>
      </w:pPr>
      <w:r>
        <w:t xml:space="preserve">The Government will legislate </w:t>
      </w:r>
      <w:r w:rsidR="00E732FC">
        <w:t>for</w:t>
      </w:r>
      <w:r>
        <w:t xml:space="preserve"> employers to pay their employees’ SG </w:t>
      </w:r>
      <w:r w:rsidR="004A7CB8">
        <w:t>contributions</w:t>
      </w:r>
      <w:r>
        <w:t xml:space="preserve"> </w:t>
      </w:r>
      <w:proofErr w:type="gramStart"/>
      <w:r w:rsidR="00A5302A">
        <w:t xml:space="preserve">at the same time </w:t>
      </w:r>
      <w:r>
        <w:t>that</w:t>
      </w:r>
      <w:proofErr w:type="gramEnd"/>
      <w:r>
        <w:t xml:space="preserve"> they pay salary and wages</w:t>
      </w:r>
      <w:r w:rsidR="00AB6B9D">
        <w:t xml:space="preserve"> </w:t>
      </w:r>
      <w:r w:rsidR="00584FC2">
        <w:t>SG charge</w:t>
      </w:r>
      <w:r>
        <w:t xml:space="preserve">. </w:t>
      </w:r>
      <w:r w:rsidR="000022DD" w:rsidRPr="000022DD">
        <w:t xml:space="preserve">Around 8.9 million Australians will benefit from higher retirement savings from receiving their SG contributions earlier and more frequently throughout their working life. </w:t>
      </w:r>
      <w:r>
        <w:t>This change will apply to all employers from 1 July 2026.</w:t>
      </w:r>
      <w:r w:rsidR="00607550">
        <w:t xml:space="preserve"> </w:t>
      </w:r>
      <w:r w:rsidR="00607550" w:rsidRPr="00296DC7">
        <w:t xml:space="preserve">This </w:t>
      </w:r>
      <w:r w:rsidR="003E256E">
        <w:t>timeframe will</w:t>
      </w:r>
      <w:r w:rsidR="00607550" w:rsidRPr="00296DC7">
        <w:t xml:space="preserve"> enable employers, digital service providers, superannuation funds, and other impacted stakeholders the opportunity to make necessary system changes to accommodate the increased frequency of payment</w:t>
      </w:r>
      <w:r w:rsidR="003E256E">
        <w:t xml:space="preserve"> of SG contributions</w:t>
      </w:r>
      <w:r w:rsidR="00607550" w:rsidRPr="00296DC7">
        <w:t>.</w:t>
      </w:r>
    </w:p>
    <w:p w14:paraId="497F3DD0" w14:textId="6B00D847" w:rsidR="00DC65F0" w:rsidRDefault="00DC65F0" w:rsidP="00DC65F0">
      <w:pPr>
        <w:pStyle w:val="BodyText"/>
      </w:pPr>
      <w:r>
        <w:t xml:space="preserve">By increasing the payment frequency of superannuation to align with the payment of salary and wages, this will both ensure employees have greater visibility over whether </w:t>
      </w:r>
      <w:r w:rsidR="004A7CB8">
        <w:t>contributions</w:t>
      </w:r>
      <w:r>
        <w:t xml:space="preserve"> have been correctly paid</w:t>
      </w:r>
      <w:r w:rsidR="0079116A">
        <w:t>;</w:t>
      </w:r>
      <w:r w:rsidR="00C86DD9">
        <w:t xml:space="preserve"> </w:t>
      </w:r>
      <w:r w:rsidR="00BD7FD2">
        <w:t xml:space="preserve">additional time in the fund </w:t>
      </w:r>
      <w:r w:rsidR="00EE38E2">
        <w:t xml:space="preserve">for employees </w:t>
      </w:r>
      <w:r w:rsidR="00BD7FD2">
        <w:t xml:space="preserve">to </w:t>
      </w:r>
      <w:r w:rsidR="00EE38E2">
        <w:t>benefit from</w:t>
      </w:r>
      <w:r w:rsidR="00175433">
        <w:t xml:space="preserve"> compounding returns</w:t>
      </w:r>
      <w:r w:rsidR="00807E22">
        <w:t xml:space="preserve">, </w:t>
      </w:r>
      <w:r>
        <w:t xml:space="preserve">and increase the likelihood of the ATO being able to recover </w:t>
      </w:r>
      <w:r w:rsidR="00333B80">
        <w:t>unpaid SG</w:t>
      </w:r>
      <w:r>
        <w:t xml:space="preserve"> through earlier detection and compliance action.</w:t>
      </w:r>
    </w:p>
    <w:p w14:paraId="354ED0E2" w14:textId="4CD8C652" w:rsidR="00D0539F" w:rsidRDefault="00D0539F" w:rsidP="00DC65F0">
      <w:pPr>
        <w:pStyle w:val="BodyText"/>
      </w:pPr>
      <w:r>
        <w:t>The Government will also amend the SG</w:t>
      </w:r>
      <w:r w:rsidR="00E15643">
        <w:t xml:space="preserve"> compliance framework, including </w:t>
      </w:r>
      <w:r w:rsidR="003E256E">
        <w:t xml:space="preserve">amending </w:t>
      </w:r>
      <w:r w:rsidR="00E15643">
        <w:t xml:space="preserve">the </w:t>
      </w:r>
      <w:r w:rsidR="003E256E">
        <w:t xml:space="preserve">calculation of the </w:t>
      </w:r>
      <w:r w:rsidR="00584FC2">
        <w:t>SG charge</w:t>
      </w:r>
      <w:r>
        <w:t xml:space="preserve"> </w:t>
      </w:r>
      <w:r w:rsidR="00E15643">
        <w:t xml:space="preserve">and </w:t>
      </w:r>
      <w:r w:rsidR="003E256E">
        <w:t>adding new</w:t>
      </w:r>
      <w:r w:rsidR="00E15643">
        <w:t xml:space="preserve"> penalties to encourage compliance </w:t>
      </w:r>
      <w:r w:rsidR="00BE1381">
        <w:t xml:space="preserve">and </w:t>
      </w:r>
      <w:r w:rsidR="00216DA2">
        <w:t xml:space="preserve">align it with </w:t>
      </w:r>
      <w:r w:rsidR="00E15643">
        <w:t>payday super</w:t>
      </w:r>
      <w:r w:rsidR="009150B0">
        <w:t>.</w:t>
      </w:r>
      <w:r w:rsidR="0047069F">
        <w:t xml:space="preserve"> </w:t>
      </w:r>
      <w:r w:rsidR="00090C9D">
        <w:t xml:space="preserve">The current </w:t>
      </w:r>
      <w:r w:rsidR="00584FC2">
        <w:t>SG charge</w:t>
      </w:r>
      <w:r w:rsidR="00090C9D">
        <w:t xml:space="preserve"> is based on </w:t>
      </w:r>
      <w:r w:rsidR="001542FE">
        <w:t>a</w:t>
      </w:r>
      <w:r w:rsidR="00090C9D">
        <w:t xml:space="preserve"> quarterly model and </w:t>
      </w:r>
      <w:r w:rsidR="00FB321D">
        <w:t xml:space="preserve">needs to be </w:t>
      </w:r>
      <w:r w:rsidR="00593B89">
        <w:t xml:space="preserve">updated </w:t>
      </w:r>
      <w:r w:rsidR="00FB321D">
        <w:t>to</w:t>
      </w:r>
      <w:r w:rsidR="0086106D">
        <w:t xml:space="preserve"> </w:t>
      </w:r>
      <w:r w:rsidR="00F559BE">
        <w:t xml:space="preserve">ensure it is </w:t>
      </w:r>
      <w:r w:rsidR="00325045">
        <w:t xml:space="preserve">appropriate </w:t>
      </w:r>
      <w:r w:rsidR="00E5454E">
        <w:t xml:space="preserve">to the payday </w:t>
      </w:r>
      <w:r w:rsidR="00A61808">
        <w:t xml:space="preserve">super </w:t>
      </w:r>
      <w:r w:rsidR="00E5454E">
        <w:t xml:space="preserve">model </w:t>
      </w:r>
      <w:r w:rsidR="00F559BE">
        <w:t>where employers have differen</w:t>
      </w:r>
      <w:r w:rsidR="00BE1381">
        <w:t>t</w:t>
      </w:r>
      <w:r w:rsidR="00F559BE">
        <w:t xml:space="preserve"> SG payment frequenc</w:t>
      </w:r>
      <w:r w:rsidR="00E5454E">
        <w:t>y obligations</w:t>
      </w:r>
      <w:r w:rsidR="00113921">
        <w:t xml:space="preserve">. </w:t>
      </w:r>
      <w:r w:rsidR="009150B0">
        <w:t>The final design of the SG</w:t>
      </w:r>
      <w:r w:rsidR="003122E2">
        <w:t xml:space="preserve"> compliance framework</w:t>
      </w:r>
      <w:r w:rsidR="009150B0">
        <w:t xml:space="preserve"> will be informed by</w:t>
      </w:r>
      <w:r w:rsidR="008079D0">
        <w:t xml:space="preserve"> the outcome of </w:t>
      </w:r>
      <w:r w:rsidR="008079D0" w:rsidRPr="008079D0">
        <w:t>consult</w:t>
      </w:r>
      <w:r w:rsidR="009150B0">
        <w:t xml:space="preserve">ation </w:t>
      </w:r>
      <w:r w:rsidR="008079D0" w:rsidRPr="008079D0">
        <w:t>with stakeholders</w:t>
      </w:r>
      <w:r w:rsidR="009150B0">
        <w:t xml:space="preserve"> and </w:t>
      </w:r>
      <w:r w:rsidR="009150B0" w:rsidRPr="009150B0">
        <w:t xml:space="preserve">considered </w:t>
      </w:r>
      <w:r w:rsidR="009150B0">
        <w:t xml:space="preserve">by the Government </w:t>
      </w:r>
      <w:r w:rsidR="009150B0" w:rsidRPr="009150B0">
        <w:t>as part of the 2024</w:t>
      </w:r>
      <w:r w:rsidR="00642E2D">
        <w:t>-</w:t>
      </w:r>
      <w:r w:rsidR="009150B0" w:rsidRPr="009150B0">
        <w:t>25 Budget</w:t>
      </w:r>
      <w:r w:rsidR="00B41BCE">
        <w:t>.</w:t>
      </w:r>
      <w:r w:rsidR="0047069F">
        <w:t xml:space="preserve"> </w:t>
      </w:r>
    </w:p>
    <w:p w14:paraId="31732CC1" w14:textId="77777777" w:rsidR="00DC65F0" w:rsidRDefault="00DC65F0" w:rsidP="00DC65F0">
      <w:pPr>
        <w:pStyle w:val="Heading4"/>
      </w:pPr>
      <w:r w:rsidRPr="00CA2E73">
        <w:t xml:space="preserve">Investing in SG compliance </w:t>
      </w:r>
    </w:p>
    <w:p w14:paraId="2A88B9F0" w14:textId="79EB31A3" w:rsidR="00DC65F0" w:rsidRDefault="00DC65F0" w:rsidP="00DC65F0">
      <w:pPr>
        <w:pStyle w:val="Bullet"/>
        <w:numPr>
          <w:ilvl w:val="0"/>
          <w:numId w:val="0"/>
        </w:numPr>
      </w:pPr>
      <w:r>
        <w:t>The Government is also stepping up investment in</w:t>
      </w:r>
      <w:r w:rsidRPr="004430B1">
        <w:t xml:space="preserve"> the ATO</w:t>
      </w:r>
      <w:r>
        <w:t>’s</w:t>
      </w:r>
      <w:r w:rsidRPr="004430B1">
        <w:t xml:space="preserve"> data matching capabilities. This will allow the ATO to develop </w:t>
      </w:r>
      <w:r>
        <w:t xml:space="preserve">and implement the </w:t>
      </w:r>
      <w:r w:rsidRPr="004430B1">
        <w:t>necessary digital infrastructure to identify instances of under</w:t>
      </w:r>
      <w:r w:rsidR="003E256E">
        <w:t>payment</w:t>
      </w:r>
      <w:r w:rsidRPr="004430B1">
        <w:t xml:space="preserve"> or non-payment of SG in </w:t>
      </w:r>
      <w:r w:rsidR="00012D2A">
        <w:t xml:space="preserve">a </w:t>
      </w:r>
      <w:r w:rsidR="000D1A06">
        <w:t>timelier</w:t>
      </w:r>
      <w:r w:rsidR="00012D2A">
        <w:t xml:space="preserve"> way</w:t>
      </w:r>
      <w:r w:rsidRPr="004430B1">
        <w:t>.</w:t>
      </w:r>
    </w:p>
    <w:p w14:paraId="796D1026" w14:textId="349E305E" w:rsidR="001656B4" w:rsidRDefault="00C26CD6" w:rsidP="00DC65F0">
      <w:pPr>
        <w:pStyle w:val="Bullet"/>
        <w:numPr>
          <w:ilvl w:val="0"/>
          <w:numId w:val="0"/>
        </w:numPr>
      </w:pPr>
      <w:r>
        <w:t>From 2023</w:t>
      </w:r>
      <w:r w:rsidR="00DC111F">
        <w:t xml:space="preserve">, the ATO will </w:t>
      </w:r>
      <w:r w:rsidR="001656B4" w:rsidRPr="00D56C35">
        <w:t xml:space="preserve">invest in creating a new unified database </w:t>
      </w:r>
      <w:r w:rsidR="001656B4">
        <w:t xml:space="preserve">which </w:t>
      </w:r>
      <w:r w:rsidR="001656B4" w:rsidRPr="00B77D7D">
        <w:t>match</w:t>
      </w:r>
      <w:r w:rsidR="001656B4">
        <w:t>es</w:t>
      </w:r>
      <w:r w:rsidR="001656B4" w:rsidRPr="00B77D7D">
        <w:t xml:space="preserve"> </w:t>
      </w:r>
      <w:r w:rsidR="001656B4">
        <w:t xml:space="preserve">Single Touch Payroll (STP) data from employers </w:t>
      </w:r>
      <w:r w:rsidR="001656B4" w:rsidRPr="00D56C35">
        <w:t xml:space="preserve">and </w:t>
      </w:r>
      <w:r w:rsidR="001656B4" w:rsidRPr="00F80700">
        <w:t>M</w:t>
      </w:r>
      <w:r w:rsidR="001656B4">
        <w:t xml:space="preserve">ember </w:t>
      </w:r>
      <w:r w:rsidR="001656B4" w:rsidRPr="00F80700">
        <w:t>A</w:t>
      </w:r>
      <w:r w:rsidR="001656B4">
        <w:t xml:space="preserve">ccount </w:t>
      </w:r>
      <w:r w:rsidR="001656B4" w:rsidRPr="00F80700">
        <w:t>T</w:t>
      </w:r>
      <w:r w:rsidR="001656B4">
        <w:t xml:space="preserve">ransaction </w:t>
      </w:r>
      <w:r w:rsidR="001656B4" w:rsidRPr="00F80700">
        <w:t>S</w:t>
      </w:r>
      <w:r w:rsidR="001656B4">
        <w:t xml:space="preserve">ervice (MATS) </w:t>
      </w:r>
      <w:r w:rsidR="001656B4" w:rsidRPr="00D56C35">
        <w:t xml:space="preserve">data </w:t>
      </w:r>
      <w:r w:rsidR="001656B4">
        <w:t xml:space="preserve">from superannuation funds </w:t>
      </w:r>
      <w:r w:rsidR="001656B4" w:rsidRPr="00D56C35">
        <w:t>at scale</w:t>
      </w:r>
      <w:r w:rsidR="001656B4">
        <w:t>. This database w</w:t>
      </w:r>
      <w:r w:rsidR="00E16B46">
        <w:t>ill</w:t>
      </w:r>
      <w:r w:rsidR="001656B4">
        <w:t xml:space="preserve"> </w:t>
      </w:r>
      <w:r w:rsidR="001656B4" w:rsidRPr="00D56C35">
        <w:t>provide a single source showing the</w:t>
      </w:r>
      <w:r w:rsidR="001656B4" w:rsidRPr="002B20BC">
        <w:t xml:space="preserve"> </w:t>
      </w:r>
      <w:r w:rsidR="001656B4">
        <w:t>near-real time</w:t>
      </w:r>
      <w:r w:rsidR="001656B4" w:rsidRPr="00D56C35">
        <w:t xml:space="preserve"> recorded SG position for employers and employees</w:t>
      </w:r>
      <w:r w:rsidR="001656B4">
        <w:t xml:space="preserve">, </w:t>
      </w:r>
      <w:r w:rsidR="001656B4" w:rsidRPr="00D56C35">
        <w:t>enabl</w:t>
      </w:r>
      <w:r w:rsidR="001656B4">
        <w:t>ing</w:t>
      </w:r>
      <w:r w:rsidR="001656B4" w:rsidRPr="00D56C35">
        <w:t xml:space="preserve"> the ATO to identify instances and patterns of </w:t>
      </w:r>
      <w:r w:rsidR="001656B4">
        <w:t>late</w:t>
      </w:r>
      <w:r w:rsidR="001656B4" w:rsidRPr="00D56C35">
        <w:t xml:space="preserve"> or underpayment</w:t>
      </w:r>
      <w:r w:rsidR="001656B4">
        <w:t xml:space="preserve"> of SG</w:t>
      </w:r>
      <w:r w:rsidR="001656B4" w:rsidRPr="00B77D7D">
        <w:t>.</w:t>
      </w:r>
    </w:p>
    <w:p w14:paraId="416C7201" w14:textId="565FE7FC" w:rsidR="0041751E" w:rsidRDefault="008D4EBF" w:rsidP="00DC65F0">
      <w:pPr>
        <w:pStyle w:val="Bullet"/>
        <w:numPr>
          <w:ilvl w:val="0"/>
          <w:numId w:val="0"/>
        </w:numPr>
      </w:pPr>
      <w:r>
        <w:t>This proactive SG c</w:t>
      </w:r>
      <w:r w:rsidR="00477B88">
        <w:t xml:space="preserve">ompliance system will </w:t>
      </w:r>
      <w:r w:rsidR="005B7C88">
        <w:t>en</w:t>
      </w:r>
      <w:r w:rsidR="00477B88">
        <w:t>able</w:t>
      </w:r>
      <w:r w:rsidR="005B7C88">
        <w:t xml:space="preserve"> the ATO</w:t>
      </w:r>
      <w:r w:rsidR="00477B88">
        <w:t xml:space="preserve"> to identify instances of unpaid SG in near-real time</w:t>
      </w:r>
      <w:r w:rsidR="00AE3867">
        <w:t>, allowing the</w:t>
      </w:r>
      <w:r w:rsidR="006015C1">
        <w:t>m</w:t>
      </w:r>
      <w:r w:rsidR="00AE3867">
        <w:t xml:space="preserve"> to work with employers</w:t>
      </w:r>
      <w:r w:rsidR="000B5725">
        <w:t xml:space="preserve"> in a timely manner to </w:t>
      </w:r>
      <w:r w:rsidR="00750D89">
        <w:t xml:space="preserve">respond to </w:t>
      </w:r>
      <w:r w:rsidR="00750D89" w:rsidRPr="000B77FE">
        <w:t>payment errors</w:t>
      </w:r>
      <w:r w:rsidR="006015C1">
        <w:t>,</w:t>
      </w:r>
      <w:r w:rsidR="00750D89" w:rsidRPr="000B77FE">
        <w:t xml:space="preserve"> and </w:t>
      </w:r>
      <w:r w:rsidR="004214AF" w:rsidRPr="000B77FE">
        <w:t xml:space="preserve">recover </w:t>
      </w:r>
      <w:r w:rsidR="00A37B6E" w:rsidRPr="000B77FE">
        <w:t xml:space="preserve">amounts </w:t>
      </w:r>
      <w:r w:rsidR="000B77FE" w:rsidRPr="006E3412">
        <w:t xml:space="preserve">and apply additional penalties </w:t>
      </w:r>
      <w:r w:rsidR="00344E33">
        <w:t>in more serious cases of non-compliance.</w:t>
      </w:r>
      <w:r w:rsidR="00A37B6E">
        <w:t xml:space="preserve"> </w:t>
      </w:r>
    </w:p>
    <w:p w14:paraId="1403B727" w14:textId="1919F377" w:rsidR="00DC65F0" w:rsidRDefault="00DC65F0" w:rsidP="00DC65F0">
      <w:pPr>
        <w:pStyle w:val="Bullet"/>
        <w:numPr>
          <w:ilvl w:val="0"/>
          <w:numId w:val="0"/>
        </w:numPr>
      </w:pPr>
      <w:r>
        <w:t>Further information on</w:t>
      </w:r>
      <w:r w:rsidR="00B93463">
        <w:t xml:space="preserve"> the current SG framework is available at </w:t>
      </w:r>
      <w:r w:rsidR="00B93463">
        <w:rPr>
          <w:b/>
          <w:bCs/>
        </w:rPr>
        <w:t>Appendix A</w:t>
      </w:r>
      <w:r w:rsidR="00B93463">
        <w:t xml:space="preserve"> and</w:t>
      </w:r>
      <w:r>
        <w:t xml:space="preserve"> </w:t>
      </w:r>
      <w:r w:rsidR="00757CF0">
        <w:t xml:space="preserve">implementation </w:t>
      </w:r>
      <w:r>
        <w:t>timelines for the Securing Australians’ Superannuation package</w:t>
      </w:r>
      <w:r w:rsidRPr="00970B77">
        <w:t xml:space="preserve"> </w:t>
      </w:r>
      <w:r w:rsidR="00B93463">
        <w:t xml:space="preserve">are </w:t>
      </w:r>
      <w:r>
        <w:t xml:space="preserve">available at </w:t>
      </w:r>
      <w:r w:rsidRPr="005F7072">
        <w:rPr>
          <w:b/>
          <w:bCs/>
        </w:rPr>
        <w:t xml:space="preserve">Appendix </w:t>
      </w:r>
      <w:r w:rsidR="00B93463">
        <w:rPr>
          <w:b/>
          <w:bCs/>
        </w:rPr>
        <w:t>B.</w:t>
      </w:r>
      <w:r>
        <w:t xml:space="preserve"> </w:t>
      </w:r>
    </w:p>
    <w:p w14:paraId="6D961FAB" w14:textId="77777777" w:rsidR="00DC65F0" w:rsidRDefault="00DC65F0" w:rsidP="00DC65F0">
      <w:pPr>
        <w:pStyle w:val="Heading3"/>
      </w:pPr>
      <w:bookmarkStart w:id="23" w:name="_Toc147500247"/>
      <w:r>
        <w:t>Unpaid SG recovery targets for the ATO</w:t>
      </w:r>
      <w:bookmarkEnd w:id="23"/>
      <w:r>
        <w:t xml:space="preserve"> </w:t>
      </w:r>
    </w:p>
    <w:p w14:paraId="3349CE6B" w14:textId="49F430BD" w:rsidR="00DC65F0" w:rsidRDefault="00DC65F0" w:rsidP="00DC65F0">
      <w:pPr>
        <w:pStyle w:val="BodyText"/>
      </w:pPr>
      <w:r>
        <w:t xml:space="preserve">During the election the Government committed to setting </w:t>
      </w:r>
      <w:r w:rsidR="00333B80">
        <w:t>unpaid SG</w:t>
      </w:r>
      <w:r>
        <w:t xml:space="preserve"> recovery targets for the ATO, to be reported on an annual basis.</w:t>
      </w:r>
      <w:r w:rsidRPr="00E51D0F">
        <w:t xml:space="preserve"> </w:t>
      </w:r>
      <w:r>
        <w:t xml:space="preserve">These targets will leverage improvements in the ATO’s capabilities </w:t>
      </w:r>
      <w:proofErr w:type="gramStart"/>
      <w:r>
        <w:t>as a result of</w:t>
      </w:r>
      <w:proofErr w:type="gramEnd"/>
      <w:r>
        <w:t xml:space="preserve"> the Securing Australians’ Superannuation package to help track the ATO’s compliance activities in reducing unpaid SG. </w:t>
      </w:r>
    </w:p>
    <w:p w14:paraId="3180BCE8" w14:textId="77777777" w:rsidR="00DC65F0" w:rsidRDefault="00DC65F0" w:rsidP="00DC65F0">
      <w:pPr>
        <w:pStyle w:val="Heading4"/>
      </w:pPr>
      <w:r w:rsidRPr="00F27DBB">
        <w:t>I</w:t>
      </w:r>
      <w:r w:rsidRPr="002D1735">
        <w:t xml:space="preserve">nterim </w:t>
      </w:r>
      <w:r>
        <w:t xml:space="preserve">SG recovery </w:t>
      </w:r>
      <w:r w:rsidRPr="002D1735">
        <w:t>measures</w:t>
      </w:r>
    </w:p>
    <w:p w14:paraId="32DBE88C" w14:textId="77777777" w:rsidR="00DC65F0" w:rsidRDefault="00DC65F0" w:rsidP="00DC65F0">
      <w:pPr>
        <w:pStyle w:val="BodyText"/>
        <w:rPr>
          <w:rFonts w:eastAsia="Times New Roman" w:cs="Times New Roman"/>
          <w:szCs w:val="20"/>
          <w:lang w:eastAsia="en-AU"/>
        </w:rPr>
      </w:pPr>
      <w:r w:rsidRPr="00922A25">
        <w:t xml:space="preserve">In the interim period </w:t>
      </w:r>
      <w:r>
        <w:t>while</w:t>
      </w:r>
      <w:r w:rsidRPr="00922A25">
        <w:t xml:space="preserve"> the ATO’s data and compliance capabilities are upgraded</w:t>
      </w:r>
      <w:r>
        <w:t xml:space="preserve"> as part of the Securing Australians’ Superannuation package,</w:t>
      </w:r>
      <w:r w:rsidRPr="00A500E2">
        <w:t xml:space="preserve"> </w:t>
      </w:r>
      <w:r>
        <w:t>t</w:t>
      </w:r>
      <w:r w:rsidRPr="00A6359D">
        <w:t xml:space="preserve">wo new </w:t>
      </w:r>
      <w:r>
        <w:t xml:space="preserve">performance </w:t>
      </w:r>
      <w:r w:rsidRPr="00A6359D">
        <w:t xml:space="preserve">measures for recovery of unpaid SG </w:t>
      </w:r>
      <w:r>
        <w:t>have been</w:t>
      </w:r>
      <w:r w:rsidRPr="00A6359D">
        <w:t xml:space="preserve"> published in the </w:t>
      </w:r>
      <w:r w:rsidRPr="00BA3AAF">
        <w:rPr>
          <w:i/>
        </w:rPr>
        <w:t xml:space="preserve">2023-24 </w:t>
      </w:r>
      <w:r>
        <w:rPr>
          <w:i/>
          <w:iCs/>
        </w:rPr>
        <w:t>Treasury Portfolio</w:t>
      </w:r>
      <w:r w:rsidRPr="00BA3AAF">
        <w:rPr>
          <w:i/>
        </w:rPr>
        <w:t xml:space="preserve"> Budget Statement</w:t>
      </w:r>
      <w:r>
        <w:t xml:space="preserve">. </w:t>
      </w:r>
      <w:r>
        <w:rPr>
          <w:rFonts w:eastAsia="Times New Roman" w:cs="Times New Roman"/>
          <w:szCs w:val="20"/>
          <w:lang w:eastAsia="en-AU"/>
        </w:rPr>
        <w:t xml:space="preserve">These measures are: </w:t>
      </w:r>
    </w:p>
    <w:p w14:paraId="39751BA6" w14:textId="765C5E60" w:rsidR="00DC65F0" w:rsidRPr="00BA3AAF" w:rsidRDefault="00DC65F0" w:rsidP="00DC65F0">
      <w:pPr>
        <w:pStyle w:val="Bullet"/>
      </w:pPr>
      <w:r w:rsidRPr="00BA3AAF">
        <w:rPr>
          <w:i/>
        </w:rPr>
        <w:t>SG distributed as a proportion of SG raised:</w:t>
      </w:r>
      <w:r w:rsidRPr="00BA3AAF">
        <w:t xml:space="preserve"> The proportion of </w:t>
      </w:r>
      <w:r w:rsidR="00584FC2">
        <w:t>SG charge</w:t>
      </w:r>
      <w:r w:rsidRPr="00BA3AAF">
        <w:t xml:space="preserve"> liabilities raised for a financial year which has been collected and distributed to individuals or superannuation funds. Results would be reported two years after the financial year has ended to account for liabilities collected after the financial years has ended. </w:t>
      </w:r>
    </w:p>
    <w:p w14:paraId="5CB29282" w14:textId="6606C0A9" w:rsidR="00DC65F0" w:rsidRPr="00BA3AAF" w:rsidRDefault="00584FC2" w:rsidP="00DC65F0">
      <w:pPr>
        <w:pStyle w:val="Bullet"/>
      </w:pPr>
      <w:r>
        <w:rPr>
          <w:i/>
        </w:rPr>
        <w:t>SG charge</w:t>
      </w:r>
      <w:r w:rsidR="00DC65F0" w:rsidRPr="00BA3AAF">
        <w:rPr>
          <w:i/>
        </w:rPr>
        <w:t xml:space="preserve"> raised and distributed within 12 months:</w:t>
      </w:r>
      <w:r w:rsidR="00DC65F0" w:rsidRPr="00BA3AAF">
        <w:t xml:space="preserve"> The value of </w:t>
      </w:r>
      <w:r>
        <w:t>SG charge</w:t>
      </w:r>
      <w:r w:rsidR="00DC65F0" w:rsidRPr="00BA3AAF">
        <w:t xml:space="preserve"> liabilities raised, then collected and distributed to individuals or superannuation funds within 12 months.</w:t>
      </w:r>
    </w:p>
    <w:p w14:paraId="49AB71F2" w14:textId="24DFB414" w:rsidR="00DC65F0" w:rsidRPr="00BA3AAF" w:rsidRDefault="00DC65F0" w:rsidP="00DC65F0">
      <w:pPr>
        <w:pStyle w:val="BodyText"/>
      </w:pPr>
      <w:r>
        <w:t>N</w:t>
      </w:r>
      <w:r w:rsidRPr="00A6359D">
        <w:t>umerical target</w:t>
      </w:r>
      <w:r>
        <w:t>s for these measures will</w:t>
      </w:r>
      <w:r w:rsidRPr="00A6359D">
        <w:t xml:space="preserve"> be published </w:t>
      </w:r>
      <w:r>
        <w:t>for the</w:t>
      </w:r>
      <w:r w:rsidRPr="00A6359D">
        <w:t xml:space="preserve"> </w:t>
      </w:r>
      <w:r>
        <w:t>2025-26 financial year onwards</w:t>
      </w:r>
      <w:r w:rsidRPr="00A6359D">
        <w:t>.</w:t>
      </w:r>
    </w:p>
    <w:p w14:paraId="513F4042" w14:textId="77777777" w:rsidR="00DC65F0" w:rsidRDefault="00DC65F0" w:rsidP="00DC65F0">
      <w:pPr>
        <w:pStyle w:val="Heading4"/>
      </w:pPr>
      <w:r>
        <w:t xml:space="preserve">Improved SG recovery measures </w:t>
      </w:r>
    </w:p>
    <w:p w14:paraId="0290FAAC" w14:textId="4C6EBD79" w:rsidR="00DC65F0" w:rsidRPr="00C00B21" w:rsidRDefault="00DC65F0" w:rsidP="00DC65F0">
      <w:pPr>
        <w:pStyle w:val="BodyText"/>
        <w:rPr>
          <w:rFonts w:eastAsia="Times New Roman" w:cs="Times New Roman"/>
          <w:szCs w:val="20"/>
          <w:lang w:eastAsia="en-AU"/>
        </w:rPr>
      </w:pPr>
      <w:r>
        <w:rPr>
          <w:rFonts w:eastAsia="Times New Roman" w:cs="Times New Roman"/>
          <w:szCs w:val="20"/>
          <w:lang w:eastAsia="en-AU"/>
        </w:rPr>
        <w:t>From</w:t>
      </w:r>
      <w:r w:rsidRPr="00C00B21">
        <w:rPr>
          <w:rFonts w:eastAsia="Times New Roman" w:cs="Times New Roman"/>
          <w:szCs w:val="20"/>
          <w:lang w:eastAsia="en-AU"/>
        </w:rPr>
        <w:t xml:space="preserve"> </w:t>
      </w:r>
      <w:r>
        <w:rPr>
          <w:rFonts w:eastAsia="Times New Roman" w:cs="Times New Roman"/>
          <w:szCs w:val="20"/>
          <w:lang w:eastAsia="en-AU"/>
        </w:rPr>
        <w:t>the</w:t>
      </w:r>
      <w:r w:rsidRPr="00C00B21">
        <w:rPr>
          <w:rFonts w:eastAsia="Times New Roman" w:cs="Times New Roman"/>
          <w:szCs w:val="20"/>
          <w:lang w:eastAsia="en-AU"/>
        </w:rPr>
        <w:t xml:space="preserve"> 2026-27</w:t>
      </w:r>
      <w:r>
        <w:rPr>
          <w:rFonts w:eastAsia="Times New Roman" w:cs="Times New Roman"/>
          <w:szCs w:val="20"/>
          <w:lang w:eastAsia="en-AU"/>
        </w:rPr>
        <w:t xml:space="preserve"> financial year onward</w:t>
      </w:r>
      <w:r w:rsidRPr="00C00B21">
        <w:rPr>
          <w:rFonts w:eastAsia="Times New Roman" w:cs="Times New Roman"/>
          <w:szCs w:val="20"/>
          <w:lang w:eastAsia="en-AU"/>
        </w:rPr>
        <w:t xml:space="preserve">, when </w:t>
      </w:r>
      <w:r w:rsidR="003E256E">
        <w:rPr>
          <w:rFonts w:eastAsia="Times New Roman" w:cs="Times New Roman"/>
          <w:szCs w:val="20"/>
          <w:lang w:eastAsia="en-AU"/>
        </w:rPr>
        <w:t xml:space="preserve">the </w:t>
      </w:r>
      <w:r w:rsidRPr="00C00B21">
        <w:rPr>
          <w:rFonts w:eastAsia="Times New Roman" w:cs="Times New Roman"/>
          <w:szCs w:val="20"/>
          <w:lang w:eastAsia="en-AU"/>
        </w:rPr>
        <w:t xml:space="preserve">ATO’s data and compliance capabilities are upgraded through the implementation of the </w:t>
      </w:r>
      <w:r>
        <w:rPr>
          <w:rFonts w:eastAsia="Times New Roman" w:cs="Times New Roman"/>
          <w:szCs w:val="20"/>
          <w:lang w:eastAsia="en-AU"/>
        </w:rPr>
        <w:t>Securing Australians’ Superannuation package</w:t>
      </w:r>
      <w:r w:rsidRPr="00C00B21">
        <w:rPr>
          <w:rFonts w:eastAsia="Times New Roman" w:cs="Times New Roman"/>
          <w:szCs w:val="20"/>
          <w:lang w:eastAsia="en-AU"/>
        </w:rPr>
        <w:t xml:space="preserve">, the ATO will </w:t>
      </w:r>
      <w:r>
        <w:rPr>
          <w:rFonts w:eastAsia="Times New Roman" w:cs="Times New Roman"/>
          <w:szCs w:val="20"/>
          <w:lang w:eastAsia="en-AU"/>
        </w:rPr>
        <w:t>publish</w:t>
      </w:r>
      <w:r w:rsidRPr="00C00B21">
        <w:rPr>
          <w:rFonts w:eastAsia="Times New Roman" w:cs="Times New Roman"/>
          <w:szCs w:val="20"/>
          <w:lang w:eastAsia="en-AU"/>
        </w:rPr>
        <w:t xml:space="preserve"> improved</w:t>
      </w:r>
      <w:r w:rsidRPr="00C00B21" w:rsidDel="00087736">
        <w:rPr>
          <w:rFonts w:eastAsia="Times New Roman" w:cs="Times New Roman"/>
          <w:szCs w:val="20"/>
          <w:lang w:eastAsia="en-AU"/>
        </w:rPr>
        <w:t xml:space="preserve"> </w:t>
      </w:r>
      <w:r w:rsidRPr="00C00B21">
        <w:rPr>
          <w:rFonts w:eastAsia="Times New Roman" w:cs="Times New Roman"/>
          <w:szCs w:val="20"/>
          <w:lang w:eastAsia="en-AU"/>
        </w:rPr>
        <w:t xml:space="preserve">SG recovery measures. These measures will provide useful and clear insights into employer compliance with SG obligations and the efficacy of the ATO’s capability to identify </w:t>
      </w:r>
      <w:r>
        <w:rPr>
          <w:rFonts w:eastAsia="Times New Roman" w:cs="Times New Roman"/>
          <w:szCs w:val="20"/>
          <w:lang w:eastAsia="en-AU"/>
        </w:rPr>
        <w:t>and recover</w:t>
      </w:r>
      <w:r w:rsidRPr="00C00B21">
        <w:rPr>
          <w:rFonts w:eastAsia="Times New Roman" w:cs="Times New Roman"/>
          <w:szCs w:val="20"/>
          <w:lang w:eastAsia="en-AU"/>
        </w:rPr>
        <w:t xml:space="preserve"> unpaid SG. </w:t>
      </w:r>
      <w:r w:rsidR="00457837">
        <w:rPr>
          <w:rFonts w:eastAsia="Times New Roman" w:cs="Times New Roman"/>
          <w:szCs w:val="20"/>
          <w:lang w:eastAsia="en-AU"/>
        </w:rPr>
        <w:t xml:space="preserve">Improvements in the ATO’s ability to recover unpaid SG </w:t>
      </w:r>
      <w:r w:rsidR="0035493D">
        <w:rPr>
          <w:rFonts w:eastAsia="Times New Roman" w:cs="Times New Roman"/>
          <w:szCs w:val="20"/>
          <w:lang w:eastAsia="en-AU"/>
        </w:rPr>
        <w:t xml:space="preserve">will require </w:t>
      </w:r>
      <w:r w:rsidR="00364C04">
        <w:rPr>
          <w:rFonts w:eastAsia="Times New Roman" w:cs="Times New Roman"/>
          <w:szCs w:val="20"/>
          <w:lang w:eastAsia="en-AU"/>
        </w:rPr>
        <w:t>the ATO to</w:t>
      </w:r>
      <w:r w:rsidR="0035493D">
        <w:rPr>
          <w:rFonts w:eastAsia="Times New Roman" w:cs="Times New Roman"/>
          <w:szCs w:val="20"/>
          <w:lang w:eastAsia="en-AU"/>
        </w:rPr>
        <w:t xml:space="preserve"> reassess debt recovery </w:t>
      </w:r>
      <w:r w:rsidR="00277D2F">
        <w:rPr>
          <w:rFonts w:eastAsia="Times New Roman" w:cs="Times New Roman"/>
          <w:szCs w:val="20"/>
          <w:lang w:eastAsia="en-AU"/>
        </w:rPr>
        <w:t>processes</w:t>
      </w:r>
      <w:r w:rsidR="0035493D">
        <w:rPr>
          <w:rFonts w:eastAsia="Times New Roman" w:cs="Times New Roman"/>
          <w:szCs w:val="20"/>
          <w:lang w:eastAsia="en-AU"/>
        </w:rPr>
        <w:t xml:space="preserve"> and policies</w:t>
      </w:r>
      <w:r w:rsidR="00FA1232">
        <w:rPr>
          <w:rFonts w:eastAsia="Times New Roman" w:cs="Times New Roman"/>
          <w:szCs w:val="20"/>
          <w:lang w:eastAsia="en-AU"/>
        </w:rPr>
        <w:t xml:space="preserve"> to ensure that </w:t>
      </w:r>
      <w:r w:rsidR="004B08FF">
        <w:rPr>
          <w:rFonts w:eastAsia="Times New Roman" w:cs="Times New Roman"/>
          <w:szCs w:val="20"/>
          <w:lang w:eastAsia="en-AU"/>
        </w:rPr>
        <w:t>employees</w:t>
      </w:r>
      <w:r w:rsidR="00FA1232">
        <w:rPr>
          <w:rFonts w:eastAsia="Times New Roman" w:cs="Times New Roman"/>
          <w:szCs w:val="20"/>
          <w:lang w:eastAsia="en-AU"/>
        </w:rPr>
        <w:t xml:space="preserve"> receive their SG contributions.</w:t>
      </w:r>
      <w:r w:rsidR="0035493D">
        <w:rPr>
          <w:rFonts w:eastAsia="Times New Roman" w:cs="Times New Roman"/>
          <w:szCs w:val="20"/>
          <w:lang w:eastAsia="en-AU"/>
        </w:rPr>
        <w:t xml:space="preserve"> </w:t>
      </w:r>
    </w:p>
    <w:p w14:paraId="0EED5208" w14:textId="2DEAD083" w:rsidR="00DC65F0" w:rsidRDefault="00DC65F0" w:rsidP="00DC65F0">
      <w:pPr>
        <w:pStyle w:val="BodyText"/>
      </w:pPr>
      <w:r w:rsidRPr="00C00B21">
        <w:rPr>
          <w:rFonts w:eastAsia="Times New Roman" w:cs="Times New Roman"/>
          <w:szCs w:val="20"/>
          <w:lang w:eastAsia="en-AU"/>
        </w:rPr>
        <w:t xml:space="preserve">The improved SG recovery measures will include the development </w:t>
      </w:r>
      <w:r>
        <w:rPr>
          <w:rFonts w:eastAsia="Times New Roman" w:cs="Times New Roman"/>
          <w:szCs w:val="20"/>
          <w:lang w:eastAsia="en-AU"/>
        </w:rPr>
        <w:t>of</w:t>
      </w:r>
      <w:r w:rsidRPr="00C00B21">
        <w:rPr>
          <w:rFonts w:eastAsia="Times New Roman" w:cs="Times New Roman"/>
          <w:szCs w:val="20"/>
          <w:lang w:eastAsia="en-AU"/>
        </w:rPr>
        <w:t xml:space="preserve"> </w:t>
      </w:r>
      <w:r>
        <w:rPr>
          <w:rFonts w:eastAsia="Times New Roman" w:cs="Times New Roman"/>
          <w:szCs w:val="20"/>
          <w:lang w:eastAsia="en-AU"/>
        </w:rPr>
        <w:t>an</w:t>
      </w:r>
      <w:r w:rsidRPr="00C00B21">
        <w:rPr>
          <w:rFonts w:eastAsia="Times New Roman" w:cs="Times New Roman"/>
          <w:szCs w:val="20"/>
          <w:lang w:eastAsia="en-AU"/>
        </w:rPr>
        <w:t xml:space="preserve"> </w:t>
      </w:r>
      <w:r>
        <w:rPr>
          <w:rFonts w:eastAsia="Times New Roman" w:cs="Times New Roman"/>
          <w:szCs w:val="20"/>
          <w:lang w:eastAsia="en-AU"/>
        </w:rPr>
        <w:t xml:space="preserve">improved methodology for </w:t>
      </w:r>
      <w:r w:rsidR="008626C6">
        <w:rPr>
          <w:rFonts w:eastAsia="Times New Roman" w:cs="Times New Roman"/>
          <w:szCs w:val="20"/>
          <w:lang w:eastAsia="en-AU"/>
        </w:rPr>
        <w:t xml:space="preserve">calculating </w:t>
      </w:r>
      <w:r>
        <w:rPr>
          <w:rFonts w:eastAsia="Times New Roman" w:cs="Times New Roman"/>
          <w:szCs w:val="20"/>
          <w:lang w:eastAsia="en-AU"/>
        </w:rPr>
        <w:t xml:space="preserve">the </w:t>
      </w:r>
      <w:r w:rsidRPr="00C00B21">
        <w:rPr>
          <w:rFonts w:eastAsia="Times New Roman" w:cs="Times New Roman"/>
          <w:szCs w:val="20"/>
          <w:lang w:eastAsia="en-AU"/>
        </w:rPr>
        <w:t xml:space="preserve">SG gap. </w:t>
      </w:r>
      <w:r>
        <w:rPr>
          <w:rFonts w:eastAsia="Times New Roman" w:cs="Times New Roman"/>
          <w:szCs w:val="20"/>
          <w:lang w:eastAsia="en-AU"/>
        </w:rPr>
        <w:t>The improved</w:t>
      </w:r>
      <w:r w:rsidRPr="00C00B21">
        <w:rPr>
          <w:rFonts w:eastAsia="Times New Roman" w:cs="Times New Roman"/>
          <w:szCs w:val="20"/>
          <w:lang w:eastAsia="en-AU"/>
        </w:rPr>
        <w:t xml:space="preserve"> SG gap </w:t>
      </w:r>
      <w:r>
        <w:rPr>
          <w:rFonts w:eastAsia="Times New Roman" w:cs="Times New Roman"/>
          <w:szCs w:val="20"/>
          <w:lang w:eastAsia="en-AU"/>
        </w:rPr>
        <w:t>measure</w:t>
      </w:r>
      <w:r w:rsidRPr="00C00B21">
        <w:rPr>
          <w:rFonts w:eastAsia="Times New Roman" w:cs="Times New Roman"/>
          <w:szCs w:val="20"/>
          <w:lang w:eastAsia="en-AU"/>
        </w:rPr>
        <w:t xml:space="preserve"> would make the best use of the improved ATO capabilities and policy settings, including data matching and data quality improvements</w:t>
      </w:r>
      <w:r>
        <w:rPr>
          <w:rFonts w:eastAsia="Times New Roman" w:cs="Times New Roman"/>
          <w:szCs w:val="20"/>
          <w:lang w:eastAsia="en-AU"/>
        </w:rPr>
        <w:t>. The ATO will be able</w:t>
      </w:r>
      <w:r w:rsidRPr="00C00B21">
        <w:rPr>
          <w:rFonts w:eastAsia="Times New Roman" w:cs="Times New Roman"/>
          <w:szCs w:val="20"/>
          <w:lang w:eastAsia="en-AU"/>
        </w:rPr>
        <w:t xml:space="preserve"> to </w:t>
      </w:r>
      <w:r>
        <w:rPr>
          <w:rFonts w:eastAsia="Times New Roman" w:cs="Times New Roman"/>
          <w:szCs w:val="20"/>
          <w:lang w:eastAsia="en-AU"/>
        </w:rPr>
        <w:t>estimate</w:t>
      </w:r>
      <w:r w:rsidRPr="00C00B21">
        <w:rPr>
          <w:rFonts w:eastAsia="Times New Roman" w:cs="Times New Roman"/>
          <w:szCs w:val="20"/>
          <w:lang w:eastAsia="en-AU"/>
        </w:rPr>
        <w:t xml:space="preserve"> </w:t>
      </w:r>
      <w:r>
        <w:rPr>
          <w:rFonts w:eastAsia="Times New Roman" w:cs="Times New Roman"/>
          <w:szCs w:val="20"/>
          <w:lang w:eastAsia="en-AU"/>
        </w:rPr>
        <w:t>the amount of</w:t>
      </w:r>
      <w:r w:rsidRPr="00C00B21">
        <w:rPr>
          <w:rFonts w:eastAsia="Times New Roman" w:cs="Times New Roman"/>
          <w:szCs w:val="20"/>
          <w:lang w:eastAsia="en-AU"/>
        </w:rPr>
        <w:t xml:space="preserve"> unpaid SG </w:t>
      </w:r>
      <w:r>
        <w:rPr>
          <w:rFonts w:eastAsia="Times New Roman" w:cs="Times New Roman"/>
          <w:szCs w:val="20"/>
          <w:lang w:eastAsia="en-AU"/>
        </w:rPr>
        <w:t xml:space="preserve">through a </w:t>
      </w:r>
      <w:r w:rsidRPr="00C00B21">
        <w:rPr>
          <w:rFonts w:eastAsia="Times New Roman" w:cs="Times New Roman"/>
          <w:szCs w:val="20"/>
          <w:lang w:eastAsia="en-AU"/>
        </w:rPr>
        <w:t>bottom-up</w:t>
      </w:r>
      <w:r>
        <w:rPr>
          <w:rFonts w:eastAsia="Times New Roman" w:cs="Times New Roman"/>
          <w:szCs w:val="20"/>
          <w:lang w:eastAsia="en-AU"/>
        </w:rPr>
        <w:t xml:space="preserve"> method, based on data</w:t>
      </w:r>
      <w:r w:rsidR="00764A4D">
        <w:rPr>
          <w:rFonts w:eastAsia="Times New Roman" w:cs="Times New Roman"/>
          <w:szCs w:val="20"/>
          <w:lang w:eastAsia="en-AU"/>
        </w:rPr>
        <w:t xml:space="preserve"> reported</w:t>
      </w:r>
      <w:r>
        <w:rPr>
          <w:rFonts w:eastAsia="Times New Roman" w:cs="Times New Roman"/>
          <w:szCs w:val="20"/>
          <w:lang w:eastAsia="en-AU"/>
        </w:rPr>
        <w:t xml:space="preserve"> at the individual employer, employee, and fund levels, rather than the current methodology </w:t>
      </w:r>
      <w:r w:rsidRPr="00C00B21">
        <w:rPr>
          <w:rFonts w:eastAsia="Times New Roman" w:cs="Times New Roman"/>
          <w:szCs w:val="20"/>
          <w:lang w:eastAsia="en-AU"/>
        </w:rPr>
        <w:t xml:space="preserve">which </w:t>
      </w:r>
      <w:r>
        <w:rPr>
          <w:rFonts w:eastAsia="Times New Roman" w:cs="Times New Roman"/>
          <w:szCs w:val="20"/>
          <w:lang w:eastAsia="en-AU"/>
        </w:rPr>
        <w:t>relies on aggregate statistics.</w:t>
      </w:r>
      <w:r w:rsidRPr="00D56C96">
        <w:t xml:space="preserve"> </w:t>
      </w:r>
    </w:p>
    <w:p w14:paraId="4170C391" w14:textId="77777777" w:rsidR="00DC65F0" w:rsidRDefault="00DC65F0" w:rsidP="00DC65F0">
      <w:pPr>
        <w:pStyle w:val="Heading2"/>
      </w:pPr>
      <w:bookmarkStart w:id="24" w:name="_Toc147500248"/>
      <w:r>
        <w:t>Purpose of consultation</w:t>
      </w:r>
      <w:bookmarkEnd w:id="24"/>
      <w:r>
        <w:t xml:space="preserve"> </w:t>
      </w:r>
    </w:p>
    <w:p w14:paraId="1E0B672C" w14:textId="244E079C" w:rsidR="00DC65F0" w:rsidRDefault="00DC65F0" w:rsidP="00DC65F0">
      <w:pPr>
        <w:pStyle w:val="BodyText"/>
      </w:pPr>
      <w:r w:rsidRPr="00151A09">
        <w:rPr>
          <w:rStyle w:val="BodyTextChar"/>
        </w:rPr>
        <w:t xml:space="preserve">This consultation paper seeks input from stakeholders on the policy and </w:t>
      </w:r>
      <w:r w:rsidR="005D1924">
        <w:rPr>
          <w:rStyle w:val="BodyTextChar"/>
        </w:rPr>
        <w:t>legislative</w:t>
      </w:r>
      <w:r w:rsidRPr="00151A09">
        <w:rPr>
          <w:rStyle w:val="BodyTextChar"/>
        </w:rPr>
        <w:t xml:space="preserve"> design of the </w:t>
      </w:r>
      <w:r>
        <w:t xml:space="preserve">Securing Australians’ Superannuation </w:t>
      </w:r>
      <w:r w:rsidRPr="00970B77">
        <w:t>package</w:t>
      </w:r>
      <w:r>
        <w:rPr>
          <w:i/>
          <w:iCs/>
        </w:rPr>
        <w:t xml:space="preserve">. </w:t>
      </w:r>
      <w:r w:rsidR="00460936">
        <w:t xml:space="preserve">This will </w:t>
      </w:r>
      <w:r w:rsidR="00B41809">
        <w:t xml:space="preserve">also </w:t>
      </w:r>
      <w:r w:rsidR="00460936">
        <w:t>be informed by</w:t>
      </w:r>
      <w:r w:rsidR="009F3832">
        <w:t xml:space="preserve"> </w:t>
      </w:r>
      <w:r w:rsidR="00E351C6">
        <w:t xml:space="preserve">ATO-led </w:t>
      </w:r>
      <w:r w:rsidR="00460936">
        <w:t xml:space="preserve">consultation on the administrative approach to </w:t>
      </w:r>
      <w:r w:rsidR="009F3832">
        <w:t>the package</w:t>
      </w:r>
      <w:r w:rsidR="00D341DA">
        <w:t>, commenc</w:t>
      </w:r>
      <w:r w:rsidR="00253159">
        <w:t>ing</w:t>
      </w:r>
      <w:r w:rsidR="00D341DA">
        <w:t xml:space="preserve"> in the second half of 2023. </w:t>
      </w:r>
    </w:p>
    <w:p w14:paraId="0FC24F06" w14:textId="5909D6AC" w:rsidR="008C6B14" w:rsidRDefault="00DC65F0" w:rsidP="00A355A1">
      <w:pPr>
        <w:pStyle w:val="BodyText"/>
      </w:pPr>
      <w:r>
        <w:t xml:space="preserve">The aim of this consultation process is to </w:t>
      </w:r>
      <w:r w:rsidR="009C6139">
        <w:t xml:space="preserve">work with </w:t>
      </w:r>
      <w:r w:rsidR="00210DAC">
        <w:t>stakeholders</w:t>
      </w:r>
      <w:r w:rsidR="009C6139">
        <w:t xml:space="preserve"> to co-design</w:t>
      </w:r>
      <w:r w:rsidR="00AF6247">
        <w:t xml:space="preserve"> an </w:t>
      </w:r>
      <w:r w:rsidR="00A030A5">
        <w:t>approach</w:t>
      </w:r>
      <w:r w:rsidR="00AF6247">
        <w:t xml:space="preserve"> which</w:t>
      </w:r>
      <w:r>
        <w:t xml:space="preserve"> achieves the goals of the Securing Australians’ Superannuation package and is fit for purpose, whilst minimising the administrative and regulatory burden on stakeholders who will implement the changes.</w:t>
      </w:r>
    </w:p>
    <w:p w14:paraId="616DFB23" w14:textId="6221707F" w:rsidR="008C6B14" w:rsidRDefault="008C6B14" w:rsidP="008C6B14">
      <w:pPr>
        <w:pStyle w:val="Heading2"/>
      </w:pPr>
      <w:bookmarkStart w:id="25" w:name="_Toc147500249"/>
      <w:r>
        <w:t xml:space="preserve">Structure of </w:t>
      </w:r>
      <w:r w:rsidR="00A80CD2">
        <w:t>consultation</w:t>
      </w:r>
      <w:bookmarkEnd w:id="25"/>
    </w:p>
    <w:p w14:paraId="7989E196" w14:textId="79D87A1F" w:rsidR="008866E8" w:rsidRDefault="008866E8" w:rsidP="008866E8">
      <w:pPr>
        <w:pStyle w:val="BodyText"/>
      </w:pPr>
      <w:r>
        <w:t xml:space="preserve">This consultation paper provides an overview of the current SG contributions and administration framework. This is followed by an introduction to the Government’s announcement at Budget to mandate payday super as part of the broader </w:t>
      </w:r>
      <w:r w:rsidRPr="00296DC7">
        <w:t>Securing Australians’ Superannuation</w:t>
      </w:r>
      <w:r>
        <w:rPr>
          <w:i/>
          <w:iCs/>
        </w:rPr>
        <w:t xml:space="preserve"> </w:t>
      </w:r>
      <w:r>
        <w:t>package. This package</w:t>
      </w:r>
      <w:r w:rsidR="007110F7">
        <w:t xml:space="preserve"> form</w:t>
      </w:r>
      <w:r w:rsidR="0026493E">
        <w:t>s</w:t>
      </w:r>
      <w:r w:rsidR="007110F7">
        <w:t xml:space="preserve"> the basis of </w:t>
      </w:r>
      <w:r w:rsidR="00866672">
        <w:t>what</w:t>
      </w:r>
      <w:r w:rsidR="0026493E">
        <w:t xml:space="preserve"> the Government is seeking to consult on, including:</w:t>
      </w:r>
    </w:p>
    <w:p w14:paraId="7D3DE3F4" w14:textId="4093222B" w:rsidR="0026493E" w:rsidRDefault="0026493E" w:rsidP="0026493E">
      <w:pPr>
        <w:pStyle w:val="Bullet"/>
      </w:pPr>
      <w:r>
        <w:t>Defining payday super</w:t>
      </w:r>
    </w:p>
    <w:p w14:paraId="6D369D79" w14:textId="2C1A00B7" w:rsidR="0026493E" w:rsidRDefault="00542EDD" w:rsidP="0026493E">
      <w:pPr>
        <w:pStyle w:val="Bullet"/>
      </w:pPr>
      <w:r>
        <w:t xml:space="preserve">Updating </w:t>
      </w:r>
      <w:r w:rsidR="0026493E">
        <w:t xml:space="preserve">the </w:t>
      </w:r>
      <w:r w:rsidR="00584FC2">
        <w:t>SG charge</w:t>
      </w:r>
    </w:p>
    <w:p w14:paraId="2388B5FB" w14:textId="0F9B6E1C" w:rsidR="0026493E" w:rsidRDefault="0026493E" w:rsidP="0026493E">
      <w:pPr>
        <w:pStyle w:val="Bullet"/>
      </w:pPr>
      <w:r>
        <w:t>Compliance mechanisms</w:t>
      </w:r>
    </w:p>
    <w:p w14:paraId="12DFCD4C" w14:textId="6ACE5CDC" w:rsidR="0026493E" w:rsidRDefault="0026493E" w:rsidP="0026493E">
      <w:pPr>
        <w:pStyle w:val="Bullet"/>
      </w:pPr>
      <w:r>
        <w:t>Other areas for consultation</w:t>
      </w:r>
    </w:p>
    <w:p w14:paraId="2F63C9AB" w14:textId="5F70E444" w:rsidR="007B25B8" w:rsidRDefault="00124207">
      <w:pPr>
        <w:pStyle w:val="BodyText"/>
      </w:pPr>
      <w:r>
        <w:t>The</w:t>
      </w:r>
      <w:r w:rsidR="004625BA">
        <w:t xml:space="preserve">se areas for consultation lead into </w:t>
      </w:r>
      <w:r w:rsidR="007A0EAC">
        <w:t>consultation questions</w:t>
      </w:r>
      <w:r w:rsidR="00333FB3">
        <w:t xml:space="preserve">, stakeholder answers to </w:t>
      </w:r>
      <w:r w:rsidR="007A0EAC">
        <w:t>which will inform the design of payday super implementation and compliance frameworks.</w:t>
      </w:r>
    </w:p>
    <w:p w14:paraId="1AAA706F" w14:textId="5455D438" w:rsidR="008A4B41" w:rsidRDefault="008A4B41" w:rsidP="00296DC7">
      <w:pPr>
        <w:pStyle w:val="BodyText"/>
      </w:pPr>
      <w:r>
        <w:t>Th</w:t>
      </w:r>
      <w:r w:rsidR="00124207">
        <w:t>is consultation</w:t>
      </w:r>
      <w:r>
        <w:t xml:space="preserve"> paper also includes</w:t>
      </w:r>
      <w:r w:rsidR="008C05D4">
        <w:t xml:space="preserve"> an overview of the current SG framework at </w:t>
      </w:r>
      <w:r w:rsidR="008C05D4">
        <w:rPr>
          <w:b/>
          <w:bCs/>
        </w:rPr>
        <w:t xml:space="preserve">Appendix A </w:t>
      </w:r>
      <w:r w:rsidR="008C05D4">
        <w:t>and</w:t>
      </w:r>
      <w:r>
        <w:t xml:space="preserve"> a timeline of the Securing Australians’ Superannuation </w:t>
      </w:r>
      <w:r w:rsidR="00010366">
        <w:t xml:space="preserve">package </w:t>
      </w:r>
      <w:r>
        <w:t xml:space="preserve">implementation at </w:t>
      </w:r>
      <w:r w:rsidR="00A2149E" w:rsidRPr="00296DC7">
        <w:rPr>
          <w:b/>
        </w:rPr>
        <w:t>Appendix</w:t>
      </w:r>
      <w:r w:rsidRPr="00296DC7">
        <w:rPr>
          <w:b/>
        </w:rPr>
        <w:t xml:space="preserve"> </w:t>
      </w:r>
      <w:r w:rsidR="008C05D4">
        <w:rPr>
          <w:b/>
        </w:rPr>
        <w:t>B.</w:t>
      </w:r>
    </w:p>
    <w:p w14:paraId="2AB46DDC" w14:textId="7CB3181E" w:rsidR="00A80CD2" w:rsidRDefault="00887BA1" w:rsidP="00DC65F0">
      <w:pPr>
        <w:pStyle w:val="BodyText"/>
        <w:sectPr w:rsidR="00A80CD2" w:rsidSect="003E117F">
          <w:headerReference w:type="even" r:id="rId22"/>
          <w:headerReference w:type="default" r:id="rId23"/>
          <w:footerReference w:type="even" r:id="rId24"/>
          <w:footerReference w:type="default" r:id="rId25"/>
          <w:headerReference w:type="first" r:id="rId26"/>
          <w:footerReference w:type="first" r:id="rId27"/>
          <w:pgSz w:w="11906" w:h="16838" w:code="9"/>
          <w:pgMar w:top="1843" w:right="1418" w:bottom="1418" w:left="1418" w:header="709" w:footer="709" w:gutter="0"/>
          <w:cols w:space="708"/>
          <w:docGrid w:linePitch="360"/>
        </w:sectPr>
      </w:pPr>
      <w:r>
        <w:t xml:space="preserve">Consultation will continue </w:t>
      </w:r>
      <w:r w:rsidR="00362E47">
        <w:t xml:space="preserve">in the lead up to </w:t>
      </w:r>
      <w:r w:rsidR="001C4AFC">
        <w:t>the 2024-25 Budget</w:t>
      </w:r>
      <w:r w:rsidR="00327914">
        <w:t xml:space="preserve"> where the </w:t>
      </w:r>
      <w:r w:rsidR="00CE3DD3">
        <w:t>Government</w:t>
      </w:r>
      <w:r w:rsidR="00327914">
        <w:t xml:space="preserve"> will consider the final </w:t>
      </w:r>
      <w:r w:rsidR="00CE3DD3">
        <w:t xml:space="preserve">design of </w:t>
      </w:r>
      <w:r w:rsidR="009F4315">
        <w:t xml:space="preserve">the announced changes. </w:t>
      </w:r>
      <w:r w:rsidR="00EA2B09">
        <w:t xml:space="preserve">This consultation process </w:t>
      </w:r>
      <w:r w:rsidR="00850EEB">
        <w:t>will involve</w:t>
      </w:r>
      <w:r w:rsidR="00AF14D6">
        <w:t xml:space="preserve"> </w:t>
      </w:r>
      <w:r w:rsidR="009B417D">
        <w:t>stakeholder</w:t>
      </w:r>
      <w:r w:rsidR="00AF14D6">
        <w:t xml:space="preserve"> </w:t>
      </w:r>
      <w:r w:rsidR="00E045EC">
        <w:t>roundtables</w:t>
      </w:r>
      <w:r w:rsidR="00850EEB">
        <w:t xml:space="preserve"> </w:t>
      </w:r>
      <w:r w:rsidR="00AF14D6">
        <w:t xml:space="preserve">and </w:t>
      </w:r>
      <w:r w:rsidR="001D63BF">
        <w:t xml:space="preserve">bilateral meetings </w:t>
      </w:r>
      <w:r w:rsidR="00850EEB">
        <w:t xml:space="preserve">with </w:t>
      </w:r>
      <w:r w:rsidR="00DB0795">
        <w:t xml:space="preserve">Treasury, the ATO and </w:t>
      </w:r>
      <w:r w:rsidR="00850EEB">
        <w:t>relevant stakeholders</w:t>
      </w:r>
      <w:r w:rsidR="004A4DFC" w:rsidRPr="00296DC7">
        <w:t>.</w:t>
      </w:r>
      <w:r w:rsidR="00B73AB2">
        <w:t xml:space="preserve"> </w:t>
      </w:r>
      <w:r w:rsidR="00B73AB2" w:rsidRPr="6C4E859B">
        <w:rPr>
          <w:color w:val="000000" w:themeColor="text1"/>
        </w:rPr>
        <w:t xml:space="preserve">If </w:t>
      </w:r>
      <w:r w:rsidR="00B73AB2">
        <w:t xml:space="preserve">you </w:t>
      </w:r>
      <w:r w:rsidR="00B73AB2" w:rsidRPr="6C4E859B">
        <w:rPr>
          <w:color w:val="000000" w:themeColor="text1"/>
        </w:rPr>
        <w:t xml:space="preserve">would like to be notified </w:t>
      </w:r>
      <w:r w:rsidR="00104409">
        <w:rPr>
          <w:color w:val="000000" w:themeColor="text1"/>
        </w:rPr>
        <w:t>about updates in the</w:t>
      </w:r>
      <w:r w:rsidR="00B73AB2" w:rsidRPr="6C4E859B">
        <w:rPr>
          <w:color w:val="000000" w:themeColor="text1"/>
        </w:rPr>
        <w:t xml:space="preserve"> consultation </w:t>
      </w:r>
      <w:r w:rsidR="00104409">
        <w:rPr>
          <w:color w:val="000000" w:themeColor="text1"/>
        </w:rPr>
        <w:t>process</w:t>
      </w:r>
      <w:r w:rsidR="009B0152">
        <w:rPr>
          <w:color w:val="000000" w:themeColor="text1"/>
        </w:rPr>
        <w:t>,</w:t>
      </w:r>
      <w:r w:rsidR="00B73AB2" w:rsidRPr="6C4E859B">
        <w:rPr>
          <w:color w:val="000000" w:themeColor="text1"/>
        </w:rPr>
        <w:t xml:space="preserve"> </w:t>
      </w:r>
      <w:r w:rsidR="00B73AB2">
        <w:rPr>
          <w:color w:val="000000" w:themeColor="text1"/>
        </w:rPr>
        <w:t>you</w:t>
      </w:r>
      <w:r w:rsidR="00B73AB2" w:rsidRPr="6C4E859B">
        <w:rPr>
          <w:color w:val="000000" w:themeColor="text1"/>
        </w:rPr>
        <w:t xml:space="preserve"> can </w:t>
      </w:r>
      <w:r w:rsidR="00B73AB2" w:rsidRPr="00A76993">
        <w:rPr>
          <w:rFonts w:eastAsia="Calibri" w:cs="Arial"/>
        </w:rPr>
        <w:t>subscribe to media releases</w:t>
      </w:r>
      <w:r w:rsidR="00B73AB2">
        <w:rPr>
          <w:rFonts w:eastAsia="Calibri" w:cs="Arial"/>
        </w:rPr>
        <w:t xml:space="preserve"> at: </w:t>
      </w:r>
      <w:hyperlink r:id="rId28" w:history="1">
        <w:r w:rsidR="00E045EC" w:rsidRPr="00B500F2">
          <w:rPr>
            <w:rStyle w:val="Hyperlink"/>
          </w:rPr>
          <w:t>https://ministers.treasury.gov.au/email-subscription</w:t>
        </w:r>
      </w:hyperlink>
      <w:r w:rsidR="003E256E" w:rsidRPr="003717CE">
        <w:t>.</w:t>
      </w:r>
      <w:r w:rsidR="00E045EC">
        <w:t xml:space="preserve"> If you would like to express interest in attending a stakeholder roundtable please email </w:t>
      </w:r>
      <w:hyperlink r:id="rId29" w:history="1">
        <w:r w:rsidR="00E045EC" w:rsidRPr="00B500F2">
          <w:rPr>
            <w:rStyle w:val="Hyperlink"/>
          </w:rPr>
          <w:t>paydaysuper@treasury.gov.au</w:t>
        </w:r>
      </w:hyperlink>
      <w:r w:rsidR="003B3EF5" w:rsidRPr="003717CE">
        <w:t>.</w:t>
      </w:r>
    </w:p>
    <w:p w14:paraId="7B34D313" w14:textId="75D8713D" w:rsidR="00AB39CB" w:rsidRDefault="007D2114" w:rsidP="00A274E6">
      <w:pPr>
        <w:pStyle w:val="Heading1"/>
      </w:pPr>
      <w:bookmarkStart w:id="26" w:name="_Toc147500250"/>
      <w:r>
        <w:t xml:space="preserve">Policy </w:t>
      </w:r>
      <w:r w:rsidR="003200BA">
        <w:t>c</w:t>
      </w:r>
      <w:r>
        <w:t>onsi</w:t>
      </w:r>
      <w:r w:rsidR="001E0331">
        <w:t xml:space="preserve">derations: </w:t>
      </w:r>
      <w:r w:rsidR="00AB39CB">
        <w:t>Securing Australians’ Superannuation</w:t>
      </w:r>
      <w:r w:rsidR="00F16D47">
        <w:t xml:space="preserve"> </w:t>
      </w:r>
      <w:proofErr w:type="gramStart"/>
      <w:r w:rsidR="00F16D47">
        <w:t>package</w:t>
      </w:r>
      <w:bookmarkEnd w:id="26"/>
      <w:proofErr w:type="gramEnd"/>
    </w:p>
    <w:p w14:paraId="1C227D6C" w14:textId="18416DA9" w:rsidR="0040141F" w:rsidRDefault="0040141F" w:rsidP="0040141F">
      <w:pPr>
        <w:pStyle w:val="Heading2"/>
      </w:pPr>
      <w:bookmarkStart w:id="27" w:name="_Toc147500251"/>
      <w:r>
        <w:t>Areas for consultation</w:t>
      </w:r>
      <w:bookmarkEnd w:id="27"/>
      <w:r>
        <w:t xml:space="preserve"> </w:t>
      </w:r>
    </w:p>
    <w:p w14:paraId="4AA035E5" w14:textId="38881DFB" w:rsidR="00B81E77" w:rsidRPr="00B81E77" w:rsidRDefault="00B81E77" w:rsidP="00474CF2">
      <w:pPr>
        <w:pStyle w:val="Bullet"/>
        <w:numPr>
          <w:ilvl w:val="0"/>
          <w:numId w:val="0"/>
        </w:numPr>
      </w:pPr>
      <w:r>
        <w:t>Th</w:t>
      </w:r>
      <w:r w:rsidR="006851AA">
        <w:t xml:space="preserve">is section seeks feedback on a range of policy design </w:t>
      </w:r>
      <w:r w:rsidR="0074170D">
        <w:t xml:space="preserve">elements </w:t>
      </w:r>
      <w:r w:rsidR="006851AA">
        <w:t xml:space="preserve">for </w:t>
      </w:r>
      <w:r w:rsidR="0074170D">
        <w:t xml:space="preserve">implementing </w:t>
      </w:r>
      <w:r w:rsidR="000C606A">
        <w:t>t</w:t>
      </w:r>
      <w:r w:rsidR="000C606A" w:rsidRPr="00A651B5">
        <w:t xml:space="preserve">he Government’s announcement </w:t>
      </w:r>
      <w:r w:rsidR="006847D2">
        <w:t xml:space="preserve">of </w:t>
      </w:r>
      <w:r w:rsidR="001707F3">
        <w:t>payday super</w:t>
      </w:r>
      <w:r w:rsidR="000C606A">
        <w:t xml:space="preserve">. </w:t>
      </w:r>
      <w:r w:rsidR="00524D1F">
        <w:t>T</w:t>
      </w:r>
      <w:r w:rsidR="00075839">
        <w:t xml:space="preserve">here are </w:t>
      </w:r>
      <w:proofErr w:type="gramStart"/>
      <w:r w:rsidR="00075839">
        <w:t>a number of</w:t>
      </w:r>
      <w:proofErr w:type="gramEnd"/>
      <w:r w:rsidR="00075839">
        <w:t xml:space="preserve"> policy design </w:t>
      </w:r>
      <w:r w:rsidR="00474CF2">
        <w:t xml:space="preserve">decisions that </w:t>
      </w:r>
      <w:r w:rsidR="000C606A" w:rsidRPr="00A651B5">
        <w:t>will require changes to the interactions between employers, superannuation funds, clearing houses</w:t>
      </w:r>
      <w:r w:rsidR="00847B27">
        <w:t>, digital service providers</w:t>
      </w:r>
      <w:r w:rsidR="000C606A" w:rsidRPr="00A651B5">
        <w:t xml:space="preserve"> and the ATO. </w:t>
      </w:r>
    </w:p>
    <w:p w14:paraId="4D408DC5" w14:textId="49E8F1DC" w:rsidR="00474CF2" w:rsidRPr="00B81E77" w:rsidRDefault="0057591F" w:rsidP="00474CF2">
      <w:pPr>
        <w:pStyle w:val="Bullet"/>
        <w:numPr>
          <w:ilvl w:val="0"/>
          <w:numId w:val="0"/>
        </w:numPr>
      </w:pPr>
      <w:r>
        <w:t xml:space="preserve">The core policy design issues are outlined </w:t>
      </w:r>
      <w:proofErr w:type="gramStart"/>
      <w:r>
        <w:t>below</w:t>
      </w:r>
      <w:proofErr w:type="gramEnd"/>
      <w:r>
        <w:t xml:space="preserve"> and consider</w:t>
      </w:r>
      <w:r w:rsidR="00FF77E3">
        <w:t>ation will be given to other issues raised during the consultation process</w:t>
      </w:r>
      <w:r w:rsidR="002424A6">
        <w:t xml:space="preserve">. </w:t>
      </w:r>
    </w:p>
    <w:p w14:paraId="6A175463" w14:textId="20D6E277" w:rsidR="003902D2" w:rsidRDefault="00E81A36" w:rsidP="003902D2">
      <w:pPr>
        <w:pStyle w:val="Heading3"/>
      </w:pPr>
      <w:bookmarkStart w:id="28" w:name="_Toc147500252"/>
      <w:r>
        <w:t>Payday super</w:t>
      </w:r>
      <w:bookmarkEnd w:id="28"/>
    </w:p>
    <w:p w14:paraId="711B97C4" w14:textId="4B8E1A95" w:rsidR="00CF0242" w:rsidRDefault="00CF0242" w:rsidP="00CF0242">
      <w:pPr>
        <w:pStyle w:val="Heading4"/>
      </w:pPr>
      <w:r>
        <w:t>Defining ‘payday’</w:t>
      </w:r>
    </w:p>
    <w:p w14:paraId="05EF7175" w14:textId="3D2C6771" w:rsidR="00786C2F" w:rsidRDefault="001707F3" w:rsidP="00F6768B">
      <w:pPr>
        <w:pStyle w:val="Bullet"/>
        <w:numPr>
          <w:ilvl w:val="0"/>
          <w:numId w:val="0"/>
        </w:numPr>
      </w:pPr>
      <w:r>
        <w:t>Payday super</w:t>
      </w:r>
      <w:r w:rsidR="00B07AD6">
        <w:t xml:space="preserve"> is intended to </w:t>
      </w:r>
      <w:r w:rsidR="00742D7B">
        <w:t>achieve a few policy objectives</w:t>
      </w:r>
      <w:r w:rsidR="008B3ACB">
        <w:t>.</w:t>
      </w:r>
      <w:r w:rsidR="00742D7B">
        <w:t xml:space="preserve"> It is intended that </w:t>
      </w:r>
      <w:r w:rsidR="00312CE8">
        <w:t>individuals receive their superannuation contribution</w:t>
      </w:r>
      <w:r w:rsidR="00567C1D">
        <w:t xml:space="preserve">s to their account as </w:t>
      </w:r>
      <w:r w:rsidR="00223C2A">
        <w:t>close to payday as possible</w:t>
      </w:r>
      <w:r w:rsidR="00392EFC">
        <w:t xml:space="preserve">, maximising the invested returns </w:t>
      </w:r>
      <w:r w:rsidR="008F4D7D">
        <w:t>on these contributions</w:t>
      </w:r>
      <w:r w:rsidR="00392EFC">
        <w:t>. It is also intended to assist with employees identifying whether</w:t>
      </w:r>
      <w:r w:rsidR="00DC301B">
        <w:t xml:space="preserve"> they have receive</w:t>
      </w:r>
      <w:r w:rsidR="0041658B">
        <w:t>d</w:t>
      </w:r>
      <w:r w:rsidR="00DC301B">
        <w:t xml:space="preserve"> the correct contributions by</w:t>
      </w:r>
      <w:r w:rsidR="00312CE8">
        <w:t xml:space="preserve"> </w:t>
      </w:r>
      <w:r w:rsidR="00DC301B">
        <w:t>matching the SG contribution printed on their payslip with contributions information from their super</w:t>
      </w:r>
      <w:r w:rsidR="00BB7693">
        <w:t>annuation</w:t>
      </w:r>
      <w:r w:rsidR="00DC301B">
        <w:t xml:space="preserve"> fund.</w:t>
      </w:r>
      <w:r w:rsidR="008B3ACB">
        <w:t xml:space="preserve"> </w:t>
      </w:r>
      <w:r w:rsidR="00786C2F">
        <w:t xml:space="preserve">The alignment </w:t>
      </w:r>
      <w:r w:rsidR="00F5365B">
        <w:t>of super</w:t>
      </w:r>
      <w:r w:rsidR="00A87F6A">
        <w:t xml:space="preserve">annuation contributions </w:t>
      </w:r>
      <w:r w:rsidR="00F5365B">
        <w:t xml:space="preserve">and wages </w:t>
      </w:r>
      <w:r w:rsidR="00845EE6">
        <w:t>will</w:t>
      </w:r>
      <w:r w:rsidR="00E566CC">
        <w:t xml:space="preserve"> </w:t>
      </w:r>
      <w:r w:rsidR="00F87E0B">
        <w:t xml:space="preserve">also </w:t>
      </w:r>
      <w:r w:rsidR="008262AB">
        <w:t xml:space="preserve">enable </w:t>
      </w:r>
      <w:r w:rsidR="00022538">
        <w:t>underpayments of super</w:t>
      </w:r>
      <w:r w:rsidR="00E86A86">
        <w:t>annuation</w:t>
      </w:r>
      <w:r w:rsidR="00022538">
        <w:t xml:space="preserve"> to be identified </w:t>
      </w:r>
      <w:r w:rsidR="00171A41">
        <w:t>by the ATO</w:t>
      </w:r>
      <w:r w:rsidR="00022538">
        <w:t xml:space="preserve"> in a timely </w:t>
      </w:r>
      <w:r w:rsidR="001B214F">
        <w:t>manner</w:t>
      </w:r>
      <w:r w:rsidR="00171A41">
        <w:t xml:space="preserve"> through</w:t>
      </w:r>
      <w:r w:rsidR="00227584">
        <w:t xml:space="preserve"> </w:t>
      </w:r>
      <w:r w:rsidR="00171A41">
        <w:t>matching</w:t>
      </w:r>
      <w:r w:rsidR="00474BC6">
        <w:t xml:space="preserve"> </w:t>
      </w:r>
      <w:r w:rsidR="00240F70">
        <w:t>data on</w:t>
      </w:r>
      <w:r w:rsidR="00474BC6">
        <w:t xml:space="preserve"> </w:t>
      </w:r>
      <w:r w:rsidR="00D6378D">
        <w:t>employer superannuation payments</w:t>
      </w:r>
      <w:r w:rsidR="00474BC6">
        <w:t xml:space="preserve"> and </w:t>
      </w:r>
      <w:r w:rsidR="005311EB">
        <w:t>contributions</w:t>
      </w:r>
      <w:r w:rsidR="001E682F">
        <w:t xml:space="preserve"> for each pay period</w:t>
      </w:r>
      <w:r w:rsidR="001B214F">
        <w:t xml:space="preserve">. </w:t>
      </w:r>
    </w:p>
    <w:p w14:paraId="4E261F1B" w14:textId="4F1F3D80" w:rsidR="001A407A" w:rsidRDefault="00AC7A94" w:rsidP="00F6768B">
      <w:pPr>
        <w:pStyle w:val="Bullet"/>
        <w:numPr>
          <w:ilvl w:val="0"/>
          <w:numId w:val="0"/>
        </w:numPr>
      </w:pPr>
      <w:r>
        <w:t>T</w:t>
      </w:r>
      <w:r w:rsidR="00FE4A63">
        <w:t xml:space="preserve">here are two </w:t>
      </w:r>
      <w:r w:rsidR="009850E7">
        <w:t xml:space="preserve">models that could be </w:t>
      </w:r>
      <w:r w:rsidR="007963AA">
        <w:t>used. A</w:t>
      </w:r>
      <w:r w:rsidR="0041658B">
        <w:t>n</w:t>
      </w:r>
      <w:r w:rsidR="007963AA">
        <w:t xml:space="preserve"> ‘employer payment’ model that would impose the requirement on the employer to make payment of the </w:t>
      </w:r>
      <w:r w:rsidR="00E31A60">
        <w:t xml:space="preserve">SG contributions on the day that wages and salary is made or </w:t>
      </w:r>
      <w:r w:rsidR="00C32A30">
        <w:t>a ‘due date’ model that requires contributions to be received by the superannuation</w:t>
      </w:r>
      <w:r w:rsidR="0097677D">
        <w:t xml:space="preserve"> fund</w:t>
      </w:r>
      <w:r w:rsidR="00C32A30">
        <w:t xml:space="preserve"> within a certain number of days following ‘payday’.</w:t>
      </w:r>
    </w:p>
    <w:p w14:paraId="6F78A52D" w14:textId="1B6F1D87" w:rsidR="00170560" w:rsidRDefault="00F16ACF" w:rsidP="003D2018">
      <w:pPr>
        <w:pStyle w:val="Bullet"/>
        <w:numPr>
          <w:ilvl w:val="0"/>
          <w:numId w:val="0"/>
        </w:numPr>
      </w:pPr>
      <w:r>
        <w:t>Under either model, i</w:t>
      </w:r>
      <w:r w:rsidR="001A407A">
        <w:t xml:space="preserve">t will be necessary to define what constitutes </w:t>
      </w:r>
      <w:r w:rsidR="00C1178B">
        <w:t>‘</w:t>
      </w:r>
      <w:r w:rsidR="001A407A">
        <w:t>payday</w:t>
      </w:r>
      <w:r w:rsidR="00C1178B">
        <w:t xml:space="preserve">’. </w:t>
      </w:r>
      <w:r w:rsidR="009850E7">
        <w:t>It</w:t>
      </w:r>
      <w:r w:rsidR="00F6768B">
        <w:t xml:space="preserve"> is </w:t>
      </w:r>
      <w:r w:rsidR="007C0B67">
        <w:t xml:space="preserve">envisaged </w:t>
      </w:r>
      <w:r w:rsidR="00AA1185">
        <w:t xml:space="preserve">that ‘payday’ would </w:t>
      </w:r>
      <w:r w:rsidR="00BB7693">
        <w:t>capture</w:t>
      </w:r>
      <w:r w:rsidR="00AA1185">
        <w:t xml:space="preserve"> </w:t>
      </w:r>
      <w:r w:rsidR="003D2018">
        <w:t xml:space="preserve">every time </w:t>
      </w:r>
      <w:r w:rsidR="007D273C">
        <w:t xml:space="preserve">a payment with an OTE component is </w:t>
      </w:r>
      <w:r w:rsidR="00700661">
        <w:t>made to an employee</w:t>
      </w:r>
      <w:r w:rsidR="003D2018">
        <w:t>.</w:t>
      </w:r>
      <w:r w:rsidR="003F10BC">
        <w:t xml:space="preserve"> </w:t>
      </w:r>
      <w:r w:rsidR="00EA26B7">
        <w:t>For example</w:t>
      </w:r>
      <w:r w:rsidR="003D2018">
        <w:t>, s</w:t>
      </w:r>
      <w:r w:rsidR="00242FE2">
        <w:t xml:space="preserve">ome payments with OTE components </w:t>
      </w:r>
      <w:r w:rsidR="00A12765">
        <w:t xml:space="preserve">may occur </w:t>
      </w:r>
      <w:r w:rsidR="00033FD3">
        <w:t xml:space="preserve">outside of the regular pay cycle, such as termination payments. It is envisaged </w:t>
      </w:r>
      <w:r w:rsidR="00AA1185">
        <w:t>that</w:t>
      </w:r>
      <w:r w:rsidR="00033FD3">
        <w:t xml:space="preserve"> these events</w:t>
      </w:r>
      <w:r w:rsidR="00700661">
        <w:t xml:space="preserve"> </w:t>
      </w:r>
      <w:r w:rsidR="00AA1185">
        <w:t>will still constitute an employee’s ‘payday’</w:t>
      </w:r>
      <w:r w:rsidR="00033FD3">
        <w:t xml:space="preserve"> </w:t>
      </w:r>
      <w:r w:rsidR="00700661">
        <w:t>given they contain OTE components</w:t>
      </w:r>
      <w:r w:rsidR="004D7CED">
        <w:t xml:space="preserve">. </w:t>
      </w:r>
    </w:p>
    <w:p w14:paraId="5883A7A4" w14:textId="01633E8F" w:rsidR="00E2421D" w:rsidRDefault="00183954" w:rsidP="003D2018">
      <w:pPr>
        <w:pStyle w:val="Bullet"/>
        <w:numPr>
          <w:ilvl w:val="0"/>
          <w:numId w:val="0"/>
        </w:numPr>
      </w:pPr>
      <w:r>
        <w:t>Employee</w:t>
      </w:r>
      <w:r w:rsidR="00680A23">
        <w:t xml:space="preserve"> SG </w:t>
      </w:r>
      <w:r w:rsidR="00E92F0B">
        <w:t xml:space="preserve">contributions </w:t>
      </w:r>
      <w:r w:rsidR="00680A23">
        <w:t>will be based on the OTE paid to the employee on the pay</w:t>
      </w:r>
      <w:r w:rsidR="009E48A1">
        <w:t>day</w:t>
      </w:r>
      <w:r w:rsidR="00680A23">
        <w:t>.</w:t>
      </w:r>
      <w:r w:rsidR="00586903">
        <w:t xml:space="preserve"> </w:t>
      </w:r>
      <w:r w:rsidR="00E2421D">
        <w:t>Employe</w:t>
      </w:r>
      <w:r w:rsidR="00680A23">
        <w:t>r</w:t>
      </w:r>
      <w:r w:rsidR="00E2421D">
        <w:t xml:space="preserve">s will calculate SG owing consistent with STP reporting. </w:t>
      </w:r>
    </w:p>
    <w:p w14:paraId="76C774D6" w14:textId="4EADBA68" w:rsidR="000307F4" w:rsidRDefault="000307F4" w:rsidP="000307F4">
      <w:pPr>
        <w:shd w:val="clear" w:color="auto" w:fill="E8F0FC" w:themeFill="accent5" w:themeFillTint="33"/>
        <w:rPr>
          <w:b/>
          <w:bCs/>
        </w:rPr>
      </w:pPr>
      <w:r>
        <w:rPr>
          <w:b/>
          <w:bCs/>
        </w:rPr>
        <w:t>Consultation questions</w:t>
      </w:r>
    </w:p>
    <w:p w14:paraId="5CDA3498" w14:textId="1753C01B" w:rsidR="000307F4" w:rsidRDefault="004A4663" w:rsidP="000307F4">
      <w:pPr>
        <w:pStyle w:val="OutlineNumbered1"/>
        <w:shd w:val="clear" w:color="auto" w:fill="E8F0FC" w:themeFill="accent5" w:themeFillTint="33"/>
      </w:pPr>
      <w:r>
        <w:t>What implementation issues could arise if</w:t>
      </w:r>
      <w:r w:rsidR="005E7FDD">
        <w:t xml:space="preserve"> ‘payday’</w:t>
      </w:r>
      <w:r>
        <w:t xml:space="preserve"> is defined as </w:t>
      </w:r>
      <w:r w:rsidR="004752EF">
        <w:t xml:space="preserve">being </w:t>
      </w:r>
      <w:r w:rsidR="00F87E0B">
        <w:t xml:space="preserve">each time </w:t>
      </w:r>
      <w:r w:rsidR="007A7261">
        <w:t xml:space="preserve">a payment is made to an employee </w:t>
      </w:r>
      <w:r w:rsidR="004310FC">
        <w:t xml:space="preserve">with an OTE component </w:t>
      </w:r>
      <w:r w:rsidR="00CD2B57">
        <w:t xml:space="preserve">? </w:t>
      </w:r>
    </w:p>
    <w:p w14:paraId="6A0B930B" w14:textId="7196F068" w:rsidR="001D25F2" w:rsidRDefault="00455C70" w:rsidP="000307F4">
      <w:pPr>
        <w:pStyle w:val="OutlineNumbered1"/>
        <w:shd w:val="clear" w:color="auto" w:fill="E8F0FC" w:themeFill="accent5" w:themeFillTint="33"/>
      </w:pPr>
      <w:r>
        <w:t>What implementation issues</w:t>
      </w:r>
      <w:r w:rsidR="004E2046">
        <w:t xml:space="preserve"> </w:t>
      </w:r>
      <w:r w:rsidR="00DC6C3B">
        <w:t xml:space="preserve">could </w:t>
      </w:r>
      <w:r>
        <w:t xml:space="preserve">arise when </w:t>
      </w:r>
      <w:r w:rsidR="00DC6C3B">
        <w:t>more regular SG payments</w:t>
      </w:r>
      <w:r>
        <w:t xml:space="preserve"> are mandated</w:t>
      </w:r>
      <w:r w:rsidR="00DC6C3B">
        <w:t xml:space="preserve">? </w:t>
      </w:r>
    </w:p>
    <w:p w14:paraId="69BDC8DA" w14:textId="721E4D75" w:rsidR="00E83398" w:rsidRPr="00AB39CB" w:rsidRDefault="00F77FE7" w:rsidP="00E83398">
      <w:pPr>
        <w:pStyle w:val="Heading3"/>
      </w:pPr>
      <w:bookmarkStart w:id="29" w:name="_Toc147500253"/>
      <w:r>
        <w:t xml:space="preserve">Updating </w:t>
      </w:r>
      <w:r w:rsidR="00E83398">
        <w:t xml:space="preserve">the </w:t>
      </w:r>
      <w:r w:rsidR="00584FC2">
        <w:t>SG charge</w:t>
      </w:r>
      <w:bookmarkEnd w:id="29"/>
      <w:r w:rsidR="00E83398">
        <w:t xml:space="preserve"> </w:t>
      </w:r>
    </w:p>
    <w:p w14:paraId="05E4140F" w14:textId="5E7FE480" w:rsidR="00DB4B52" w:rsidRDefault="005B7D99" w:rsidP="00E83398">
      <w:pPr>
        <w:pStyle w:val="Bullet"/>
        <w:numPr>
          <w:ilvl w:val="0"/>
          <w:numId w:val="0"/>
        </w:numPr>
      </w:pPr>
      <w:r>
        <w:t xml:space="preserve">Unpaid superannuation is equivalent to wage theft. The </w:t>
      </w:r>
      <w:r w:rsidR="00584FC2">
        <w:t>SG charge</w:t>
      </w:r>
      <w:r w:rsidR="00CD0A94">
        <w:t xml:space="preserve"> </w:t>
      </w:r>
      <w:r w:rsidR="00C813DA">
        <w:t>is</w:t>
      </w:r>
      <w:r w:rsidR="00CD0A94">
        <w:t xml:space="preserve"> an important tool for deterring and </w:t>
      </w:r>
      <w:r w:rsidR="00907318">
        <w:t xml:space="preserve">penalising </w:t>
      </w:r>
      <w:r w:rsidR="0063587C">
        <w:t xml:space="preserve">non-compliance </w:t>
      </w:r>
      <w:r w:rsidR="00C16FD3">
        <w:t>with SG obligations</w:t>
      </w:r>
      <w:r w:rsidR="005C622C">
        <w:t xml:space="preserve"> and this will remain </w:t>
      </w:r>
      <w:r w:rsidR="00030822">
        <w:t xml:space="preserve">the case under payday </w:t>
      </w:r>
      <w:r w:rsidR="006A725E">
        <w:t>super</w:t>
      </w:r>
      <w:r w:rsidR="00030822">
        <w:t>.</w:t>
      </w:r>
      <w:r w:rsidR="00E05CC2" w:rsidRPr="00E05CC2">
        <w:t xml:space="preserve"> </w:t>
      </w:r>
    </w:p>
    <w:p w14:paraId="32A41B17" w14:textId="6B6DDFEF" w:rsidR="00CC3ABC" w:rsidRDefault="00E83398" w:rsidP="00E83398">
      <w:pPr>
        <w:pStyle w:val="Bullet"/>
        <w:numPr>
          <w:ilvl w:val="0"/>
          <w:numId w:val="0"/>
        </w:numPr>
      </w:pPr>
      <w:r>
        <w:t xml:space="preserve">The </w:t>
      </w:r>
      <w:r w:rsidR="00584FC2">
        <w:t>SG charge</w:t>
      </w:r>
      <w:r w:rsidR="005B7D99">
        <w:t xml:space="preserve"> </w:t>
      </w:r>
      <w:r w:rsidR="00351C30">
        <w:t>is designed for a quarterly payment model and</w:t>
      </w:r>
      <w:r>
        <w:t xml:space="preserve"> will</w:t>
      </w:r>
      <w:r w:rsidR="00EC5CDF">
        <w:t xml:space="preserve"> need to</w:t>
      </w:r>
      <w:r>
        <w:t xml:space="preserve"> be</w:t>
      </w:r>
      <w:r w:rsidR="00912355">
        <w:t xml:space="preserve"> updated</w:t>
      </w:r>
      <w:r>
        <w:t xml:space="preserve"> to align with a more frequent payment schedule.</w:t>
      </w:r>
    </w:p>
    <w:p w14:paraId="6637FF01" w14:textId="0FDFA316" w:rsidR="00FE07BF" w:rsidRDefault="006E4E96" w:rsidP="0037518B">
      <w:pPr>
        <w:pStyle w:val="Bullet"/>
        <w:numPr>
          <w:ilvl w:val="0"/>
          <w:numId w:val="0"/>
        </w:numPr>
      </w:pPr>
      <w:r>
        <w:t xml:space="preserve">Any changes </w:t>
      </w:r>
      <w:r w:rsidR="0037518B">
        <w:t xml:space="preserve">to the calculation of the </w:t>
      </w:r>
      <w:r w:rsidR="00584FC2">
        <w:t>SG charge</w:t>
      </w:r>
      <w:r w:rsidR="0037518B">
        <w:t xml:space="preserve"> will be proportional to the level of non-compliance</w:t>
      </w:r>
      <w:r w:rsidR="00992BC9">
        <w:t xml:space="preserve"> </w:t>
      </w:r>
      <w:r w:rsidR="008F0250">
        <w:t xml:space="preserve">and </w:t>
      </w:r>
      <w:r w:rsidR="003B548F">
        <w:t xml:space="preserve">ensure that </w:t>
      </w:r>
      <w:r w:rsidR="00F36298">
        <w:t>it continues to deter and penalise</w:t>
      </w:r>
      <w:r w:rsidR="006172CF">
        <w:t xml:space="preserve"> non-compliance</w:t>
      </w:r>
      <w:r w:rsidR="0037518B">
        <w:t>. The intent of a</w:t>
      </w:r>
      <w:r w:rsidR="00542EDD">
        <w:t>n updated</w:t>
      </w:r>
      <w:r w:rsidR="0037518B">
        <w:t xml:space="preserve"> </w:t>
      </w:r>
      <w:r w:rsidR="00584FC2">
        <w:t>SG charge</w:t>
      </w:r>
      <w:r w:rsidR="0037518B">
        <w:t xml:space="preserve"> is that employees who receive contributions late should always be compensated for forgone earnings</w:t>
      </w:r>
      <w:r w:rsidR="00D74A63">
        <w:t>,</w:t>
      </w:r>
      <w:r w:rsidR="0037518B">
        <w:t xml:space="preserve"> while employers should not be unduly penalised for circumstances outside of their control or for small administrative errors. These changes could include amendments to </w:t>
      </w:r>
      <w:r w:rsidR="003A7EEB">
        <w:t xml:space="preserve">the </w:t>
      </w:r>
      <w:r w:rsidR="004676BF">
        <w:t xml:space="preserve">rate of nominal </w:t>
      </w:r>
      <w:r w:rsidR="00515248">
        <w:t>interes</w:t>
      </w:r>
      <w:r w:rsidR="0049738E">
        <w:t>t</w:t>
      </w:r>
      <w:r w:rsidR="0037518B">
        <w:t xml:space="preserve"> and the size of the administration fee in a payday super model.</w:t>
      </w:r>
      <w:r w:rsidR="00FE07BF">
        <w:t xml:space="preserve"> </w:t>
      </w:r>
    </w:p>
    <w:p w14:paraId="104E1BB5" w14:textId="01C44818" w:rsidR="0037518B" w:rsidRDefault="0037518B" w:rsidP="00E83398">
      <w:pPr>
        <w:pStyle w:val="Bullet"/>
        <w:numPr>
          <w:ilvl w:val="0"/>
          <w:numId w:val="0"/>
        </w:numPr>
      </w:pPr>
      <w:r>
        <w:t xml:space="preserve">In addition, the Commissioner of Taxation </w:t>
      </w:r>
      <w:r w:rsidR="00E92498">
        <w:t xml:space="preserve">could </w:t>
      </w:r>
      <w:r>
        <w:t xml:space="preserve">be granted some flexibility to remit or reduce the </w:t>
      </w:r>
      <w:r w:rsidR="00584FC2">
        <w:t>SG charge</w:t>
      </w:r>
      <w:r>
        <w:t xml:space="preserve"> </w:t>
      </w:r>
      <w:r w:rsidR="00A07D4E">
        <w:t xml:space="preserve">or </w:t>
      </w:r>
      <w:r w:rsidR="00844EBF">
        <w:t>extend</w:t>
      </w:r>
      <w:r w:rsidR="00A07D4E">
        <w:t xml:space="preserve"> the due </w:t>
      </w:r>
      <w:r w:rsidR="0017476C">
        <w:t xml:space="preserve">date </w:t>
      </w:r>
      <w:r>
        <w:t xml:space="preserve">under discrete circumstances where the employer is unable to meet the SG due date due to circumstances beyond their control. These circumstances will be limited and specified in legislation. They will not amount to a general discretion for the Commissioner to remit or reduce the charge </w:t>
      </w:r>
      <w:r w:rsidR="002151DF">
        <w:t xml:space="preserve">or </w:t>
      </w:r>
      <w:r w:rsidR="00085C73">
        <w:t>extend the due date for</w:t>
      </w:r>
      <w:r w:rsidR="002151DF">
        <w:t xml:space="preserve"> its</w:t>
      </w:r>
      <w:r w:rsidR="00FE479C">
        <w:t xml:space="preserve"> </w:t>
      </w:r>
      <w:r w:rsidR="009A0AA0">
        <w:t>payment</w:t>
      </w:r>
      <w:r w:rsidR="00FE479C">
        <w:t xml:space="preserve"> </w:t>
      </w:r>
      <w:r>
        <w:t>on application from an employer.</w:t>
      </w:r>
      <w:r w:rsidR="002B0F0B">
        <w:t xml:space="preserve"> </w:t>
      </w:r>
    </w:p>
    <w:p w14:paraId="255478FA" w14:textId="00367A63" w:rsidR="00CC3ABC" w:rsidRDefault="00CC3ABC" w:rsidP="009410B5">
      <w:pPr>
        <w:pStyle w:val="Heading4"/>
      </w:pPr>
      <w:r>
        <w:t>Employer payment model</w:t>
      </w:r>
    </w:p>
    <w:p w14:paraId="2288ED36" w14:textId="5E394319" w:rsidR="00FC6B86" w:rsidRDefault="00F626F0" w:rsidP="00E83398">
      <w:pPr>
        <w:pStyle w:val="Bullet"/>
        <w:numPr>
          <w:ilvl w:val="0"/>
          <w:numId w:val="0"/>
        </w:numPr>
      </w:pPr>
      <w:r>
        <w:t>The</w:t>
      </w:r>
      <w:r w:rsidR="00E83398">
        <w:t xml:space="preserve"> </w:t>
      </w:r>
      <w:r w:rsidR="00584FC2">
        <w:t>SG charge</w:t>
      </w:r>
      <w:r w:rsidR="00E83398">
        <w:t xml:space="preserve"> could be based upon a requirement that the employer make the payment of an SG contribution on payday.</w:t>
      </w:r>
      <w:r w:rsidR="00FC6B86">
        <w:t xml:space="preserve"> </w:t>
      </w:r>
      <w:r w:rsidR="00E5067E">
        <w:t xml:space="preserve">Where a payment is not made on payday, </w:t>
      </w:r>
      <w:r w:rsidR="00AD04EE">
        <w:t xml:space="preserve">an </w:t>
      </w:r>
      <w:r w:rsidR="001771DC">
        <w:t>employer would become liable to pay the</w:t>
      </w:r>
      <w:r w:rsidR="002744B7">
        <w:t xml:space="preserve"> </w:t>
      </w:r>
      <w:r w:rsidR="00584FC2">
        <w:t>SG charge</w:t>
      </w:r>
      <w:r w:rsidR="002744B7">
        <w:t xml:space="preserve"> </w:t>
      </w:r>
      <w:r w:rsidR="001771DC">
        <w:t xml:space="preserve">from this date. </w:t>
      </w:r>
      <w:r w:rsidR="00063924">
        <w:t xml:space="preserve"> </w:t>
      </w:r>
    </w:p>
    <w:p w14:paraId="30CF4982" w14:textId="790F2B9D" w:rsidR="00E83398" w:rsidRDefault="00BA1AC7" w:rsidP="00E83398">
      <w:pPr>
        <w:pStyle w:val="Bullet"/>
        <w:numPr>
          <w:ilvl w:val="0"/>
          <w:numId w:val="0"/>
        </w:numPr>
      </w:pPr>
      <w:r>
        <w:t>T</w:t>
      </w:r>
      <w:r w:rsidRPr="009410B5">
        <w:t>he current reporting and data mechanisms do not provide a verifiable payment date data point that could be used to monitor compliance</w:t>
      </w:r>
      <w:r w:rsidR="0034548A">
        <w:t xml:space="preserve"> in real</w:t>
      </w:r>
      <w:r w:rsidR="008512F5">
        <w:t>-</w:t>
      </w:r>
      <w:r w:rsidR="0034548A">
        <w:t>time</w:t>
      </w:r>
      <w:r w:rsidRPr="009410B5">
        <w:t>.</w:t>
      </w:r>
      <w:r>
        <w:rPr>
          <w:rStyle w:val="cf01"/>
        </w:rPr>
        <w:t xml:space="preserve"> </w:t>
      </w:r>
      <w:r w:rsidR="00AD04EE">
        <w:t>This model would require a new</w:t>
      </w:r>
      <w:r w:rsidR="00E83398">
        <w:t xml:space="preserve"> reporting and data mechanism</w:t>
      </w:r>
      <w:r w:rsidR="00AD04EE">
        <w:t xml:space="preserve"> to be established to provide the ATO oversight of the day that SG contributions are made. </w:t>
      </w:r>
      <w:r w:rsidR="006922BB">
        <w:t>As t</w:t>
      </w:r>
      <w:r w:rsidR="00AD04EE">
        <w:t xml:space="preserve">he </w:t>
      </w:r>
      <w:r w:rsidR="00E83398">
        <w:t>underlying policy intent is for contributions to be allocated to individual’s superannuation account as soon as possible to maximise the returns that they will receive</w:t>
      </w:r>
      <w:r w:rsidR="006922BB">
        <w:t xml:space="preserve">, </w:t>
      </w:r>
      <w:r w:rsidR="00BB7693">
        <w:t>intermediaries</w:t>
      </w:r>
      <w:r w:rsidR="00E83398">
        <w:t xml:space="preserve"> would </w:t>
      </w:r>
      <w:r w:rsidR="006922BB">
        <w:t>need to be</w:t>
      </w:r>
      <w:r w:rsidR="00E83398">
        <w:t xml:space="preserve"> incentivised to improve processing </w:t>
      </w:r>
      <w:r w:rsidR="006922BB">
        <w:t xml:space="preserve">times. </w:t>
      </w:r>
      <w:r w:rsidR="00EC53CA">
        <w:t xml:space="preserve">This could include </w:t>
      </w:r>
      <w:r w:rsidR="0000680E">
        <w:t xml:space="preserve">utilising real-time modern payment platforms such as the </w:t>
      </w:r>
      <w:r w:rsidR="00583ADE">
        <w:t>New Payments Platform (</w:t>
      </w:r>
      <w:r w:rsidR="0000680E">
        <w:t>NPP</w:t>
      </w:r>
      <w:r w:rsidR="00583ADE">
        <w:t>)</w:t>
      </w:r>
      <w:r w:rsidR="0000680E">
        <w:t xml:space="preserve">. </w:t>
      </w:r>
    </w:p>
    <w:p w14:paraId="121DB92F" w14:textId="363B18DC" w:rsidR="007E3B4C" w:rsidRPr="00AF6A16" w:rsidRDefault="006B4F86" w:rsidP="00AF6A16">
      <w:pPr>
        <w:pStyle w:val="Bullet"/>
        <w:numPr>
          <w:ilvl w:val="0"/>
          <w:numId w:val="0"/>
        </w:numPr>
      </w:pPr>
      <w:r>
        <w:t>Timing of r</w:t>
      </w:r>
      <w:r w:rsidR="00AF6A16" w:rsidRPr="009410B5">
        <w:t>eceipt of superannuation contributions</w:t>
      </w:r>
      <w:r w:rsidR="007E3B4C" w:rsidRPr="009410B5">
        <w:t xml:space="preserve"> by a</w:t>
      </w:r>
      <w:r w:rsidR="00AF6A16" w:rsidRPr="009410B5">
        <w:t xml:space="preserve">n employee’s superannuation </w:t>
      </w:r>
      <w:r w:rsidR="007E3B4C" w:rsidRPr="009410B5">
        <w:t xml:space="preserve">fund </w:t>
      </w:r>
      <w:r w:rsidR="00CE02F1">
        <w:t xml:space="preserve">would still </w:t>
      </w:r>
      <w:r>
        <w:t xml:space="preserve">need to </w:t>
      </w:r>
      <w:r w:rsidR="00CE02F1">
        <w:t xml:space="preserve">be </w:t>
      </w:r>
      <w:r>
        <w:t xml:space="preserve">considered </w:t>
      </w:r>
      <w:r w:rsidR="00CE02F1">
        <w:t>to ensure that employer contributions are received in an appropriate period</w:t>
      </w:r>
      <w:r w:rsidR="00AF6A16" w:rsidRPr="009410B5">
        <w:t xml:space="preserve">. </w:t>
      </w:r>
      <w:r w:rsidR="00195063">
        <w:t>The ATO</w:t>
      </w:r>
      <w:r w:rsidR="00AF6A16">
        <w:t xml:space="preserve"> would still need to </w:t>
      </w:r>
      <w:r w:rsidR="00195063">
        <w:t xml:space="preserve">make </w:t>
      </w:r>
      <w:r w:rsidR="00505ED6">
        <w:t>reconciliations</w:t>
      </w:r>
      <w:r w:rsidR="00AF6A16">
        <w:t xml:space="preserve"> between MATS and STP data to ensure that the correct amount has both been paid and </w:t>
      </w:r>
      <w:r w:rsidR="00195063">
        <w:t xml:space="preserve">received by an employee’s superannuation fund. </w:t>
      </w:r>
    </w:p>
    <w:p w14:paraId="5E3F79EA" w14:textId="55CFFA09" w:rsidR="00E76226" w:rsidRDefault="00E76226" w:rsidP="00E76226">
      <w:pPr>
        <w:pStyle w:val="ChartMainHeading"/>
      </w:pPr>
      <w:bookmarkStart w:id="30" w:name="_Toc147500254"/>
      <w:r w:rsidRPr="004933A2">
        <w:t>Figure 1:</w:t>
      </w:r>
      <w:r>
        <w:t xml:space="preserve"> Employer payment model -</w:t>
      </w:r>
      <w:r w:rsidRPr="004933A2">
        <w:t xml:space="preserve"> </w:t>
      </w:r>
      <w:r w:rsidR="00584FC2">
        <w:t>SG charge</w:t>
      </w:r>
      <w:r w:rsidRPr="004933A2">
        <w:t xml:space="preserve"> and nominal interest accrual</w:t>
      </w:r>
      <w:bookmarkEnd w:id="30"/>
    </w:p>
    <w:tbl>
      <w:tblPr>
        <w:tblStyle w:val="TableGrid"/>
        <w:tblW w:w="9595" w:type="dxa"/>
        <w:tblLook w:val="04A0" w:firstRow="1" w:lastRow="0" w:firstColumn="1" w:lastColumn="0" w:noHBand="0" w:noVBand="1"/>
      </w:tblPr>
      <w:tblGrid>
        <w:gridCol w:w="3198"/>
        <w:gridCol w:w="3197"/>
        <w:gridCol w:w="3200"/>
      </w:tblGrid>
      <w:tr w:rsidR="00505ED6" w:rsidRPr="00A27824" w14:paraId="5FFFB1C3" w14:textId="77777777" w:rsidTr="00505ED6">
        <w:trPr>
          <w:cnfStyle w:val="100000000000" w:firstRow="1" w:lastRow="0" w:firstColumn="0" w:lastColumn="0" w:oddVBand="0" w:evenVBand="0" w:oddHBand="0" w:evenHBand="0" w:firstRowFirstColumn="0" w:firstRowLastColumn="0" w:lastRowFirstColumn="0" w:lastRowLastColumn="0"/>
          <w:trHeight w:val="899"/>
        </w:trPr>
        <w:tc>
          <w:tcPr>
            <w:tcW w:w="3198" w:type="dxa"/>
          </w:tcPr>
          <w:p w14:paraId="5B77741C" w14:textId="77777777" w:rsidR="00505ED6" w:rsidRPr="00675C6A" w:rsidRDefault="00505ED6">
            <w:pPr>
              <w:pStyle w:val="BodyText"/>
              <w:spacing w:before="96" w:after="96"/>
              <w:rPr>
                <w:b w:val="0"/>
              </w:rPr>
            </w:pPr>
            <w:r>
              <w:rPr>
                <w:noProof/>
              </w:rPr>
              <mc:AlternateContent>
                <mc:Choice Requires="wps">
                  <w:drawing>
                    <wp:anchor distT="0" distB="0" distL="114300" distR="114300" simplePos="0" relativeHeight="251658243" behindDoc="0" locked="0" layoutInCell="1" allowOverlap="1" wp14:anchorId="6F536286" wp14:editId="058BA289">
                      <wp:simplePos x="0" y="0"/>
                      <wp:positionH relativeFrom="margin">
                        <wp:posOffset>1497390</wp:posOffset>
                      </wp:positionH>
                      <wp:positionV relativeFrom="paragraph">
                        <wp:posOffset>-33571</wp:posOffset>
                      </wp:positionV>
                      <wp:extent cx="139701" cy="551191"/>
                      <wp:effectExtent l="0" t="15240" r="0" b="35560"/>
                      <wp:wrapNone/>
                      <wp:docPr id="12" name="Arrow: Down 12"/>
                      <wp:cNvGraphicFramePr/>
                      <a:graphic xmlns:a="http://schemas.openxmlformats.org/drawingml/2006/main">
                        <a:graphicData uri="http://schemas.microsoft.com/office/word/2010/wordprocessingShape">
                          <wps:wsp>
                            <wps:cNvSpPr/>
                            <wps:spPr>
                              <a:xfrm rot="16200000">
                                <a:off x="0" y="0"/>
                                <a:ext cx="139701" cy="551191"/>
                              </a:xfrm>
                              <a:prstGeom prst="downArrow">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21E0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117.9pt;margin-top:-2.65pt;width:11pt;height:43.4pt;rotation:-9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" adj="18863" fillcolor="#e8f0fc [664]" strokecolor="black [3213]" strokeweight=".25pt">
                      <w10:wrap anchorx="margin"/>
                    </v:shape>
                  </w:pict>
                </mc:Fallback>
              </mc:AlternateContent>
            </w:r>
            <w:r w:rsidRPr="00675C6A">
              <w:rPr>
                <w:b w:val="0"/>
                <w:u w:val="single"/>
              </w:rPr>
              <w:t>Payday</w:t>
            </w:r>
          </w:p>
          <w:p w14:paraId="4A085823" w14:textId="49274115" w:rsidR="00505ED6" w:rsidRDefault="00505ED6" w:rsidP="00505ED6">
            <w:pPr>
              <w:pStyle w:val="BodyText"/>
              <w:spacing w:before="96" w:after="96"/>
            </w:pPr>
            <w:r w:rsidRPr="0033640C">
              <w:rPr>
                <w:b w:val="0"/>
              </w:rPr>
              <w:t>SG is paid by employers</w:t>
            </w:r>
            <w:r w:rsidR="00876B1D">
              <w:rPr>
                <w:b w:val="0"/>
              </w:rPr>
              <w:t>.</w:t>
            </w:r>
          </w:p>
          <w:p w14:paraId="3D2A1640" w14:textId="77777777" w:rsidR="00505ED6" w:rsidRDefault="00505ED6" w:rsidP="00505ED6">
            <w:pPr>
              <w:pStyle w:val="BodyText"/>
              <w:spacing w:before="96" w:after="96"/>
              <w:rPr>
                <w:b w:val="0"/>
              </w:rPr>
            </w:pPr>
            <w:r>
              <w:t>‘Due date’</w:t>
            </w:r>
          </w:p>
          <w:p w14:paraId="10AE49F0" w14:textId="20D29770" w:rsidR="00505ED6" w:rsidRPr="00A27824" w:rsidRDefault="00505ED6">
            <w:pPr>
              <w:pStyle w:val="BodyText"/>
              <w:spacing w:before="96" w:after="96"/>
            </w:pPr>
          </w:p>
        </w:tc>
        <w:tc>
          <w:tcPr>
            <w:tcW w:w="3197" w:type="dxa"/>
          </w:tcPr>
          <w:p w14:paraId="09574805" w14:textId="152A848D" w:rsidR="00505ED6" w:rsidRPr="00A27824" w:rsidRDefault="00505ED6">
            <w:pPr>
              <w:pStyle w:val="BodyText"/>
              <w:spacing w:before="96" w:after="96"/>
              <w:rPr>
                <w:b w:val="0"/>
                <w:u w:val="single"/>
              </w:rPr>
            </w:pPr>
            <w:r w:rsidRPr="00975BC6">
              <w:rPr>
                <w:noProof/>
              </w:rPr>
              <mc:AlternateContent>
                <mc:Choice Requires="wps">
                  <w:drawing>
                    <wp:anchor distT="0" distB="0" distL="114300" distR="114300" simplePos="0" relativeHeight="251658244" behindDoc="0" locked="0" layoutInCell="1" allowOverlap="1" wp14:anchorId="7333DA55" wp14:editId="274BF1C8">
                      <wp:simplePos x="0" y="0"/>
                      <wp:positionH relativeFrom="margin">
                        <wp:posOffset>1361068</wp:posOffset>
                      </wp:positionH>
                      <wp:positionV relativeFrom="paragraph">
                        <wp:posOffset>-32372</wp:posOffset>
                      </wp:positionV>
                      <wp:extent cx="139701" cy="551191"/>
                      <wp:effectExtent l="0" t="15240" r="0" b="35560"/>
                      <wp:wrapNone/>
                      <wp:docPr id="13" name="Arrow: Down 13"/>
                      <wp:cNvGraphicFramePr/>
                      <a:graphic xmlns:a="http://schemas.openxmlformats.org/drawingml/2006/main">
                        <a:graphicData uri="http://schemas.microsoft.com/office/word/2010/wordprocessingShape">
                          <wps:wsp>
                            <wps:cNvSpPr/>
                            <wps:spPr>
                              <a:xfrm rot="16200000">
                                <a:off x="0" y="0"/>
                                <a:ext cx="139701" cy="551191"/>
                              </a:xfrm>
                              <a:prstGeom prst="downArrow">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D6A80" id="Arrow: Down 13" o:spid="_x0000_s1026" type="#_x0000_t67" style="position:absolute;margin-left:107.15pt;margin-top:-2.55pt;width:11pt;height:43.4pt;rotation:-9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" adj="18863" fillcolor="#e8f0fc [664]" strokecolor="black [3213]" strokeweight=".25pt">
                      <w10:wrap anchorx="margin"/>
                    </v:shape>
                  </w:pict>
                </mc:Fallback>
              </mc:AlternateContent>
            </w:r>
            <w:r w:rsidRPr="00975BC6">
              <w:rPr>
                <w:b w:val="0"/>
              </w:rPr>
              <w:t xml:space="preserve">    </w:t>
            </w:r>
            <w:r w:rsidRPr="00675C6A">
              <w:rPr>
                <w:b w:val="0"/>
                <w:u w:val="single"/>
              </w:rPr>
              <w:t xml:space="preserve">Payday + </w:t>
            </w:r>
            <w:r>
              <w:rPr>
                <w:b w:val="0"/>
                <w:u w:val="single"/>
              </w:rPr>
              <w:t>1 day</w:t>
            </w:r>
          </w:p>
          <w:p w14:paraId="6AB3E9D0" w14:textId="699EF053" w:rsidR="00505ED6" w:rsidRPr="00A27824" w:rsidRDefault="00584FC2">
            <w:pPr>
              <w:pStyle w:val="BodyText"/>
              <w:spacing w:before="96" w:after="96"/>
            </w:pPr>
            <w:r>
              <w:rPr>
                <w:b w:val="0"/>
              </w:rPr>
              <w:t>SG charge</w:t>
            </w:r>
            <w:r w:rsidR="00505ED6" w:rsidRPr="0033640C">
              <w:rPr>
                <w:b w:val="0"/>
              </w:rPr>
              <w:t xml:space="preserve"> date if SG is unpaid. Nominal interest is calculated from payday</w:t>
            </w:r>
            <w:r w:rsidR="00583ADE">
              <w:rPr>
                <w:b w:val="0"/>
              </w:rPr>
              <w:t>.</w:t>
            </w:r>
          </w:p>
        </w:tc>
        <w:tc>
          <w:tcPr>
            <w:tcW w:w="3200" w:type="dxa"/>
          </w:tcPr>
          <w:p w14:paraId="131DCBF9" w14:textId="775E92AF" w:rsidR="00505ED6" w:rsidRPr="00A27824" w:rsidRDefault="00505ED6">
            <w:pPr>
              <w:pStyle w:val="BodyText"/>
              <w:spacing w:before="96" w:after="96"/>
              <w:rPr>
                <w:b w:val="0"/>
                <w:u w:val="single"/>
              </w:rPr>
            </w:pPr>
            <w:r w:rsidRPr="00675C6A">
              <w:rPr>
                <w:b w:val="0"/>
                <w:u w:val="single"/>
              </w:rPr>
              <w:t xml:space="preserve">Payday + x </w:t>
            </w:r>
          </w:p>
          <w:p w14:paraId="7926C926" w14:textId="302A05FA" w:rsidR="00505ED6" w:rsidRPr="00A27824" w:rsidRDefault="00505ED6">
            <w:pPr>
              <w:pStyle w:val="BodyText"/>
              <w:spacing w:before="96" w:after="96"/>
            </w:pPr>
            <w:r>
              <w:rPr>
                <w:b w:val="0"/>
              </w:rPr>
              <w:t xml:space="preserve">The ATO matches STP and MATS data to ensure that the correct amount of </w:t>
            </w:r>
            <w:r w:rsidR="009D632D">
              <w:rPr>
                <w:b w:val="0"/>
              </w:rPr>
              <w:t xml:space="preserve">superannuation has been received by an employee’s superannuation fund. </w:t>
            </w:r>
            <w:r w:rsidRPr="0033640C">
              <w:rPr>
                <w:b w:val="0"/>
              </w:rPr>
              <w:t xml:space="preserve"> </w:t>
            </w:r>
          </w:p>
        </w:tc>
      </w:tr>
    </w:tbl>
    <w:p w14:paraId="550034B2" w14:textId="3E97F25E" w:rsidR="00CC3ABC" w:rsidRDefault="00CC3ABC" w:rsidP="009410B5">
      <w:pPr>
        <w:pStyle w:val="Heading4"/>
      </w:pPr>
      <w:r>
        <w:t>Due date model</w:t>
      </w:r>
    </w:p>
    <w:p w14:paraId="1B43D2CD" w14:textId="4C34155B" w:rsidR="00E83398" w:rsidRDefault="0061157F" w:rsidP="00E83398">
      <w:pPr>
        <w:pStyle w:val="Bullet"/>
        <w:numPr>
          <w:ilvl w:val="0"/>
          <w:numId w:val="0"/>
        </w:numPr>
      </w:pPr>
      <w:r>
        <w:t>The</w:t>
      </w:r>
      <w:r w:rsidR="00E83398">
        <w:t xml:space="preserve"> </w:t>
      </w:r>
      <w:r w:rsidR="00584FC2">
        <w:t>SG charge</w:t>
      </w:r>
      <w:r w:rsidR="00E83398">
        <w:t xml:space="preserve"> could maintain the current model whereby an employer </w:t>
      </w:r>
      <w:r w:rsidR="003C3909">
        <w:t>becomes liable</w:t>
      </w:r>
      <w:r w:rsidR="002568DE">
        <w:t xml:space="preserve"> to pay the </w:t>
      </w:r>
      <w:r w:rsidR="00584FC2">
        <w:t>SG charge</w:t>
      </w:r>
      <w:r w:rsidR="00E83398">
        <w:t xml:space="preserve"> if their employee’s </w:t>
      </w:r>
      <w:r w:rsidR="00121AA5">
        <w:t xml:space="preserve">superannuation contribution </w:t>
      </w:r>
      <w:r w:rsidR="00E83398">
        <w:t>is not with their fund by a specified due date (see</w:t>
      </w:r>
      <w:r w:rsidR="00F2018E">
        <w:t xml:space="preserve"> </w:t>
      </w:r>
      <w:r w:rsidR="00E83398">
        <w:t xml:space="preserve">below). </w:t>
      </w:r>
    </w:p>
    <w:p w14:paraId="3824043E" w14:textId="05241908" w:rsidR="000869C2" w:rsidRPr="00F173F0" w:rsidRDefault="000869C2" w:rsidP="000869C2">
      <w:pPr>
        <w:pStyle w:val="ChartMainHeading"/>
      </w:pPr>
      <w:bookmarkStart w:id="31" w:name="_Toc147500255"/>
      <w:r>
        <w:t xml:space="preserve">Figure 2: </w:t>
      </w:r>
      <w:r w:rsidR="002544F8">
        <w:t>Due date model -</w:t>
      </w:r>
      <w:r>
        <w:t xml:space="preserve"> </w:t>
      </w:r>
      <w:r w:rsidR="00584FC2">
        <w:t>SG charge</w:t>
      </w:r>
      <w:r>
        <w:t xml:space="preserve"> and nominal interest accrual</w:t>
      </w:r>
      <w:bookmarkEnd w:id="31"/>
    </w:p>
    <w:tbl>
      <w:tblPr>
        <w:tblStyle w:val="TableGrid"/>
        <w:tblW w:w="9595" w:type="dxa"/>
        <w:tblLook w:val="04A0" w:firstRow="1" w:lastRow="0" w:firstColumn="1" w:lastColumn="0" w:noHBand="0" w:noVBand="1"/>
      </w:tblPr>
      <w:tblGrid>
        <w:gridCol w:w="3198"/>
        <w:gridCol w:w="3197"/>
        <w:gridCol w:w="3200"/>
      </w:tblGrid>
      <w:tr w:rsidR="000869C2" w14:paraId="5975B1E0" w14:textId="77777777">
        <w:trPr>
          <w:cnfStyle w:val="100000000000" w:firstRow="1" w:lastRow="0" w:firstColumn="0" w:lastColumn="0" w:oddVBand="0" w:evenVBand="0" w:oddHBand="0" w:evenHBand="0" w:firstRowFirstColumn="0" w:firstRowLastColumn="0" w:lastRowFirstColumn="0" w:lastRowLastColumn="0"/>
          <w:trHeight w:val="899"/>
        </w:trPr>
        <w:tc>
          <w:tcPr>
            <w:tcW w:w="3198" w:type="dxa"/>
          </w:tcPr>
          <w:p w14:paraId="58C38FBF" w14:textId="77777777" w:rsidR="000869C2" w:rsidRPr="00675C6A" w:rsidRDefault="000869C2">
            <w:pPr>
              <w:pStyle w:val="BodyText"/>
              <w:spacing w:before="96" w:after="96"/>
              <w:rPr>
                <w:b w:val="0"/>
              </w:rPr>
            </w:pPr>
            <w:r>
              <w:rPr>
                <w:noProof/>
              </w:rPr>
              <mc:AlternateContent>
                <mc:Choice Requires="wps">
                  <w:drawing>
                    <wp:anchor distT="0" distB="0" distL="114300" distR="114300" simplePos="0" relativeHeight="251658241" behindDoc="0" locked="0" layoutInCell="1" allowOverlap="1" wp14:anchorId="5F07A13C" wp14:editId="42C16006">
                      <wp:simplePos x="0" y="0"/>
                      <wp:positionH relativeFrom="margin">
                        <wp:posOffset>1497390</wp:posOffset>
                      </wp:positionH>
                      <wp:positionV relativeFrom="paragraph">
                        <wp:posOffset>-33571</wp:posOffset>
                      </wp:positionV>
                      <wp:extent cx="139701" cy="551191"/>
                      <wp:effectExtent l="0" t="15240" r="0" b="35560"/>
                      <wp:wrapNone/>
                      <wp:docPr id="5" name="Arrow: Down 5"/>
                      <wp:cNvGraphicFramePr/>
                      <a:graphic xmlns:a="http://schemas.openxmlformats.org/drawingml/2006/main">
                        <a:graphicData uri="http://schemas.microsoft.com/office/word/2010/wordprocessingShape">
                          <wps:wsp>
                            <wps:cNvSpPr/>
                            <wps:spPr>
                              <a:xfrm rot="16200000">
                                <a:off x="0" y="0"/>
                                <a:ext cx="139701" cy="551191"/>
                              </a:xfrm>
                              <a:prstGeom prst="downArrow">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B9226" id="Arrow: Down 5" o:spid="_x0000_s1026" type="#_x0000_t67" style="position:absolute;margin-left:117.9pt;margin-top:-2.65pt;width:11pt;height:43.4pt;rotation:-90;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" adj="18863" fillcolor="#e8f0fc [664]" strokecolor="black [3213]" strokeweight=".25pt">
                      <w10:wrap anchorx="margin"/>
                    </v:shape>
                  </w:pict>
                </mc:Fallback>
              </mc:AlternateContent>
            </w:r>
            <w:r w:rsidRPr="00675C6A">
              <w:rPr>
                <w:b w:val="0"/>
                <w:u w:val="single"/>
              </w:rPr>
              <w:t>Payday</w:t>
            </w:r>
          </w:p>
          <w:p w14:paraId="616E6854" w14:textId="405FCCD0" w:rsidR="000869C2" w:rsidRPr="00A27824" w:rsidRDefault="000869C2">
            <w:pPr>
              <w:pStyle w:val="BodyText"/>
              <w:spacing w:before="96" w:after="96"/>
            </w:pPr>
            <w:r w:rsidRPr="0033640C">
              <w:rPr>
                <w:b w:val="0"/>
              </w:rPr>
              <w:t>SG is paid by employers</w:t>
            </w:r>
            <w:r w:rsidR="006E5307">
              <w:rPr>
                <w:b w:val="0"/>
              </w:rPr>
              <w:t>.</w:t>
            </w:r>
          </w:p>
        </w:tc>
        <w:tc>
          <w:tcPr>
            <w:tcW w:w="3197" w:type="dxa"/>
          </w:tcPr>
          <w:p w14:paraId="63A54577" w14:textId="77777777" w:rsidR="000869C2" w:rsidRPr="00A27824" w:rsidRDefault="000869C2">
            <w:pPr>
              <w:pStyle w:val="BodyText"/>
              <w:spacing w:before="96" w:after="96"/>
              <w:rPr>
                <w:b w:val="0"/>
                <w:u w:val="single"/>
              </w:rPr>
            </w:pPr>
            <w:r w:rsidRPr="00975BC6">
              <w:rPr>
                <w:noProof/>
              </w:rPr>
              <mc:AlternateContent>
                <mc:Choice Requires="wps">
                  <w:drawing>
                    <wp:anchor distT="0" distB="0" distL="114300" distR="114300" simplePos="0" relativeHeight="251658242" behindDoc="0" locked="0" layoutInCell="1" allowOverlap="1" wp14:anchorId="0F8DAF3C" wp14:editId="4988373C">
                      <wp:simplePos x="0" y="0"/>
                      <wp:positionH relativeFrom="margin">
                        <wp:posOffset>1361068</wp:posOffset>
                      </wp:positionH>
                      <wp:positionV relativeFrom="paragraph">
                        <wp:posOffset>-32372</wp:posOffset>
                      </wp:positionV>
                      <wp:extent cx="139701" cy="551191"/>
                      <wp:effectExtent l="0" t="15240" r="0" b="35560"/>
                      <wp:wrapNone/>
                      <wp:docPr id="6" name="Arrow: Down 6"/>
                      <wp:cNvGraphicFramePr/>
                      <a:graphic xmlns:a="http://schemas.openxmlformats.org/drawingml/2006/main">
                        <a:graphicData uri="http://schemas.microsoft.com/office/word/2010/wordprocessingShape">
                          <wps:wsp>
                            <wps:cNvSpPr/>
                            <wps:spPr>
                              <a:xfrm rot="16200000">
                                <a:off x="0" y="0"/>
                                <a:ext cx="139701" cy="551191"/>
                              </a:xfrm>
                              <a:prstGeom prst="downArrow">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4F0C4" id="Arrow: Down 6" o:spid="_x0000_s1026" type="#_x0000_t67" style="position:absolute;margin-left:107.15pt;margin-top:-2.55pt;width:11pt;height:43.4pt;rotation:-9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" adj="18863" fillcolor="#e8f0fc [664]" strokecolor="black [3213]" strokeweight=".25pt">
                      <w10:wrap anchorx="margin"/>
                    </v:shape>
                  </w:pict>
                </mc:Fallback>
              </mc:AlternateContent>
            </w:r>
            <w:r w:rsidRPr="00975BC6">
              <w:rPr>
                <w:b w:val="0"/>
              </w:rPr>
              <w:t xml:space="preserve">    </w:t>
            </w:r>
            <w:r w:rsidRPr="00675C6A">
              <w:rPr>
                <w:b w:val="0"/>
                <w:u w:val="single"/>
              </w:rPr>
              <w:t>Payday + x</w:t>
            </w:r>
          </w:p>
          <w:p w14:paraId="5666D619" w14:textId="7CB83AFD" w:rsidR="000869C2" w:rsidRDefault="000869C2">
            <w:pPr>
              <w:pStyle w:val="BodyText"/>
              <w:spacing w:before="96" w:after="96"/>
              <w:rPr>
                <w:b w:val="0"/>
              </w:rPr>
            </w:pPr>
            <w:r>
              <w:t xml:space="preserve">   ‘Due date’</w:t>
            </w:r>
          </w:p>
          <w:p w14:paraId="42305E30" w14:textId="02CB9DB1" w:rsidR="000869C2" w:rsidRPr="00A27824" w:rsidRDefault="000869C2">
            <w:pPr>
              <w:pStyle w:val="BodyText"/>
              <w:spacing w:before="96" w:after="96"/>
            </w:pPr>
            <w:r>
              <w:t xml:space="preserve">   </w:t>
            </w:r>
            <w:r w:rsidRPr="0033640C">
              <w:rPr>
                <w:b w:val="0"/>
              </w:rPr>
              <w:t>SG in fund</w:t>
            </w:r>
            <w:r w:rsidR="006E5307">
              <w:rPr>
                <w:b w:val="0"/>
              </w:rPr>
              <w:t>.</w:t>
            </w:r>
          </w:p>
        </w:tc>
        <w:tc>
          <w:tcPr>
            <w:tcW w:w="3200" w:type="dxa"/>
          </w:tcPr>
          <w:p w14:paraId="549A40DC" w14:textId="77777777" w:rsidR="000869C2" w:rsidRPr="00A27824" w:rsidRDefault="000869C2">
            <w:pPr>
              <w:pStyle w:val="BodyText"/>
              <w:spacing w:before="96" w:after="96"/>
              <w:rPr>
                <w:b w:val="0"/>
                <w:u w:val="single"/>
              </w:rPr>
            </w:pPr>
            <w:r w:rsidRPr="00675C6A">
              <w:rPr>
                <w:b w:val="0"/>
                <w:u w:val="single"/>
              </w:rPr>
              <w:t>Payday + x + 1 day</w:t>
            </w:r>
          </w:p>
          <w:p w14:paraId="3CB72791" w14:textId="14DE09BF" w:rsidR="000869C2" w:rsidRPr="00A27824" w:rsidRDefault="00584FC2">
            <w:pPr>
              <w:pStyle w:val="BodyText"/>
              <w:spacing w:before="96" w:after="96"/>
            </w:pPr>
            <w:r>
              <w:rPr>
                <w:b w:val="0"/>
              </w:rPr>
              <w:t>SG charge</w:t>
            </w:r>
            <w:r w:rsidR="000869C2" w:rsidRPr="0033640C">
              <w:rPr>
                <w:b w:val="0"/>
              </w:rPr>
              <w:t xml:space="preserve"> </w:t>
            </w:r>
            <w:r w:rsidR="002278ED">
              <w:rPr>
                <w:b w:val="0"/>
              </w:rPr>
              <w:t>becomes payable</w:t>
            </w:r>
            <w:r w:rsidR="000869C2" w:rsidRPr="0033640C">
              <w:rPr>
                <w:b w:val="0"/>
              </w:rPr>
              <w:t xml:space="preserve"> if SG is unpaid. Nominal interest is calculated from payday i.e., for payday + x + 1 day. </w:t>
            </w:r>
          </w:p>
        </w:tc>
      </w:tr>
    </w:tbl>
    <w:p w14:paraId="65A04F78" w14:textId="25289338" w:rsidR="00B53613" w:rsidRDefault="009C3CC5" w:rsidP="00325A43">
      <w:pPr>
        <w:pStyle w:val="BodyText"/>
      </w:pPr>
      <w:r>
        <w:t xml:space="preserve">A ‘due date’ model would </w:t>
      </w:r>
      <w:r w:rsidR="002022D5">
        <w:t xml:space="preserve">require contributions to be received </w:t>
      </w:r>
      <w:r w:rsidR="001F33A6">
        <w:t>by a superannuation fund</w:t>
      </w:r>
      <w:r w:rsidR="002022D5">
        <w:t xml:space="preserve"> within </w:t>
      </w:r>
      <w:r w:rsidR="006D7241">
        <w:t xml:space="preserve">a </w:t>
      </w:r>
      <w:r>
        <w:t>certain number of days</w:t>
      </w:r>
      <w:r w:rsidR="006D7241">
        <w:t xml:space="preserve"> </w:t>
      </w:r>
      <w:r>
        <w:t xml:space="preserve">following an employee’s </w:t>
      </w:r>
      <w:r w:rsidR="00F57584">
        <w:t>payday</w:t>
      </w:r>
      <w:r w:rsidR="00914A68">
        <w:t>.</w:t>
      </w:r>
      <w:r>
        <w:t xml:space="preserve"> </w:t>
      </w:r>
      <w:r w:rsidR="00B53613">
        <w:t xml:space="preserve">As is currently the case, the day superannuation amounts are required to </w:t>
      </w:r>
      <w:r w:rsidR="00286C2B">
        <w:t>be received by an employee’s superannuation fund</w:t>
      </w:r>
      <w:r w:rsidR="00B53613">
        <w:t xml:space="preserve"> will be referred to as the superannuation ‘due date’. If funds are not </w:t>
      </w:r>
      <w:r w:rsidR="00B53613" w:rsidRPr="00296DC7">
        <w:t>in the account</w:t>
      </w:r>
      <w:r w:rsidR="00B53613" w:rsidRPr="005777C7">
        <w:t xml:space="preserve"> </w:t>
      </w:r>
      <w:r w:rsidR="00B53613">
        <w:t xml:space="preserve">by the due date, the </w:t>
      </w:r>
      <w:r w:rsidR="00661AD5">
        <w:t xml:space="preserve">employer will become liable to pay the </w:t>
      </w:r>
      <w:r w:rsidR="00584FC2">
        <w:t>SG charge</w:t>
      </w:r>
      <w:r w:rsidR="00661AD5">
        <w:t xml:space="preserve">. </w:t>
      </w:r>
    </w:p>
    <w:p w14:paraId="2BA9F581" w14:textId="131D1BD6" w:rsidR="0076680D" w:rsidRDefault="00D176AB" w:rsidP="00325A43">
      <w:pPr>
        <w:pStyle w:val="BodyText"/>
      </w:pPr>
      <w:r>
        <w:t xml:space="preserve">Compared with the </w:t>
      </w:r>
      <w:r w:rsidR="00853B10">
        <w:t>‘</w:t>
      </w:r>
      <w:r>
        <w:t>employer payment</w:t>
      </w:r>
      <w:r w:rsidR="00853B10">
        <w:t>’</w:t>
      </w:r>
      <w:r>
        <w:t xml:space="preserve"> model, t</w:t>
      </w:r>
      <w:r w:rsidR="000C630F">
        <w:t>h</w:t>
      </w:r>
      <w:r w:rsidR="00D41B61">
        <w:t xml:space="preserve">e </w:t>
      </w:r>
      <w:r w:rsidR="000D243C">
        <w:t>‘due</w:t>
      </w:r>
      <w:r w:rsidR="00853B10">
        <w:t xml:space="preserve"> date’</w:t>
      </w:r>
      <w:r w:rsidR="000C630F">
        <w:t xml:space="preserve"> </w:t>
      </w:r>
      <w:r w:rsidR="003660D7">
        <w:t xml:space="preserve">model </w:t>
      </w:r>
      <w:r w:rsidR="000C630F">
        <w:t xml:space="preserve">would </w:t>
      </w:r>
      <w:r w:rsidR="00F12483">
        <w:t>pr</w:t>
      </w:r>
      <w:r w:rsidR="00B35C49">
        <w:t>ovide incenti</w:t>
      </w:r>
      <w:r w:rsidR="000870C1">
        <w:t>ves</w:t>
      </w:r>
      <w:r w:rsidR="00204D5F">
        <w:t xml:space="preserve"> for e</w:t>
      </w:r>
      <w:r>
        <w:t xml:space="preserve">mployers, </w:t>
      </w:r>
      <w:proofErr w:type="gramStart"/>
      <w:r>
        <w:t>funds</w:t>
      </w:r>
      <w:proofErr w:type="gramEnd"/>
      <w:r>
        <w:t xml:space="preserve"> and intermediaries </w:t>
      </w:r>
      <w:r w:rsidR="007B13D1">
        <w:t xml:space="preserve">to </w:t>
      </w:r>
      <w:r w:rsidR="008C4508">
        <w:t>ensure SG contribut</w:t>
      </w:r>
      <w:r w:rsidR="009D17A9">
        <w:t xml:space="preserve">ions </w:t>
      </w:r>
      <w:r w:rsidR="00224A11">
        <w:t xml:space="preserve">enter an employee’s </w:t>
      </w:r>
      <w:r w:rsidR="00020D7E">
        <w:t>superannuation account</w:t>
      </w:r>
      <w:r w:rsidR="00431514">
        <w:t xml:space="preserve"> </w:t>
      </w:r>
      <w:r w:rsidR="00AB651E">
        <w:t>in a timely manner.</w:t>
      </w:r>
      <w:r w:rsidR="000C630F">
        <w:t xml:space="preserve"> </w:t>
      </w:r>
      <w:r w:rsidR="008D13DA">
        <w:t>However, th</w:t>
      </w:r>
      <w:r w:rsidR="004856B4">
        <w:t>e setting of a due date under this</w:t>
      </w:r>
      <w:r w:rsidR="008D13DA">
        <w:t xml:space="preserve"> model will need to allow a reasonable </w:t>
      </w:r>
      <w:r w:rsidR="00493FFC">
        <w:t>period for</w:t>
      </w:r>
      <w:r w:rsidR="00426467">
        <w:t xml:space="preserve"> processing </w:t>
      </w:r>
      <w:r w:rsidR="0057009E">
        <w:t>and administrative delays</w:t>
      </w:r>
      <w:r w:rsidR="00AF5BED">
        <w:t xml:space="preserve"> in transferring the funds. </w:t>
      </w:r>
    </w:p>
    <w:p w14:paraId="60A1D519" w14:textId="20A492FA" w:rsidR="001A3626" w:rsidRDefault="00493FFC" w:rsidP="00325A43">
      <w:pPr>
        <w:pStyle w:val="BodyText"/>
      </w:pPr>
      <w:r>
        <w:t>There are some trade-offs involved in setting a reasonable ‘due date’</w:t>
      </w:r>
      <w:r w:rsidR="006E59FD">
        <w:t>. T</w:t>
      </w:r>
      <w:r w:rsidR="00F61A8D">
        <w:t xml:space="preserve">here is merit in </w:t>
      </w:r>
      <w:r w:rsidR="00077E0B">
        <w:t>ensuring the due date is</w:t>
      </w:r>
      <w:r w:rsidR="001A3626">
        <w:t xml:space="preserve"> as close as possible to payday. This ensures </w:t>
      </w:r>
      <w:r w:rsidR="002E2BB0">
        <w:t xml:space="preserve">employees and </w:t>
      </w:r>
      <w:r w:rsidR="001A3626">
        <w:t>the ATO ha</w:t>
      </w:r>
      <w:r w:rsidR="002E2BB0">
        <w:t>ve</w:t>
      </w:r>
      <w:r w:rsidR="001A3626">
        <w:t xml:space="preserve"> visibility </w:t>
      </w:r>
      <w:r w:rsidR="004B189A">
        <w:t xml:space="preserve">of the contributions </w:t>
      </w:r>
      <w:r w:rsidR="001A3626">
        <w:t>as soon as possible</w:t>
      </w:r>
      <w:r w:rsidR="004B189A">
        <w:t xml:space="preserve"> </w:t>
      </w:r>
      <w:r w:rsidR="003D1477">
        <w:t>to enable</w:t>
      </w:r>
      <w:r w:rsidR="001A3626">
        <w:t xml:space="preserve"> action</w:t>
      </w:r>
      <w:r w:rsidR="003D1477">
        <w:t>s to be taken on</w:t>
      </w:r>
      <w:r w:rsidR="001A3626">
        <w:t xml:space="preserve"> non-payment </w:t>
      </w:r>
      <w:r w:rsidR="004B189A">
        <w:t>and underpayment</w:t>
      </w:r>
      <w:r w:rsidR="006D6766">
        <w:t xml:space="preserve"> in a timely manner</w:t>
      </w:r>
      <w:r w:rsidR="001A3626">
        <w:t>, increasing the likelihood that the amounts will be recovered.</w:t>
      </w:r>
      <w:r w:rsidR="00105771">
        <w:t xml:space="preserve"> </w:t>
      </w:r>
      <w:r w:rsidR="00477370">
        <w:t>A due date closer to payday also recognises</w:t>
      </w:r>
      <w:r w:rsidR="00B82EFA">
        <w:t>,</w:t>
      </w:r>
      <w:r w:rsidR="00477370">
        <w:t xml:space="preserve"> and leverag</w:t>
      </w:r>
      <w:r w:rsidR="00AB1830">
        <w:t>es</w:t>
      </w:r>
      <w:r w:rsidR="00B82EFA">
        <w:t>,</w:t>
      </w:r>
      <w:r w:rsidR="00AB1830">
        <w:t xml:space="preserve"> significant improvements in transactions technology</w:t>
      </w:r>
      <w:r w:rsidR="00FD40E3">
        <w:t xml:space="preserve"> which mean that less time is required for payment processing. </w:t>
      </w:r>
    </w:p>
    <w:p w14:paraId="1F820627" w14:textId="64A74D2C" w:rsidR="00FD40E3" w:rsidRPr="00047E3E" w:rsidRDefault="00FD40E3" w:rsidP="00325A43">
      <w:pPr>
        <w:pStyle w:val="BodyText"/>
      </w:pPr>
      <w:r>
        <w:t xml:space="preserve">Treasury and the ATO have undertaken </w:t>
      </w:r>
      <w:r w:rsidR="00617B28">
        <w:t>init</w:t>
      </w:r>
      <w:r w:rsidR="00FD2EEE">
        <w:t>ial</w:t>
      </w:r>
      <w:r>
        <w:t xml:space="preserve"> consultation with </w:t>
      </w:r>
      <w:proofErr w:type="gramStart"/>
      <w:r>
        <w:t>a number of</w:t>
      </w:r>
      <w:proofErr w:type="gramEnd"/>
      <w:r>
        <w:t xml:space="preserve"> </w:t>
      </w:r>
      <w:r w:rsidR="00C444AE">
        <w:t xml:space="preserve">key industry representatives. They have suggested </w:t>
      </w:r>
      <w:r w:rsidR="00CD5931">
        <w:t>a feasible</w:t>
      </w:r>
      <w:r w:rsidR="00C444AE">
        <w:t xml:space="preserve"> due date for </w:t>
      </w:r>
      <w:r w:rsidR="00F27081">
        <w:t xml:space="preserve">superannuation contributions to </w:t>
      </w:r>
      <w:r w:rsidR="00F27081" w:rsidRPr="00296DC7">
        <w:t>reach the fund</w:t>
      </w:r>
      <w:r w:rsidR="00F27081" w:rsidRPr="00BE5FF2">
        <w:rPr>
          <w:b/>
          <w:bCs/>
        </w:rPr>
        <w:t xml:space="preserve"> </w:t>
      </w:r>
      <w:r w:rsidR="00F27081" w:rsidRPr="0057631B">
        <w:t xml:space="preserve">would </w:t>
      </w:r>
      <w:r w:rsidR="00F27081">
        <w:t xml:space="preserve">be </w:t>
      </w:r>
      <w:r w:rsidR="00BF1D38" w:rsidRPr="00047E3E">
        <w:t xml:space="preserve">between </w:t>
      </w:r>
      <w:r w:rsidR="00D30576" w:rsidRPr="00047E3E">
        <w:t>8 to 13</w:t>
      </w:r>
      <w:r w:rsidR="00F27081" w:rsidRPr="00047E3E">
        <w:t xml:space="preserve"> days</w:t>
      </w:r>
      <w:r w:rsidR="00F27081">
        <w:t xml:space="preserve"> after payday. </w:t>
      </w:r>
      <w:r w:rsidR="00CD5931" w:rsidRPr="00296DC7">
        <w:t>This is based o</w:t>
      </w:r>
      <w:r w:rsidR="00D30576" w:rsidRPr="00296DC7">
        <w:t xml:space="preserve">n an assumption that </w:t>
      </w:r>
      <w:r w:rsidR="00A805D3" w:rsidRPr="00296DC7">
        <w:t xml:space="preserve">the current payment process would be </w:t>
      </w:r>
      <w:proofErr w:type="gramStart"/>
      <w:r w:rsidR="00A805D3" w:rsidRPr="00296DC7">
        <w:t>streamlined</w:t>
      </w:r>
      <w:proofErr w:type="gramEnd"/>
      <w:r w:rsidR="00A363C8" w:rsidRPr="00296DC7">
        <w:t xml:space="preserve"> and the B</w:t>
      </w:r>
      <w:r w:rsidR="00F06B02" w:rsidRPr="00296DC7">
        <w:t xml:space="preserve">ulk </w:t>
      </w:r>
      <w:r w:rsidR="00A363C8" w:rsidRPr="00296DC7">
        <w:t>E</w:t>
      </w:r>
      <w:r w:rsidR="00F06B02" w:rsidRPr="00296DC7">
        <w:t xml:space="preserve">lectronic </w:t>
      </w:r>
      <w:r w:rsidR="00A363C8" w:rsidRPr="00296DC7">
        <w:t>C</w:t>
      </w:r>
      <w:r w:rsidR="00A805D3" w:rsidRPr="00296DC7">
        <w:t xml:space="preserve">learing </w:t>
      </w:r>
      <w:r w:rsidR="00A363C8" w:rsidRPr="00296DC7">
        <w:t>S</w:t>
      </w:r>
      <w:r w:rsidR="00A805D3" w:rsidRPr="00296DC7">
        <w:t xml:space="preserve">ystem is still </w:t>
      </w:r>
      <w:r w:rsidR="00A41DF8" w:rsidRPr="00296DC7">
        <w:t xml:space="preserve">the main </w:t>
      </w:r>
      <w:r w:rsidR="006714F7">
        <w:t>payments platform</w:t>
      </w:r>
      <w:r w:rsidR="00A41DF8" w:rsidRPr="00296DC7">
        <w:t xml:space="preserve">. </w:t>
      </w:r>
      <w:r w:rsidR="006714F7">
        <w:t xml:space="preserve">Processing </w:t>
      </w:r>
      <w:proofErr w:type="spellStart"/>
      <w:r w:rsidR="006714F7">
        <w:t>SuperStream</w:t>
      </w:r>
      <w:proofErr w:type="spellEnd"/>
      <w:r w:rsidR="006714F7">
        <w:t xml:space="preserve"> transaction</w:t>
      </w:r>
      <w:r w:rsidR="00100E23">
        <w:t>s</w:t>
      </w:r>
      <w:r w:rsidR="006714F7">
        <w:t xml:space="preserve"> using the</w:t>
      </w:r>
      <w:r w:rsidR="003E3520">
        <w:t xml:space="preserve"> NPP</w:t>
      </w:r>
      <w:r w:rsidR="006714F7">
        <w:t xml:space="preserve"> has potential to </w:t>
      </w:r>
      <w:r w:rsidR="005702B5">
        <w:t xml:space="preserve">provide for </w:t>
      </w:r>
      <w:r w:rsidR="004C5414">
        <w:t>a</w:t>
      </w:r>
      <w:r w:rsidR="003E3520">
        <w:t xml:space="preserve"> faster and more data rich payments</w:t>
      </w:r>
      <w:r w:rsidR="004336FA">
        <w:t xml:space="preserve"> </w:t>
      </w:r>
      <w:r w:rsidR="00AA4102">
        <w:t>platform</w:t>
      </w:r>
      <w:r w:rsidR="0026436F">
        <w:t xml:space="preserve"> when </w:t>
      </w:r>
      <w:r w:rsidR="00444914">
        <w:t>transferring SG amounts from the employer</w:t>
      </w:r>
      <w:r w:rsidR="003E3520">
        <w:t>’</w:t>
      </w:r>
      <w:r w:rsidR="00444914">
        <w:t xml:space="preserve">s bank to a superannuation fund, via </w:t>
      </w:r>
      <w:r w:rsidR="00A919FE">
        <w:t xml:space="preserve">varying data channels. </w:t>
      </w:r>
      <w:r w:rsidR="005F6CFB" w:rsidRPr="00296DC7">
        <w:t xml:space="preserve">If new payments technology </w:t>
      </w:r>
      <w:r w:rsidR="00D9280B" w:rsidRPr="00296DC7">
        <w:t xml:space="preserve">such as </w:t>
      </w:r>
      <w:r w:rsidR="006A33FD">
        <w:t xml:space="preserve">the </w:t>
      </w:r>
      <w:r w:rsidR="00D9280B" w:rsidRPr="00296DC7">
        <w:t xml:space="preserve">NPP </w:t>
      </w:r>
      <w:r w:rsidR="00D6148A">
        <w:t>are</w:t>
      </w:r>
      <w:r w:rsidR="00CE4448">
        <w:t xml:space="preserve"> </w:t>
      </w:r>
      <w:r w:rsidR="005F6CFB" w:rsidRPr="00296DC7">
        <w:t>used</w:t>
      </w:r>
      <w:r w:rsidR="00D9280B" w:rsidRPr="00296DC7">
        <w:t xml:space="preserve">, </w:t>
      </w:r>
      <w:r w:rsidR="00A311AB" w:rsidRPr="00296DC7">
        <w:t xml:space="preserve">it is expected that the </w:t>
      </w:r>
      <w:r w:rsidR="00C4162F" w:rsidRPr="00296DC7">
        <w:t xml:space="preserve">time </w:t>
      </w:r>
      <w:r w:rsidR="00A667AD">
        <w:t xml:space="preserve">for </w:t>
      </w:r>
      <w:r w:rsidR="00687DA9">
        <w:t xml:space="preserve">SG payments </w:t>
      </w:r>
      <w:r w:rsidR="00C4162F" w:rsidRPr="00296DC7">
        <w:t xml:space="preserve">to reach the fund </w:t>
      </w:r>
      <w:r w:rsidR="00E203F5" w:rsidRPr="00047E3E">
        <w:t xml:space="preserve">could </w:t>
      </w:r>
      <w:r w:rsidR="00C4162F" w:rsidRPr="00047E3E">
        <w:t xml:space="preserve">be </w:t>
      </w:r>
      <w:r w:rsidR="00550C80" w:rsidRPr="00047E3E">
        <w:t xml:space="preserve">less than </w:t>
      </w:r>
      <w:r w:rsidR="00C4162F" w:rsidRPr="00047E3E">
        <w:t>3 days</w:t>
      </w:r>
      <w:r w:rsidR="0099254D" w:rsidRPr="00296DC7">
        <w:t xml:space="preserve">. </w:t>
      </w:r>
    </w:p>
    <w:p w14:paraId="5CF55E56" w14:textId="4C717FC8" w:rsidR="0058296D" w:rsidRDefault="00D55491" w:rsidP="002F6595">
      <w:pPr>
        <w:shd w:val="clear" w:color="auto" w:fill="E8F0FC" w:themeFill="accent5" w:themeFillTint="33"/>
        <w:rPr>
          <w:b/>
          <w:bCs/>
        </w:rPr>
      </w:pPr>
      <w:r>
        <w:rPr>
          <w:b/>
          <w:bCs/>
        </w:rPr>
        <w:t>Consultation questions</w:t>
      </w:r>
    </w:p>
    <w:p w14:paraId="29E89EA5" w14:textId="77777777" w:rsidR="001D25F2" w:rsidRDefault="001D25F2" w:rsidP="001D25F2">
      <w:pPr>
        <w:pStyle w:val="OutlineNumbered1"/>
        <w:shd w:val="clear" w:color="auto" w:fill="E8F0FC" w:themeFill="accent5" w:themeFillTint="33"/>
      </w:pPr>
      <w:r>
        <w:t>Are there any advantages or disadvantages with the requirements of payday super being fulfilled if employers make the payment of SG contributions on ‘payday' (</w:t>
      </w:r>
      <w:proofErr w:type="gramStart"/>
      <w:r>
        <w:t>i.e.</w:t>
      </w:r>
      <w:proofErr w:type="gramEnd"/>
      <w:r>
        <w:t xml:space="preserve"> the employer payment model)?</w:t>
      </w:r>
    </w:p>
    <w:p w14:paraId="5BA622A2" w14:textId="70BD288E" w:rsidR="001D25F2" w:rsidRDefault="001D25F2" w:rsidP="001D25F2">
      <w:pPr>
        <w:pStyle w:val="OutlineNumbered1"/>
        <w:shd w:val="clear" w:color="auto" w:fill="E8F0FC" w:themeFill="accent5" w:themeFillTint="33"/>
      </w:pPr>
      <w:r>
        <w:t>Are there any advantages or disadvantages with the requirements of payday super being fulfilled if the employee’s superannuation fund has received employer contributions a certain number of days after payday (</w:t>
      </w:r>
      <w:proofErr w:type="gramStart"/>
      <w:r>
        <w:t>i.e.</w:t>
      </w:r>
      <w:proofErr w:type="gramEnd"/>
      <w:r>
        <w:t xml:space="preserve"> the due date model)?</w:t>
      </w:r>
    </w:p>
    <w:p w14:paraId="6A5FFD47" w14:textId="3CF8A2E8" w:rsidR="00730C11" w:rsidRDefault="000875AA" w:rsidP="0097727B">
      <w:pPr>
        <w:pStyle w:val="OutlineNumbered1"/>
        <w:shd w:val="clear" w:color="auto" w:fill="E8F0FC" w:themeFill="accent5" w:themeFillTint="33"/>
      </w:pPr>
      <w:r>
        <w:t xml:space="preserve">Should there be a </w:t>
      </w:r>
      <w:r w:rsidR="00A37D8E">
        <w:t xml:space="preserve">standardised due </w:t>
      </w:r>
      <w:r w:rsidR="00795EBF">
        <w:t>da</w:t>
      </w:r>
      <w:r w:rsidR="00B93C79">
        <w:t>te for SG contributions</w:t>
      </w:r>
      <w:r w:rsidR="007C3769">
        <w:t xml:space="preserve"> depending on different pay cycles,</w:t>
      </w:r>
      <w:r w:rsidR="0029600D">
        <w:t xml:space="preserve"> </w:t>
      </w:r>
      <w:r w:rsidR="00B93C79">
        <w:t>independent of the frequency to wh</w:t>
      </w:r>
      <w:r w:rsidR="003D3AB3">
        <w:t>en</w:t>
      </w:r>
      <w:r w:rsidR="00B93C79">
        <w:t xml:space="preserve"> </w:t>
      </w:r>
      <w:r w:rsidR="00BA6331">
        <w:t xml:space="preserve">salary and </w:t>
      </w:r>
      <w:r w:rsidR="00B93C79">
        <w:t>wages are paid?</w:t>
      </w:r>
      <w:r w:rsidR="009A3B7C">
        <w:t xml:space="preserve"> </w:t>
      </w:r>
      <w:r w:rsidR="00B93C79">
        <w:t xml:space="preserve"> </w:t>
      </w:r>
    </w:p>
    <w:p w14:paraId="77AE242E" w14:textId="4AEBCD3B" w:rsidR="006B4C43" w:rsidRDefault="006B4C43" w:rsidP="006B4C43">
      <w:pPr>
        <w:pStyle w:val="OutlineNumbered1"/>
        <w:shd w:val="clear" w:color="auto" w:fill="E8F0FC" w:themeFill="accent5" w:themeFillTint="33"/>
      </w:pPr>
      <w:r>
        <w:t>Would requiring a new reporting mechanism for employers under a</w:t>
      </w:r>
      <w:r w:rsidR="000553BF">
        <w:t xml:space="preserve">n </w:t>
      </w:r>
      <w:r>
        <w:t>employer payment model to the ATO on payday increase compliance burden?</w:t>
      </w:r>
    </w:p>
    <w:p w14:paraId="11E4AAAD" w14:textId="298E75B9" w:rsidR="006B4C43" w:rsidRDefault="006B4C43" w:rsidP="006B4C43">
      <w:pPr>
        <w:pStyle w:val="OutlineNumbered1"/>
        <w:shd w:val="clear" w:color="auto" w:fill="E8F0FC" w:themeFill="accent5" w:themeFillTint="33"/>
      </w:pPr>
      <w:r>
        <w:t xml:space="preserve">How would intermediaries continue to be incentivised to </w:t>
      </w:r>
      <w:r w:rsidR="001A3CF4">
        <w:t>expedite</w:t>
      </w:r>
      <w:r>
        <w:t xml:space="preserve"> </w:t>
      </w:r>
      <w:r w:rsidR="000553BF">
        <w:t>the processing of employer contributions under an employment payment model?</w:t>
      </w:r>
    </w:p>
    <w:p w14:paraId="400D8E2A" w14:textId="417ACE56" w:rsidR="00323049" w:rsidRDefault="00B95C5E" w:rsidP="002F6595">
      <w:pPr>
        <w:pStyle w:val="OutlineNumbered1"/>
        <w:shd w:val="clear" w:color="auto" w:fill="E8F0FC" w:themeFill="accent5" w:themeFillTint="33"/>
      </w:pPr>
      <w:r>
        <w:t xml:space="preserve">Given reduced payment processing times </w:t>
      </w:r>
      <w:r w:rsidR="00654382">
        <w:t>facilitated</w:t>
      </w:r>
      <w:r>
        <w:t xml:space="preserve"> by modern payment platforms, i</w:t>
      </w:r>
      <w:r w:rsidR="00812AEB">
        <w:t xml:space="preserve">s a due date of </w:t>
      </w:r>
      <w:r w:rsidR="00271DD4" w:rsidRPr="00655290">
        <w:t>3</w:t>
      </w:r>
      <w:r w:rsidR="00812AEB">
        <w:t xml:space="preserve"> days after payday for superannuation contributions </w:t>
      </w:r>
      <w:r w:rsidR="009B3E3D">
        <w:t>under a due date model</w:t>
      </w:r>
      <w:r w:rsidR="00812AEB">
        <w:t xml:space="preserve"> </w:t>
      </w:r>
      <w:r w:rsidR="00323049">
        <w:t>feasible</w:t>
      </w:r>
      <w:r w:rsidR="00812AEB">
        <w:t>?</w:t>
      </w:r>
      <w:r w:rsidR="00323049">
        <w:t xml:space="preserve"> What </w:t>
      </w:r>
      <w:r w:rsidR="009449A1">
        <w:t xml:space="preserve">would prevent </w:t>
      </w:r>
      <w:r w:rsidR="00323049">
        <w:t xml:space="preserve">this timeframe? </w:t>
      </w:r>
    </w:p>
    <w:p w14:paraId="5A9CFD6D" w14:textId="77777777" w:rsidR="0047433C" w:rsidRDefault="002F6595" w:rsidP="002F6595">
      <w:pPr>
        <w:pStyle w:val="OutlineNumbered1"/>
        <w:shd w:val="clear" w:color="auto" w:fill="E8F0FC" w:themeFill="accent5" w:themeFillTint="33"/>
      </w:pPr>
      <w:r>
        <w:t xml:space="preserve">What impact would shorter payment timeframes have on clearing houses and other financial intermediaries that </w:t>
      </w:r>
      <w:r w:rsidR="006E527B">
        <w:t>facilitate</w:t>
      </w:r>
      <w:r>
        <w:t xml:space="preserve"> the payment of superannuation </w:t>
      </w:r>
      <w:r w:rsidR="00D7088F">
        <w:t xml:space="preserve">contributions </w:t>
      </w:r>
      <w:r>
        <w:t>to funds?</w:t>
      </w:r>
    </w:p>
    <w:p w14:paraId="5D0620A0" w14:textId="532D2627" w:rsidR="002F6595" w:rsidRDefault="007E5B9E" w:rsidP="002F6595">
      <w:pPr>
        <w:pStyle w:val="OutlineNumbered1"/>
        <w:shd w:val="clear" w:color="auto" w:fill="E8F0FC" w:themeFill="accent5" w:themeFillTint="33"/>
      </w:pPr>
      <w:r>
        <w:t>W</w:t>
      </w:r>
      <w:r w:rsidR="002F6595">
        <w:t xml:space="preserve">ould shorter payment timeframes require regulation of these financial intermediaries to ensure payment timeframes are met? </w:t>
      </w:r>
    </w:p>
    <w:p w14:paraId="3C9BC2D0" w14:textId="5C16044A" w:rsidR="00267648" w:rsidRDefault="00267648" w:rsidP="0032005E">
      <w:pPr>
        <w:pStyle w:val="OutlineNumbered1"/>
        <w:shd w:val="clear" w:color="auto" w:fill="E8F0FC" w:themeFill="accent5" w:themeFillTint="33"/>
      </w:pPr>
      <w:r>
        <w:t xml:space="preserve">How can the payday super model be designed to ensure it </w:t>
      </w:r>
      <w:r w:rsidR="00C671D0">
        <w:t xml:space="preserve">can adapt to </w:t>
      </w:r>
      <w:r>
        <w:t>changes and innovations in payment and data platforms?</w:t>
      </w:r>
    </w:p>
    <w:p w14:paraId="08D280A3" w14:textId="34341DC7" w:rsidR="00DA2153" w:rsidRPr="00655290" w:rsidRDefault="00AD7D4A" w:rsidP="0032005E">
      <w:pPr>
        <w:pStyle w:val="OutlineNumbered1"/>
        <w:shd w:val="clear" w:color="auto" w:fill="E8F0FC" w:themeFill="accent5" w:themeFillTint="33"/>
      </w:pPr>
      <w:r w:rsidRPr="00655290">
        <w:t>W</w:t>
      </w:r>
      <w:r w:rsidR="000E6FAE" w:rsidRPr="00655290">
        <w:t>hat are the benefits or risks associated with allowing multiple payment methods</w:t>
      </w:r>
      <w:r w:rsidR="00373417" w:rsidRPr="00655290">
        <w:t xml:space="preserve"> and how might this affect </w:t>
      </w:r>
      <w:r w:rsidR="00DC3C38" w:rsidRPr="00655290">
        <w:t xml:space="preserve">payments processing for </w:t>
      </w:r>
      <w:r w:rsidR="008532A1" w:rsidRPr="00655290">
        <w:t>clearing houses and superannuation funds</w:t>
      </w:r>
      <w:r w:rsidR="000E6FAE" w:rsidRPr="00655290">
        <w:t xml:space="preserve">? Would there be </w:t>
      </w:r>
      <w:r w:rsidR="008532A1" w:rsidRPr="00655290">
        <w:t xml:space="preserve">benefit or risks in </w:t>
      </w:r>
      <w:r w:rsidR="000E6FAE" w:rsidRPr="00655290">
        <w:t xml:space="preserve">only </w:t>
      </w:r>
      <w:r w:rsidR="008532A1" w:rsidRPr="00655290">
        <w:t xml:space="preserve">allowing </w:t>
      </w:r>
      <w:r w:rsidR="000E6FAE" w:rsidRPr="00655290">
        <w:t xml:space="preserve">one payment </w:t>
      </w:r>
      <w:r w:rsidR="008532A1" w:rsidRPr="00655290">
        <w:t>platform (such as the NPP)?</w:t>
      </w:r>
    </w:p>
    <w:p w14:paraId="7F71CBD9" w14:textId="77777777" w:rsidR="007347C0" w:rsidRDefault="007347C0" w:rsidP="00296DC7"/>
    <w:p w14:paraId="3588EB0E" w14:textId="493E9B15" w:rsidR="003902D2" w:rsidRDefault="003902D2" w:rsidP="003902D2">
      <w:pPr>
        <w:pStyle w:val="Heading3"/>
      </w:pPr>
      <w:bookmarkStart w:id="32" w:name="_Toc147500256"/>
      <w:r>
        <w:t>Compliance mechanisms</w:t>
      </w:r>
      <w:bookmarkEnd w:id="32"/>
      <w:r>
        <w:t xml:space="preserve"> </w:t>
      </w:r>
    </w:p>
    <w:p w14:paraId="005C1DFC" w14:textId="01486E59" w:rsidR="0098546A" w:rsidRDefault="00584FC2" w:rsidP="00FE0F4E">
      <w:pPr>
        <w:pStyle w:val="Heading4"/>
      </w:pPr>
      <w:r>
        <w:t>SG charge</w:t>
      </w:r>
      <w:r w:rsidR="0098546A">
        <w:t xml:space="preserve"> assessments </w:t>
      </w:r>
    </w:p>
    <w:p w14:paraId="08CE4C28" w14:textId="5FE8A467" w:rsidR="00EC7D5C" w:rsidRDefault="001E2A42" w:rsidP="001E0556">
      <w:pPr>
        <w:pStyle w:val="BodyText"/>
      </w:pPr>
      <w:r>
        <w:t>Under either an ‘employ</w:t>
      </w:r>
      <w:r w:rsidR="00E36026">
        <w:t>er</w:t>
      </w:r>
      <w:r>
        <w:t xml:space="preserve"> payment’ or </w:t>
      </w:r>
      <w:r w:rsidR="001F33A6">
        <w:t>a ‘due date’ model, t</w:t>
      </w:r>
      <w:r w:rsidR="001E0556">
        <w:t xml:space="preserve">he ATO will use enhanced reporting by employers and funds to ensure that </w:t>
      </w:r>
      <w:r w:rsidR="00EB4443">
        <w:t xml:space="preserve">superannuation </w:t>
      </w:r>
      <w:r w:rsidR="001E0556">
        <w:t xml:space="preserve">payments have been </w:t>
      </w:r>
      <w:r w:rsidR="00B16964">
        <w:t>paid</w:t>
      </w:r>
      <w:r w:rsidR="00E9277A">
        <w:t xml:space="preserve"> </w:t>
      </w:r>
      <w:r w:rsidR="00D3148D">
        <w:t xml:space="preserve">on payday </w:t>
      </w:r>
      <w:r w:rsidR="00E47CA7">
        <w:t xml:space="preserve">or </w:t>
      </w:r>
      <w:r w:rsidR="001E0556">
        <w:t xml:space="preserve">received </w:t>
      </w:r>
      <w:r w:rsidR="001E0556" w:rsidRPr="00296DC7">
        <w:t>by the fund</w:t>
      </w:r>
      <w:r w:rsidR="001E0556">
        <w:t xml:space="preserve"> </w:t>
      </w:r>
      <w:r w:rsidR="00F26EB7">
        <w:t>by the due date</w:t>
      </w:r>
      <w:r w:rsidR="001E0556">
        <w:t>.</w:t>
      </w:r>
      <w:r w:rsidR="00C671D0">
        <w:t xml:space="preserve"> T</w:t>
      </w:r>
      <w:r w:rsidR="00EC7D5C">
        <w:t xml:space="preserve">he ATO will initiate </w:t>
      </w:r>
      <w:r w:rsidR="00584FC2">
        <w:t>SG charge</w:t>
      </w:r>
      <w:r w:rsidR="00BE697B">
        <w:t xml:space="preserve"> assessments through </w:t>
      </w:r>
      <w:r w:rsidR="005A7F3A">
        <w:t xml:space="preserve">their own compliance activities more frequently with </w:t>
      </w:r>
      <w:r w:rsidR="00BB0F3B">
        <w:t>lower reli</w:t>
      </w:r>
      <w:r w:rsidR="008C7AE2">
        <w:t xml:space="preserve">ance </w:t>
      </w:r>
      <w:r w:rsidR="0011196C">
        <w:t>and need for cases to be raised through employee notifications.</w:t>
      </w:r>
    </w:p>
    <w:p w14:paraId="11449EAE" w14:textId="488B7882" w:rsidR="001E0556" w:rsidRDefault="001E0556" w:rsidP="001E0556">
      <w:pPr>
        <w:pStyle w:val="BodyText"/>
      </w:pPr>
      <w:r>
        <w:t xml:space="preserve">If </w:t>
      </w:r>
      <w:r w:rsidR="002F25C4">
        <w:t>it is identified that</w:t>
      </w:r>
      <w:r>
        <w:t xml:space="preserve"> an employe</w:t>
      </w:r>
      <w:r w:rsidR="00F26EB7">
        <w:t xml:space="preserve">e’s superannuation </w:t>
      </w:r>
      <w:r w:rsidR="004916C0">
        <w:t xml:space="preserve">contributions </w:t>
      </w:r>
      <w:r w:rsidR="003403FC">
        <w:t>were</w:t>
      </w:r>
      <w:r>
        <w:t xml:space="preserve"> not </w:t>
      </w:r>
      <w:r w:rsidR="00F26EB7" w:rsidRPr="00296DC7">
        <w:t>with the fund</w:t>
      </w:r>
      <w:r w:rsidR="00BC4BB4" w:rsidRPr="00BE5FF2">
        <w:t>,</w:t>
      </w:r>
      <w:r w:rsidR="00F26EB7" w:rsidRPr="00296DC7">
        <w:t xml:space="preserve"> </w:t>
      </w:r>
      <w:r w:rsidR="00905AD5">
        <w:t>in full</w:t>
      </w:r>
      <w:r w:rsidR="00937E9B">
        <w:t>,</w:t>
      </w:r>
      <w:r w:rsidR="00905AD5">
        <w:t xml:space="preserve"> </w:t>
      </w:r>
      <w:r w:rsidR="00F26EB7">
        <w:t>by the due date</w:t>
      </w:r>
      <w:r w:rsidR="00074132">
        <w:t xml:space="preserve"> or</w:t>
      </w:r>
      <w:r w:rsidR="00D3148D">
        <w:t xml:space="preserve"> paid on payday</w:t>
      </w:r>
      <w:r>
        <w:t xml:space="preserve">, the ATO will contact the employer </w:t>
      </w:r>
      <w:r w:rsidR="0031060E">
        <w:t xml:space="preserve">through a ‘nudge’ to encourage </w:t>
      </w:r>
      <w:r w:rsidR="00821CF7">
        <w:t>rectification of any underpayment</w:t>
      </w:r>
      <w:r w:rsidR="00663060">
        <w:t>. Where a contribution</w:t>
      </w:r>
      <w:r w:rsidR="00B2251E">
        <w:t xml:space="preserve"> continues to be unpaid, the ATO will investigate and contact the employer again </w:t>
      </w:r>
      <w:r>
        <w:t xml:space="preserve">to inform them of </w:t>
      </w:r>
      <w:r w:rsidR="00045B66">
        <w:t xml:space="preserve">their liability to pay the </w:t>
      </w:r>
      <w:r w:rsidR="00584FC2">
        <w:t>SG charge</w:t>
      </w:r>
      <w:r w:rsidR="004A0B03">
        <w:t xml:space="preserve"> through a</w:t>
      </w:r>
      <w:r>
        <w:t xml:space="preserve">n </w:t>
      </w:r>
      <w:r w:rsidR="00584FC2">
        <w:t>SG charge</w:t>
      </w:r>
      <w:r>
        <w:t xml:space="preserve"> assessment. </w:t>
      </w:r>
      <w:r w:rsidR="00A77DF4">
        <w:t>As currently, t</w:t>
      </w:r>
      <w:r>
        <w:t xml:space="preserve">he </w:t>
      </w:r>
      <w:r w:rsidR="00584FC2">
        <w:t>SG charge</w:t>
      </w:r>
      <w:r>
        <w:t xml:space="preserve"> assessment would detail the amount of </w:t>
      </w:r>
      <w:r w:rsidR="00584FC2">
        <w:t>SG charge</w:t>
      </w:r>
      <w:r>
        <w:t xml:space="preserve"> owing to the ATO.</w:t>
      </w:r>
      <w:r w:rsidR="009D6873" w:rsidRPr="009410B5">
        <w:t xml:space="preserve"> Once that assessment becomes due and payable, the </w:t>
      </w:r>
      <w:r w:rsidR="005977D2">
        <w:t>G</w:t>
      </w:r>
      <w:r w:rsidR="009D6873" w:rsidRPr="009410B5">
        <w:t xml:space="preserve">eneral </w:t>
      </w:r>
      <w:r w:rsidR="005977D2">
        <w:t>I</w:t>
      </w:r>
      <w:r w:rsidR="009D6873" w:rsidRPr="009410B5">
        <w:t xml:space="preserve">nterest </w:t>
      </w:r>
      <w:r w:rsidR="005977D2">
        <w:t>C</w:t>
      </w:r>
      <w:r w:rsidR="009D6873" w:rsidRPr="009410B5">
        <w:t>harge</w:t>
      </w:r>
      <w:r w:rsidR="005977D2">
        <w:t xml:space="preserve"> (GIC)</w:t>
      </w:r>
      <w:r w:rsidR="009D6873" w:rsidRPr="009410B5">
        <w:t xml:space="preserve"> will then accrue on any unpaid SG shortfall amounts.</w:t>
      </w:r>
    </w:p>
    <w:p w14:paraId="6E8D08BC" w14:textId="3A3757CF" w:rsidR="00106103" w:rsidRDefault="007D1C01" w:rsidP="001E0556">
      <w:pPr>
        <w:pStyle w:val="BodyText"/>
      </w:pPr>
      <w:r>
        <w:t xml:space="preserve">Rather than </w:t>
      </w:r>
      <w:r w:rsidR="00BC0F60">
        <w:t xml:space="preserve">issuing </w:t>
      </w:r>
      <w:r w:rsidR="00584FC2">
        <w:t>SG charge</w:t>
      </w:r>
      <w:r w:rsidR="00BC0F60">
        <w:t xml:space="preserve"> assessments as</w:t>
      </w:r>
      <w:r w:rsidR="007C3BA1">
        <w:t xml:space="preserve"> soon as</w:t>
      </w:r>
      <w:r w:rsidR="00BC0F60">
        <w:t xml:space="preserve"> the debt </w:t>
      </w:r>
      <w:r w:rsidR="00155AEC">
        <w:t>accrues</w:t>
      </w:r>
      <w:r w:rsidR="00C671D0">
        <w:t>,</w:t>
      </w:r>
      <w:r w:rsidR="00577B46">
        <w:t xml:space="preserve"> </w:t>
      </w:r>
      <w:r w:rsidR="007C3BA1">
        <w:t xml:space="preserve">the ATO will </w:t>
      </w:r>
      <w:r w:rsidR="008520EC">
        <w:t xml:space="preserve">complete </w:t>
      </w:r>
      <w:r w:rsidR="00877507">
        <w:t>regular, scheduled ‘reconciliations’ where they issue</w:t>
      </w:r>
      <w:r w:rsidR="00200E29">
        <w:t xml:space="preserve"> all </w:t>
      </w:r>
      <w:r w:rsidR="00584FC2">
        <w:t>SG charge</w:t>
      </w:r>
      <w:r w:rsidR="00200E29">
        <w:t xml:space="preserve"> assessments </w:t>
      </w:r>
      <w:r w:rsidR="00BB53E6">
        <w:t>that have accrued in the preceding period</w:t>
      </w:r>
      <w:r w:rsidR="00D50F17">
        <w:t xml:space="preserve">. </w:t>
      </w:r>
      <w:r w:rsidR="009209C4">
        <w:t xml:space="preserve">These reconciliations </w:t>
      </w:r>
      <w:r w:rsidR="005C34E5">
        <w:t>would</w:t>
      </w:r>
      <w:r w:rsidR="009209C4">
        <w:t xml:space="preserve"> occur </w:t>
      </w:r>
      <w:r w:rsidR="005C34E5">
        <w:t xml:space="preserve">after the period </w:t>
      </w:r>
      <w:r w:rsidR="00D33309">
        <w:t>under review</w:t>
      </w:r>
      <w:r w:rsidR="001A3E25">
        <w:t>.</w:t>
      </w:r>
      <w:r w:rsidR="00F346CC">
        <w:t xml:space="preserve"> </w:t>
      </w:r>
    </w:p>
    <w:p w14:paraId="080912A2" w14:textId="669B9922" w:rsidR="00D2696F" w:rsidDel="00652B0A" w:rsidRDefault="00F9146A" w:rsidP="001E0556">
      <w:pPr>
        <w:pStyle w:val="BodyText"/>
      </w:pPr>
      <w:r>
        <w:t xml:space="preserve">A </w:t>
      </w:r>
      <w:r w:rsidR="00153B45">
        <w:t xml:space="preserve">short delay between the </w:t>
      </w:r>
      <w:r w:rsidR="00135599">
        <w:t>due date</w:t>
      </w:r>
      <w:r w:rsidR="00D50C02">
        <w:t xml:space="preserve"> and </w:t>
      </w:r>
      <w:r w:rsidR="00135599">
        <w:t>ATO</w:t>
      </w:r>
      <w:r w:rsidR="00D50C02">
        <w:t xml:space="preserve"> reconciliation would also enable any actions </w:t>
      </w:r>
      <w:r w:rsidR="00617D98">
        <w:t xml:space="preserve">of employers in the period to </w:t>
      </w:r>
      <w:r w:rsidR="00E87B9F">
        <w:t xml:space="preserve">address underpayments are accounted for in the </w:t>
      </w:r>
      <w:r w:rsidR="00584FC2">
        <w:t>SG charge</w:t>
      </w:r>
      <w:r w:rsidR="00E87B9F">
        <w:t xml:space="preserve"> assessments.</w:t>
      </w:r>
      <w:r w:rsidR="00106103">
        <w:t xml:space="preserve"> Currently</w:t>
      </w:r>
      <w:r w:rsidR="00135599">
        <w:t>,</w:t>
      </w:r>
      <w:r w:rsidR="00106103">
        <w:t xml:space="preserve"> </w:t>
      </w:r>
      <w:r w:rsidR="00556980">
        <w:t xml:space="preserve">employers </w:t>
      </w:r>
      <w:r w:rsidR="00752069">
        <w:t>can</w:t>
      </w:r>
      <w:r w:rsidR="00556980">
        <w:t xml:space="preserve"> rectify </w:t>
      </w:r>
      <w:r w:rsidR="002E4F29">
        <w:t>underpayments of SG through late payments</w:t>
      </w:r>
      <w:r w:rsidR="00902019">
        <w:t xml:space="preserve">, potentially subject to the </w:t>
      </w:r>
      <w:r w:rsidR="00E8616A">
        <w:t>L</w:t>
      </w:r>
      <w:r w:rsidR="00902019">
        <w:t xml:space="preserve">ate </w:t>
      </w:r>
      <w:r w:rsidR="00E8616A">
        <w:t>P</w:t>
      </w:r>
      <w:r w:rsidR="00902019">
        <w:t>ayment</w:t>
      </w:r>
      <w:r w:rsidR="00902019" w:rsidDel="00635398">
        <w:t xml:space="preserve"> </w:t>
      </w:r>
      <w:r w:rsidR="00E8616A">
        <w:t>O</w:t>
      </w:r>
      <w:r w:rsidR="00902019" w:rsidDel="00635398">
        <w:t>ffset</w:t>
      </w:r>
      <w:r w:rsidR="00D5140B">
        <w:t xml:space="preserve"> (</w:t>
      </w:r>
      <w:r w:rsidR="00E8616A">
        <w:t>LPO</w:t>
      </w:r>
      <w:r w:rsidR="00D5140B">
        <w:t>)</w:t>
      </w:r>
      <w:r w:rsidR="005516D7">
        <w:t xml:space="preserve"> </w:t>
      </w:r>
      <w:r w:rsidR="00F1090A">
        <w:t>which</w:t>
      </w:r>
      <w:r w:rsidR="006D2A74">
        <w:t xml:space="preserve"> can be used to</w:t>
      </w:r>
      <w:r w:rsidR="00F1090A">
        <w:t xml:space="preserve"> </w:t>
      </w:r>
      <w:r w:rsidR="006F6E18">
        <w:t xml:space="preserve">reduce the </w:t>
      </w:r>
      <w:r w:rsidR="005C59E2">
        <w:t xml:space="preserve">shortfall and nominal interest </w:t>
      </w:r>
      <w:r w:rsidR="00DC4C04">
        <w:t xml:space="preserve">components of the </w:t>
      </w:r>
      <w:r w:rsidR="00584FC2">
        <w:t>SG charge</w:t>
      </w:r>
      <w:r w:rsidR="00902019">
        <w:t xml:space="preserve">. </w:t>
      </w:r>
      <w:r w:rsidR="003C3020">
        <w:t xml:space="preserve">Further </w:t>
      </w:r>
      <w:r w:rsidR="007006F2">
        <w:t>discussion of</w:t>
      </w:r>
      <w:r w:rsidR="00343B07">
        <w:t xml:space="preserve"> how</w:t>
      </w:r>
      <w:r w:rsidR="005C50B0">
        <w:t xml:space="preserve"> employers may conduct</w:t>
      </w:r>
      <w:r w:rsidR="00132A47">
        <w:t xml:space="preserve"> rectification prior to an </w:t>
      </w:r>
      <w:r w:rsidR="00584FC2">
        <w:t>SG charge</w:t>
      </w:r>
      <w:r w:rsidR="00132A47">
        <w:t xml:space="preserve"> assessment being </w:t>
      </w:r>
      <w:r w:rsidR="005C50B0">
        <w:t>raised</w:t>
      </w:r>
      <w:r w:rsidR="00D85064">
        <w:t xml:space="preserve"> is </w:t>
      </w:r>
      <w:r w:rsidR="00AE6C94">
        <w:t xml:space="preserve">covered </w:t>
      </w:r>
      <w:r w:rsidR="0024571F">
        <w:t xml:space="preserve">in </w:t>
      </w:r>
      <w:r w:rsidR="0063113C">
        <w:t xml:space="preserve">the </w:t>
      </w:r>
      <w:r w:rsidR="006C308A">
        <w:t xml:space="preserve">next </w:t>
      </w:r>
      <w:r w:rsidR="00942585">
        <w:t>section</w:t>
      </w:r>
      <w:r w:rsidR="00594830">
        <w:t>.</w:t>
      </w:r>
    </w:p>
    <w:p w14:paraId="26DB1C51" w14:textId="7A4EA35C" w:rsidR="0098546A" w:rsidRDefault="00C671D0" w:rsidP="001E0556">
      <w:pPr>
        <w:pStyle w:val="BodyText"/>
      </w:pPr>
      <w:r>
        <w:t>C</w:t>
      </w:r>
      <w:r w:rsidR="004B6C86">
        <w:t>onsideration</w:t>
      </w:r>
      <w:r>
        <w:t xml:space="preserve">s about the </w:t>
      </w:r>
      <w:r w:rsidR="00986CCA">
        <w:t xml:space="preserve">administration of </w:t>
      </w:r>
      <w:r w:rsidR="001707F3">
        <w:t>payday super</w:t>
      </w:r>
      <w:r w:rsidR="004E1074">
        <w:t xml:space="preserve"> </w:t>
      </w:r>
      <w:r>
        <w:t>include</w:t>
      </w:r>
      <w:r w:rsidR="00986CCA">
        <w:t xml:space="preserve"> </w:t>
      </w:r>
      <w:r>
        <w:t>how frequently and how close to payday</w:t>
      </w:r>
      <w:r w:rsidR="004B6C86">
        <w:t xml:space="preserve"> ATO reconciliations</w:t>
      </w:r>
      <w:r>
        <w:t xml:space="preserve"> are conducted</w:t>
      </w:r>
      <w:r w:rsidR="00986CCA">
        <w:t>. M</w:t>
      </w:r>
      <w:r w:rsidR="001E2ED7" w:rsidRPr="00652B0A">
        <w:t xml:space="preserve">ore regular reconciliations would ensure that </w:t>
      </w:r>
      <w:r w:rsidR="00584FC2">
        <w:t>SG charge</w:t>
      </w:r>
      <w:r w:rsidR="001E2ED7" w:rsidRPr="00652B0A">
        <w:t xml:space="preserve"> amounts do not accrue excessively</w:t>
      </w:r>
      <w:r w:rsidR="001E2ED7">
        <w:t xml:space="preserve"> before employers are notified of the </w:t>
      </w:r>
      <w:r w:rsidR="00C932BA">
        <w:t>underpayment</w:t>
      </w:r>
      <w:r w:rsidR="00E87B9F">
        <w:t>, and that employee</w:t>
      </w:r>
      <w:r w:rsidR="00B95381">
        <w:t xml:space="preserve"> entitlements are recovered though ATO</w:t>
      </w:r>
      <w:r w:rsidR="00E87B9F">
        <w:t xml:space="preserve"> </w:t>
      </w:r>
      <w:r w:rsidR="00734E1D">
        <w:t>compliance activities in a timely manner</w:t>
      </w:r>
      <w:r w:rsidR="001E2ED7">
        <w:t>.</w:t>
      </w:r>
      <w:r w:rsidR="00734E1D">
        <w:t xml:space="preserve"> </w:t>
      </w:r>
      <w:r w:rsidR="00CB64C1">
        <w:t xml:space="preserve">Also, as employee notifications </w:t>
      </w:r>
      <w:r w:rsidR="00EF3471">
        <w:t>would</w:t>
      </w:r>
      <w:r w:rsidR="00CB64C1">
        <w:t xml:space="preserve"> not </w:t>
      </w:r>
      <w:r w:rsidR="00E9796D">
        <w:t>be</w:t>
      </w:r>
      <w:r w:rsidR="00CB64C1">
        <w:t xml:space="preserve"> acted upon by the ATO until after the end of the reconciliation period</w:t>
      </w:r>
      <w:r w:rsidR="00A22956">
        <w:t>,</w:t>
      </w:r>
      <w:r w:rsidR="00CB64C1">
        <w:t xml:space="preserve"> </w:t>
      </w:r>
      <w:r w:rsidR="00EF3471">
        <w:t>l</w:t>
      </w:r>
      <w:r w:rsidR="00615585">
        <w:t xml:space="preserve">ess regular reconciliations may </w:t>
      </w:r>
      <w:r>
        <w:t xml:space="preserve">result in </w:t>
      </w:r>
      <w:r w:rsidR="00D15906">
        <w:t xml:space="preserve">longer </w:t>
      </w:r>
      <w:r w:rsidR="00BC7228">
        <w:t>periods between</w:t>
      </w:r>
      <w:r w:rsidR="00615585">
        <w:t xml:space="preserve"> </w:t>
      </w:r>
      <w:r w:rsidR="00BC7228">
        <w:t xml:space="preserve">underpayments being identified and amounts being paid into </w:t>
      </w:r>
      <w:r w:rsidR="00647FD0">
        <w:t>employee super</w:t>
      </w:r>
      <w:r w:rsidR="00F939A0">
        <w:t>annuation</w:t>
      </w:r>
      <w:r w:rsidR="00647FD0">
        <w:t xml:space="preserve"> accounts</w:t>
      </w:r>
      <w:r w:rsidR="00363ED6">
        <w:t>.</w:t>
      </w:r>
    </w:p>
    <w:p w14:paraId="305D4FF0" w14:textId="77777777" w:rsidR="0079376D" w:rsidRDefault="0079376D" w:rsidP="0079376D">
      <w:pPr>
        <w:shd w:val="clear" w:color="auto" w:fill="E8F0FC" w:themeFill="accent5" w:themeFillTint="33"/>
        <w:rPr>
          <w:b/>
          <w:bCs/>
        </w:rPr>
      </w:pPr>
      <w:r>
        <w:rPr>
          <w:b/>
          <w:bCs/>
        </w:rPr>
        <w:t>Consultation questions</w:t>
      </w:r>
    </w:p>
    <w:p w14:paraId="387CBB4A" w14:textId="7C3EB967" w:rsidR="001319A5" w:rsidRDefault="001319A5" w:rsidP="001319A5">
      <w:pPr>
        <w:pStyle w:val="OutlineNumbered1"/>
        <w:shd w:val="clear" w:color="auto" w:fill="E8F0FC" w:themeFill="accent5" w:themeFillTint="33"/>
      </w:pPr>
      <w:r>
        <w:t>What is the appropriate timeframe for ATO reconciliations? For example, fortnightly or monthly?</w:t>
      </w:r>
      <w:r w:rsidR="00652B0A">
        <w:t xml:space="preserve"> </w:t>
      </w:r>
      <w:r w:rsidR="00590FCA">
        <w:t>Should the timeframe differ depending on the frequency of payday or would a standard timeframe be more appropriate?</w:t>
      </w:r>
    </w:p>
    <w:p w14:paraId="497B6258" w14:textId="21466663" w:rsidR="002F0880" w:rsidRDefault="00CD3905" w:rsidP="001319A5">
      <w:pPr>
        <w:pStyle w:val="OutlineNumbered1"/>
        <w:shd w:val="clear" w:color="auto" w:fill="E8F0FC" w:themeFill="accent5" w:themeFillTint="33"/>
      </w:pPr>
      <w:r>
        <w:t xml:space="preserve">Should there be a mechanism </w:t>
      </w:r>
      <w:r w:rsidR="00F05B0F">
        <w:t xml:space="preserve">whereby </w:t>
      </w:r>
      <w:r w:rsidR="00263825">
        <w:t xml:space="preserve">employers can pay </w:t>
      </w:r>
      <w:r w:rsidR="00584FC2">
        <w:t>SG charge</w:t>
      </w:r>
      <w:r w:rsidR="00193C95">
        <w:t xml:space="preserve"> they know they have accrued, prior to the reconciliations </w:t>
      </w:r>
      <w:r w:rsidR="00C9617B">
        <w:t>and assessments</w:t>
      </w:r>
      <w:r w:rsidR="00193C95">
        <w:t xml:space="preserve"> being issued? How should this occur? </w:t>
      </w:r>
    </w:p>
    <w:p w14:paraId="1E0D62E2" w14:textId="24D2B38A" w:rsidR="00B941AC" w:rsidRPr="00D95D16" w:rsidRDefault="00B941AC" w:rsidP="00B941AC">
      <w:pPr>
        <w:pStyle w:val="Heading4"/>
      </w:pPr>
      <w:r>
        <w:t xml:space="preserve">Rectifying underpayments before an </w:t>
      </w:r>
      <w:r w:rsidR="00584FC2">
        <w:t>SG charge</w:t>
      </w:r>
      <w:r>
        <w:t xml:space="preserve"> assessment is </w:t>
      </w:r>
      <w:proofErr w:type="gramStart"/>
      <w:r>
        <w:t>issued</w:t>
      </w:r>
      <w:proofErr w:type="gramEnd"/>
      <w:r>
        <w:t xml:space="preserve"> </w:t>
      </w:r>
    </w:p>
    <w:p w14:paraId="029734A6" w14:textId="5F6BE466" w:rsidR="00B941AC" w:rsidRDefault="00B941AC" w:rsidP="00B941AC">
      <w:pPr>
        <w:pStyle w:val="Bullet"/>
        <w:numPr>
          <w:ilvl w:val="0"/>
          <w:numId w:val="0"/>
        </w:numPr>
      </w:pPr>
      <w:r>
        <w:t>Currently, the LPO enables employers to make a late SG payment</w:t>
      </w:r>
      <w:r w:rsidR="00267E1C">
        <w:t xml:space="preserve"> to the employee’s fund</w:t>
      </w:r>
      <w:r>
        <w:t xml:space="preserve"> before an </w:t>
      </w:r>
      <w:r w:rsidR="00584FC2">
        <w:t>SG charge</w:t>
      </w:r>
      <w:r>
        <w:t xml:space="preserve"> statement is lodged. </w:t>
      </w:r>
      <w:r w:rsidR="00147D0D">
        <w:t>T</w:t>
      </w:r>
      <w:r w:rsidR="0034682A">
        <w:t xml:space="preserve">he LPO is used to reduce the </w:t>
      </w:r>
      <w:r w:rsidR="00584FC2">
        <w:t>SG charge</w:t>
      </w:r>
      <w:r w:rsidR="0034682A">
        <w:t xml:space="preserve"> amount that the employer is liable to pay the ATO. </w:t>
      </w:r>
      <w:r>
        <w:t xml:space="preserve">In a </w:t>
      </w:r>
      <w:r w:rsidR="00253842">
        <w:t>payday super model</w:t>
      </w:r>
      <w:r>
        <w:t>, the LPO could enable employers to make a late SG payment relating to a period that the ATO ha</w:t>
      </w:r>
      <w:r w:rsidR="00F43632">
        <w:t>s</w:t>
      </w:r>
      <w:r>
        <w:t xml:space="preserve"> not yet issued an </w:t>
      </w:r>
      <w:r w:rsidR="00584FC2">
        <w:t>SG charge</w:t>
      </w:r>
      <w:r>
        <w:t xml:space="preserve"> assessment for. Allowing the LPO in a </w:t>
      </w:r>
      <w:r w:rsidR="00253842">
        <w:t>payday super model</w:t>
      </w:r>
      <w:r>
        <w:t xml:space="preserve"> could mitigate potential concerns that an employer is unable to rectify an SG underpayment until an ATO reconciliation occurs. </w:t>
      </w:r>
      <w:r w:rsidR="00D7217E">
        <w:t xml:space="preserve">In this scenario, the </w:t>
      </w:r>
      <w:r>
        <w:t xml:space="preserve">employer </w:t>
      </w:r>
      <w:r w:rsidR="00BF2FA0">
        <w:t>may</w:t>
      </w:r>
      <w:r w:rsidR="00980698">
        <w:t xml:space="preserve"> need</w:t>
      </w:r>
      <w:r>
        <w:t xml:space="preserve"> to </w:t>
      </w:r>
      <w:r w:rsidR="00E740CA">
        <w:t>notify the</w:t>
      </w:r>
      <w:r>
        <w:t xml:space="preserve"> ATO </w:t>
      </w:r>
      <w:r w:rsidR="00F0291E">
        <w:t xml:space="preserve">as to </w:t>
      </w:r>
      <w:r w:rsidR="009014AA">
        <w:t>which</w:t>
      </w:r>
      <w:r>
        <w:t xml:space="preserve"> pay period the late payment relates</w:t>
      </w:r>
      <w:r w:rsidR="009014AA">
        <w:t xml:space="preserve"> to</w:t>
      </w:r>
      <w:r>
        <w:t xml:space="preserve">. </w:t>
      </w:r>
    </w:p>
    <w:p w14:paraId="7DCB6EC9" w14:textId="52D08618" w:rsidR="00B941AC" w:rsidRDefault="00B941AC" w:rsidP="00B941AC">
      <w:pPr>
        <w:pStyle w:val="Bullet"/>
        <w:numPr>
          <w:ilvl w:val="0"/>
          <w:numId w:val="0"/>
        </w:numPr>
      </w:pPr>
      <w:r>
        <w:t xml:space="preserve">Alternatively, employers are currently also able to carry forward late payments to a future quarter. This retains the tax deductibility of these </w:t>
      </w:r>
      <w:proofErr w:type="gramStart"/>
      <w:r>
        <w:t>payments,</w:t>
      </w:r>
      <w:proofErr w:type="gramEnd"/>
      <w:r>
        <w:t xml:space="preserve"> however the employer is still liable to pay the </w:t>
      </w:r>
      <w:r w:rsidR="009D65F8">
        <w:t xml:space="preserve">full </w:t>
      </w:r>
      <w:r w:rsidR="00584FC2">
        <w:t>SG charge</w:t>
      </w:r>
      <w:r>
        <w:t xml:space="preserve"> for the missed payment</w:t>
      </w:r>
      <w:r w:rsidR="00B56A03">
        <w:t>s in the earlier quarter</w:t>
      </w:r>
      <w:r>
        <w:t>. This feature</w:t>
      </w:r>
      <w:r w:rsidR="00B40713">
        <w:t xml:space="preserve"> </w:t>
      </w:r>
      <w:r w:rsidR="00C25CF2">
        <w:t>of the current system</w:t>
      </w:r>
      <w:r>
        <w:t xml:space="preserve"> could be</w:t>
      </w:r>
      <w:r w:rsidR="00267F51">
        <w:t xml:space="preserve"> retained </w:t>
      </w:r>
      <w:r w:rsidR="002637AA">
        <w:t xml:space="preserve">under </w:t>
      </w:r>
      <w:r w:rsidR="002E3AB6">
        <w:t xml:space="preserve">payday </w:t>
      </w:r>
      <w:r w:rsidR="0064124B">
        <w:t>super</w:t>
      </w:r>
      <w:r w:rsidR="00504D25">
        <w:t xml:space="preserve"> </w:t>
      </w:r>
      <w:r w:rsidR="00355B47">
        <w:t>but modified</w:t>
      </w:r>
      <w:r w:rsidR="00B27B3A">
        <w:t xml:space="preserve"> so that the</w:t>
      </w:r>
      <w:r w:rsidR="00CD066A">
        <w:t xml:space="preserve"> late payment </w:t>
      </w:r>
      <w:r w:rsidR="00C664C1">
        <w:t>c</w:t>
      </w:r>
      <w:r w:rsidR="009541C8">
        <w:t>ould</w:t>
      </w:r>
      <w:r w:rsidR="00395BF0">
        <w:t xml:space="preserve"> </w:t>
      </w:r>
      <w:r w:rsidR="00115101">
        <w:t xml:space="preserve">be </w:t>
      </w:r>
      <w:r w:rsidR="00395BF0">
        <w:t xml:space="preserve">carried forward to a future pay </w:t>
      </w:r>
      <w:r w:rsidR="00334099">
        <w:t>period</w:t>
      </w:r>
      <w:r w:rsidR="00253C72">
        <w:t xml:space="preserve"> rather than to a future quarter</w:t>
      </w:r>
      <w:r w:rsidR="00634A17">
        <w:t>,</w:t>
      </w:r>
      <w:r w:rsidR="0061622C">
        <w:t xml:space="preserve"> </w:t>
      </w:r>
      <w:r w:rsidR="00CB02BD">
        <w:t>with employer</w:t>
      </w:r>
      <w:r w:rsidR="00ED44DB">
        <w:t xml:space="preserve">s </w:t>
      </w:r>
      <w:r w:rsidR="00694E38">
        <w:t xml:space="preserve">still </w:t>
      </w:r>
      <w:r w:rsidR="00ED44DB">
        <w:t xml:space="preserve">liable </w:t>
      </w:r>
      <w:r w:rsidR="005D61F3">
        <w:t>for</w:t>
      </w:r>
      <w:r w:rsidR="00ED44DB">
        <w:t xml:space="preserve"> the </w:t>
      </w:r>
      <w:r w:rsidR="00584FC2">
        <w:t>SG charge</w:t>
      </w:r>
      <w:r w:rsidR="00ED44DB">
        <w:t xml:space="preserve"> </w:t>
      </w:r>
      <w:r w:rsidR="00694E38">
        <w:t>on</w:t>
      </w:r>
      <w:r w:rsidR="00ED44DB">
        <w:t xml:space="preserve"> missed payment</w:t>
      </w:r>
      <w:r w:rsidR="00694E38">
        <w:t>s</w:t>
      </w:r>
      <w:r w:rsidR="00552DAB">
        <w:t xml:space="preserve"> in the earlier period</w:t>
      </w:r>
      <w:r w:rsidR="00B27B3A">
        <w:t>.</w:t>
      </w:r>
      <w:r>
        <w:t xml:space="preserve"> This would ensure employees are no worse off</w:t>
      </w:r>
      <w:r w:rsidR="00DB59C0">
        <w:t xml:space="preserve"> and </w:t>
      </w:r>
      <w:r w:rsidR="00665BB0">
        <w:t xml:space="preserve">that employers </w:t>
      </w:r>
      <w:r w:rsidR="00DB59C0">
        <w:t>c</w:t>
      </w:r>
      <w:r w:rsidR="00665BB0">
        <w:t>an</w:t>
      </w:r>
      <w:r w:rsidR="00DB59C0">
        <w:t xml:space="preserve"> retain the tax deductibility of </w:t>
      </w:r>
      <w:r w:rsidR="008328F0">
        <w:t>those</w:t>
      </w:r>
      <w:r w:rsidR="00DB59C0">
        <w:t xml:space="preserve"> payments</w:t>
      </w:r>
      <w:r w:rsidR="00EE00E7">
        <w:t xml:space="preserve"> carr</w:t>
      </w:r>
      <w:r w:rsidR="009A435A">
        <w:t>ied</w:t>
      </w:r>
      <w:r w:rsidR="00EE00E7">
        <w:t xml:space="preserve"> forward</w:t>
      </w:r>
      <w:r>
        <w:t xml:space="preserve">. </w:t>
      </w:r>
    </w:p>
    <w:p w14:paraId="1160FAFE" w14:textId="401F6FF4" w:rsidR="00E173BF" w:rsidRDefault="00E173BF" w:rsidP="003717CE">
      <w:pPr>
        <w:pStyle w:val="Heading4"/>
      </w:pPr>
      <w:r>
        <w:t xml:space="preserve">Tax deductibility </w:t>
      </w:r>
      <w:r w:rsidR="00645578">
        <w:t>and</w:t>
      </w:r>
      <w:r w:rsidR="00F235B3">
        <w:t xml:space="preserve"> compliance</w:t>
      </w:r>
    </w:p>
    <w:p w14:paraId="4E2D466D" w14:textId="6FE29494" w:rsidR="00E173BF" w:rsidRDefault="00E216EB" w:rsidP="00F75919">
      <w:pPr>
        <w:pStyle w:val="Bullet"/>
        <w:numPr>
          <w:ilvl w:val="0"/>
          <w:numId w:val="0"/>
        </w:numPr>
      </w:pPr>
      <w:r>
        <w:t xml:space="preserve">Currently, where an employer is required to pay the </w:t>
      </w:r>
      <w:r w:rsidR="00584FC2">
        <w:t>SG charge</w:t>
      </w:r>
      <w:r>
        <w:t xml:space="preserve"> </w:t>
      </w:r>
      <w:r w:rsidR="000D617F">
        <w:t xml:space="preserve">or uses the LPO to reduce the </w:t>
      </w:r>
      <w:r w:rsidR="00584FC2">
        <w:t>SG charge</w:t>
      </w:r>
      <w:r w:rsidR="000D617F">
        <w:t>, these payments are not tax deductible</w:t>
      </w:r>
      <w:r w:rsidR="00DF2FDE">
        <w:t>.</w:t>
      </w:r>
      <w:r w:rsidR="000D617F">
        <w:t xml:space="preserve"> This can be </w:t>
      </w:r>
      <w:r w:rsidR="005C7D0A">
        <w:t>a</w:t>
      </w:r>
      <w:r w:rsidR="000D617F">
        <w:t xml:space="preserve"> significant penalty on employers</w:t>
      </w:r>
      <w:r w:rsidR="00473D97">
        <w:t xml:space="preserve"> as it increases the cost of these contributions </w:t>
      </w:r>
      <w:r w:rsidR="002508E7">
        <w:t xml:space="preserve">by </w:t>
      </w:r>
      <w:r w:rsidR="008E4B79">
        <w:t>an</w:t>
      </w:r>
      <w:r w:rsidR="002508E7">
        <w:t xml:space="preserve"> amount equivalent to </w:t>
      </w:r>
      <w:r w:rsidR="005E0F34">
        <w:t xml:space="preserve">the foregone </w:t>
      </w:r>
      <w:r w:rsidR="002508E7">
        <w:t xml:space="preserve">tax </w:t>
      </w:r>
      <w:r w:rsidR="005E0F34">
        <w:t>deduction</w:t>
      </w:r>
      <w:r w:rsidR="002508E7">
        <w:t>, in addition</w:t>
      </w:r>
      <w:r w:rsidR="00DA4F9A">
        <w:t xml:space="preserve"> to the administration fees and interest charges that already apply to the </w:t>
      </w:r>
      <w:r w:rsidR="00584FC2">
        <w:t>SG charge</w:t>
      </w:r>
      <w:r w:rsidR="00DA4F9A">
        <w:t xml:space="preserve">. </w:t>
      </w:r>
      <w:r w:rsidR="006360CA">
        <w:t>In a payday environment, c</w:t>
      </w:r>
      <w:r w:rsidR="00DA4F9A">
        <w:t xml:space="preserve">onsideration could be given to </w:t>
      </w:r>
      <w:r w:rsidR="00926DB7">
        <w:t xml:space="preserve">limited </w:t>
      </w:r>
      <w:r w:rsidR="00DA4F9A">
        <w:t xml:space="preserve">circumstances where </w:t>
      </w:r>
      <w:r w:rsidR="006360CA">
        <w:t xml:space="preserve">a late payment or </w:t>
      </w:r>
      <w:r w:rsidR="00584FC2">
        <w:t>SG charge</w:t>
      </w:r>
      <w:r w:rsidR="006360CA">
        <w:t xml:space="preserve"> payment should remain tax deductible. This may</w:t>
      </w:r>
      <w:r w:rsidR="00622A11">
        <w:t xml:space="preserve"> further encourage compliance</w:t>
      </w:r>
      <w:r w:rsidR="00F26B91">
        <w:t xml:space="preserve">, </w:t>
      </w:r>
      <w:r w:rsidR="006360CA">
        <w:t xml:space="preserve">for example, by preserving deductibility only if </w:t>
      </w:r>
      <w:r w:rsidR="00F26B91">
        <w:t xml:space="preserve">the </w:t>
      </w:r>
      <w:r w:rsidR="00584FC2">
        <w:t>SG charge</w:t>
      </w:r>
      <w:r w:rsidR="00F26B91">
        <w:t xml:space="preserve"> </w:t>
      </w:r>
      <w:r w:rsidR="006360CA">
        <w:t xml:space="preserve">is paid </w:t>
      </w:r>
      <w:r w:rsidR="00F26B91">
        <w:t>in a timely manner</w:t>
      </w:r>
      <w:r w:rsidR="00C76EE3">
        <w:t>, or other specific circumstances.</w:t>
      </w:r>
      <w:r w:rsidR="001574A6">
        <w:t xml:space="preserve"> However, any additional </w:t>
      </w:r>
      <w:r w:rsidR="008A1269">
        <w:t xml:space="preserve">deductibility should also strike a balance between </w:t>
      </w:r>
      <w:r w:rsidR="00302517">
        <w:t xml:space="preserve">improving compliance for employers while </w:t>
      </w:r>
      <w:r w:rsidR="00AB6C47">
        <w:t>maintaining a</w:t>
      </w:r>
      <w:r w:rsidR="00302517">
        <w:t xml:space="preserve"> sufficient </w:t>
      </w:r>
      <w:r w:rsidR="00AB6C47">
        <w:t xml:space="preserve">penalty framework </w:t>
      </w:r>
      <w:r w:rsidR="00C206B6">
        <w:t xml:space="preserve">for ongoing non-compliance. </w:t>
      </w:r>
      <w:r w:rsidR="00AB6C47">
        <w:t xml:space="preserve"> </w:t>
      </w:r>
    </w:p>
    <w:p w14:paraId="006614DB" w14:textId="4199B006" w:rsidR="00B941AC" w:rsidRDefault="00B941AC" w:rsidP="00B941AC">
      <w:pPr>
        <w:shd w:val="clear" w:color="auto" w:fill="E8F0FC" w:themeFill="accent5" w:themeFillTint="33"/>
        <w:rPr>
          <w:b/>
          <w:bCs/>
        </w:rPr>
      </w:pPr>
      <w:r>
        <w:rPr>
          <w:b/>
          <w:bCs/>
        </w:rPr>
        <w:t>Consultation questions</w:t>
      </w:r>
    </w:p>
    <w:p w14:paraId="673AB51A" w14:textId="4654C066" w:rsidR="00B941AC" w:rsidRDefault="00B941AC" w:rsidP="00B941AC">
      <w:pPr>
        <w:pStyle w:val="OutlineNumbered1"/>
        <w:shd w:val="clear" w:color="auto" w:fill="E8F0FC" w:themeFill="accent5" w:themeFillTint="33"/>
      </w:pPr>
      <w:r>
        <w:t xml:space="preserve">Should the LPO and carry forward of late payments remain a feature of the SG compliance system in a </w:t>
      </w:r>
      <w:r w:rsidR="00253842">
        <w:t>payday super model</w:t>
      </w:r>
      <w:r>
        <w:t xml:space="preserve">? </w:t>
      </w:r>
      <w:r w:rsidR="00914704">
        <w:t xml:space="preserve">Could an alternate system be </w:t>
      </w:r>
      <w:r w:rsidR="002C288E">
        <w:t>adopted whereby late payments apply retrospectively to the earliest period outstanding?</w:t>
      </w:r>
    </w:p>
    <w:p w14:paraId="02FAD1DB" w14:textId="626AEC46" w:rsidR="00B941AC" w:rsidRDefault="008B4CA4" w:rsidP="00B941AC">
      <w:pPr>
        <w:pStyle w:val="OutlineNumbered1"/>
        <w:shd w:val="clear" w:color="auto" w:fill="E8F0FC" w:themeFill="accent5" w:themeFillTint="33"/>
      </w:pPr>
      <w:r>
        <w:t xml:space="preserve">Should late SG contributions be tax deductible under certain circumstances, for example when an employer amends the </w:t>
      </w:r>
      <w:r w:rsidR="00584FC2">
        <w:t>SG charge</w:t>
      </w:r>
      <w:r>
        <w:t xml:space="preserve"> before it is assessed by the ATO</w:t>
      </w:r>
      <w:r w:rsidR="004D721C">
        <w:t xml:space="preserve">? </w:t>
      </w:r>
    </w:p>
    <w:p w14:paraId="6E70F3C7" w14:textId="53D6CB51" w:rsidR="00660194" w:rsidRDefault="00EF3EF3" w:rsidP="00B941AC">
      <w:pPr>
        <w:pStyle w:val="OutlineNumbered1"/>
        <w:shd w:val="clear" w:color="auto" w:fill="E8F0FC" w:themeFill="accent5" w:themeFillTint="33"/>
      </w:pPr>
      <w:r>
        <w:t>What kind of</w:t>
      </w:r>
      <w:r w:rsidR="00C52CD5">
        <w:t xml:space="preserve"> prompts or nudges </w:t>
      </w:r>
      <w:r>
        <w:t>could</w:t>
      </w:r>
      <w:r w:rsidR="00C52CD5">
        <w:t xml:space="preserve"> be provided to employers </w:t>
      </w:r>
      <w:r>
        <w:t>to</w:t>
      </w:r>
      <w:r w:rsidR="00C52CD5">
        <w:t xml:space="preserve"> </w:t>
      </w:r>
      <w:r w:rsidR="00D60F0F">
        <w:t>be aware of and meet their S</w:t>
      </w:r>
      <w:r w:rsidR="00811F14">
        <w:t>G obligations</w:t>
      </w:r>
      <w:r w:rsidR="005C68B0">
        <w:t xml:space="preserve"> on time</w:t>
      </w:r>
      <w:r w:rsidR="00811F14">
        <w:t>?</w:t>
      </w:r>
      <w:r w:rsidR="00D60F0F">
        <w:t xml:space="preserve"> </w:t>
      </w:r>
    </w:p>
    <w:p w14:paraId="5EE3F606" w14:textId="0D1CEC5C" w:rsidR="00871B5B" w:rsidRDefault="001A070D" w:rsidP="00B941AC">
      <w:pPr>
        <w:pStyle w:val="OutlineNumbered1"/>
        <w:shd w:val="clear" w:color="auto" w:fill="E8F0FC" w:themeFill="accent5" w:themeFillTint="33"/>
      </w:pPr>
      <w:r>
        <w:t xml:space="preserve">Are there more appropriate </w:t>
      </w:r>
      <w:r w:rsidR="0068320E">
        <w:t>incentives outside of</w:t>
      </w:r>
      <w:r w:rsidR="00871B5B">
        <w:t xml:space="preserve"> the LPO </w:t>
      </w:r>
      <w:r w:rsidR="0068320E">
        <w:t>to encourage</w:t>
      </w:r>
      <w:r w:rsidR="00871B5B">
        <w:t xml:space="preserve"> employers to </w:t>
      </w:r>
      <w:r w:rsidR="00DD794F">
        <w:t>pay SG</w:t>
      </w:r>
      <w:r w:rsidR="006A1E74">
        <w:t xml:space="preserve"> in a timely manner? </w:t>
      </w:r>
    </w:p>
    <w:p w14:paraId="62A031D3" w14:textId="3AF712AB" w:rsidR="00D301F7" w:rsidRDefault="00584FC2" w:rsidP="00FE0F4E">
      <w:pPr>
        <w:pStyle w:val="Heading4"/>
      </w:pPr>
      <w:r>
        <w:t>SG charge</w:t>
      </w:r>
      <w:r w:rsidR="00FE0F4E">
        <w:t xml:space="preserve"> </w:t>
      </w:r>
      <w:r w:rsidR="00C326F6">
        <w:t>calculation</w:t>
      </w:r>
    </w:p>
    <w:p w14:paraId="3F7403D9" w14:textId="339410C6" w:rsidR="00282B14" w:rsidRPr="00744E92" w:rsidRDefault="00282B14" w:rsidP="001252A5">
      <w:pPr>
        <w:pStyle w:val="BodyText"/>
      </w:pPr>
      <w:r w:rsidRPr="00744E92">
        <w:t xml:space="preserve">The purpose of the </w:t>
      </w:r>
      <w:r w:rsidR="00584FC2">
        <w:t>SG charge</w:t>
      </w:r>
      <w:r w:rsidRPr="00744E92">
        <w:t xml:space="preserve"> is </w:t>
      </w:r>
      <w:r w:rsidR="00FB47AB">
        <w:t>four</w:t>
      </w:r>
      <w:r w:rsidRPr="00744E92">
        <w:t>-fold</w:t>
      </w:r>
      <w:r w:rsidR="00387FC1">
        <w:t xml:space="preserve"> to</w:t>
      </w:r>
      <w:r w:rsidRPr="00744E92">
        <w:t>:</w:t>
      </w:r>
    </w:p>
    <w:p w14:paraId="1629F031" w14:textId="03B7E6E0" w:rsidR="00282B14" w:rsidRDefault="00387FC1" w:rsidP="00282B14">
      <w:pPr>
        <w:pStyle w:val="BodyText"/>
        <w:numPr>
          <w:ilvl w:val="6"/>
          <w:numId w:val="11"/>
        </w:numPr>
      </w:pPr>
      <w:r>
        <w:t>C</w:t>
      </w:r>
      <w:r w:rsidR="00282B14" w:rsidRPr="00744E92">
        <w:t>ompensate employees</w:t>
      </w:r>
      <w:r w:rsidR="00F94AE4">
        <w:t xml:space="preserve"> for missed </w:t>
      </w:r>
      <w:r w:rsidR="00D8614C">
        <w:t>SG</w:t>
      </w:r>
      <w:r w:rsidR="00F94AE4">
        <w:t xml:space="preserve"> </w:t>
      </w:r>
      <w:r w:rsidR="00D8614C">
        <w:t>contributions</w:t>
      </w:r>
      <w:r w:rsidR="00F94AE4">
        <w:t xml:space="preserve">, including </w:t>
      </w:r>
      <w:r w:rsidR="00D8614C">
        <w:t xml:space="preserve">foregone interest </w:t>
      </w:r>
      <w:proofErr w:type="gramStart"/>
      <w:r w:rsidR="00D8614C">
        <w:t>as a result of</w:t>
      </w:r>
      <w:proofErr w:type="gramEnd"/>
      <w:r w:rsidR="00D8614C">
        <w:t xml:space="preserve"> the payment not being made on time</w:t>
      </w:r>
      <w:r w:rsidR="00CF3D84">
        <w:t>,</w:t>
      </w:r>
      <w:r w:rsidR="00D8614C">
        <w:t xml:space="preserve"> </w:t>
      </w:r>
    </w:p>
    <w:p w14:paraId="14839A7E" w14:textId="1EFB3D3D" w:rsidR="00FB47AB" w:rsidRDefault="006874EA" w:rsidP="00282B14">
      <w:pPr>
        <w:pStyle w:val="BodyText"/>
        <w:numPr>
          <w:ilvl w:val="6"/>
          <w:numId w:val="11"/>
        </w:numPr>
      </w:pPr>
      <w:r>
        <w:t>D</w:t>
      </w:r>
      <w:r w:rsidR="00F14ADE">
        <w:t>iscourage</w:t>
      </w:r>
      <w:r>
        <w:t xml:space="preserve"> </w:t>
      </w:r>
      <w:r w:rsidR="00D8614C">
        <w:t>employers from making SG payments late</w:t>
      </w:r>
      <w:r w:rsidR="002C28EC">
        <w:t>,</w:t>
      </w:r>
    </w:p>
    <w:p w14:paraId="1443F5DD" w14:textId="27185696" w:rsidR="00D8614C" w:rsidRPr="00744E92" w:rsidRDefault="00FB47AB" w:rsidP="00282B14">
      <w:pPr>
        <w:pStyle w:val="BodyText"/>
        <w:numPr>
          <w:ilvl w:val="6"/>
          <w:numId w:val="11"/>
        </w:numPr>
      </w:pPr>
      <w:r>
        <w:t xml:space="preserve">Ensure non-compliant employers do not obtain </w:t>
      </w:r>
      <w:r w:rsidR="002C28EC">
        <w:t>a</w:t>
      </w:r>
      <w:r>
        <w:t xml:space="preserve"> competitive advantage over employers who follow the rules</w:t>
      </w:r>
      <w:r w:rsidR="00CF3D84">
        <w:t>, and</w:t>
      </w:r>
      <w:r w:rsidR="00D8614C">
        <w:t xml:space="preserve"> </w:t>
      </w:r>
    </w:p>
    <w:p w14:paraId="2C36ABC2" w14:textId="1341E2EE" w:rsidR="00282B14" w:rsidRPr="00744E92" w:rsidRDefault="00387FC1" w:rsidP="00282B14">
      <w:pPr>
        <w:pStyle w:val="BodyText"/>
        <w:numPr>
          <w:ilvl w:val="6"/>
          <w:numId w:val="11"/>
        </w:numPr>
      </w:pPr>
      <w:r>
        <w:t xml:space="preserve">Compensate </w:t>
      </w:r>
      <w:r w:rsidR="00C95BA6">
        <w:t xml:space="preserve">the ATO for the cost and administrative effort of chasing up </w:t>
      </w:r>
      <w:r w:rsidR="008F19E1">
        <w:t xml:space="preserve">SG </w:t>
      </w:r>
      <w:r w:rsidR="00C95BA6">
        <w:t>underpayment</w:t>
      </w:r>
      <w:r w:rsidR="00314932">
        <w:t xml:space="preserve"> and non-payment</w:t>
      </w:r>
      <w:r w:rsidR="00CF3D84">
        <w:t>.</w:t>
      </w:r>
    </w:p>
    <w:p w14:paraId="576E40AC" w14:textId="52544FEC" w:rsidR="00C9682B" w:rsidRDefault="00C671D0" w:rsidP="001252A5">
      <w:pPr>
        <w:pStyle w:val="BodyText"/>
      </w:pPr>
      <w:r>
        <w:t>With</w:t>
      </w:r>
      <w:r w:rsidR="005E099F">
        <w:t xml:space="preserve"> the introduction of</w:t>
      </w:r>
      <w:r>
        <w:t xml:space="preserve"> </w:t>
      </w:r>
      <w:r w:rsidR="008043B4">
        <w:t>payday super</w:t>
      </w:r>
      <w:r w:rsidR="001252A5">
        <w:t>,</w:t>
      </w:r>
      <w:r w:rsidR="0070606D">
        <w:t xml:space="preserve"> </w:t>
      </w:r>
      <w:r w:rsidR="007374A3">
        <w:t xml:space="preserve">consideration could be given to </w:t>
      </w:r>
      <w:r w:rsidR="008F51B4">
        <w:t>updating</w:t>
      </w:r>
      <w:r w:rsidR="00B46F9B">
        <w:t xml:space="preserve"> the calculation of the </w:t>
      </w:r>
      <w:r w:rsidR="00584FC2">
        <w:t>SG charge</w:t>
      </w:r>
      <w:r w:rsidR="001252A5">
        <w:t xml:space="preserve"> to</w:t>
      </w:r>
      <w:r w:rsidR="007B2CCB">
        <w:t xml:space="preserve"> ensure it </w:t>
      </w:r>
      <w:r w:rsidR="00DB4372">
        <w:t>works appropriately in the context of payday superannuation</w:t>
      </w:r>
      <w:r w:rsidR="001252A5">
        <w:t xml:space="preserve">. </w:t>
      </w:r>
    </w:p>
    <w:p w14:paraId="22C2344F" w14:textId="38A4F1F8" w:rsidR="00A933FD" w:rsidRDefault="0003278E" w:rsidP="001252A5">
      <w:pPr>
        <w:pStyle w:val="BodyText"/>
      </w:pPr>
      <w:r>
        <w:t>Unpaid superannuation is equival</w:t>
      </w:r>
      <w:r w:rsidR="00A50879">
        <w:t>ent to wage theft</w:t>
      </w:r>
      <w:r w:rsidR="00B521F4">
        <w:t xml:space="preserve"> and the </w:t>
      </w:r>
      <w:r w:rsidR="00584FC2">
        <w:t>SG charge</w:t>
      </w:r>
      <w:r w:rsidR="00B521F4">
        <w:t xml:space="preserve"> will continue to have an important role to play in deterring and penalising any non-</w:t>
      </w:r>
      <w:r w:rsidR="00DB4372">
        <w:t>compliant</w:t>
      </w:r>
      <w:r w:rsidR="00B521F4">
        <w:t xml:space="preserve"> employers</w:t>
      </w:r>
      <w:r w:rsidR="00C9682B">
        <w:t xml:space="preserve">. </w:t>
      </w:r>
      <w:r w:rsidR="003F0772">
        <w:t xml:space="preserve">Any </w:t>
      </w:r>
      <w:r w:rsidR="003C2A1E">
        <w:t>updates</w:t>
      </w:r>
      <w:r w:rsidR="003F0772">
        <w:t xml:space="preserve"> </w:t>
      </w:r>
      <w:r w:rsidR="00B521F4">
        <w:t xml:space="preserve">to the </w:t>
      </w:r>
      <w:r w:rsidR="00584FC2">
        <w:t>SG charge</w:t>
      </w:r>
      <w:r w:rsidR="00B521F4">
        <w:t xml:space="preserve"> </w:t>
      </w:r>
      <w:r w:rsidR="003F0772">
        <w:t xml:space="preserve">would need to </w:t>
      </w:r>
      <w:r w:rsidR="00C87F4B">
        <w:t xml:space="preserve">ensure that the </w:t>
      </w:r>
      <w:r w:rsidR="00584FC2">
        <w:t>SG charge</w:t>
      </w:r>
      <w:r w:rsidR="00C87F4B">
        <w:t xml:space="preserve"> </w:t>
      </w:r>
      <w:r w:rsidR="001F7076">
        <w:t>remains</w:t>
      </w:r>
      <w:r w:rsidR="007A47E4">
        <w:t xml:space="preserve"> effective in achieving the policy outcomes outlined above</w:t>
      </w:r>
      <w:r w:rsidR="008F51B4">
        <w:t>.</w:t>
      </w:r>
    </w:p>
    <w:p w14:paraId="44E0A7D1" w14:textId="2AE397D4" w:rsidR="001252A5" w:rsidRDefault="001252A5" w:rsidP="001252A5">
      <w:pPr>
        <w:pStyle w:val="BodyText"/>
      </w:pPr>
      <w:r>
        <w:t xml:space="preserve">Components of the current calculation of the </w:t>
      </w:r>
      <w:r w:rsidR="00584FC2">
        <w:t>SG charge</w:t>
      </w:r>
      <w:r>
        <w:t xml:space="preserve"> that could be </w:t>
      </w:r>
      <w:r w:rsidR="007331B9">
        <w:t xml:space="preserve">updated </w:t>
      </w:r>
      <w:r>
        <w:t>include:</w:t>
      </w:r>
    </w:p>
    <w:p w14:paraId="7992DD5B" w14:textId="37BCCA42" w:rsidR="001252A5" w:rsidRPr="00DE558C" w:rsidRDefault="001252A5" w:rsidP="001252A5">
      <w:pPr>
        <w:pStyle w:val="Numberpoints"/>
        <w:rPr>
          <w:b/>
        </w:rPr>
      </w:pPr>
      <w:r w:rsidRPr="00DE558C">
        <w:rPr>
          <w:b/>
        </w:rPr>
        <w:t>The nominal interest calculation</w:t>
      </w:r>
      <w:r w:rsidR="004E69C6">
        <w:rPr>
          <w:b/>
        </w:rPr>
        <w:t xml:space="preserve"> and accrual</w:t>
      </w:r>
    </w:p>
    <w:p w14:paraId="2B1E474B" w14:textId="78446698" w:rsidR="001252A5" w:rsidRDefault="001252A5" w:rsidP="001252A5">
      <w:pPr>
        <w:pStyle w:val="Numberpoints"/>
        <w:numPr>
          <w:ilvl w:val="0"/>
          <w:numId w:val="0"/>
        </w:numPr>
      </w:pPr>
      <w:r>
        <w:t xml:space="preserve">Nominal interest is currently calculated on the </w:t>
      </w:r>
      <w:r w:rsidR="00EE06D7">
        <w:t xml:space="preserve">total of the individual </w:t>
      </w:r>
      <w:r w:rsidR="005834C8">
        <w:t xml:space="preserve">SG </w:t>
      </w:r>
      <w:r>
        <w:t>shortfall amount</w:t>
      </w:r>
      <w:r w:rsidR="00EE06D7">
        <w:t>s</w:t>
      </w:r>
      <w:r>
        <w:t xml:space="preserve"> from the beginning of the quarter and stops accruing when an employer lodges an </w:t>
      </w:r>
      <w:r w:rsidR="00584FC2">
        <w:t>SG charge</w:t>
      </w:r>
      <w:r>
        <w:t xml:space="preserve"> statement</w:t>
      </w:r>
      <w:r w:rsidR="00C84E2E">
        <w:t xml:space="preserve"> or a defa</w:t>
      </w:r>
      <w:r w:rsidR="00BA446D">
        <w:t>ult assessment is made by the ATO</w:t>
      </w:r>
      <w:r>
        <w:t xml:space="preserve">. </w:t>
      </w:r>
      <w:r w:rsidR="004C5E10">
        <w:t>U</w:t>
      </w:r>
      <w:r>
        <w:t xml:space="preserve">nder a payday </w:t>
      </w:r>
      <w:r w:rsidR="00A61808">
        <w:t xml:space="preserve">super </w:t>
      </w:r>
      <w:r>
        <w:t>model</w:t>
      </w:r>
      <w:r w:rsidR="004C5E10">
        <w:t>,</w:t>
      </w:r>
      <w:r>
        <w:t xml:space="preserve"> the nominal interest would instead be </w:t>
      </w:r>
      <w:r w:rsidR="004C5E10">
        <w:t>calculated</w:t>
      </w:r>
      <w:r>
        <w:t xml:space="preserve"> from payda</w:t>
      </w:r>
      <w:r w:rsidR="000F2B5B">
        <w:t>y</w:t>
      </w:r>
      <w:r>
        <w:t xml:space="preserve">. </w:t>
      </w:r>
    </w:p>
    <w:p w14:paraId="2F2727A7" w14:textId="4E439AFF" w:rsidR="004E69C6" w:rsidRDefault="004E69C6" w:rsidP="001252A5">
      <w:pPr>
        <w:pStyle w:val="Numberpoints"/>
        <w:numPr>
          <w:ilvl w:val="0"/>
          <w:numId w:val="0"/>
        </w:numPr>
      </w:pPr>
      <w:r>
        <w:t>Additionally, the</w:t>
      </w:r>
      <w:r w:rsidR="00A61808">
        <w:t xml:space="preserve"> current 10 per cent</w:t>
      </w:r>
      <w:r w:rsidR="00C6178C">
        <w:t xml:space="preserve"> per annum</w:t>
      </w:r>
      <w:r>
        <w:t xml:space="preserve"> rate of nominal interest applied to the </w:t>
      </w:r>
      <w:r w:rsidR="007E763F">
        <w:t>total of the individual SG</w:t>
      </w:r>
      <w:r>
        <w:t xml:space="preserve"> shortfall amount could be amended if it is considered it is no longer fit</w:t>
      </w:r>
      <w:r w:rsidR="00EA73FB">
        <w:t>-</w:t>
      </w:r>
      <w:r>
        <w:t>for-purpose</w:t>
      </w:r>
      <w:r w:rsidR="005966EC">
        <w:t xml:space="preserve"> considering other potential changes to the </w:t>
      </w:r>
      <w:r w:rsidR="00584FC2">
        <w:t>SG charge</w:t>
      </w:r>
      <w:r w:rsidR="005966EC">
        <w:t xml:space="preserve"> calculation</w:t>
      </w:r>
      <w:r>
        <w:t>.</w:t>
      </w:r>
      <w:r w:rsidR="00716FEE">
        <w:t xml:space="preserve"> </w:t>
      </w:r>
      <w:r w:rsidR="00B5791D">
        <w:t>This could involve applying a floating rat</w:t>
      </w:r>
      <w:r w:rsidR="007711C5">
        <w:t xml:space="preserve">e of interest, such as the general interest charge, </w:t>
      </w:r>
      <w:r w:rsidR="00D42E8F">
        <w:t>or retaining a fixed rate but</w:t>
      </w:r>
      <w:r w:rsidR="006E58DD">
        <w:t xml:space="preserve"> considering</w:t>
      </w:r>
      <w:r w:rsidR="00D42E8F">
        <w:t xml:space="preserve"> adjust</w:t>
      </w:r>
      <w:r w:rsidR="006E58DD">
        <w:t>ments</w:t>
      </w:r>
      <w:r w:rsidR="004E238E">
        <w:t xml:space="preserve"> </w:t>
      </w:r>
      <w:r w:rsidR="00D42E8F">
        <w:t>in the context of</w:t>
      </w:r>
      <w:r w:rsidR="00A35369">
        <w:t xml:space="preserve"> any</w:t>
      </w:r>
      <w:r w:rsidR="00D42E8F">
        <w:t xml:space="preserve"> broader changes to the </w:t>
      </w:r>
      <w:r w:rsidR="00584FC2">
        <w:t>SG charge</w:t>
      </w:r>
      <w:r w:rsidR="00D42E8F">
        <w:t>.</w:t>
      </w:r>
    </w:p>
    <w:p w14:paraId="43A1DF03" w14:textId="77777777" w:rsidR="001252A5" w:rsidRPr="00DE558C" w:rsidRDefault="001252A5" w:rsidP="00F80AB2">
      <w:pPr>
        <w:pStyle w:val="Numberpoints"/>
        <w:keepNext/>
        <w:ind w:left="522" w:hanging="522"/>
        <w:rPr>
          <w:b/>
        </w:rPr>
      </w:pPr>
      <w:r w:rsidRPr="00DE558C">
        <w:rPr>
          <w:b/>
        </w:rPr>
        <w:t xml:space="preserve">The administration </w:t>
      </w:r>
      <w:proofErr w:type="gramStart"/>
      <w:r w:rsidRPr="00DE558C">
        <w:rPr>
          <w:b/>
        </w:rPr>
        <w:t>fee</w:t>
      </w:r>
      <w:proofErr w:type="gramEnd"/>
    </w:p>
    <w:p w14:paraId="33F55CF8" w14:textId="129E10B7" w:rsidR="001252A5" w:rsidRDefault="001252A5" w:rsidP="001252A5">
      <w:pPr>
        <w:pStyle w:val="Numberpoints"/>
        <w:numPr>
          <w:ilvl w:val="0"/>
          <w:numId w:val="0"/>
        </w:numPr>
      </w:pPr>
      <w:r>
        <w:t xml:space="preserve">The administration fee is currently $20 and applies per employee per quarter. </w:t>
      </w:r>
      <w:r w:rsidR="0047666F">
        <w:t xml:space="preserve">Given payday super would involve </w:t>
      </w:r>
      <w:r w:rsidR="002D5C94">
        <w:t xml:space="preserve">ATO </w:t>
      </w:r>
      <w:r w:rsidR="002975D6">
        <w:t>reconciliation</w:t>
      </w:r>
      <w:r w:rsidR="005C6F0E">
        <w:t xml:space="preserve">s </w:t>
      </w:r>
      <w:r w:rsidR="00466DD8">
        <w:t>for missed payments occurring</w:t>
      </w:r>
      <w:r w:rsidR="005C6F0E">
        <w:t xml:space="preserve"> </w:t>
      </w:r>
      <w:r w:rsidR="007361FA">
        <w:t xml:space="preserve">on a more frequent </w:t>
      </w:r>
      <w:r w:rsidR="00466DD8">
        <w:t>basis</w:t>
      </w:r>
      <w:r w:rsidR="007361FA">
        <w:t xml:space="preserve"> than quarterly, </w:t>
      </w:r>
      <w:r w:rsidR="00B62EB4">
        <w:t>c</w:t>
      </w:r>
      <w:r>
        <w:t xml:space="preserve">hanges could be considered to </w:t>
      </w:r>
      <w:r w:rsidR="00536610">
        <w:t>adjust the application of</w:t>
      </w:r>
      <w:r>
        <w:t xml:space="preserve"> the fee </w:t>
      </w:r>
      <w:r w:rsidR="005A122A">
        <w:t>for each reconciliation period</w:t>
      </w:r>
      <w:r>
        <w:t xml:space="preserve"> </w:t>
      </w:r>
      <w:r w:rsidR="00BB772F">
        <w:t xml:space="preserve">to avoid </w:t>
      </w:r>
      <w:r w:rsidR="009D45FD">
        <w:t xml:space="preserve">the </w:t>
      </w:r>
      <w:r w:rsidR="00884921">
        <w:t xml:space="preserve">potential for </w:t>
      </w:r>
      <w:r w:rsidR="00BB772F">
        <w:t>excessive</w:t>
      </w:r>
      <w:r w:rsidR="00884921">
        <w:t xml:space="preserve"> penalties.</w:t>
      </w:r>
      <w:r>
        <w:t xml:space="preserve"> This fee partially recovers the cost of ATO compliance and payment recovery activities. </w:t>
      </w:r>
      <w:r w:rsidR="00C6178C">
        <w:t xml:space="preserve">The fee is not indexed and has not changed since </w:t>
      </w:r>
      <w:r w:rsidR="004A5918">
        <w:t>2003</w:t>
      </w:r>
      <w:r w:rsidR="00C6178C">
        <w:t xml:space="preserve">. </w:t>
      </w:r>
    </w:p>
    <w:p w14:paraId="35ADB159" w14:textId="63B73528" w:rsidR="00C638C8" w:rsidRDefault="00F6797F" w:rsidP="00C638C8">
      <w:pPr>
        <w:pStyle w:val="Numberpoints"/>
        <w:rPr>
          <w:b/>
        </w:rPr>
      </w:pPr>
      <w:r>
        <w:rPr>
          <w:b/>
        </w:rPr>
        <w:t>Additional b</w:t>
      </w:r>
      <w:r w:rsidR="00C638C8">
        <w:rPr>
          <w:b/>
        </w:rPr>
        <w:t>ehavioural penalty</w:t>
      </w:r>
    </w:p>
    <w:p w14:paraId="66E0FBE0" w14:textId="0847802D" w:rsidR="00F6797F" w:rsidRDefault="00F6797F" w:rsidP="00F6797F">
      <w:pPr>
        <w:pStyle w:val="BodyText"/>
      </w:pPr>
      <w:r>
        <w:t xml:space="preserve">A range of additional penalties are available to the ATO for employers who fail to meet their </w:t>
      </w:r>
      <w:r w:rsidR="00584FC2">
        <w:t>SG charge</w:t>
      </w:r>
      <w:r>
        <w:t xml:space="preserve"> obligations. The existing penalties are outlined in various parts of the SGA Act and the TA Act and are tied to the </w:t>
      </w:r>
      <w:r w:rsidRPr="0057588A">
        <w:t xml:space="preserve">due dates of the lodgement of </w:t>
      </w:r>
      <w:r w:rsidR="00584FC2">
        <w:t>SG charge</w:t>
      </w:r>
      <w:r w:rsidRPr="0057588A">
        <w:t xml:space="preserve"> statements to incentivise their lodgement</w:t>
      </w:r>
      <w:r>
        <w:t xml:space="preserve"> and reliance on employers lodging an </w:t>
      </w:r>
      <w:r w:rsidR="00584FC2">
        <w:t>SG charge</w:t>
      </w:r>
      <w:r>
        <w:t xml:space="preserve"> statement to report outstanding amounts to the ATO. </w:t>
      </w:r>
    </w:p>
    <w:p w14:paraId="602B9BB6" w14:textId="3A0D0382" w:rsidR="00F6797F" w:rsidRDefault="00F6797F" w:rsidP="00F6797F">
      <w:pPr>
        <w:pStyle w:val="BodyText"/>
      </w:pPr>
      <w:r>
        <w:t xml:space="preserve">These penalties are intended to further encourage employers to comply with their SG obligations and to proportionately penalise non-compliance. Additional penalties should complement the </w:t>
      </w:r>
      <w:r w:rsidR="00584FC2">
        <w:t>SG charge</w:t>
      </w:r>
      <w:r>
        <w:t xml:space="preserve"> in encouraging employee SG contributions to be paid on time and in full.</w:t>
      </w:r>
    </w:p>
    <w:p w14:paraId="04017F12" w14:textId="42582C0B" w:rsidR="00F6797F" w:rsidRDefault="00F6797F" w:rsidP="00F6797F">
      <w:pPr>
        <w:pStyle w:val="BodyText"/>
      </w:pPr>
      <w:r>
        <w:t xml:space="preserve">In the current SG environment, additional penalties are applied where an employer fails to lodge an </w:t>
      </w:r>
      <w:r w:rsidR="00584FC2">
        <w:t>SG charge</w:t>
      </w:r>
      <w:r>
        <w:t xml:space="preserve"> statement by the due date. In a payday super environment, compliance will pivot away from employers self-identifying through </w:t>
      </w:r>
      <w:r w:rsidR="00584FC2">
        <w:t>SG charge</w:t>
      </w:r>
      <w:r>
        <w:t xml:space="preserve"> statements. Consequently, penalties will need to be reconsidered to account for a </w:t>
      </w:r>
      <w:proofErr w:type="gramStart"/>
      <w:r>
        <w:t>more timely</w:t>
      </w:r>
      <w:proofErr w:type="gramEnd"/>
      <w:r>
        <w:t xml:space="preserve"> SG payment system. Any new penalties could apply to the more egregious non-compliant behaviours and be designed to ensure that employers pay any </w:t>
      </w:r>
      <w:r w:rsidR="00584FC2">
        <w:t>SG charge</w:t>
      </w:r>
      <w:r>
        <w:t xml:space="preserve"> that they owe. These penalties could apply to employers through the </w:t>
      </w:r>
      <w:r w:rsidR="00584FC2">
        <w:t>SG charge</w:t>
      </w:r>
      <w:r>
        <w:t xml:space="preserve"> and then additional penalties after </w:t>
      </w:r>
      <w:proofErr w:type="gramStart"/>
      <w:r>
        <w:t>a period of time</w:t>
      </w:r>
      <w:proofErr w:type="gramEnd"/>
      <w:r>
        <w:t xml:space="preserve"> where they do not engage with the ATO to rectify a payment error. These penalties could apply to the offending business as well as the directors individually.</w:t>
      </w:r>
    </w:p>
    <w:p w14:paraId="2023818F" w14:textId="77777777" w:rsidR="009755F0" w:rsidRDefault="009755F0" w:rsidP="009755F0">
      <w:pPr>
        <w:shd w:val="clear" w:color="auto" w:fill="E8F0FC" w:themeFill="accent5" w:themeFillTint="33"/>
        <w:rPr>
          <w:b/>
          <w:bCs/>
        </w:rPr>
      </w:pPr>
      <w:r>
        <w:rPr>
          <w:b/>
          <w:bCs/>
        </w:rPr>
        <w:t>Consultation questions</w:t>
      </w:r>
    </w:p>
    <w:p w14:paraId="5EB8B9BD" w14:textId="4B9E7744" w:rsidR="00647391" w:rsidRDefault="00123238" w:rsidP="00647391">
      <w:pPr>
        <w:pStyle w:val="OutlineNumbered1"/>
        <w:shd w:val="clear" w:color="auto" w:fill="E8F0FC" w:themeFill="accent5" w:themeFillTint="33"/>
      </w:pPr>
      <w:r>
        <w:t xml:space="preserve">Would changes to the </w:t>
      </w:r>
      <w:r w:rsidR="00584FC2">
        <w:t>SG charge</w:t>
      </w:r>
      <w:r>
        <w:t xml:space="preserve"> be required to </w:t>
      </w:r>
      <w:r w:rsidR="00190D2F">
        <w:t xml:space="preserve">ensure the charge remains adequately punitive for non-compliant employers? </w:t>
      </w:r>
    </w:p>
    <w:p w14:paraId="5AA0E4E7" w14:textId="353F97A8" w:rsidR="00912B7A" w:rsidRDefault="00912B7A" w:rsidP="00647391">
      <w:pPr>
        <w:pStyle w:val="OutlineNumbered1"/>
        <w:shd w:val="clear" w:color="auto" w:fill="E8F0FC" w:themeFill="accent5" w:themeFillTint="33"/>
      </w:pPr>
      <w:r>
        <w:t xml:space="preserve">Does the current nominal interest rate of </w:t>
      </w:r>
      <w:r w:rsidR="004C5400">
        <w:t xml:space="preserve">10 per cent per annum </w:t>
      </w:r>
      <w:r>
        <w:t xml:space="preserve">adequately compensate employees for the foregone interest that would have accrued in the fund had their super been paid on time?  </w:t>
      </w:r>
    </w:p>
    <w:p w14:paraId="6887C179" w14:textId="4D616E41" w:rsidR="00647391" w:rsidRDefault="000D4E27" w:rsidP="00647391">
      <w:pPr>
        <w:pStyle w:val="OutlineNumbered1"/>
        <w:shd w:val="clear" w:color="auto" w:fill="E8F0FC" w:themeFill="accent5" w:themeFillTint="33"/>
      </w:pPr>
      <w:r>
        <w:t xml:space="preserve">Does a nominal interest charge of </w:t>
      </w:r>
      <w:r w:rsidR="0092268D">
        <w:t>10 per cent per annum</w:t>
      </w:r>
      <w:r>
        <w:t xml:space="preserve"> remain appropriate in a </w:t>
      </w:r>
      <w:r w:rsidR="00253842">
        <w:t>payday super model</w:t>
      </w:r>
      <w:r w:rsidR="00E6525B">
        <w:t xml:space="preserve">? </w:t>
      </w:r>
      <w:r w:rsidR="00CE2C20">
        <w:t xml:space="preserve">Or </w:t>
      </w:r>
      <w:r w:rsidR="00CE2C20" w:rsidRPr="009410B5">
        <w:t>are there alternative models that could address different degrees or severity of lateness?</w:t>
      </w:r>
    </w:p>
    <w:p w14:paraId="60BC4366" w14:textId="0BB235AF" w:rsidR="00D67FA2" w:rsidRDefault="00D67FA2" w:rsidP="00647391">
      <w:pPr>
        <w:pStyle w:val="OutlineNumbered1"/>
        <w:shd w:val="clear" w:color="auto" w:fill="E8F0FC" w:themeFill="accent5" w:themeFillTint="33"/>
      </w:pPr>
      <w:r>
        <w:t>How should the administrative component of the charge a</w:t>
      </w:r>
      <w:r w:rsidR="00D653FE">
        <w:t>pply? Is per employee, per ATO reconciliation period appropriate, considering your responses above to the appropriate timeframes for ATO reconciliations?</w:t>
      </w:r>
    </w:p>
    <w:p w14:paraId="3B1632DF" w14:textId="30B087DE" w:rsidR="00647391" w:rsidRDefault="00647391" w:rsidP="00647391">
      <w:pPr>
        <w:pStyle w:val="OutlineNumbered1"/>
        <w:shd w:val="clear" w:color="auto" w:fill="E8F0FC" w:themeFill="accent5" w:themeFillTint="33"/>
        <w:spacing w:line="276" w:lineRule="auto"/>
        <w:ind w:left="522" w:hanging="522"/>
      </w:pPr>
      <w:r>
        <w:t xml:space="preserve">Should the </w:t>
      </w:r>
      <w:r w:rsidR="0067634C">
        <w:t xml:space="preserve">amount of the </w:t>
      </w:r>
      <w:r>
        <w:t xml:space="preserve">administrative component of the charge be </w:t>
      </w:r>
      <w:r w:rsidR="0067634C">
        <w:t>changed</w:t>
      </w:r>
      <w:r w:rsidR="00286674">
        <w:t>? If so, what is the appropriate amount, and why?</w:t>
      </w:r>
      <w:r w:rsidR="00266255">
        <w:t xml:space="preserve"> </w:t>
      </w:r>
    </w:p>
    <w:p w14:paraId="12C6B3C1" w14:textId="02938A92" w:rsidR="003253F2" w:rsidRDefault="00B3413E" w:rsidP="00647391">
      <w:pPr>
        <w:pStyle w:val="OutlineNumbered1"/>
        <w:shd w:val="clear" w:color="auto" w:fill="E8F0FC" w:themeFill="accent5" w:themeFillTint="33"/>
        <w:spacing w:line="276" w:lineRule="auto"/>
        <w:ind w:left="522" w:hanging="522"/>
      </w:pPr>
      <w:r>
        <w:t xml:space="preserve">Given that the current </w:t>
      </w:r>
      <w:r w:rsidR="00584FC2">
        <w:t>SG charge</w:t>
      </w:r>
      <w:r>
        <w:t xml:space="preserve"> is not tax deductible, a</w:t>
      </w:r>
      <w:r w:rsidR="00F96D46">
        <w:t xml:space="preserve">re there any circumstances where a non-compliant employer should be able to make a tax deduction for the </w:t>
      </w:r>
      <w:r w:rsidR="00584FC2">
        <w:t>SG charge</w:t>
      </w:r>
      <w:r w:rsidR="00F96D46">
        <w:t xml:space="preserve"> paid?</w:t>
      </w:r>
    </w:p>
    <w:p w14:paraId="1E30234C" w14:textId="7137BA69" w:rsidR="003B0237" w:rsidRDefault="009755F0" w:rsidP="00744E92">
      <w:pPr>
        <w:pStyle w:val="OutlineNumbered1"/>
        <w:shd w:val="clear" w:color="auto" w:fill="E8F0FC" w:themeFill="accent5" w:themeFillTint="33"/>
      </w:pPr>
      <w:r>
        <w:t xml:space="preserve">Are there any </w:t>
      </w:r>
      <w:r w:rsidR="00D653FE">
        <w:t xml:space="preserve">other </w:t>
      </w:r>
      <w:r>
        <w:t xml:space="preserve">changes to the </w:t>
      </w:r>
      <w:r w:rsidR="00D653FE">
        <w:t xml:space="preserve">components of the </w:t>
      </w:r>
      <w:r w:rsidR="00584FC2">
        <w:t>SG charge</w:t>
      </w:r>
      <w:r w:rsidR="003E73B2">
        <w:t xml:space="preserve"> </w:t>
      </w:r>
      <w:r w:rsidR="00AE587B">
        <w:t xml:space="preserve">that should be considered in the </w:t>
      </w:r>
      <w:r w:rsidR="003E73B2">
        <w:t xml:space="preserve">move to a </w:t>
      </w:r>
      <w:r w:rsidR="00253842">
        <w:t>payday super model</w:t>
      </w:r>
      <w:r w:rsidR="00F569CC">
        <w:t xml:space="preserve">, in the context of the purpose of the charge? </w:t>
      </w:r>
      <w:r w:rsidR="00497C9A">
        <w:t xml:space="preserve">For example, should the punitive </w:t>
      </w:r>
      <w:r w:rsidR="00116497">
        <w:t>aspects</w:t>
      </w:r>
      <w:r w:rsidR="00497C9A">
        <w:t xml:space="preserve"> of the charge be more proportionate to the </w:t>
      </w:r>
      <w:r w:rsidR="00116497">
        <w:t>size of the non-compliance (that is, the size of the debt)?</w:t>
      </w:r>
    </w:p>
    <w:p w14:paraId="698F48D8" w14:textId="5C1ED074" w:rsidR="00F6797F" w:rsidRDefault="00F6797F" w:rsidP="00F6797F">
      <w:pPr>
        <w:pStyle w:val="OutlineNumbered1"/>
        <w:shd w:val="clear" w:color="auto" w:fill="E8F0FC" w:themeFill="accent5" w:themeFillTint="33"/>
      </w:pPr>
      <w:r>
        <w:t>What should ‘additional behavioural penalties’ look like in a payday super model?</w:t>
      </w:r>
    </w:p>
    <w:p w14:paraId="13A680A9" w14:textId="01F730E8" w:rsidR="00B712CD" w:rsidRPr="00FE0F4E" w:rsidRDefault="00B712CD" w:rsidP="00B712CD">
      <w:pPr>
        <w:pStyle w:val="Heading4"/>
      </w:pPr>
      <w:r>
        <w:t xml:space="preserve">ATO flexibility in </w:t>
      </w:r>
      <w:r w:rsidR="00584FC2">
        <w:t>SG charge</w:t>
      </w:r>
      <w:r w:rsidR="00220722">
        <w:t xml:space="preserve"> </w:t>
      </w:r>
      <w:r w:rsidR="003756A5">
        <w:t xml:space="preserve">remission </w:t>
      </w:r>
    </w:p>
    <w:p w14:paraId="327C7F6F" w14:textId="609C8EE4" w:rsidR="0043321D" w:rsidRDefault="0043321D" w:rsidP="0043321D">
      <w:pPr>
        <w:pStyle w:val="BodyText"/>
      </w:pPr>
      <w:r>
        <w:t xml:space="preserve">Currently, the Commissioner of Taxation has </w:t>
      </w:r>
      <w:r w:rsidR="00E40D5D">
        <w:t xml:space="preserve">limited </w:t>
      </w:r>
      <w:r>
        <w:t xml:space="preserve">discretion to remit the </w:t>
      </w:r>
      <w:r w:rsidR="00584FC2">
        <w:t>SG charge</w:t>
      </w:r>
      <w:r w:rsidR="00BB30F9">
        <w:t>. However, there are instances</w:t>
      </w:r>
      <w:r>
        <w:t xml:space="preserve"> where </w:t>
      </w:r>
      <w:r w:rsidR="0090515E">
        <w:t xml:space="preserve">employers do not meet </w:t>
      </w:r>
      <w:r w:rsidR="005526ED">
        <w:t>their</w:t>
      </w:r>
      <w:r w:rsidR="0090515E">
        <w:t xml:space="preserve"> super obligations due to unforeseeable</w:t>
      </w:r>
      <w:r>
        <w:t xml:space="preserve"> circumstances</w:t>
      </w:r>
      <w:r w:rsidR="0090515E">
        <w:t xml:space="preserve"> </w:t>
      </w:r>
      <w:r w:rsidR="00806395">
        <w:t xml:space="preserve">that are </w:t>
      </w:r>
      <w:r w:rsidR="0090515E">
        <w:t>beyond their control</w:t>
      </w:r>
      <w:r>
        <w:t xml:space="preserve">. </w:t>
      </w:r>
    </w:p>
    <w:p w14:paraId="6D319CC3" w14:textId="59B93D16" w:rsidR="0043321D" w:rsidRDefault="0043321D" w:rsidP="0043321D">
      <w:pPr>
        <w:pStyle w:val="BodyText"/>
      </w:pPr>
      <w:r>
        <w:t xml:space="preserve">The Commissioner could be afforded more flexibility to amend or exempt the application of the </w:t>
      </w:r>
      <w:r w:rsidR="00584FC2">
        <w:t>SG charge</w:t>
      </w:r>
      <w:r w:rsidR="00E147C2">
        <w:t xml:space="preserve"> </w:t>
      </w:r>
      <w:r>
        <w:t xml:space="preserve">in cases where </w:t>
      </w:r>
      <w:r w:rsidR="00C15F90">
        <w:t xml:space="preserve">employers </w:t>
      </w:r>
      <w:r>
        <w:t xml:space="preserve">cannot meet their SG obligations due to </w:t>
      </w:r>
      <w:r w:rsidR="00733CC1">
        <w:t>these</w:t>
      </w:r>
      <w:r>
        <w:t xml:space="preserve"> circumstances. </w:t>
      </w:r>
      <w:r w:rsidR="003262EF">
        <w:t xml:space="preserve">Alternatively, </w:t>
      </w:r>
      <w:r w:rsidR="006658AD">
        <w:t xml:space="preserve">flexibility could be provided to the Commissioner to extend the due date for </w:t>
      </w:r>
      <w:r w:rsidR="00A14C86">
        <w:t xml:space="preserve">the </w:t>
      </w:r>
      <w:r w:rsidR="00584FC2">
        <w:t>SG charge</w:t>
      </w:r>
      <w:r w:rsidR="00A14C86">
        <w:t xml:space="preserve"> </w:t>
      </w:r>
      <w:r w:rsidR="00D4764E">
        <w:t>to allow more time for employers to meet their obligations</w:t>
      </w:r>
      <w:r w:rsidR="0021744E">
        <w:t xml:space="preserve"> in such circumstances</w:t>
      </w:r>
      <w:r w:rsidR="00D4764E">
        <w:t xml:space="preserve">. </w:t>
      </w:r>
    </w:p>
    <w:p w14:paraId="2357E412" w14:textId="1021C1D0" w:rsidR="0043321D" w:rsidRDefault="008B2E4C" w:rsidP="0043321D">
      <w:pPr>
        <w:pStyle w:val="BodyText"/>
      </w:pPr>
      <w:r>
        <w:t>For example, c</w:t>
      </w:r>
      <w:r w:rsidR="0043321D">
        <w:t xml:space="preserve">ircumstances </w:t>
      </w:r>
      <w:r w:rsidR="00EA2DD0">
        <w:t>to</w:t>
      </w:r>
      <w:r w:rsidR="0043321D">
        <w:t xml:space="preserve"> allow for increased </w:t>
      </w:r>
      <w:r w:rsidR="00EA2DD0">
        <w:t>flexibility could</w:t>
      </w:r>
      <w:r w:rsidR="0043321D">
        <w:t xml:space="preserve"> include</w:t>
      </w:r>
      <w:r w:rsidR="0033268C">
        <w:t xml:space="preserve"> where the employer</w:t>
      </w:r>
      <w:r w:rsidR="0043321D">
        <w:t xml:space="preserve">: </w:t>
      </w:r>
    </w:p>
    <w:p w14:paraId="7DD54A7F" w14:textId="74CCC27F" w:rsidR="0043321D" w:rsidRDefault="0033268C" w:rsidP="0043321D">
      <w:pPr>
        <w:pStyle w:val="Bullet"/>
      </w:pPr>
      <w:r>
        <w:t>H</w:t>
      </w:r>
      <w:r w:rsidR="0043321D">
        <w:t>as been impacted by a natural disaster that has impacted their payroll operations</w:t>
      </w:r>
      <w:r w:rsidR="00D77B1D">
        <w:t>, and</w:t>
      </w:r>
    </w:p>
    <w:p w14:paraId="7A97E0AC" w14:textId="0BF0B540" w:rsidR="0043321D" w:rsidRDefault="0033268C" w:rsidP="0043321D">
      <w:pPr>
        <w:pStyle w:val="Bullet"/>
      </w:pPr>
      <w:r>
        <w:t>H</w:t>
      </w:r>
      <w:r w:rsidR="0043321D">
        <w:t xml:space="preserve">as a new employee where they do not yet have the fund details of the employee </w:t>
      </w:r>
      <w:r w:rsidR="00D77B1D">
        <w:t>despite requesting this information.</w:t>
      </w:r>
    </w:p>
    <w:p w14:paraId="3B00F42E" w14:textId="77777777" w:rsidR="0043321D" w:rsidRDefault="0043321D" w:rsidP="0043321D">
      <w:pPr>
        <w:shd w:val="clear" w:color="auto" w:fill="E8F0FC" w:themeFill="accent5" w:themeFillTint="33"/>
        <w:rPr>
          <w:b/>
          <w:bCs/>
        </w:rPr>
      </w:pPr>
      <w:r>
        <w:rPr>
          <w:b/>
          <w:bCs/>
        </w:rPr>
        <w:t>Consultation questions</w:t>
      </w:r>
    </w:p>
    <w:p w14:paraId="423D3E36" w14:textId="13EE1E2D" w:rsidR="00733CC1" w:rsidRDefault="003756A5" w:rsidP="00BA1879">
      <w:pPr>
        <w:pStyle w:val="OutlineNumbered1"/>
        <w:shd w:val="clear" w:color="auto" w:fill="E8F0FC" w:themeFill="accent5" w:themeFillTint="33"/>
        <w:spacing w:line="276" w:lineRule="auto"/>
        <w:ind w:left="522" w:hanging="522"/>
      </w:pPr>
      <w:r>
        <w:t>Would</w:t>
      </w:r>
      <w:r w:rsidR="00733CC1">
        <w:t xml:space="preserve"> granting the ATO flexibility to remit the </w:t>
      </w:r>
      <w:r w:rsidR="00584FC2">
        <w:t>SG charge</w:t>
      </w:r>
      <w:r w:rsidR="00733CC1">
        <w:t xml:space="preserve"> </w:t>
      </w:r>
      <w:r>
        <w:t>in certain</w:t>
      </w:r>
      <w:r w:rsidR="00733CC1">
        <w:t xml:space="preserve"> circumstances on the part of the employer </w:t>
      </w:r>
      <w:r w:rsidR="00F750D8">
        <w:t xml:space="preserve">risk the integrity of the </w:t>
      </w:r>
      <w:r w:rsidR="00584FC2">
        <w:t>SG charge</w:t>
      </w:r>
      <w:r w:rsidR="00F750D8">
        <w:t>?</w:t>
      </w:r>
    </w:p>
    <w:p w14:paraId="50CEED97" w14:textId="2073F1D4" w:rsidR="00BA1879" w:rsidRDefault="00BC3B62" w:rsidP="00BA1879">
      <w:pPr>
        <w:pStyle w:val="OutlineNumbered1"/>
        <w:shd w:val="clear" w:color="auto" w:fill="E8F0FC" w:themeFill="accent5" w:themeFillTint="33"/>
        <w:spacing w:line="276" w:lineRule="auto"/>
        <w:ind w:left="522" w:hanging="522"/>
      </w:pPr>
      <w:r>
        <w:t>If you consider that the ATO should have some discretion to remit the charge, u</w:t>
      </w:r>
      <w:r w:rsidR="00BA1879">
        <w:t xml:space="preserve">nder what </w:t>
      </w:r>
      <w:r>
        <w:t xml:space="preserve">discrete </w:t>
      </w:r>
      <w:r w:rsidR="00BA1879">
        <w:t xml:space="preserve">circumstances should </w:t>
      </w:r>
      <w:r>
        <w:t>this be able to occur</w:t>
      </w:r>
      <w:r w:rsidR="00BA1879">
        <w:t xml:space="preserve">? </w:t>
      </w:r>
    </w:p>
    <w:p w14:paraId="415A8904" w14:textId="628CC6B8" w:rsidR="00661FE3" w:rsidRDefault="002B0F4A" w:rsidP="00BA1879">
      <w:pPr>
        <w:pStyle w:val="OutlineNumbered1"/>
        <w:shd w:val="clear" w:color="auto" w:fill="E8F0FC" w:themeFill="accent5" w:themeFillTint="33"/>
        <w:spacing w:line="276" w:lineRule="auto"/>
        <w:ind w:left="522" w:hanging="522"/>
      </w:pPr>
      <w:r>
        <w:t xml:space="preserve">Should </w:t>
      </w:r>
      <w:r w:rsidR="00A92857">
        <w:t xml:space="preserve">any </w:t>
      </w:r>
      <w:r>
        <w:t>discretion</w:t>
      </w:r>
      <w:r w:rsidR="00C46EA2">
        <w:t xml:space="preserve"> </w:t>
      </w:r>
      <w:r>
        <w:t xml:space="preserve">to remit the </w:t>
      </w:r>
      <w:r w:rsidR="00584FC2">
        <w:t>SG charge</w:t>
      </w:r>
      <w:r>
        <w:t xml:space="preserve"> apply to </w:t>
      </w:r>
      <w:r w:rsidR="006D72A2">
        <w:t>the entire amoun</w:t>
      </w:r>
      <w:r w:rsidR="00F42DAB">
        <w:t>t</w:t>
      </w:r>
      <w:r w:rsidR="00B66844">
        <w:t xml:space="preserve"> due</w:t>
      </w:r>
      <w:r w:rsidR="00756364">
        <w:t xml:space="preserve"> or only to certain components</w:t>
      </w:r>
      <w:r w:rsidR="00932F5F">
        <w:t>?</w:t>
      </w:r>
      <w:r w:rsidR="00756364">
        <w:t xml:space="preserve"> </w:t>
      </w:r>
      <w:r w:rsidR="001D2DE0">
        <w:t xml:space="preserve">For example, </w:t>
      </w:r>
      <w:r w:rsidR="00CF1BD1">
        <w:t>scope</w:t>
      </w:r>
      <w:r w:rsidR="00527044">
        <w:t xml:space="preserve"> could</w:t>
      </w:r>
      <w:r w:rsidR="00974631">
        <w:t xml:space="preserve"> be </w:t>
      </w:r>
      <w:r w:rsidR="00527044">
        <w:t>given to</w:t>
      </w:r>
      <w:r w:rsidR="00CF1BD1">
        <w:t xml:space="preserve"> the ATO</w:t>
      </w:r>
      <w:r w:rsidR="00974631">
        <w:t xml:space="preserve"> to remit the nominal interest and administrative </w:t>
      </w:r>
      <w:r w:rsidR="009711DA">
        <w:t>components</w:t>
      </w:r>
      <w:r w:rsidR="0033532E">
        <w:t xml:space="preserve"> o</w:t>
      </w:r>
      <w:r w:rsidR="00CA4690">
        <w:t>f</w:t>
      </w:r>
      <w:r w:rsidR="0033532E">
        <w:t xml:space="preserve"> the </w:t>
      </w:r>
      <w:r w:rsidR="00584FC2">
        <w:t>SG charge</w:t>
      </w:r>
      <w:r w:rsidR="00B35997">
        <w:t xml:space="preserve"> but</w:t>
      </w:r>
      <w:r w:rsidR="00527044">
        <w:t xml:space="preserve"> not</w:t>
      </w:r>
      <w:r w:rsidR="00B35997">
        <w:t xml:space="preserve"> the</w:t>
      </w:r>
      <w:r w:rsidR="007D13C6">
        <w:t xml:space="preserve"> SG shortfall</w:t>
      </w:r>
      <w:r w:rsidR="001C6FEB">
        <w:t xml:space="preserve">. </w:t>
      </w:r>
    </w:p>
    <w:p w14:paraId="740E8F6C" w14:textId="4DB07608" w:rsidR="005958A3" w:rsidRDefault="001F3053" w:rsidP="005E71E7">
      <w:pPr>
        <w:pStyle w:val="OutlineNumbered1"/>
        <w:shd w:val="clear" w:color="auto" w:fill="E8F0FC" w:themeFill="accent5" w:themeFillTint="33"/>
        <w:spacing w:line="276" w:lineRule="auto"/>
        <w:ind w:left="522" w:hanging="522"/>
      </w:pPr>
      <w:r>
        <w:t>Would</w:t>
      </w:r>
      <w:r w:rsidR="00DF47AB">
        <w:t xml:space="preserve"> it </w:t>
      </w:r>
      <w:r>
        <w:t xml:space="preserve">be </w:t>
      </w:r>
      <w:r w:rsidR="00DF47AB">
        <w:t xml:space="preserve">appropriate for the ATO to have discretion to extend the due date for the </w:t>
      </w:r>
      <w:r w:rsidR="00584FC2">
        <w:t>SG charge</w:t>
      </w:r>
      <w:r w:rsidR="00DF47AB">
        <w:t xml:space="preserve">? If so, in what circumstances would </w:t>
      </w:r>
      <w:r w:rsidR="00C277EA">
        <w:t xml:space="preserve">this </w:t>
      </w:r>
      <w:r w:rsidR="00DF47AB">
        <w:t>be appropriate</w:t>
      </w:r>
      <w:r w:rsidR="00C277EA">
        <w:t>?</w:t>
      </w:r>
      <w:r w:rsidR="00DF47AB">
        <w:t xml:space="preserve"> Further, </w:t>
      </w:r>
      <w:r w:rsidR="005C7ACF">
        <w:t xml:space="preserve">what would be an appropriate </w:t>
      </w:r>
      <w:proofErr w:type="gramStart"/>
      <w:r w:rsidR="005C7ACF">
        <w:t>time</w:t>
      </w:r>
      <w:r w:rsidR="002307B9">
        <w:t xml:space="preserve"> </w:t>
      </w:r>
      <w:r w:rsidR="005C7ACF">
        <w:t>period</w:t>
      </w:r>
      <w:proofErr w:type="gramEnd"/>
      <w:r w:rsidR="005C7ACF">
        <w:t xml:space="preserve"> </w:t>
      </w:r>
      <w:r w:rsidR="002307B9">
        <w:t>for any extension?</w:t>
      </w:r>
      <w:r w:rsidR="005E71E7">
        <w:t xml:space="preserve"> Should there be a limit on this?</w:t>
      </w:r>
    </w:p>
    <w:p w14:paraId="25D050B3" w14:textId="77777777" w:rsidR="0060263C" w:rsidRDefault="0060263C" w:rsidP="0060263C">
      <w:pPr>
        <w:pStyle w:val="Heading4"/>
      </w:pPr>
      <w:r>
        <w:t xml:space="preserve">Corrections and errors when paying </w:t>
      </w:r>
      <w:proofErr w:type="gramStart"/>
      <w:r>
        <w:t>SG</w:t>
      </w:r>
      <w:proofErr w:type="gramEnd"/>
    </w:p>
    <w:p w14:paraId="1953C778" w14:textId="05ACEE0C" w:rsidR="001C7143" w:rsidRDefault="0060263C" w:rsidP="0060263C">
      <w:pPr>
        <w:pStyle w:val="Bullet"/>
        <w:numPr>
          <w:ilvl w:val="0"/>
          <w:numId w:val="0"/>
        </w:numPr>
      </w:pPr>
      <w:r>
        <w:t>A</w:t>
      </w:r>
      <w:r w:rsidR="00542EDD">
        <w:t>n updated</w:t>
      </w:r>
      <w:r w:rsidR="00593B89">
        <w:t xml:space="preserve"> </w:t>
      </w:r>
      <w:r w:rsidR="00584FC2">
        <w:t>SG charge</w:t>
      </w:r>
      <w:r>
        <w:t xml:space="preserve"> will encourage compliance to meet new payday super obligations. However, inadvertent errors can occur in the calculation of </w:t>
      </w:r>
      <w:r w:rsidR="001E4CB1">
        <w:t>the required SG contributions</w:t>
      </w:r>
      <w:r w:rsidR="009D3F9D">
        <w:t xml:space="preserve">. </w:t>
      </w:r>
      <w:r w:rsidR="000D62F3">
        <w:t xml:space="preserve">An example of this </w:t>
      </w:r>
      <w:r w:rsidR="005834C8">
        <w:t>is</w:t>
      </w:r>
      <w:r w:rsidR="000D62F3">
        <w:t xml:space="preserve"> when an employer calculates superannuation to be paid on OTE, </w:t>
      </w:r>
      <w:r w:rsidR="005834C8">
        <w:t>but</w:t>
      </w:r>
      <w:r w:rsidR="000D62F3">
        <w:t xml:space="preserve"> the OTE </w:t>
      </w:r>
      <w:r w:rsidR="00387BFA">
        <w:t xml:space="preserve">base </w:t>
      </w:r>
      <w:r w:rsidR="000D62F3">
        <w:t>is incorrect</w:t>
      </w:r>
      <w:r w:rsidR="00387BFA">
        <w:t>ly calculated</w:t>
      </w:r>
      <w:r w:rsidR="000D62F3">
        <w:t xml:space="preserve">. </w:t>
      </w:r>
      <w:r w:rsidR="00AE1AE0">
        <w:t xml:space="preserve">Other corrections could include </w:t>
      </w:r>
      <w:r w:rsidR="00CD5470">
        <w:t>underpayment</w:t>
      </w:r>
      <w:r w:rsidR="003A0A31">
        <w:t xml:space="preserve">s or </w:t>
      </w:r>
      <w:r w:rsidR="00094E4F">
        <w:t>pay</w:t>
      </w:r>
      <w:r w:rsidR="00ED4ED3">
        <w:t>ing SG contributions to</w:t>
      </w:r>
      <w:r w:rsidR="008F58F2">
        <w:t xml:space="preserve"> the wrong fund due to incorrect information provided by an employee (</w:t>
      </w:r>
      <w:proofErr w:type="gramStart"/>
      <w:r w:rsidR="008F58F2">
        <w:t>e.g.</w:t>
      </w:r>
      <w:proofErr w:type="gramEnd"/>
      <w:r w:rsidR="008F58F2">
        <w:t xml:space="preserve"> </w:t>
      </w:r>
      <w:r w:rsidR="00564865">
        <w:t>at the time of</w:t>
      </w:r>
      <w:r w:rsidR="008F58F2">
        <w:t xml:space="preserve"> onboarding) or </w:t>
      </w:r>
      <w:r w:rsidR="00BA0A66">
        <w:t xml:space="preserve">mistakes made by an employer </w:t>
      </w:r>
      <w:r w:rsidR="005235DF">
        <w:t xml:space="preserve">when </w:t>
      </w:r>
      <w:r w:rsidR="008F58F2">
        <w:t>enter</w:t>
      </w:r>
      <w:r w:rsidR="00BA0A66">
        <w:t xml:space="preserve">ing </w:t>
      </w:r>
      <w:r w:rsidR="006E303B">
        <w:t>an employee’s superannuation account</w:t>
      </w:r>
      <w:r w:rsidR="00AE1697">
        <w:t xml:space="preserve"> details</w:t>
      </w:r>
      <w:r w:rsidR="008F58F2">
        <w:t xml:space="preserve">. </w:t>
      </w:r>
    </w:p>
    <w:p w14:paraId="4CBC7250" w14:textId="0A7DD242" w:rsidR="001F6C35" w:rsidRDefault="001F6C35" w:rsidP="009410B5">
      <w:pPr>
        <w:pStyle w:val="BodyText"/>
      </w:pPr>
      <w:r>
        <w:t xml:space="preserve">The due date for contributions could be designed such that it provides flexibility for employers to correct mistakes. For example, the </w:t>
      </w:r>
      <w:r w:rsidR="00584FC2">
        <w:t>SG charge</w:t>
      </w:r>
      <w:r>
        <w:t xml:space="preserve"> could apply </w:t>
      </w:r>
      <w:r w:rsidRPr="00047E3E">
        <w:t>after a grace period</w:t>
      </w:r>
      <w:r w:rsidR="00C1346B">
        <w:t xml:space="preserve"> as shown in Figure 3</w:t>
      </w:r>
      <w:r>
        <w:t xml:space="preserve">, allowing time for employers to make corrections before the </w:t>
      </w:r>
      <w:r w:rsidR="00584FC2">
        <w:t>SG charge</w:t>
      </w:r>
      <w:r>
        <w:t xml:space="preserve"> is assessed. The nominal interest component of the </w:t>
      </w:r>
      <w:r w:rsidR="00584FC2">
        <w:t>SG charge</w:t>
      </w:r>
      <w:r>
        <w:t xml:space="preserve"> would be calculated from the payday of the employee as reported through the employer’s STP reporting.</w:t>
      </w:r>
      <w:r w:rsidRPr="00157706">
        <w:rPr>
          <w:noProof/>
        </w:rPr>
        <w:t xml:space="preserve"> </w:t>
      </w:r>
      <w:r>
        <w:rPr>
          <w:noProof/>
        </w:rPr>
        <w:t xml:space="preserve">This is intended to ensure the employee is no worse off as a result of an employer’s actions. </w:t>
      </w:r>
    </w:p>
    <w:p w14:paraId="28392E18" w14:textId="17F7D1DF" w:rsidR="0060263C" w:rsidRDefault="001F6C35" w:rsidP="0060263C">
      <w:pPr>
        <w:pStyle w:val="Bullet"/>
        <w:numPr>
          <w:ilvl w:val="0"/>
          <w:numId w:val="0"/>
        </w:numPr>
      </w:pPr>
      <w:r>
        <w:t>Alternatively, f</w:t>
      </w:r>
      <w:r w:rsidR="00992224">
        <w:t xml:space="preserve">lexibility could be provided in </w:t>
      </w:r>
      <w:r w:rsidR="009D3F9D">
        <w:t xml:space="preserve">instances of inadvertent non-compliance </w:t>
      </w:r>
      <w:r w:rsidR="001A534D">
        <w:t xml:space="preserve">to allow the </w:t>
      </w:r>
      <w:r w:rsidR="00927A04">
        <w:t>ATO to apply appropriate treatment</w:t>
      </w:r>
      <w:r w:rsidR="00563DD2">
        <w:t>.</w:t>
      </w:r>
      <w:r w:rsidR="00B642E2">
        <w:t xml:space="preserve"> </w:t>
      </w:r>
      <w:r w:rsidR="00A12C24">
        <w:t>W</w:t>
      </w:r>
      <w:r w:rsidR="00FB11EA">
        <w:t>he</w:t>
      </w:r>
      <w:r w:rsidR="00A12C24">
        <w:t>n</w:t>
      </w:r>
      <w:r w:rsidR="00FB11EA">
        <w:t xml:space="preserve"> employers have </w:t>
      </w:r>
      <w:r w:rsidR="00A60FF1">
        <w:t xml:space="preserve">made </w:t>
      </w:r>
      <w:proofErr w:type="gramStart"/>
      <w:r w:rsidR="00A60FF1">
        <w:t>an</w:t>
      </w:r>
      <w:r w:rsidR="004511CA">
        <w:t xml:space="preserve"> inadvertent</w:t>
      </w:r>
      <w:r w:rsidR="00A60FF1">
        <w:t xml:space="preserve"> error</w:t>
      </w:r>
      <w:proofErr w:type="gramEnd"/>
      <w:r w:rsidR="00A60FF1">
        <w:t xml:space="preserve">, </w:t>
      </w:r>
      <w:r w:rsidR="00E54EAC">
        <w:t xml:space="preserve">a </w:t>
      </w:r>
      <w:r w:rsidR="00081C71">
        <w:t xml:space="preserve">specified </w:t>
      </w:r>
      <w:r w:rsidR="00E54EAC">
        <w:t xml:space="preserve">period of time could be allowed </w:t>
      </w:r>
      <w:r w:rsidR="002F1AB4">
        <w:t xml:space="preserve">for employers </w:t>
      </w:r>
      <w:r w:rsidR="00E54EAC">
        <w:t xml:space="preserve">to correct </w:t>
      </w:r>
      <w:r w:rsidR="000F33D4">
        <w:t>these amounts</w:t>
      </w:r>
      <w:r w:rsidR="002F1AB4">
        <w:t xml:space="preserve"> with the ATO</w:t>
      </w:r>
      <w:r w:rsidR="00F63090">
        <w:t xml:space="preserve"> before being liable </w:t>
      </w:r>
      <w:r w:rsidR="00DC3807">
        <w:t xml:space="preserve">to pay </w:t>
      </w:r>
      <w:r w:rsidR="00F63090">
        <w:t xml:space="preserve">the </w:t>
      </w:r>
      <w:r w:rsidR="00584FC2">
        <w:t>SG charge</w:t>
      </w:r>
      <w:r w:rsidR="00F63090">
        <w:t>.</w:t>
      </w:r>
      <w:r w:rsidR="00753FC3">
        <w:t xml:space="preserve"> </w:t>
      </w:r>
      <w:r w:rsidR="00DC3807">
        <w:t>Th</w:t>
      </w:r>
      <w:r w:rsidR="00E22023">
        <w:t xml:space="preserve">ese corrections are distinct from the LPO or </w:t>
      </w:r>
      <w:r w:rsidR="00B71678">
        <w:t xml:space="preserve">any </w:t>
      </w:r>
      <w:r w:rsidR="00E22023">
        <w:t>other ‘catch-up’ provisions.</w:t>
      </w:r>
    </w:p>
    <w:p w14:paraId="47398C57" w14:textId="1B07CA72" w:rsidR="00DF2092" w:rsidRDefault="008163B1" w:rsidP="0060263C">
      <w:pPr>
        <w:pStyle w:val="Bullet"/>
        <w:numPr>
          <w:ilvl w:val="0"/>
          <w:numId w:val="0"/>
        </w:numPr>
      </w:pPr>
      <w:r>
        <w:t>This flexibility could be given for employers who become aware of payment errors within a certain period</w:t>
      </w:r>
      <w:r w:rsidR="00857C3F">
        <w:t xml:space="preserve">, or receive </w:t>
      </w:r>
      <w:r w:rsidR="003F1313">
        <w:t xml:space="preserve">information that the SG calculated is incorrect.  </w:t>
      </w:r>
    </w:p>
    <w:p w14:paraId="5CE45430" w14:textId="14EE3981" w:rsidR="003C4D98" w:rsidRDefault="003C4D98" w:rsidP="0060263C">
      <w:pPr>
        <w:pStyle w:val="Bullet"/>
        <w:numPr>
          <w:ilvl w:val="0"/>
          <w:numId w:val="0"/>
        </w:numPr>
      </w:pPr>
      <w:r>
        <w:t xml:space="preserve">Currently, </w:t>
      </w:r>
      <w:r w:rsidR="00E819D2">
        <w:t xml:space="preserve">the STP </w:t>
      </w:r>
      <w:r w:rsidR="003D4DE0">
        <w:t xml:space="preserve">payment framework </w:t>
      </w:r>
      <w:r w:rsidR="00E819D2">
        <w:t xml:space="preserve">allows </w:t>
      </w:r>
      <w:r w:rsidR="003D4DE0">
        <w:t xml:space="preserve">for corrections </w:t>
      </w:r>
      <w:r w:rsidR="00012848">
        <w:t xml:space="preserve">of wages </w:t>
      </w:r>
      <w:r w:rsidR="00F157E5">
        <w:t xml:space="preserve">within </w:t>
      </w:r>
      <w:r w:rsidR="00D13F6B">
        <w:t xml:space="preserve">14 days </w:t>
      </w:r>
      <w:r w:rsidR="00514ACD">
        <w:t>of the need for a correction be</w:t>
      </w:r>
      <w:r w:rsidR="00232D4E">
        <w:t>ing</w:t>
      </w:r>
      <w:r w:rsidR="00514ACD">
        <w:t xml:space="preserve"> identified, or within the next regular pay event within the same financial year </w:t>
      </w:r>
      <w:r w:rsidR="002F204F">
        <w:t xml:space="preserve">where the affected employee has continuity of employment. </w:t>
      </w:r>
    </w:p>
    <w:p w14:paraId="346120A8" w14:textId="193B0BB7" w:rsidR="00247CB4" w:rsidRDefault="00A74A8E" w:rsidP="0060263C">
      <w:pPr>
        <w:pStyle w:val="Bullet"/>
        <w:numPr>
          <w:ilvl w:val="0"/>
          <w:numId w:val="0"/>
        </w:numPr>
      </w:pPr>
      <w:r>
        <w:t xml:space="preserve">If an employer identifies a need to </w:t>
      </w:r>
      <w:r w:rsidR="00C13A6B">
        <w:t xml:space="preserve">make a </w:t>
      </w:r>
      <w:r w:rsidR="004D3C3A">
        <w:t>correction with respect to SG</w:t>
      </w:r>
      <w:r w:rsidR="004D5B6E">
        <w:t xml:space="preserve"> contributions</w:t>
      </w:r>
      <w:r w:rsidR="004D3C3A">
        <w:t xml:space="preserve">, </w:t>
      </w:r>
      <w:r w:rsidR="00EC6A16">
        <w:t xml:space="preserve">this could be </w:t>
      </w:r>
      <w:r w:rsidR="00C32D35">
        <w:t xml:space="preserve">undertaken </w:t>
      </w:r>
      <w:r w:rsidR="00EC6A16">
        <w:t xml:space="preserve">alongside a </w:t>
      </w:r>
      <w:proofErr w:type="gramStart"/>
      <w:r w:rsidR="0092478C">
        <w:t>wages</w:t>
      </w:r>
      <w:proofErr w:type="gramEnd"/>
      <w:r w:rsidR="0092478C">
        <w:t xml:space="preserve"> </w:t>
      </w:r>
      <w:r w:rsidR="00EC6A16">
        <w:t xml:space="preserve">correction within the STP framework, </w:t>
      </w:r>
      <w:r w:rsidR="00C01494">
        <w:t xml:space="preserve">while allowing the </w:t>
      </w:r>
      <w:r w:rsidR="00D907A6">
        <w:t xml:space="preserve">SG contribution </w:t>
      </w:r>
      <w:r w:rsidR="00C01494">
        <w:t>correction to have a separate and dis</w:t>
      </w:r>
      <w:r w:rsidR="00186240">
        <w:t xml:space="preserve">tinct </w:t>
      </w:r>
      <w:r w:rsidR="00F05EAC">
        <w:t xml:space="preserve">timeframe and </w:t>
      </w:r>
      <w:r w:rsidR="00584FC2">
        <w:t>SG charge</w:t>
      </w:r>
      <w:r w:rsidR="00F05EAC">
        <w:t>.</w:t>
      </w:r>
    </w:p>
    <w:p w14:paraId="74FE5BA2" w14:textId="093D2BB3" w:rsidR="00247CB4" w:rsidRDefault="00247CB4" w:rsidP="00247CB4">
      <w:pPr>
        <w:pStyle w:val="ChartMainHeading"/>
      </w:pPr>
      <w:bookmarkStart w:id="33" w:name="_Toc147500257"/>
      <w:r w:rsidRPr="00296DC7">
        <w:t xml:space="preserve">Figure </w:t>
      </w:r>
      <w:r>
        <w:t>3</w:t>
      </w:r>
      <w:r w:rsidRPr="00296DC7">
        <w:t xml:space="preserve">: </w:t>
      </w:r>
      <w:r>
        <w:t xml:space="preserve">Grace period - </w:t>
      </w:r>
      <w:r w:rsidR="00584FC2">
        <w:t>SG charge</w:t>
      </w:r>
      <w:r w:rsidRPr="00296DC7">
        <w:t xml:space="preserve"> and nominal interest accrual</w:t>
      </w:r>
      <w:bookmarkEnd w:id="33"/>
      <w:r>
        <w:t xml:space="preserve"> </w:t>
      </w:r>
    </w:p>
    <w:tbl>
      <w:tblPr>
        <w:tblStyle w:val="TableGrid"/>
        <w:tblW w:w="9547" w:type="dxa"/>
        <w:tblLook w:val="04A0" w:firstRow="1" w:lastRow="0" w:firstColumn="1" w:lastColumn="0" w:noHBand="0" w:noVBand="1"/>
      </w:tblPr>
      <w:tblGrid>
        <w:gridCol w:w="3182"/>
        <w:gridCol w:w="3181"/>
        <w:gridCol w:w="3184"/>
      </w:tblGrid>
      <w:tr w:rsidR="00247CB4" w:rsidRPr="00A27824" w14:paraId="3FF2C6D6" w14:textId="77777777" w:rsidTr="002A5915">
        <w:trPr>
          <w:cnfStyle w:val="100000000000" w:firstRow="1" w:lastRow="0" w:firstColumn="0" w:lastColumn="0" w:oddVBand="0" w:evenVBand="0" w:oddHBand="0" w:evenHBand="0" w:firstRowFirstColumn="0" w:firstRowLastColumn="0" w:lastRowFirstColumn="0" w:lastRowLastColumn="0"/>
          <w:trHeight w:val="1129"/>
        </w:trPr>
        <w:tc>
          <w:tcPr>
            <w:tcW w:w="3182" w:type="dxa"/>
          </w:tcPr>
          <w:p w14:paraId="5D0E5AEC" w14:textId="77777777" w:rsidR="00247CB4" w:rsidRPr="00675C6A" w:rsidRDefault="00247CB4" w:rsidP="002A5915">
            <w:pPr>
              <w:pStyle w:val="BodyText"/>
              <w:spacing w:before="96" w:after="96"/>
              <w:rPr>
                <w:b w:val="0"/>
              </w:rPr>
            </w:pPr>
            <w:r>
              <w:rPr>
                <w:noProof/>
              </w:rPr>
              <mc:AlternateContent>
                <mc:Choice Requires="wps">
                  <w:drawing>
                    <wp:anchor distT="0" distB="0" distL="114300" distR="114300" simplePos="0" relativeHeight="251658245" behindDoc="0" locked="0" layoutInCell="1" allowOverlap="1" wp14:anchorId="5FC2C367" wp14:editId="4DCF2115">
                      <wp:simplePos x="0" y="0"/>
                      <wp:positionH relativeFrom="margin">
                        <wp:posOffset>1497390</wp:posOffset>
                      </wp:positionH>
                      <wp:positionV relativeFrom="paragraph">
                        <wp:posOffset>-33571</wp:posOffset>
                      </wp:positionV>
                      <wp:extent cx="139701" cy="551191"/>
                      <wp:effectExtent l="0" t="15240" r="0" b="35560"/>
                      <wp:wrapNone/>
                      <wp:docPr id="15" name="Arrow: Down 15"/>
                      <wp:cNvGraphicFramePr/>
                      <a:graphic xmlns:a="http://schemas.openxmlformats.org/drawingml/2006/main">
                        <a:graphicData uri="http://schemas.microsoft.com/office/word/2010/wordprocessingShape">
                          <wps:wsp>
                            <wps:cNvSpPr/>
                            <wps:spPr>
                              <a:xfrm rot="16200000">
                                <a:off x="0" y="0"/>
                                <a:ext cx="139701" cy="551191"/>
                              </a:xfrm>
                              <a:prstGeom prst="downArrow">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675A1" id="Arrow: Down 15" o:spid="_x0000_s1026" type="#_x0000_t67" style="position:absolute;margin-left:117.9pt;margin-top:-2.65pt;width:11pt;height:43.4pt;rotation:-90;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" adj="18863" fillcolor="#e8f0fc [664]" strokecolor="black [3213]" strokeweight=".25pt">
                      <w10:wrap anchorx="margin"/>
                    </v:shape>
                  </w:pict>
                </mc:Fallback>
              </mc:AlternateContent>
            </w:r>
            <w:r w:rsidRPr="00675C6A">
              <w:rPr>
                <w:b w:val="0"/>
                <w:u w:val="single"/>
              </w:rPr>
              <w:t>Payday</w:t>
            </w:r>
          </w:p>
          <w:p w14:paraId="0AC3005B" w14:textId="77777777" w:rsidR="00247CB4" w:rsidRPr="00A27824" w:rsidRDefault="00247CB4" w:rsidP="002A5915">
            <w:pPr>
              <w:pStyle w:val="BodyText"/>
              <w:spacing w:before="96" w:after="96"/>
            </w:pPr>
            <w:r w:rsidRPr="0033640C">
              <w:rPr>
                <w:b w:val="0"/>
              </w:rPr>
              <w:t>SG is paid by employers</w:t>
            </w:r>
          </w:p>
        </w:tc>
        <w:tc>
          <w:tcPr>
            <w:tcW w:w="3181" w:type="dxa"/>
          </w:tcPr>
          <w:p w14:paraId="75F156C2" w14:textId="77777777" w:rsidR="00247CB4" w:rsidRPr="00A27824" w:rsidRDefault="00247CB4" w:rsidP="002A5915">
            <w:pPr>
              <w:pStyle w:val="BodyText"/>
              <w:spacing w:before="96" w:after="96"/>
              <w:rPr>
                <w:b w:val="0"/>
                <w:u w:val="single"/>
              </w:rPr>
            </w:pPr>
            <w:r w:rsidRPr="00975BC6">
              <w:rPr>
                <w:noProof/>
              </w:rPr>
              <mc:AlternateContent>
                <mc:Choice Requires="wps">
                  <w:drawing>
                    <wp:anchor distT="0" distB="0" distL="114300" distR="114300" simplePos="0" relativeHeight="251658246" behindDoc="0" locked="0" layoutInCell="1" allowOverlap="1" wp14:anchorId="1E34F43A" wp14:editId="708A277D">
                      <wp:simplePos x="0" y="0"/>
                      <wp:positionH relativeFrom="margin">
                        <wp:posOffset>1361068</wp:posOffset>
                      </wp:positionH>
                      <wp:positionV relativeFrom="paragraph">
                        <wp:posOffset>-32372</wp:posOffset>
                      </wp:positionV>
                      <wp:extent cx="139701" cy="551191"/>
                      <wp:effectExtent l="0" t="15240" r="0" b="35560"/>
                      <wp:wrapNone/>
                      <wp:docPr id="16" name="Arrow: Down 16"/>
                      <wp:cNvGraphicFramePr/>
                      <a:graphic xmlns:a="http://schemas.openxmlformats.org/drawingml/2006/main">
                        <a:graphicData uri="http://schemas.microsoft.com/office/word/2010/wordprocessingShape">
                          <wps:wsp>
                            <wps:cNvSpPr/>
                            <wps:spPr>
                              <a:xfrm rot="16200000">
                                <a:off x="0" y="0"/>
                                <a:ext cx="139701" cy="551191"/>
                              </a:xfrm>
                              <a:prstGeom prst="downArrow">
                                <a:avLst/>
                              </a:prstGeom>
                              <a:solidFill>
                                <a:schemeClr val="accent5">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1D976" id="Arrow: Down 16" o:spid="_x0000_s1026" type="#_x0000_t67" style="position:absolute;margin-left:107.15pt;margin-top:-2.55pt;width:11pt;height:43.4pt;rotation:-90;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" adj="18863" fillcolor="#e8f0fc [664]" strokecolor="black [3213]" strokeweight=".25pt">
                      <w10:wrap anchorx="margin"/>
                    </v:shape>
                  </w:pict>
                </mc:Fallback>
              </mc:AlternateContent>
            </w:r>
            <w:r w:rsidRPr="00975BC6">
              <w:rPr>
                <w:b w:val="0"/>
              </w:rPr>
              <w:t xml:space="preserve">    </w:t>
            </w:r>
            <w:r w:rsidRPr="00675C6A">
              <w:rPr>
                <w:b w:val="0"/>
                <w:u w:val="single"/>
              </w:rPr>
              <w:t>Payday + x</w:t>
            </w:r>
          </w:p>
          <w:p w14:paraId="469A370E" w14:textId="77777777" w:rsidR="00247CB4" w:rsidRDefault="00247CB4" w:rsidP="002A5915">
            <w:pPr>
              <w:pStyle w:val="BodyText"/>
              <w:spacing w:before="96" w:after="96"/>
              <w:rPr>
                <w:b w:val="0"/>
              </w:rPr>
            </w:pPr>
            <w:r>
              <w:t xml:space="preserve">   ‘Due date’</w:t>
            </w:r>
          </w:p>
          <w:p w14:paraId="253EE130" w14:textId="77777777" w:rsidR="00247CB4" w:rsidRPr="00A27824" w:rsidRDefault="00247CB4" w:rsidP="002A5915">
            <w:pPr>
              <w:pStyle w:val="BodyText"/>
              <w:spacing w:before="96" w:after="96"/>
            </w:pPr>
            <w:r>
              <w:t xml:space="preserve">   </w:t>
            </w:r>
            <w:r w:rsidRPr="0033640C">
              <w:rPr>
                <w:b w:val="0"/>
              </w:rPr>
              <w:t xml:space="preserve">SG due in fund </w:t>
            </w:r>
          </w:p>
        </w:tc>
        <w:tc>
          <w:tcPr>
            <w:tcW w:w="3184" w:type="dxa"/>
          </w:tcPr>
          <w:p w14:paraId="7851C4C0" w14:textId="77777777" w:rsidR="00247CB4" w:rsidRPr="00A27824" w:rsidRDefault="00247CB4" w:rsidP="002A5915">
            <w:pPr>
              <w:pStyle w:val="BodyText"/>
              <w:spacing w:before="96" w:after="96"/>
              <w:rPr>
                <w:b w:val="0"/>
                <w:u w:val="single"/>
              </w:rPr>
            </w:pPr>
            <w:r w:rsidRPr="00675C6A">
              <w:rPr>
                <w:b w:val="0"/>
                <w:u w:val="single"/>
              </w:rPr>
              <w:t xml:space="preserve">Payday + x + </w:t>
            </w:r>
            <w:r>
              <w:rPr>
                <w:b w:val="0"/>
                <w:u w:val="single"/>
              </w:rPr>
              <w:t>grace period</w:t>
            </w:r>
          </w:p>
          <w:p w14:paraId="73F6038A" w14:textId="49059860" w:rsidR="00247CB4" w:rsidRPr="00A27824" w:rsidRDefault="00584FC2" w:rsidP="002A5915">
            <w:pPr>
              <w:pStyle w:val="BodyText"/>
              <w:spacing w:before="96" w:after="96"/>
            </w:pPr>
            <w:r>
              <w:rPr>
                <w:b w:val="0"/>
              </w:rPr>
              <w:t>SG charge</w:t>
            </w:r>
            <w:r w:rsidR="00247CB4" w:rsidRPr="0033640C">
              <w:rPr>
                <w:b w:val="0"/>
              </w:rPr>
              <w:t xml:space="preserve"> date if SG is unpaid</w:t>
            </w:r>
            <w:r w:rsidR="00247CB4">
              <w:rPr>
                <w:b w:val="0"/>
              </w:rPr>
              <w:t xml:space="preserve"> or underpaid</w:t>
            </w:r>
            <w:r w:rsidR="00247CB4" w:rsidRPr="0033640C">
              <w:rPr>
                <w:b w:val="0"/>
              </w:rPr>
              <w:t xml:space="preserve">. Nominal interest is calculated from </w:t>
            </w:r>
            <w:r w:rsidR="00247CB4">
              <w:rPr>
                <w:b w:val="0"/>
              </w:rPr>
              <w:t xml:space="preserve">the beginning of the grace period </w:t>
            </w:r>
            <w:proofErr w:type="gramStart"/>
            <w:r w:rsidR="00247CB4">
              <w:rPr>
                <w:b w:val="0"/>
              </w:rPr>
              <w:t>e.g.</w:t>
            </w:r>
            <w:proofErr w:type="gramEnd"/>
            <w:r w:rsidR="00247CB4" w:rsidRPr="0033640C">
              <w:rPr>
                <w:b w:val="0"/>
              </w:rPr>
              <w:t xml:space="preserve"> payday + x + </w:t>
            </w:r>
            <w:r w:rsidR="00247CB4">
              <w:rPr>
                <w:b w:val="0"/>
              </w:rPr>
              <w:t>grace period</w:t>
            </w:r>
            <w:r w:rsidR="00247CB4" w:rsidRPr="0033640C">
              <w:rPr>
                <w:b w:val="0"/>
              </w:rPr>
              <w:t xml:space="preserve"> </w:t>
            </w:r>
            <w:r w:rsidR="00247CB4">
              <w:rPr>
                <w:b w:val="0"/>
              </w:rPr>
              <w:t xml:space="preserve">+ 1 </w:t>
            </w:r>
            <w:r w:rsidR="00247CB4" w:rsidRPr="0033640C">
              <w:rPr>
                <w:b w:val="0"/>
              </w:rPr>
              <w:t xml:space="preserve">day. </w:t>
            </w:r>
          </w:p>
        </w:tc>
      </w:tr>
    </w:tbl>
    <w:p w14:paraId="32507D33" w14:textId="3A74598C" w:rsidR="00664925" w:rsidRDefault="00664925" w:rsidP="0060263C">
      <w:pPr>
        <w:pStyle w:val="Bullet"/>
        <w:numPr>
          <w:ilvl w:val="0"/>
          <w:numId w:val="0"/>
        </w:numPr>
        <w:rPr>
          <w:rFonts w:cs="Arial"/>
          <w:color w:val="4D7861" w:themeColor="accent2"/>
          <w:kern w:val="32"/>
          <w:sz w:val="24"/>
          <w:szCs w:val="26"/>
        </w:rPr>
      </w:pPr>
      <w:r w:rsidRPr="00296DC7">
        <w:rPr>
          <w:rFonts w:cs="Arial"/>
          <w:color w:val="4D7861" w:themeColor="accent2"/>
          <w:kern w:val="32"/>
          <w:sz w:val="24"/>
          <w:szCs w:val="26"/>
        </w:rPr>
        <w:t>Corrections and errors</w:t>
      </w:r>
      <w:r>
        <w:rPr>
          <w:rFonts w:cs="Arial"/>
          <w:color w:val="4D7861" w:themeColor="accent2"/>
          <w:kern w:val="32"/>
          <w:sz w:val="24"/>
          <w:szCs w:val="26"/>
        </w:rPr>
        <w:t xml:space="preserve"> </w:t>
      </w:r>
      <w:r w:rsidR="00BB324F">
        <w:rPr>
          <w:rFonts w:cs="Arial"/>
          <w:color w:val="4D7861" w:themeColor="accent2"/>
          <w:kern w:val="32"/>
          <w:sz w:val="24"/>
          <w:szCs w:val="26"/>
        </w:rPr>
        <w:t>for superannuation funds</w:t>
      </w:r>
    </w:p>
    <w:p w14:paraId="3F1CAF1C" w14:textId="247468FA" w:rsidR="00BB324F" w:rsidRPr="005C7615" w:rsidRDefault="006C6548" w:rsidP="009410B5">
      <w:pPr>
        <w:pStyle w:val="Bullet"/>
        <w:numPr>
          <w:ilvl w:val="0"/>
          <w:numId w:val="0"/>
        </w:numPr>
      </w:pPr>
      <w:r>
        <w:t>Superannuation</w:t>
      </w:r>
      <w:r w:rsidR="005C7615">
        <w:t xml:space="preserve"> funds have </w:t>
      </w:r>
      <w:r>
        <w:t xml:space="preserve">three days </w:t>
      </w:r>
      <w:r w:rsidR="005332BF">
        <w:t>to allocat</w:t>
      </w:r>
      <w:r w:rsidR="00EC3B1C">
        <w:t>e</w:t>
      </w:r>
      <w:r w:rsidR="005332BF">
        <w:t xml:space="preserve"> </w:t>
      </w:r>
      <w:r w:rsidR="00887269">
        <w:t>SG contributions</w:t>
      </w:r>
      <w:r w:rsidR="005332BF">
        <w:t xml:space="preserve"> to each member</w:t>
      </w:r>
      <w:r w:rsidR="00AA3E21">
        <w:t>’</w:t>
      </w:r>
      <w:r w:rsidR="00887269">
        <w:t>s account</w:t>
      </w:r>
      <w:r w:rsidR="00B1645E">
        <w:t xml:space="preserve"> once they have received the requisite </w:t>
      </w:r>
      <w:r w:rsidR="006741DA">
        <w:t xml:space="preserve">contribution information </w:t>
      </w:r>
      <w:r w:rsidR="00B1645E">
        <w:t xml:space="preserve">and </w:t>
      </w:r>
      <w:r w:rsidR="00F07C7A">
        <w:t>payment</w:t>
      </w:r>
      <w:r w:rsidR="005332BF">
        <w:t xml:space="preserve">, provided the </w:t>
      </w:r>
      <w:r w:rsidR="00A62DD5">
        <w:t>information is complete</w:t>
      </w:r>
      <w:r w:rsidR="00CA5CD2">
        <w:t xml:space="preserve">. Otherwise, </w:t>
      </w:r>
      <w:r w:rsidR="008D68C0">
        <w:t xml:space="preserve">superannuation funds have </w:t>
      </w:r>
      <w:r w:rsidR="00893ADA">
        <w:t xml:space="preserve">five </w:t>
      </w:r>
      <w:r w:rsidR="00E13517">
        <w:t xml:space="preserve">business </w:t>
      </w:r>
      <w:r w:rsidR="00D421B2">
        <w:t xml:space="preserve">days to </w:t>
      </w:r>
      <w:r w:rsidR="00533C2A">
        <w:t>co</w:t>
      </w:r>
      <w:r w:rsidR="006C36B7">
        <w:t xml:space="preserve">ntact employers to correct </w:t>
      </w:r>
      <w:r w:rsidR="00A62DD5">
        <w:t>or provide complete information</w:t>
      </w:r>
      <w:r w:rsidR="006C36B7">
        <w:t xml:space="preserve">, </w:t>
      </w:r>
      <w:r w:rsidR="00B10C05">
        <w:t>and if the error can</w:t>
      </w:r>
      <w:r w:rsidR="00E13517">
        <w:t>no</w:t>
      </w:r>
      <w:r w:rsidR="00B10C05">
        <w:t>t be resolved</w:t>
      </w:r>
      <w:r w:rsidR="00F517E2">
        <w:t xml:space="preserve"> funds have </w:t>
      </w:r>
      <w:r w:rsidR="00A4234D">
        <w:t xml:space="preserve">up to </w:t>
      </w:r>
      <w:r w:rsidR="00F517E2">
        <w:t xml:space="preserve">20 </w:t>
      </w:r>
      <w:r w:rsidR="00DC28A8">
        <w:t xml:space="preserve">business </w:t>
      </w:r>
      <w:r w:rsidR="00F517E2">
        <w:t xml:space="preserve">days to return </w:t>
      </w:r>
      <w:r w:rsidR="00452070">
        <w:t>the payment to the employer</w:t>
      </w:r>
      <w:r w:rsidR="00893ADA">
        <w:t xml:space="preserve"> (see regulation 7.07G of the </w:t>
      </w:r>
      <w:r w:rsidR="00893ADA" w:rsidRPr="009410B5">
        <w:rPr>
          <w:i/>
          <w:iCs/>
        </w:rPr>
        <w:t>Superannuation Industry (Supervision) Regulations 1994</w:t>
      </w:r>
      <w:r w:rsidR="00893ADA">
        <w:t>)</w:t>
      </w:r>
      <w:r w:rsidR="00452070">
        <w:t xml:space="preserve">. </w:t>
      </w:r>
    </w:p>
    <w:p w14:paraId="5476B7EC" w14:textId="77777777" w:rsidR="004107D0" w:rsidRDefault="004107D0" w:rsidP="004107D0">
      <w:pPr>
        <w:shd w:val="clear" w:color="auto" w:fill="E8F0FC" w:themeFill="accent5" w:themeFillTint="33"/>
        <w:rPr>
          <w:b/>
          <w:bCs/>
        </w:rPr>
      </w:pPr>
      <w:r>
        <w:rPr>
          <w:b/>
          <w:bCs/>
        </w:rPr>
        <w:t>Consultation questions</w:t>
      </w:r>
    </w:p>
    <w:p w14:paraId="4771D054" w14:textId="47E7A095" w:rsidR="00674D3D" w:rsidRDefault="00674D3D" w:rsidP="004107D0">
      <w:pPr>
        <w:pStyle w:val="OutlineNumbered1"/>
        <w:shd w:val="clear" w:color="auto" w:fill="E8F0FC" w:themeFill="accent5" w:themeFillTint="33"/>
      </w:pPr>
      <w:r>
        <w:t xml:space="preserve">Should employers be allowed to make ‘catch-up’ contributions </w:t>
      </w:r>
      <w:r w:rsidR="00CE097C">
        <w:t>due to erro</w:t>
      </w:r>
      <w:r w:rsidR="00240C8D">
        <w:t>rs?</w:t>
      </w:r>
    </w:p>
    <w:p w14:paraId="78495204" w14:textId="60FB41BE" w:rsidR="0060263C" w:rsidRDefault="004107D0">
      <w:pPr>
        <w:pStyle w:val="OutlineNumbered1"/>
        <w:shd w:val="clear" w:color="auto" w:fill="E8F0FC" w:themeFill="accent5" w:themeFillTint="33"/>
      </w:pPr>
      <w:r>
        <w:t xml:space="preserve">What would be a reasonable </w:t>
      </w:r>
      <w:proofErr w:type="gramStart"/>
      <w:r>
        <w:t>time period</w:t>
      </w:r>
      <w:proofErr w:type="gramEnd"/>
      <w:r>
        <w:t xml:space="preserve"> to allow </w:t>
      </w:r>
      <w:r w:rsidR="0048064D">
        <w:t xml:space="preserve">employers to </w:t>
      </w:r>
      <w:r w:rsidR="00241988">
        <w:t xml:space="preserve">make </w:t>
      </w:r>
      <w:r w:rsidR="005C26C1">
        <w:t>‘</w:t>
      </w:r>
      <w:r w:rsidR="00241988">
        <w:t>catch up</w:t>
      </w:r>
      <w:r w:rsidR="005C26C1">
        <w:t>’</w:t>
      </w:r>
      <w:r w:rsidR="00241988">
        <w:t xml:space="preserve"> contributions that align</w:t>
      </w:r>
      <w:r w:rsidR="009B7EAE">
        <w:t>s with the intent to pay superannuation alongside wages?</w:t>
      </w:r>
      <w:r w:rsidR="00572FE4">
        <w:t xml:space="preserve"> Should this </w:t>
      </w:r>
      <w:proofErr w:type="gramStart"/>
      <w:r w:rsidR="00572FE4">
        <w:t>time period</w:t>
      </w:r>
      <w:proofErr w:type="gramEnd"/>
      <w:r w:rsidR="00572FE4">
        <w:t xml:space="preserve"> differ depending on payday frequency?</w:t>
      </w:r>
    </w:p>
    <w:p w14:paraId="726FD222" w14:textId="50D5216C" w:rsidR="00935236" w:rsidRDefault="008C2852">
      <w:pPr>
        <w:pStyle w:val="OutlineNumbered1"/>
        <w:shd w:val="clear" w:color="auto" w:fill="E8F0FC" w:themeFill="accent5" w:themeFillTint="33"/>
      </w:pPr>
      <w:r>
        <w:t xml:space="preserve">What are the challenges in correcting SG payments </w:t>
      </w:r>
      <w:r w:rsidR="00AA3E21">
        <w:t>under a payday model</w:t>
      </w:r>
      <w:r w:rsidR="002B16CD">
        <w:t xml:space="preserve">? </w:t>
      </w:r>
      <w:r w:rsidR="004266C9">
        <w:t>Is this a</w:t>
      </w:r>
      <w:r w:rsidR="00535DA7">
        <w:t xml:space="preserve">n efficient way for employers to make corrections? </w:t>
      </w:r>
      <w:r w:rsidR="00A152B3">
        <w:t>Should error messages be standardised across funds?</w:t>
      </w:r>
    </w:p>
    <w:p w14:paraId="0CD057D1" w14:textId="1F3D4511" w:rsidR="00B32268" w:rsidRDefault="007A047E" w:rsidP="00296DC7">
      <w:pPr>
        <w:pStyle w:val="OutlineNumbered1"/>
        <w:shd w:val="clear" w:color="auto" w:fill="E8F0FC" w:themeFill="accent5" w:themeFillTint="33"/>
      </w:pPr>
      <w:r>
        <w:t>Is</w:t>
      </w:r>
      <w:r w:rsidR="00D24E48" w:rsidRPr="00296DC7">
        <w:t xml:space="preserve"> the 20</w:t>
      </w:r>
      <w:r w:rsidR="00DC28A8">
        <w:t xml:space="preserve"> business </w:t>
      </w:r>
      <w:proofErr w:type="gramStart"/>
      <w:r w:rsidR="00D24E48" w:rsidRPr="00296DC7">
        <w:t>day time</w:t>
      </w:r>
      <w:proofErr w:type="gramEnd"/>
      <w:r w:rsidR="00D24E48" w:rsidRPr="00296DC7">
        <w:t xml:space="preserve"> period for superannuation funds to resolve errors </w:t>
      </w:r>
      <w:r w:rsidR="00A4234D">
        <w:t>appropriate</w:t>
      </w:r>
      <w:r w:rsidR="001E5A08" w:rsidRPr="00296DC7">
        <w:t xml:space="preserve"> in a payday </w:t>
      </w:r>
      <w:r w:rsidR="00853D5D">
        <w:t>super</w:t>
      </w:r>
      <w:r w:rsidR="001E5A08" w:rsidRPr="00296DC7">
        <w:t xml:space="preserve"> </w:t>
      </w:r>
      <w:r w:rsidR="00853D5D">
        <w:t>model</w:t>
      </w:r>
      <w:r w:rsidR="00D24E48" w:rsidRPr="00296DC7">
        <w:t xml:space="preserve">? </w:t>
      </w:r>
    </w:p>
    <w:p w14:paraId="0C8F69C2" w14:textId="639C2217" w:rsidR="00247CB4" w:rsidRPr="00853D5D" w:rsidRDefault="00247CB4" w:rsidP="00247CB4">
      <w:pPr>
        <w:pStyle w:val="OutlineNumbered1"/>
        <w:shd w:val="clear" w:color="auto" w:fill="E8F0FC" w:themeFill="accent5" w:themeFillTint="33"/>
      </w:pPr>
      <w:r w:rsidRPr="00655290">
        <w:t xml:space="preserve">Under a ‘due date’ model, would it be appropriate for a period of grace to apply after the due date for SG contributions? If so, should the grace period apply automatically? Or should it be applied at the ATO’s discretion in certain limited circumstances? </w:t>
      </w:r>
    </w:p>
    <w:p w14:paraId="6C4DB7E8" w14:textId="678D0892" w:rsidR="00BE245D" w:rsidRDefault="006B1F09" w:rsidP="00220722">
      <w:pPr>
        <w:pStyle w:val="Heading4"/>
      </w:pPr>
      <w:r>
        <w:t>Choice of fund, s</w:t>
      </w:r>
      <w:r w:rsidR="00A96644">
        <w:t xml:space="preserve">tapling and employee onboarding </w:t>
      </w:r>
    </w:p>
    <w:p w14:paraId="7EEE7D6A" w14:textId="77777777" w:rsidR="002B2D56" w:rsidRDefault="002B2D56" w:rsidP="00C21F03">
      <w:pPr>
        <w:pStyle w:val="Bullet"/>
        <w:numPr>
          <w:ilvl w:val="0"/>
          <w:numId w:val="0"/>
        </w:numPr>
      </w:pPr>
      <w:r w:rsidDel="002F4CD4">
        <w:t>Choice of fund</w:t>
      </w:r>
      <w:r>
        <w:t xml:space="preserve">, stapling and default superannuation fund arrangements are interconnected with </w:t>
      </w:r>
      <w:r w:rsidDel="002F4CD4">
        <w:t xml:space="preserve">payday super. </w:t>
      </w:r>
      <w:r>
        <w:t>P</w:t>
      </w:r>
      <w:r w:rsidDel="002F4CD4">
        <w:t xml:space="preserve">ayday super </w:t>
      </w:r>
      <w:r>
        <w:t>provides an opportunity to ensure they are working effectively for both the employee and employer.</w:t>
      </w:r>
    </w:p>
    <w:p w14:paraId="1E4E5800" w14:textId="633DB471" w:rsidR="002B2D56" w:rsidRPr="00C21F03" w:rsidRDefault="002B2D56" w:rsidP="00C21F03">
      <w:pPr>
        <w:pStyle w:val="Bullet"/>
        <w:numPr>
          <w:ilvl w:val="0"/>
          <w:numId w:val="0"/>
        </w:numPr>
      </w:pPr>
      <w:r>
        <w:t xml:space="preserve">The choice of fund requirements </w:t>
      </w:r>
      <w:proofErr w:type="gramStart"/>
      <w:r>
        <w:t>determine</w:t>
      </w:r>
      <w:proofErr w:type="gramEnd"/>
      <w:r>
        <w:t xml:space="preserve"> to which fund an employer must make super</w:t>
      </w:r>
      <w:r w:rsidR="00F94DB1">
        <w:t>annuation</w:t>
      </w:r>
      <w:r>
        <w:t xml:space="preserve"> contributions. Currently, employers meet these requirements by offering a paper or electronic ‘standard choice form’ for employees to complete during onboarding. In the first instance, employers are required to offer new employees the opportunity to choose their fund. If no choice is made, the employer must check with the ATO if the employee has an existing ‘stapled’ fund. This step </w:t>
      </w:r>
      <w:r w:rsidR="009C0F9A">
        <w:t>is</w:t>
      </w:r>
      <w:r>
        <w:t xml:space="preserve"> intended to reduce the creation of unintended duplicate accounts and their associated costs. If there is no stapled fund, the employer can create an account with their ‘default’ fund for the employee. </w:t>
      </w:r>
    </w:p>
    <w:p w14:paraId="3E92C1A8" w14:textId="6E2E8B89" w:rsidR="002B2D56" w:rsidRPr="005D0DEC" w:rsidRDefault="002B2D56" w:rsidP="00C21F03">
      <w:pPr>
        <w:pStyle w:val="Bullet"/>
        <w:numPr>
          <w:ilvl w:val="0"/>
          <w:numId w:val="0"/>
        </w:numPr>
      </w:pPr>
      <w:r>
        <w:t>A recent review of stapling found that the current process creates an administrative burden for employers during onboarding</w:t>
      </w:r>
      <w:r w:rsidR="00AF0B3F">
        <w:t>.</w:t>
      </w:r>
      <w:r w:rsidR="00AF0B3F">
        <w:rPr>
          <w:rStyle w:val="FootnoteReference"/>
        </w:rPr>
        <w:footnoteReference w:id="2"/>
      </w:r>
      <w:r w:rsidR="0030184B">
        <w:t xml:space="preserve"> </w:t>
      </w:r>
      <w:r>
        <w:t>The ATO needs to be satisfied that an employment relationship exists before returning stapled fund details, but some employers’ software needs the employee’s super fund details to establish that relationship. As a result, some employers are seeking to avoid stapling by requiring that new employees actively choose a fund during onboarding. This incentive to encourage active choice has led to an increase in onboarding software that presents employees with funds that have paid to be advertised. These issues can lead employees to make uninformed decisions, open inappropriate products and unintentionally create duplicate accounts.</w:t>
      </w:r>
    </w:p>
    <w:p w14:paraId="752277FB" w14:textId="7976C596" w:rsidR="002B2D56" w:rsidRPr="00C21F03" w:rsidRDefault="002B2D56" w:rsidP="00C21F03">
      <w:pPr>
        <w:pStyle w:val="Bullet"/>
        <w:numPr>
          <w:ilvl w:val="0"/>
          <w:numId w:val="0"/>
        </w:numPr>
      </w:pPr>
      <w:r w:rsidRPr="00CC72C1">
        <w:t>Reforms</w:t>
      </w:r>
      <w:r w:rsidRPr="00C21F03">
        <w:t xml:space="preserve"> to streamline choice of fund and address stapling concerns could </w:t>
      </w:r>
      <w:r w:rsidRPr="00CC72C1">
        <w:t>include</w:t>
      </w:r>
      <w:r w:rsidRPr="00C21F03">
        <w:t>:</w:t>
      </w:r>
    </w:p>
    <w:p w14:paraId="2FBEC33E" w14:textId="77CFA419" w:rsidR="00D36877" w:rsidRDefault="00D36877" w:rsidP="00D36877">
      <w:pPr>
        <w:pStyle w:val="Bullet"/>
      </w:pPr>
      <w:r>
        <w:t>Establishing a new digital ATO service that employees and employers can use to confirm the right super fund details (ideally integrating with employer software). For example, this could enable employers to satisfy choice of fund requirements by directing employees to the ATO service. An employee could then choose a fund</w:t>
      </w:r>
      <w:r w:rsidR="00E3629D">
        <w:t>,</w:t>
      </w:r>
      <w:r>
        <w:t xml:space="preserve"> or, if no choice is made, an employer can retrieve details of a stapled fund if available. Such a service could be encouraged or made mandatory to ensure that employers are using validated details to correctly direct super payments. </w:t>
      </w:r>
    </w:p>
    <w:p w14:paraId="4454DF6A" w14:textId="43996B82" w:rsidR="00D36877" w:rsidRDefault="00D36877" w:rsidP="00D36877">
      <w:pPr>
        <w:pStyle w:val="Bullet"/>
      </w:pPr>
      <w:r>
        <w:t>Introducing a new requirement for employers to offer stapling as an option for employees during onboarding. This would allow an employee to instruct their employer to complete a stapled fund request and use the results to pay their super</w:t>
      </w:r>
      <w:r w:rsidR="006604F4">
        <w:t>annuation</w:t>
      </w:r>
      <w:r>
        <w:t xml:space="preserve"> contributions. </w:t>
      </w:r>
    </w:p>
    <w:p w14:paraId="7D76C5B9" w14:textId="1EAEB35A" w:rsidR="000361D1" w:rsidRDefault="00D36877" w:rsidP="00C21F03">
      <w:pPr>
        <w:pStyle w:val="Bullet"/>
      </w:pPr>
      <w:r>
        <w:t>A ban on advertising super</w:t>
      </w:r>
      <w:r w:rsidR="006604F4">
        <w:t>annuation</w:t>
      </w:r>
      <w:r>
        <w:t xml:space="preserve"> products during onboarding. This would ensure that employees are not being encouraged into products which have paid to be advertised, may be unsuitable, and may unintentionally lead to duplicate accounts.</w:t>
      </w:r>
    </w:p>
    <w:p w14:paraId="6E5C7A3F" w14:textId="77777777" w:rsidR="004B1C4B" w:rsidRDefault="004B1C4B" w:rsidP="00C418E8">
      <w:pPr>
        <w:shd w:val="clear" w:color="auto" w:fill="E8F0FC" w:themeFill="accent5" w:themeFillTint="33"/>
        <w:rPr>
          <w:b/>
          <w:bCs/>
        </w:rPr>
      </w:pPr>
      <w:r>
        <w:rPr>
          <w:b/>
          <w:bCs/>
        </w:rPr>
        <w:t>Consultation questions</w:t>
      </w:r>
    </w:p>
    <w:p w14:paraId="52015B18" w14:textId="77777777" w:rsidR="00E313D7" w:rsidRDefault="00E313D7" w:rsidP="00C418E8">
      <w:pPr>
        <w:pStyle w:val="OutlineNumbered1"/>
        <w:shd w:val="clear" w:color="auto" w:fill="E8F0FC" w:themeFill="accent5" w:themeFillTint="33"/>
      </w:pPr>
      <w:r>
        <w:t xml:space="preserve">Would a digital ATO service </w:t>
      </w:r>
      <w:r w:rsidDel="00801648">
        <w:t xml:space="preserve">simplify the choice of fund process and assist employees and employers </w:t>
      </w:r>
      <w:r>
        <w:t>to confirm the right super details? What functionality would be required? Would this address issues with data integrity under a payday super model? Should such a service be mandated?</w:t>
      </w:r>
    </w:p>
    <w:p w14:paraId="19108981" w14:textId="77777777" w:rsidR="00E313D7" w:rsidRDefault="00E313D7" w:rsidP="00C418E8">
      <w:pPr>
        <w:pStyle w:val="OutlineNumbered1"/>
        <w:shd w:val="clear" w:color="auto" w:fill="E8F0FC" w:themeFill="accent5" w:themeFillTint="33"/>
      </w:pPr>
      <w:r>
        <w:t>What are the costs and benefits of requiring employers to offer stapling to employees? Are there other changes that could be made to the choice of fund process? Could a digital ATO service reduce the administrative burden associated with stapling?</w:t>
      </w:r>
    </w:p>
    <w:p w14:paraId="77049F76" w14:textId="691C7D35" w:rsidR="00E93927" w:rsidRDefault="00E313D7" w:rsidP="00C418E8">
      <w:pPr>
        <w:pStyle w:val="OutlineNumbered1"/>
        <w:shd w:val="clear" w:color="auto" w:fill="E8F0FC" w:themeFill="accent5" w:themeFillTint="33"/>
      </w:pPr>
      <w:r w:rsidRPr="00731997">
        <w:t xml:space="preserve">What are the costs and benefits of a ban on advertising super products during onboarding? </w:t>
      </w:r>
    </w:p>
    <w:p w14:paraId="3FB658E2" w14:textId="53F286CA" w:rsidR="005B69C7" w:rsidRDefault="005B69C7" w:rsidP="005B69C7">
      <w:pPr>
        <w:pStyle w:val="Heading3"/>
      </w:pPr>
      <w:bookmarkStart w:id="34" w:name="_Ref134701263"/>
      <w:bookmarkStart w:id="35" w:name="_Toc147500258"/>
      <w:r>
        <w:t xml:space="preserve">Other </w:t>
      </w:r>
      <w:r w:rsidR="001707F3">
        <w:t>payday super</w:t>
      </w:r>
      <w:r w:rsidR="001C0464">
        <w:t xml:space="preserve"> </w:t>
      </w:r>
      <w:r w:rsidR="00686AB1">
        <w:t>issues</w:t>
      </w:r>
      <w:bookmarkEnd w:id="34"/>
      <w:bookmarkEnd w:id="35"/>
    </w:p>
    <w:p w14:paraId="28659C4A" w14:textId="3A525E0B" w:rsidR="00B174E2" w:rsidRDefault="00B174E2" w:rsidP="00E25197">
      <w:pPr>
        <w:pStyle w:val="Heading4"/>
      </w:pPr>
      <w:r>
        <w:t>SG reporting frameworks</w:t>
      </w:r>
    </w:p>
    <w:p w14:paraId="15B92623" w14:textId="4257EDDE" w:rsidR="00B174E2" w:rsidRDefault="00623C62" w:rsidP="00E14B3A">
      <w:pPr>
        <w:pStyle w:val="Bullet"/>
        <w:numPr>
          <w:ilvl w:val="0"/>
          <w:numId w:val="0"/>
        </w:numPr>
      </w:pPr>
      <w:r>
        <w:t xml:space="preserve">The ATO currently receives SG </w:t>
      </w:r>
      <w:r w:rsidR="00D815CD">
        <w:t>contributions data</w:t>
      </w:r>
      <w:r>
        <w:t xml:space="preserve"> from </w:t>
      </w:r>
      <w:r w:rsidR="00B02041">
        <w:t>APRA-regulated</w:t>
      </w:r>
      <w:r>
        <w:t xml:space="preserve"> superannuation funds </w:t>
      </w:r>
      <w:r w:rsidR="00D815CD">
        <w:t xml:space="preserve">through </w:t>
      </w:r>
      <w:r w:rsidR="007718AA" w:rsidRPr="00F80700">
        <w:t>M</w:t>
      </w:r>
      <w:r w:rsidR="007718AA">
        <w:t xml:space="preserve">ember </w:t>
      </w:r>
      <w:r w:rsidR="007718AA" w:rsidRPr="00F80700">
        <w:t>A</w:t>
      </w:r>
      <w:r w:rsidR="007718AA">
        <w:t xml:space="preserve">ccount </w:t>
      </w:r>
      <w:r w:rsidR="007718AA" w:rsidRPr="00F80700">
        <w:t>T</w:t>
      </w:r>
      <w:r w:rsidR="007718AA">
        <w:t xml:space="preserve">ransaction </w:t>
      </w:r>
      <w:r w:rsidR="007718AA" w:rsidRPr="00F80700">
        <w:t>S</w:t>
      </w:r>
      <w:r w:rsidR="007718AA">
        <w:t>ervice (</w:t>
      </w:r>
      <w:r w:rsidR="00D815CD">
        <w:t>MATS</w:t>
      </w:r>
      <w:r w:rsidR="007718AA">
        <w:t>)</w:t>
      </w:r>
      <w:r w:rsidR="00D815CD">
        <w:t xml:space="preserve"> and</w:t>
      </w:r>
      <w:r w:rsidR="00E14B3A">
        <w:t xml:space="preserve"> from</w:t>
      </w:r>
      <w:r w:rsidR="00D815CD">
        <w:t xml:space="preserve"> employers through STP. </w:t>
      </w:r>
      <w:r w:rsidR="00EE738E">
        <w:t>These reporting frameworks were designed independently</w:t>
      </w:r>
      <w:r w:rsidR="00E14B3A">
        <w:t xml:space="preserve"> and as a result </w:t>
      </w:r>
      <w:r w:rsidR="00463066">
        <w:t xml:space="preserve">the mandatory reporting fields </w:t>
      </w:r>
      <w:r w:rsidR="00E14B3A">
        <w:t xml:space="preserve">are not necessarily aligned. </w:t>
      </w:r>
      <w:r w:rsidR="0015110E">
        <w:t xml:space="preserve">For example, STP reports year-to-date values for pay events while </w:t>
      </w:r>
      <w:r w:rsidR="00AB6B9D">
        <w:t>t</w:t>
      </w:r>
      <w:r w:rsidR="007718AA">
        <w:t>he Member Account Attribution Service (</w:t>
      </w:r>
      <w:r w:rsidR="00C5116B">
        <w:t>MAAS</w:t>
      </w:r>
      <w:r w:rsidR="007718AA">
        <w:t>)</w:t>
      </w:r>
      <w:r w:rsidR="0015110E">
        <w:t xml:space="preserve"> and MATS report for each transaction and there is no unique identifier between the different reporting streams which links the employer, employee</w:t>
      </w:r>
      <w:r w:rsidR="00980CF5">
        <w:t>,</w:t>
      </w:r>
      <w:r w:rsidR="0015110E">
        <w:t xml:space="preserve"> and transaction. </w:t>
      </w:r>
      <w:r w:rsidR="00EC333F">
        <w:t xml:space="preserve">Moreover, </w:t>
      </w:r>
      <w:r w:rsidR="00916A66">
        <w:t>only either</w:t>
      </w:r>
      <w:r w:rsidR="00EC333F">
        <w:t xml:space="preserve"> </w:t>
      </w:r>
      <w:r w:rsidR="00B50764">
        <w:t xml:space="preserve">an employer’s SG liability </w:t>
      </w:r>
      <w:r w:rsidR="00916A66">
        <w:t xml:space="preserve">or </w:t>
      </w:r>
      <w:r w:rsidR="00EC333F">
        <w:t xml:space="preserve">OTE </w:t>
      </w:r>
      <w:r w:rsidR="00B50764">
        <w:t>are</w:t>
      </w:r>
      <w:r w:rsidR="00EC333F">
        <w:t xml:space="preserve"> </w:t>
      </w:r>
      <w:r w:rsidR="00B50764">
        <w:t xml:space="preserve">mandatory </w:t>
      </w:r>
      <w:r w:rsidR="00EC333F">
        <w:t>reporting field</w:t>
      </w:r>
      <w:r w:rsidR="00B50764">
        <w:t>s</w:t>
      </w:r>
      <w:r w:rsidR="00EC333F">
        <w:t xml:space="preserve"> in STP</w:t>
      </w:r>
      <w:r w:rsidR="00980CF5">
        <w:t>.</w:t>
      </w:r>
      <w:r w:rsidR="00EC333F">
        <w:t xml:space="preserve"> </w:t>
      </w:r>
      <w:r w:rsidR="00845994">
        <w:t>Consequently, the</w:t>
      </w:r>
      <w:r w:rsidR="0081092E">
        <w:t xml:space="preserve"> ATO is </w:t>
      </w:r>
      <w:r w:rsidR="00022A55">
        <w:t xml:space="preserve">limited in its ability to match the two pieces of data that they receive. </w:t>
      </w:r>
    </w:p>
    <w:p w14:paraId="1D565BAE" w14:textId="77CE8D64" w:rsidR="00FB1A2E" w:rsidRDefault="00EF57BE" w:rsidP="00E14B3A">
      <w:pPr>
        <w:pStyle w:val="Bullet"/>
        <w:numPr>
          <w:ilvl w:val="0"/>
          <w:numId w:val="0"/>
        </w:numPr>
      </w:pPr>
      <w:r>
        <w:t>Consistent</w:t>
      </w:r>
      <w:r w:rsidR="00B23364">
        <w:t xml:space="preserve"> data sets will allow</w:t>
      </w:r>
      <w:r w:rsidR="00FB1A2E">
        <w:t xml:space="preserve"> the ATO </w:t>
      </w:r>
      <w:r w:rsidR="001944CE">
        <w:t xml:space="preserve">to </w:t>
      </w:r>
      <w:r w:rsidR="00980CF5">
        <w:t>create</w:t>
      </w:r>
      <w:r w:rsidR="00FB1A2E" w:rsidRPr="00D56C35">
        <w:t xml:space="preserve"> a new unified database </w:t>
      </w:r>
      <w:r w:rsidR="00FB1A2E">
        <w:t xml:space="preserve">which </w:t>
      </w:r>
      <w:r w:rsidR="00FB1A2E" w:rsidRPr="00B77D7D">
        <w:t>match</w:t>
      </w:r>
      <w:r w:rsidR="00FB1A2E">
        <w:t>es</w:t>
      </w:r>
      <w:r w:rsidR="00FB1A2E" w:rsidRPr="00B77D7D">
        <w:t xml:space="preserve"> </w:t>
      </w:r>
      <w:r w:rsidR="00FB1A2E">
        <w:t xml:space="preserve">data from employers </w:t>
      </w:r>
      <w:r w:rsidR="00FB1A2E" w:rsidRPr="00D56C35">
        <w:t xml:space="preserve">and </w:t>
      </w:r>
      <w:r w:rsidR="00FB1A2E">
        <w:t xml:space="preserve">superannuation funds </w:t>
      </w:r>
      <w:r w:rsidR="00FB1A2E" w:rsidRPr="00D56C35">
        <w:t>at scale</w:t>
      </w:r>
      <w:r w:rsidR="00FB1A2E">
        <w:t xml:space="preserve">. This database will </w:t>
      </w:r>
      <w:r w:rsidR="00FB1A2E" w:rsidRPr="00D56C35">
        <w:t>provide a single source showing the</w:t>
      </w:r>
      <w:r w:rsidR="00FB1A2E" w:rsidRPr="002B20BC">
        <w:t xml:space="preserve"> </w:t>
      </w:r>
      <w:r w:rsidR="00FB1A2E">
        <w:t>near-real time</w:t>
      </w:r>
      <w:r w:rsidR="00FB1A2E" w:rsidRPr="00D56C35">
        <w:t xml:space="preserve"> recorded SG position for employers and employees</w:t>
      </w:r>
      <w:r w:rsidR="00FB1A2E">
        <w:t xml:space="preserve">, </w:t>
      </w:r>
      <w:r w:rsidR="00FB1A2E" w:rsidRPr="00D56C35">
        <w:t>enabl</w:t>
      </w:r>
      <w:r w:rsidR="00FB1A2E">
        <w:t>ing</w:t>
      </w:r>
      <w:r w:rsidR="00FB1A2E" w:rsidRPr="00D56C35">
        <w:t xml:space="preserve"> the ATO to identify instances and patterns of </w:t>
      </w:r>
      <w:r w:rsidR="00FB1A2E">
        <w:t>late</w:t>
      </w:r>
      <w:r w:rsidR="00FB1A2E" w:rsidRPr="00D56C35">
        <w:t xml:space="preserve"> </w:t>
      </w:r>
      <w:r w:rsidR="00620379">
        <w:t xml:space="preserve">payment </w:t>
      </w:r>
      <w:r w:rsidR="00FB1A2E" w:rsidRPr="00D56C35">
        <w:t>or underpayment</w:t>
      </w:r>
      <w:r w:rsidR="00FB1A2E" w:rsidRPr="00B77D7D">
        <w:t>.</w:t>
      </w:r>
    </w:p>
    <w:p w14:paraId="3A09B927" w14:textId="61D512A3" w:rsidR="0015110E" w:rsidRDefault="0015110E" w:rsidP="009410B5">
      <w:pPr>
        <w:keepNext/>
        <w:shd w:val="clear" w:color="auto" w:fill="E8F0FC" w:themeFill="accent5" w:themeFillTint="33"/>
        <w:rPr>
          <w:b/>
          <w:bCs/>
        </w:rPr>
      </w:pPr>
      <w:r>
        <w:rPr>
          <w:b/>
          <w:bCs/>
        </w:rPr>
        <w:t>Consultation questions</w:t>
      </w:r>
    </w:p>
    <w:p w14:paraId="681B3ECB" w14:textId="4023591B" w:rsidR="0015110E" w:rsidRDefault="00F100B6" w:rsidP="0015110E">
      <w:pPr>
        <w:pStyle w:val="OutlineNumbered1"/>
        <w:shd w:val="clear" w:color="auto" w:fill="E8F0FC" w:themeFill="accent5" w:themeFillTint="33"/>
      </w:pPr>
      <w:r>
        <w:t xml:space="preserve">How </w:t>
      </w:r>
      <w:r w:rsidR="0055055D">
        <w:t>could</w:t>
      </w:r>
      <w:r>
        <w:t xml:space="preserve"> a smooth transition </w:t>
      </w:r>
      <w:r w:rsidR="0055055D">
        <w:t xml:space="preserve">be managed </w:t>
      </w:r>
      <w:r>
        <w:t xml:space="preserve">to </w:t>
      </w:r>
      <w:proofErr w:type="gramStart"/>
      <w:r>
        <w:t>aligning</w:t>
      </w:r>
      <w:proofErr w:type="gramEnd"/>
      <w:r>
        <w:t xml:space="preserve"> </w:t>
      </w:r>
      <w:r w:rsidR="004C33D2">
        <w:t xml:space="preserve">STP, </w:t>
      </w:r>
      <w:proofErr w:type="spellStart"/>
      <w:r w:rsidR="004C33D2">
        <w:t>SuperStream</w:t>
      </w:r>
      <w:proofErr w:type="spellEnd"/>
      <w:r w:rsidR="004B057F">
        <w:t>,</w:t>
      </w:r>
      <w:r w:rsidR="004C33D2">
        <w:t xml:space="preserve"> MA</w:t>
      </w:r>
      <w:r w:rsidR="00911A11">
        <w:t>A</w:t>
      </w:r>
      <w:r w:rsidR="004C33D2">
        <w:t>S and MATS reporting</w:t>
      </w:r>
      <w:r w:rsidR="00DD4D05">
        <w:t>, either through changing the reporting requirement</w:t>
      </w:r>
      <w:r w:rsidR="00AB2DCA">
        <w:t>s</w:t>
      </w:r>
      <w:r w:rsidR="00DD4D05">
        <w:t xml:space="preserve"> to year-to-date values or </w:t>
      </w:r>
      <w:r w:rsidR="004C33D2">
        <w:t>transaction-based</w:t>
      </w:r>
      <w:r w:rsidR="00DD4D05">
        <w:t xml:space="preserve"> reports</w:t>
      </w:r>
      <w:r w:rsidR="0015110E">
        <w:t>?</w:t>
      </w:r>
    </w:p>
    <w:p w14:paraId="7A273AA7" w14:textId="3E9EBAAB" w:rsidR="00E06A7C" w:rsidRDefault="00292089" w:rsidP="0015110E">
      <w:pPr>
        <w:pStyle w:val="OutlineNumbered1"/>
        <w:shd w:val="clear" w:color="auto" w:fill="E8F0FC" w:themeFill="accent5" w:themeFillTint="33"/>
      </w:pPr>
      <w:r>
        <w:t>How could a smooth transition be managed</w:t>
      </w:r>
      <w:r w:rsidR="00F6573D">
        <w:t xml:space="preserve"> if </w:t>
      </w:r>
      <w:r w:rsidR="00837733">
        <w:t>additional</w:t>
      </w:r>
      <w:r w:rsidR="00F6573D">
        <w:t xml:space="preserve"> fields in reporting are made mandatory</w:t>
      </w:r>
      <w:r w:rsidR="006A504B">
        <w:t>?</w:t>
      </w:r>
      <w:r w:rsidR="00F6573D">
        <w:t xml:space="preserve"> </w:t>
      </w:r>
    </w:p>
    <w:p w14:paraId="23AD2367" w14:textId="20A9B938" w:rsidR="005E688B" w:rsidRDefault="004C33D2" w:rsidP="0015110E">
      <w:pPr>
        <w:pStyle w:val="OutlineNumbered1"/>
        <w:shd w:val="clear" w:color="auto" w:fill="E8F0FC" w:themeFill="accent5" w:themeFillTint="33"/>
      </w:pPr>
      <w:r>
        <w:t xml:space="preserve">Should a new unique identifier be included as </w:t>
      </w:r>
      <w:r w:rsidR="004B057F">
        <w:t xml:space="preserve">a </w:t>
      </w:r>
      <w:r>
        <w:t xml:space="preserve">mandatory field in STP, </w:t>
      </w:r>
      <w:proofErr w:type="spellStart"/>
      <w:r>
        <w:t>SuperStream</w:t>
      </w:r>
      <w:proofErr w:type="spellEnd"/>
      <w:r>
        <w:t xml:space="preserve">, and MATS </w:t>
      </w:r>
      <w:r w:rsidR="0028270E">
        <w:t>which</w:t>
      </w:r>
      <w:r>
        <w:t xml:space="preserve"> link</w:t>
      </w:r>
      <w:r w:rsidR="0028270E">
        <w:t>s</w:t>
      </w:r>
      <w:r>
        <w:t xml:space="preserve"> employers, </w:t>
      </w:r>
      <w:r w:rsidR="00FD3740">
        <w:t>employees,</w:t>
      </w:r>
      <w:r>
        <w:t xml:space="preserve"> and transactions</w:t>
      </w:r>
      <w:r w:rsidR="0028270E">
        <w:t>?</w:t>
      </w:r>
    </w:p>
    <w:p w14:paraId="68F31BFF" w14:textId="12440A58" w:rsidR="004C33D2" w:rsidRDefault="00820638" w:rsidP="0015110E">
      <w:pPr>
        <w:pStyle w:val="OutlineNumbered1"/>
        <w:shd w:val="clear" w:color="auto" w:fill="E8F0FC" w:themeFill="accent5" w:themeFillTint="33"/>
      </w:pPr>
      <w:r>
        <w:t>Are there any issues or consequences with including an employer’s SG liability and OTE as a mandatory, rather than optional field in STP reporting?</w:t>
      </w:r>
    </w:p>
    <w:p w14:paraId="4BB1C64B" w14:textId="286AE87C" w:rsidR="00BC4227" w:rsidRDefault="009A058B" w:rsidP="00E25197">
      <w:pPr>
        <w:pStyle w:val="Heading4"/>
      </w:pPr>
      <w:r>
        <w:t xml:space="preserve">SG contributions for the 2026-27 financial year </w:t>
      </w:r>
    </w:p>
    <w:p w14:paraId="20E7C7A3" w14:textId="229B597F" w:rsidR="004D137B" w:rsidRDefault="005455FF" w:rsidP="005235B8">
      <w:pPr>
        <w:pStyle w:val="Bullet"/>
        <w:numPr>
          <w:ilvl w:val="0"/>
          <w:numId w:val="0"/>
        </w:numPr>
      </w:pPr>
      <w:r>
        <w:t xml:space="preserve">SG contributions are accounted </w:t>
      </w:r>
      <w:r w:rsidR="003905E1">
        <w:t>for</w:t>
      </w:r>
      <w:r w:rsidR="00EB1FFC">
        <w:t>, or considered to be ‘paid’,</w:t>
      </w:r>
      <w:r w:rsidR="003905E1">
        <w:t xml:space="preserve"> </w:t>
      </w:r>
      <w:r w:rsidR="00C07423">
        <w:t xml:space="preserve">in the </w:t>
      </w:r>
      <w:r w:rsidR="00A76E15">
        <w:t xml:space="preserve">financial </w:t>
      </w:r>
      <w:r w:rsidR="00C07423">
        <w:t xml:space="preserve">year they are allocated by the </w:t>
      </w:r>
      <w:r w:rsidR="004E72E2">
        <w:t xml:space="preserve">fund to </w:t>
      </w:r>
      <w:r w:rsidR="00C07423">
        <w:t>the memb</w:t>
      </w:r>
      <w:r w:rsidR="004E72E2">
        <w:t xml:space="preserve">er’s account. </w:t>
      </w:r>
      <w:r w:rsidR="001E74D3">
        <w:t>Under the current quarterly payment model</w:t>
      </w:r>
      <w:r w:rsidR="005E69F5">
        <w:t xml:space="preserve">, </w:t>
      </w:r>
      <w:r w:rsidR="0057683D">
        <w:t xml:space="preserve">this means that </w:t>
      </w:r>
      <w:r w:rsidR="001E74D3">
        <w:t xml:space="preserve">contributions </w:t>
      </w:r>
      <w:r w:rsidR="0057683D">
        <w:t xml:space="preserve">relating to </w:t>
      </w:r>
      <w:r w:rsidR="0032786C">
        <w:t xml:space="preserve">quarter four of the </w:t>
      </w:r>
      <w:r w:rsidR="0057683D">
        <w:t>previous</w:t>
      </w:r>
      <w:r w:rsidR="0032786C">
        <w:t xml:space="preserve"> financial year </w:t>
      </w:r>
      <w:r w:rsidR="00A76E15">
        <w:t xml:space="preserve">(1 April – 30 June) </w:t>
      </w:r>
      <w:r w:rsidR="0032786C">
        <w:t xml:space="preserve">are </w:t>
      </w:r>
      <w:r w:rsidR="00735DE1">
        <w:t xml:space="preserve">often </w:t>
      </w:r>
      <w:r w:rsidR="00557A2B">
        <w:t>accounted for</w:t>
      </w:r>
      <w:r w:rsidR="00946C08">
        <w:t xml:space="preserve"> in the following financial year</w:t>
      </w:r>
      <w:r w:rsidR="00735DE1">
        <w:t>, as the due date</w:t>
      </w:r>
      <w:r w:rsidR="000829EE">
        <w:t xml:space="preserve"> for </w:t>
      </w:r>
      <w:r w:rsidR="00735DE1">
        <w:t xml:space="preserve">the </w:t>
      </w:r>
      <w:r w:rsidR="00AA2718">
        <w:t xml:space="preserve">contributions </w:t>
      </w:r>
      <w:r w:rsidR="00A76E15">
        <w:t xml:space="preserve">is </w:t>
      </w:r>
      <w:r w:rsidR="00735DE1">
        <w:t>not until 28 July</w:t>
      </w:r>
      <w:r w:rsidR="00946C08">
        <w:t xml:space="preserve">. </w:t>
      </w:r>
      <w:r w:rsidR="0077536F">
        <w:t xml:space="preserve">This </w:t>
      </w:r>
      <w:r w:rsidR="004168E4">
        <w:t xml:space="preserve">means that an employee’s quarter four contributions </w:t>
      </w:r>
      <w:r w:rsidR="00111F54">
        <w:t>often count towards their</w:t>
      </w:r>
      <w:r w:rsidR="004F0CBC">
        <w:t xml:space="preserve"> concessional</w:t>
      </w:r>
      <w:r w:rsidR="00111F54">
        <w:t xml:space="preserve"> contribution cap space in the following </w:t>
      </w:r>
      <w:r w:rsidR="00FE714A">
        <w:t>financial</w:t>
      </w:r>
      <w:r w:rsidR="00111F54">
        <w:t xml:space="preserve"> year. </w:t>
      </w:r>
    </w:p>
    <w:p w14:paraId="72668B46" w14:textId="77777777" w:rsidR="00DC5DB2" w:rsidRDefault="00DC5DB2">
      <w:pPr>
        <w:spacing w:before="0" w:after="160" w:line="259" w:lineRule="auto"/>
        <w:rPr>
          <w:rFonts w:ascii="Calibri" w:hAnsi="Calibri" w:cs="Arial"/>
          <w:color w:val="4D7861" w:themeColor="accent2"/>
          <w:kern w:val="32"/>
          <w:sz w:val="26"/>
          <w:szCs w:val="26"/>
        </w:rPr>
      </w:pPr>
      <w:r>
        <w:br w:type="page"/>
      </w:r>
    </w:p>
    <w:p w14:paraId="21E94D80" w14:textId="424D3610" w:rsidR="009F210C" w:rsidRDefault="009F210C" w:rsidP="009F210C">
      <w:pPr>
        <w:pStyle w:val="ChartMainHeading"/>
      </w:pPr>
      <w:bookmarkStart w:id="36" w:name="_Toc147500259"/>
      <w:r>
        <w:t xml:space="preserve">Table </w:t>
      </w:r>
      <w:r w:rsidR="00B01EDF">
        <w:t>1</w:t>
      </w:r>
      <w:r>
        <w:t xml:space="preserve">: </w:t>
      </w:r>
      <w:r w:rsidR="00515B56">
        <w:t>Current q</w:t>
      </w:r>
      <w:r>
        <w:t>uarterly super payment due dates</w:t>
      </w:r>
      <w:bookmarkEnd w:id="36"/>
    </w:p>
    <w:tbl>
      <w:tblPr>
        <w:tblStyle w:val="GridTable1Light"/>
        <w:tblW w:w="9060" w:type="dxa"/>
        <w:tblLook w:val="04A0" w:firstRow="1" w:lastRow="0" w:firstColumn="1" w:lastColumn="0" w:noHBand="0" w:noVBand="1"/>
      </w:tblPr>
      <w:tblGrid>
        <w:gridCol w:w="915"/>
        <w:gridCol w:w="2760"/>
        <w:gridCol w:w="2416"/>
        <w:gridCol w:w="2969"/>
      </w:tblGrid>
      <w:tr w:rsidR="009F210C" w:rsidRPr="004842A0" w14:paraId="75C719DB" w14:textId="48C17AAB" w:rsidTr="005235B8">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shd w:val="clear" w:color="auto" w:fill="EEEEEE" w:themeFill="background2"/>
            <w:hideMark/>
          </w:tcPr>
          <w:p w14:paraId="0E4EF55B" w14:textId="77777777" w:rsidR="009F210C" w:rsidRPr="00C252D3" w:rsidRDefault="009F210C">
            <w:pPr>
              <w:pStyle w:val="Bullet"/>
              <w:numPr>
                <w:ilvl w:val="0"/>
                <w:numId w:val="0"/>
              </w:numPr>
              <w:rPr>
                <w:b w:val="0"/>
                <w:bCs w:val="0"/>
              </w:rPr>
            </w:pPr>
            <w:r w:rsidRPr="00C252D3">
              <w:rPr>
                <w:b w:val="0"/>
                <w:bCs w:val="0"/>
              </w:rPr>
              <w:t>Quarter</w:t>
            </w:r>
          </w:p>
        </w:tc>
        <w:tc>
          <w:tcPr>
            <w:tcW w:w="2760" w:type="dxa"/>
            <w:shd w:val="clear" w:color="auto" w:fill="EEEEEE" w:themeFill="background2"/>
            <w:hideMark/>
          </w:tcPr>
          <w:p w14:paraId="06274CF9" w14:textId="77777777" w:rsidR="009F210C" w:rsidRPr="00C252D3" w:rsidRDefault="009F210C">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bCs w:val="0"/>
              </w:rPr>
            </w:pPr>
            <w:r w:rsidRPr="00C252D3">
              <w:rPr>
                <w:b w:val="0"/>
                <w:bCs w:val="0"/>
              </w:rPr>
              <w:t>Period</w:t>
            </w:r>
          </w:p>
        </w:tc>
        <w:tc>
          <w:tcPr>
            <w:tcW w:w="2416" w:type="dxa"/>
            <w:shd w:val="clear" w:color="auto" w:fill="EEEEEE" w:themeFill="background2"/>
            <w:hideMark/>
          </w:tcPr>
          <w:p w14:paraId="2CC0A6AE" w14:textId="77777777" w:rsidR="009F210C" w:rsidRPr="00C252D3" w:rsidRDefault="009F210C">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bCs w:val="0"/>
              </w:rPr>
            </w:pPr>
            <w:r w:rsidRPr="00C252D3">
              <w:rPr>
                <w:b w:val="0"/>
                <w:bCs w:val="0"/>
              </w:rPr>
              <w:t>Payment due date</w:t>
            </w:r>
          </w:p>
        </w:tc>
        <w:tc>
          <w:tcPr>
            <w:tcW w:w="2969" w:type="dxa"/>
            <w:shd w:val="clear" w:color="auto" w:fill="EEEEEE" w:themeFill="background2"/>
          </w:tcPr>
          <w:p w14:paraId="418BBF26" w14:textId="6A7138D7" w:rsidR="009F210C" w:rsidRPr="00C252D3" w:rsidRDefault="009058BD">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bCs w:val="0"/>
              </w:rPr>
            </w:pPr>
            <w:r>
              <w:rPr>
                <w:b w:val="0"/>
                <w:bCs w:val="0"/>
              </w:rPr>
              <w:t>Year payment due in and accounted for</w:t>
            </w:r>
          </w:p>
        </w:tc>
      </w:tr>
      <w:tr w:rsidR="009F210C" w:rsidRPr="004842A0" w14:paraId="06D2589C" w14:textId="4508D4BB" w:rsidTr="005235B8">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7237CCAF" w14:textId="77777777" w:rsidR="009F210C" w:rsidRPr="00C252D3" w:rsidRDefault="009F210C">
            <w:pPr>
              <w:pStyle w:val="Bullet"/>
              <w:numPr>
                <w:ilvl w:val="0"/>
                <w:numId w:val="0"/>
              </w:numPr>
              <w:rPr>
                <w:b w:val="0"/>
                <w:bCs w:val="0"/>
              </w:rPr>
            </w:pPr>
            <w:r w:rsidRPr="00C252D3">
              <w:rPr>
                <w:b w:val="0"/>
                <w:bCs w:val="0"/>
              </w:rPr>
              <w:t>1</w:t>
            </w:r>
          </w:p>
        </w:tc>
        <w:tc>
          <w:tcPr>
            <w:tcW w:w="2760" w:type="dxa"/>
            <w:hideMark/>
          </w:tcPr>
          <w:p w14:paraId="61B44597" w14:textId="77777777" w:rsidR="009F210C" w:rsidRPr="00C252D3" w:rsidRDefault="009F210C">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1 July – 30 September</w:t>
            </w:r>
          </w:p>
        </w:tc>
        <w:tc>
          <w:tcPr>
            <w:tcW w:w="2416" w:type="dxa"/>
            <w:hideMark/>
          </w:tcPr>
          <w:p w14:paraId="5BDEA0F9" w14:textId="1ED36636" w:rsidR="009F210C" w:rsidRPr="00C252D3" w:rsidRDefault="009F210C">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28 October</w:t>
            </w:r>
            <w:r w:rsidR="002200FB">
              <w:t xml:space="preserve"> </w:t>
            </w:r>
          </w:p>
        </w:tc>
        <w:tc>
          <w:tcPr>
            <w:tcW w:w="2969" w:type="dxa"/>
          </w:tcPr>
          <w:p w14:paraId="7ED5F06F" w14:textId="7C7AAD40" w:rsidR="009F210C" w:rsidRPr="00C252D3" w:rsidRDefault="00A45ADC">
            <w:pPr>
              <w:pStyle w:val="Bullet"/>
              <w:numPr>
                <w:ilvl w:val="0"/>
                <w:numId w:val="0"/>
              </w:numPr>
              <w:cnfStyle w:val="000000000000" w:firstRow="0" w:lastRow="0" w:firstColumn="0" w:lastColumn="0" w:oddVBand="0" w:evenVBand="0" w:oddHBand="0" w:evenHBand="0" w:firstRowFirstColumn="0" w:firstRowLastColumn="0" w:lastRowFirstColumn="0" w:lastRowLastColumn="0"/>
            </w:pPr>
            <w:r>
              <w:t>Year SG contribution is made in relation to</w:t>
            </w:r>
          </w:p>
        </w:tc>
      </w:tr>
      <w:tr w:rsidR="009F210C" w:rsidRPr="004842A0" w14:paraId="4F683A39" w14:textId="1BE330AF" w:rsidTr="005235B8">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4E9E1E94" w14:textId="77777777" w:rsidR="009F210C" w:rsidRPr="00C252D3" w:rsidRDefault="009F210C">
            <w:pPr>
              <w:pStyle w:val="Bullet"/>
              <w:numPr>
                <w:ilvl w:val="0"/>
                <w:numId w:val="0"/>
              </w:numPr>
              <w:rPr>
                <w:b w:val="0"/>
                <w:bCs w:val="0"/>
              </w:rPr>
            </w:pPr>
            <w:r w:rsidRPr="00C252D3">
              <w:rPr>
                <w:b w:val="0"/>
                <w:bCs w:val="0"/>
              </w:rPr>
              <w:t>2</w:t>
            </w:r>
          </w:p>
        </w:tc>
        <w:tc>
          <w:tcPr>
            <w:tcW w:w="2760" w:type="dxa"/>
            <w:hideMark/>
          </w:tcPr>
          <w:p w14:paraId="2307FFAA" w14:textId="77777777" w:rsidR="009F210C" w:rsidRPr="00C252D3" w:rsidRDefault="009F210C">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1 October – 31 December</w:t>
            </w:r>
          </w:p>
        </w:tc>
        <w:tc>
          <w:tcPr>
            <w:tcW w:w="2416" w:type="dxa"/>
            <w:hideMark/>
          </w:tcPr>
          <w:p w14:paraId="04E7E5D1" w14:textId="77777777" w:rsidR="009F210C" w:rsidRPr="00C252D3" w:rsidRDefault="009F210C">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28 January</w:t>
            </w:r>
          </w:p>
        </w:tc>
        <w:tc>
          <w:tcPr>
            <w:tcW w:w="2969" w:type="dxa"/>
          </w:tcPr>
          <w:p w14:paraId="75CF648A" w14:textId="6D526BCC" w:rsidR="009F210C" w:rsidRPr="00C252D3" w:rsidRDefault="00A45ADC">
            <w:pPr>
              <w:pStyle w:val="Bullet"/>
              <w:numPr>
                <w:ilvl w:val="0"/>
                <w:numId w:val="0"/>
              </w:numPr>
              <w:cnfStyle w:val="000000000000" w:firstRow="0" w:lastRow="0" w:firstColumn="0" w:lastColumn="0" w:oddVBand="0" w:evenVBand="0" w:oddHBand="0" w:evenHBand="0" w:firstRowFirstColumn="0" w:firstRowLastColumn="0" w:lastRowFirstColumn="0" w:lastRowLastColumn="0"/>
            </w:pPr>
            <w:r>
              <w:t>Year SG contribution is made in relation to</w:t>
            </w:r>
          </w:p>
        </w:tc>
      </w:tr>
      <w:tr w:rsidR="009F210C" w:rsidRPr="004842A0" w14:paraId="5CB7119B" w14:textId="3B7848DF" w:rsidTr="005235B8">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6C8E787E" w14:textId="77777777" w:rsidR="009F210C" w:rsidRPr="00C252D3" w:rsidRDefault="009F210C">
            <w:pPr>
              <w:pStyle w:val="Bullet"/>
              <w:numPr>
                <w:ilvl w:val="0"/>
                <w:numId w:val="0"/>
              </w:numPr>
              <w:rPr>
                <w:b w:val="0"/>
                <w:bCs w:val="0"/>
              </w:rPr>
            </w:pPr>
            <w:r w:rsidRPr="00C252D3">
              <w:rPr>
                <w:b w:val="0"/>
                <w:bCs w:val="0"/>
              </w:rPr>
              <w:t>3</w:t>
            </w:r>
          </w:p>
        </w:tc>
        <w:tc>
          <w:tcPr>
            <w:tcW w:w="2760" w:type="dxa"/>
            <w:hideMark/>
          </w:tcPr>
          <w:p w14:paraId="30B1672C" w14:textId="77777777" w:rsidR="009F210C" w:rsidRPr="00C252D3" w:rsidRDefault="009F210C">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1 January – 31 March</w:t>
            </w:r>
          </w:p>
        </w:tc>
        <w:tc>
          <w:tcPr>
            <w:tcW w:w="2416" w:type="dxa"/>
            <w:hideMark/>
          </w:tcPr>
          <w:p w14:paraId="20CFBDF5" w14:textId="77777777" w:rsidR="009F210C" w:rsidRPr="00C252D3" w:rsidRDefault="009F210C">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28 April</w:t>
            </w:r>
          </w:p>
        </w:tc>
        <w:tc>
          <w:tcPr>
            <w:tcW w:w="2969" w:type="dxa"/>
          </w:tcPr>
          <w:p w14:paraId="109075FF" w14:textId="4F0E43DF" w:rsidR="009F210C" w:rsidRPr="00C252D3" w:rsidRDefault="00A45ADC">
            <w:pPr>
              <w:pStyle w:val="Bullet"/>
              <w:numPr>
                <w:ilvl w:val="0"/>
                <w:numId w:val="0"/>
              </w:numPr>
              <w:cnfStyle w:val="000000000000" w:firstRow="0" w:lastRow="0" w:firstColumn="0" w:lastColumn="0" w:oddVBand="0" w:evenVBand="0" w:oddHBand="0" w:evenHBand="0" w:firstRowFirstColumn="0" w:firstRowLastColumn="0" w:lastRowFirstColumn="0" w:lastRowLastColumn="0"/>
            </w:pPr>
            <w:r>
              <w:t>Year SG contribution is made in relation to</w:t>
            </w:r>
          </w:p>
        </w:tc>
      </w:tr>
      <w:tr w:rsidR="009F210C" w:rsidRPr="004842A0" w14:paraId="09CCAAF8" w14:textId="0015E49A" w:rsidTr="005235B8">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762B4A96" w14:textId="77777777" w:rsidR="009F210C" w:rsidRPr="00C252D3" w:rsidRDefault="009F210C">
            <w:pPr>
              <w:pStyle w:val="Bullet"/>
              <w:numPr>
                <w:ilvl w:val="0"/>
                <w:numId w:val="0"/>
              </w:numPr>
              <w:rPr>
                <w:b w:val="0"/>
                <w:bCs w:val="0"/>
              </w:rPr>
            </w:pPr>
            <w:r w:rsidRPr="00C252D3">
              <w:rPr>
                <w:b w:val="0"/>
                <w:bCs w:val="0"/>
              </w:rPr>
              <w:t>4</w:t>
            </w:r>
          </w:p>
        </w:tc>
        <w:tc>
          <w:tcPr>
            <w:tcW w:w="2760" w:type="dxa"/>
            <w:hideMark/>
          </w:tcPr>
          <w:p w14:paraId="75D9502E" w14:textId="77777777" w:rsidR="009F210C" w:rsidRPr="00C252D3" w:rsidRDefault="009F210C">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1 April – 30 June</w:t>
            </w:r>
          </w:p>
        </w:tc>
        <w:tc>
          <w:tcPr>
            <w:tcW w:w="2416" w:type="dxa"/>
            <w:hideMark/>
          </w:tcPr>
          <w:p w14:paraId="2CE5DFEF" w14:textId="77777777" w:rsidR="009F210C" w:rsidRPr="00C252D3" w:rsidRDefault="009F210C">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28 July</w:t>
            </w:r>
          </w:p>
        </w:tc>
        <w:tc>
          <w:tcPr>
            <w:tcW w:w="2969" w:type="dxa"/>
          </w:tcPr>
          <w:p w14:paraId="62EF85D7" w14:textId="624E4D03" w:rsidR="009F210C" w:rsidRPr="00C252D3" w:rsidRDefault="00A45ADC">
            <w:pPr>
              <w:pStyle w:val="Bullet"/>
              <w:numPr>
                <w:ilvl w:val="0"/>
                <w:numId w:val="0"/>
              </w:numPr>
              <w:cnfStyle w:val="000000000000" w:firstRow="0" w:lastRow="0" w:firstColumn="0" w:lastColumn="0" w:oddVBand="0" w:evenVBand="0" w:oddHBand="0" w:evenHBand="0" w:firstRowFirstColumn="0" w:firstRowLastColumn="0" w:lastRowFirstColumn="0" w:lastRowLastColumn="0"/>
            </w:pPr>
            <w:r>
              <w:t xml:space="preserve">Year </w:t>
            </w:r>
            <w:r w:rsidRPr="005235B8">
              <w:rPr>
                <w:b/>
              </w:rPr>
              <w:t>after</w:t>
            </w:r>
            <w:r>
              <w:t xml:space="preserve"> SG contribution is made in relation to (because </w:t>
            </w:r>
            <w:r w:rsidR="009058BD">
              <w:t>due</w:t>
            </w:r>
            <w:r>
              <w:t xml:space="preserve"> after </w:t>
            </w:r>
            <w:r w:rsidR="00230B8D">
              <w:t xml:space="preserve">30 June) </w:t>
            </w:r>
          </w:p>
        </w:tc>
      </w:tr>
    </w:tbl>
    <w:p w14:paraId="5C38D736" w14:textId="6A6C055D" w:rsidR="00F45A84" w:rsidRPr="00F45A84" w:rsidRDefault="00495AAE" w:rsidP="00303C3C">
      <w:pPr>
        <w:pStyle w:val="Bullet"/>
        <w:numPr>
          <w:ilvl w:val="0"/>
          <w:numId w:val="0"/>
        </w:numPr>
      </w:pPr>
      <w:r>
        <w:t>T</w:t>
      </w:r>
      <w:r w:rsidR="007B3B47">
        <w:t xml:space="preserve">ransitional </w:t>
      </w:r>
      <w:r w:rsidR="00C741CE">
        <w:t>treatment may be needed for</w:t>
      </w:r>
      <w:r>
        <w:t xml:space="preserve"> contributions</w:t>
      </w:r>
      <w:r w:rsidR="009C38F6">
        <w:t xml:space="preserve"> in the first financial year </w:t>
      </w:r>
      <w:r w:rsidR="00E35902">
        <w:t>(2026-27)</w:t>
      </w:r>
      <w:r w:rsidR="009C38F6">
        <w:t xml:space="preserve"> the policy comes into effect</w:t>
      </w:r>
      <w:r w:rsidR="00E35902">
        <w:t xml:space="preserve">, </w:t>
      </w:r>
      <w:r w:rsidR="00A9257C">
        <w:t>for the purposes of the concessional contributions cap</w:t>
      </w:r>
      <w:r w:rsidR="009C38F6">
        <w:t>.</w:t>
      </w:r>
      <w:r w:rsidR="00A9257C">
        <w:t xml:space="preserve"> This is because contributions that otherwise </w:t>
      </w:r>
      <w:r w:rsidR="00915E79">
        <w:t>would have been accounted for in the 202</w:t>
      </w:r>
      <w:r w:rsidR="000D13B7">
        <w:t>7</w:t>
      </w:r>
      <w:r w:rsidR="00915E79">
        <w:t>-2</w:t>
      </w:r>
      <w:r w:rsidR="000D13B7">
        <w:t>8</w:t>
      </w:r>
      <w:r w:rsidR="00915E79">
        <w:t xml:space="preserve"> </w:t>
      </w:r>
      <w:r w:rsidR="00581986">
        <w:t xml:space="preserve">year will be </w:t>
      </w:r>
      <w:r w:rsidR="000D13B7">
        <w:t>brought forward</w:t>
      </w:r>
      <w:r w:rsidR="00AE78E0">
        <w:t xml:space="preserve"> </w:t>
      </w:r>
      <w:r w:rsidR="000D13B7">
        <w:t>into</w:t>
      </w:r>
      <w:r w:rsidR="00AE78E0">
        <w:t xml:space="preserve"> the 2026-27 year </w:t>
      </w:r>
      <w:r w:rsidR="0038529A">
        <w:t xml:space="preserve">in a </w:t>
      </w:r>
      <w:r w:rsidR="00253842">
        <w:t>payday super model</w:t>
      </w:r>
      <w:r w:rsidR="00F7249D">
        <w:t>, alongside contributions</w:t>
      </w:r>
      <w:r w:rsidR="00591CFE">
        <w:t xml:space="preserve"> which would already have been made in</w:t>
      </w:r>
      <w:r w:rsidR="00F7249D">
        <w:t xml:space="preserve"> 2026-27</w:t>
      </w:r>
      <w:r w:rsidR="0038529A">
        <w:t>. This</w:t>
      </w:r>
      <w:r w:rsidR="00EE255B">
        <w:t xml:space="preserve"> may cause some </w:t>
      </w:r>
      <w:r w:rsidR="004F0CBC">
        <w:t xml:space="preserve">employees </w:t>
      </w:r>
      <w:r w:rsidR="00EE255B">
        <w:t>to exceed the concessional contributions cap</w:t>
      </w:r>
      <w:r w:rsidR="00303C3C">
        <w:t xml:space="preserve"> (which is currently $27,500)</w:t>
      </w:r>
      <w:r w:rsidR="00B93B2F">
        <w:t xml:space="preserve"> or</w:t>
      </w:r>
      <w:r w:rsidR="00771EC1">
        <w:t xml:space="preserve"> the</w:t>
      </w:r>
      <w:r w:rsidR="00B93B2F">
        <w:t xml:space="preserve"> </w:t>
      </w:r>
      <w:r w:rsidR="005E4439">
        <w:t xml:space="preserve">Division 293 </w:t>
      </w:r>
      <w:r w:rsidR="00771EC1">
        <w:t xml:space="preserve">threshold </w:t>
      </w:r>
      <w:r w:rsidR="005E4439">
        <w:t>($250,000)</w:t>
      </w:r>
      <w:r w:rsidR="00EE255B">
        <w:t xml:space="preserve"> </w:t>
      </w:r>
      <w:r w:rsidR="00771EC1">
        <w:t>in 2026-27.</w:t>
      </w:r>
    </w:p>
    <w:p w14:paraId="6E555E60" w14:textId="5586F649" w:rsidR="003707C5" w:rsidRPr="00F45A84" w:rsidRDefault="003707C5" w:rsidP="005235B8">
      <w:pPr>
        <w:pStyle w:val="ChartMainHeading"/>
      </w:pPr>
      <w:bookmarkStart w:id="37" w:name="_Toc147500260"/>
      <w:r>
        <w:t xml:space="preserve">Table </w:t>
      </w:r>
      <w:r w:rsidR="005E3D2F">
        <w:t>2</w:t>
      </w:r>
      <w:r>
        <w:t>: C</w:t>
      </w:r>
      <w:r w:rsidR="00C84212">
        <w:t>omparison of c</w:t>
      </w:r>
      <w:r>
        <w:t>urrent</w:t>
      </w:r>
      <w:r w:rsidR="00C84212">
        <w:t xml:space="preserve"> and proposed</w:t>
      </w:r>
      <w:r>
        <w:t xml:space="preserve"> quarterly super payment due dates</w:t>
      </w:r>
      <w:r w:rsidR="002163FC">
        <w:t>*</w:t>
      </w:r>
      <w:bookmarkEnd w:id="37"/>
    </w:p>
    <w:tbl>
      <w:tblPr>
        <w:tblStyle w:val="TableGrid"/>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2267"/>
        <w:gridCol w:w="2267"/>
        <w:gridCol w:w="2267"/>
      </w:tblGrid>
      <w:tr w:rsidR="000B2452" w14:paraId="42042BCF" w14:textId="77777777" w:rsidTr="00BE5FF2">
        <w:trPr>
          <w:cnfStyle w:val="100000000000" w:firstRow="1" w:lastRow="0" w:firstColumn="0" w:lastColumn="0" w:oddVBand="0" w:evenVBand="0" w:oddHBand="0" w:evenHBand="0" w:firstRowFirstColumn="0" w:firstRowLastColumn="0" w:lastRowFirstColumn="0" w:lastRowLastColumn="0"/>
        </w:trPr>
        <w:tc>
          <w:tcPr>
            <w:tcW w:w="2266" w:type="dxa"/>
          </w:tcPr>
          <w:p w14:paraId="6E84B439" w14:textId="2C151DED" w:rsidR="002810A5" w:rsidRDefault="00C84212" w:rsidP="009A058B">
            <w:pPr>
              <w:spacing w:before="96" w:after="96"/>
            </w:pPr>
            <w:r>
              <w:t>Year</w:t>
            </w:r>
            <w:r w:rsidR="00072E05">
              <w:t xml:space="preserve"> SG due in</w:t>
            </w:r>
          </w:p>
        </w:tc>
        <w:tc>
          <w:tcPr>
            <w:tcW w:w="2267" w:type="dxa"/>
          </w:tcPr>
          <w:p w14:paraId="7402E2FE" w14:textId="44420AA5" w:rsidR="002810A5" w:rsidRDefault="0086016A" w:rsidP="009A058B">
            <w:pPr>
              <w:spacing w:before="96" w:after="96"/>
            </w:pPr>
            <w:r>
              <w:t>2025-26</w:t>
            </w:r>
          </w:p>
        </w:tc>
        <w:tc>
          <w:tcPr>
            <w:tcW w:w="2267" w:type="dxa"/>
          </w:tcPr>
          <w:p w14:paraId="2DCB26E1" w14:textId="416CBFAA" w:rsidR="002810A5" w:rsidRDefault="0086016A" w:rsidP="009A058B">
            <w:pPr>
              <w:spacing w:before="96" w:after="96"/>
            </w:pPr>
            <w:r>
              <w:t>2026-27</w:t>
            </w:r>
          </w:p>
        </w:tc>
        <w:tc>
          <w:tcPr>
            <w:tcW w:w="2267" w:type="dxa"/>
          </w:tcPr>
          <w:p w14:paraId="659F6246" w14:textId="7FA3D493" w:rsidR="002810A5" w:rsidRDefault="0086016A" w:rsidP="009A058B">
            <w:pPr>
              <w:spacing w:before="96" w:after="96"/>
            </w:pPr>
            <w:r>
              <w:t>2027-28</w:t>
            </w:r>
          </w:p>
        </w:tc>
      </w:tr>
      <w:tr w:rsidR="002810A5" w14:paraId="4F91E44C" w14:textId="77777777" w:rsidTr="00BE5FF2">
        <w:tc>
          <w:tcPr>
            <w:tcW w:w="2266" w:type="dxa"/>
            <w:shd w:val="clear" w:color="auto" w:fill="EEEEEE" w:themeFill="background2"/>
          </w:tcPr>
          <w:p w14:paraId="3F27BE71" w14:textId="32F5AE6A" w:rsidR="003707C5" w:rsidRDefault="00072E05" w:rsidP="009A058B">
            <w:r>
              <w:t>Under e</w:t>
            </w:r>
            <w:r w:rsidR="00C84212">
              <w:t>xisting</w:t>
            </w:r>
            <w:r w:rsidR="00A50C81">
              <w:t xml:space="preserve"> policy settings </w:t>
            </w:r>
          </w:p>
          <w:p w14:paraId="351189A8" w14:textId="1608B5F9" w:rsidR="002810A5" w:rsidRDefault="003707C5" w:rsidP="009A058B">
            <w:r>
              <w:t>(</w:t>
            </w:r>
            <w:r w:rsidR="00A50C81">
              <w:t>SG due quarterly</w:t>
            </w:r>
            <w:r>
              <w:t>)</w:t>
            </w:r>
          </w:p>
        </w:tc>
        <w:tc>
          <w:tcPr>
            <w:tcW w:w="2267" w:type="dxa"/>
          </w:tcPr>
          <w:p w14:paraId="1168F1C1" w14:textId="71637AA2" w:rsidR="00243C1C" w:rsidRDefault="00A65608" w:rsidP="009A058B">
            <w:r>
              <w:t>Q</w:t>
            </w:r>
            <w:r w:rsidR="00F166CC">
              <w:t>4</w:t>
            </w:r>
            <w:r w:rsidR="00243C1C">
              <w:t xml:space="preserve"> (</w:t>
            </w:r>
            <w:r w:rsidR="00A83A56">
              <w:t xml:space="preserve">SG liability accrued in </w:t>
            </w:r>
            <w:r w:rsidR="00243C1C">
              <w:t>20</w:t>
            </w:r>
            <w:r w:rsidR="00F67A34">
              <w:t>24-25</w:t>
            </w:r>
            <w:r w:rsidR="00B47973">
              <w:t>)</w:t>
            </w:r>
          </w:p>
          <w:p w14:paraId="1A03AFD6" w14:textId="0A00D0EA" w:rsidR="0051208A" w:rsidRDefault="0051208A" w:rsidP="0051208A">
            <w:r>
              <w:t>Q1 (SG liability accrued in 2025-26)</w:t>
            </w:r>
          </w:p>
          <w:p w14:paraId="40C7960A" w14:textId="33524B41" w:rsidR="0051208A" w:rsidRDefault="0051208A" w:rsidP="0051208A">
            <w:r>
              <w:t>Q2 (SG liability accrued in 2025-26)</w:t>
            </w:r>
          </w:p>
          <w:p w14:paraId="7CDABA42" w14:textId="13813E1D" w:rsidR="002810A5" w:rsidRDefault="0051208A" w:rsidP="009A058B">
            <w:r>
              <w:t>Q3 (SG liability accrued in 2025-26)</w:t>
            </w:r>
          </w:p>
        </w:tc>
        <w:tc>
          <w:tcPr>
            <w:tcW w:w="2267" w:type="dxa"/>
          </w:tcPr>
          <w:p w14:paraId="13BC3872" w14:textId="1363E500" w:rsidR="0051208A" w:rsidRDefault="0051208A" w:rsidP="0051208A">
            <w:r>
              <w:t>Q4 (SG liability accrued in 2025-26)</w:t>
            </w:r>
          </w:p>
          <w:p w14:paraId="36CE339F" w14:textId="746A8CF1" w:rsidR="0051208A" w:rsidRDefault="0051208A" w:rsidP="0051208A">
            <w:r>
              <w:t>Q1 (SG liability accrued in 2026-27)</w:t>
            </w:r>
          </w:p>
          <w:p w14:paraId="1F9F3C2C" w14:textId="66F00291" w:rsidR="0051208A" w:rsidRDefault="0051208A" w:rsidP="0051208A">
            <w:r>
              <w:t>Q2 (SG liability accrued in 2026-27)</w:t>
            </w:r>
          </w:p>
          <w:p w14:paraId="6E287A13" w14:textId="407E81FE" w:rsidR="002810A5" w:rsidRDefault="0051208A" w:rsidP="009A058B">
            <w:r>
              <w:t>Q3 (SG liability accrued in 2026-27)</w:t>
            </w:r>
          </w:p>
        </w:tc>
        <w:tc>
          <w:tcPr>
            <w:tcW w:w="2267" w:type="dxa"/>
          </w:tcPr>
          <w:p w14:paraId="17E7A594" w14:textId="6CD695E6" w:rsidR="00C84212" w:rsidRDefault="00C84212" w:rsidP="00C84212">
            <w:r>
              <w:t>Q4 (SG liability accrued in 2026-27)</w:t>
            </w:r>
          </w:p>
          <w:p w14:paraId="2CC7D1CB" w14:textId="68B991B5" w:rsidR="00C84212" w:rsidRDefault="00C84212" w:rsidP="00C84212">
            <w:r>
              <w:t>Q1 (SG liability accrued in 2027-28)</w:t>
            </w:r>
          </w:p>
          <w:p w14:paraId="08C826FA" w14:textId="728330F4" w:rsidR="00C84212" w:rsidRDefault="00C84212" w:rsidP="00C84212">
            <w:r>
              <w:t>Q2 (SG liability accrued in 2027-28)</w:t>
            </w:r>
          </w:p>
          <w:p w14:paraId="21E00DBC" w14:textId="7A251294" w:rsidR="002810A5" w:rsidRDefault="00C84212" w:rsidP="009A058B">
            <w:r>
              <w:t>Q3 (SG liability accrued in 2027-28)</w:t>
            </w:r>
          </w:p>
        </w:tc>
      </w:tr>
      <w:tr w:rsidR="00A50C81" w14:paraId="7AAE4DCD" w14:textId="77777777" w:rsidTr="00BE5FF2">
        <w:tc>
          <w:tcPr>
            <w:tcW w:w="2266" w:type="dxa"/>
            <w:shd w:val="clear" w:color="auto" w:fill="EEEEEE" w:themeFill="background2"/>
          </w:tcPr>
          <w:p w14:paraId="7D10B2B4" w14:textId="6739DF01" w:rsidR="003707C5" w:rsidRDefault="00072E05" w:rsidP="009A058B">
            <w:r>
              <w:t>Under p</w:t>
            </w:r>
            <w:r w:rsidR="00C84212">
              <w:t>roposed</w:t>
            </w:r>
            <w:r w:rsidR="00924B3F">
              <w:t xml:space="preserve"> policy settings </w:t>
            </w:r>
          </w:p>
          <w:p w14:paraId="252C4663" w14:textId="7CE2D2D4" w:rsidR="00A50C81" w:rsidRDefault="003707C5" w:rsidP="009A058B">
            <w:r>
              <w:t>(</w:t>
            </w:r>
            <w:r w:rsidR="00924B3F">
              <w:t xml:space="preserve">SG </w:t>
            </w:r>
            <w:r>
              <w:t xml:space="preserve">due </w:t>
            </w:r>
            <w:proofErr w:type="gramStart"/>
            <w:r>
              <w:t>in close proximity to</w:t>
            </w:r>
            <w:proofErr w:type="gramEnd"/>
            <w:r>
              <w:t xml:space="preserve"> </w:t>
            </w:r>
            <w:r w:rsidR="00924B3F">
              <w:t>payday</w:t>
            </w:r>
            <w:r>
              <w:t>)</w:t>
            </w:r>
            <w:r w:rsidR="00924B3F">
              <w:t xml:space="preserve"> </w:t>
            </w:r>
          </w:p>
        </w:tc>
        <w:tc>
          <w:tcPr>
            <w:tcW w:w="2267" w:type="dxa"/>
          </w:tcPr>
          <w:p w14:paraId="2E951C02" w14:textId="21290032" w:rsidR="00A50C81" w:rsidRDefault="0051208A" w:rsidP="009A058B">
            <w:r>
              <w:t xml:space="preserve">As above </w:t>
            </w:r>
          </w:p>
        </w:tc>
        <w:tc>
          <w:tcPr>
            <w:tcW w:w="2267" w:type="dxa"/>
          </w:tcPr>
          <w:p w14:paraId="51CA5698" w14:textId="3D97EAE6" w:rsidR="00C84212" w:rsidRDefault="00C84212" w:rsidP="00C84212">
            <w:r>
              <w:t>Q4 (SG liability accrued in 2025-26)</w:t>
            </w:r>
          </w:p>
          <w:p w14:paraId="5A68D876" w14:textId="5C3D0FA8" w:rsidR="00C84212" w:rsidRDefault="00C84212" w:rsidP="00C84212">
            <w:r>
              <w:t>Q1 (SG liability accrued in 2026-27)</w:t>
            </w:r>
          </w:p>
          <w:p w14:paraId="03451F81" w14:textId="18F846EE" w:rsidR="00C84212" w:rsidRDefault="00C84212" w:rsidP="00C84212">
            <w:r>
              <w:t>Q2 (SG liability accrued in 2026-27)</w:t>
            </w:r>
          </w:p>
          <w:p w14:paraId="506CEED3" w14:textId="4E46B8A8" w:rsidR="00C84212" w:rsidRDefault="00C84212" w:rsidP="00C84212">
            <w:r>
              <w:t>Q3 (SG liability accrued in 2026-27)</w:t>
            </w:r>
          </w:p>
          <w:p w14:paraId="29603C9D" w14:textId="2406DF1D" w:rsidR="00A50C81" w:rsidRDefault="00C84212" w:rsidP="009A058B">
            <w:r>
              <w:t>Q4 (SG liabilities accrued in 2026-27)</w:t>
            </w:r>
          </w:p>
        </w:tc>
        <w:tc>
          <w:tcPr>
            <w:tcW w:w="2267" w:type="dxa"/>
          </w:tcPr>
          <w:p w14:paraId="6C7228EB" w14:textId="36AA2A36" w:rsidR="00C84212" w:rsidRDefault="00C84212" w:rsidP="009A058B">
            <w:r>
              <w:t xml:space="preserve">Q1 (SG liabilities accrued in 2027-28) </w:t>
            </w:r>
          </w:p>
          <w:p w14:paraId="5D204867" w14:textId="392228D1" w:rsidR="00C84212" w:rsidRDefault="00C84212" w:rsidP="009A058B">
            <w:r>
              <w:t>Q2 (SG liabilities accrued in 2027-28)</w:t>
            </w:r>
          </w:p>
          <w:p w14:paraId="7DDC4AFD" w14:textId="6E84B38A" w:rsidR="00C84212" w:rsidRDefault="00C84212" w:rsidP="009A058B">
            <w:r>
              <w:t>Q3 (SG liabilities accrued in 2027-28)</w:t>
            </w:r>
          </w:p>
          <w:p w14:paraId="6C021C3D" w14:textId="3D26282B" w:rsidR="00A50C81" w:rsidRDefault="00C84212" w:rsidP="009A058B">
            <w:r>
              <w:t>Q4 (SG liabilities accrued in 2027-28)</w:t>
            </w:r>
          </w:p>
        </w:tc>
      </w:tr>
    </w:tbl>
    <w:p w14:paraId="72578B6E" w14:textId="090A3733" w:rsidR="009A058B" w:rsidRDefault="002163FC" w:rsidP="009A058B">
      <w:pPr>
        <w:rPr>
          <w:sz w:val="20"/>
          <w:szCs w:val="18"/>
        </w:rPr>
      </w:pPr>
      <w:r>
        <w:rPr>
          <w:sz w:val="20"/>
          <w:szCs w:val="18"/>
        </w:rPr>
        <w:t>*</w:t>
      </w:r>
      <w:r w:rsidR="003239EC" w:rsidRPr="005235B8">
        <w:rPr>
          <w:sz w:val="20"/>
          <w:szCs w:val="18"/>
        </w:rPr>
        <w:t>Note:</w:t>
      </w:r>
      <w:r w:rsidR="00664960" w:rsidRPr="005235B8">
        <w:rPr>
          <w:sz w:val="20"/>
          <w:szCs w:val="18"/>
        </w:rPr>
        <w:t xml:space="preserve"> </w:t>
      </w:r>
      <w:r w:rsidR="00B634BA">
        <w:rPr>
          <w:sz w:val="20"/>
          <w:szCs w:val="18"/>
        </w:rPr>
        <w:t xml:space="preserve">Based on an employer currently </w:t>
      </w:r>
      <w:r w:rsidR="00543FDD">
        <w:rPr>
          <w:sz w:val="20"/>
          <w:szCs w:val="18"/>
        </w:rPr>
        <w:t xml:space="preserve">paying SG on a quarterly basis. </w:t>
      </w:r>
      <w:r w:rsidR="00664960" w:rsidRPr="005235B8">
        <w:rPr>
          <w:sz w:val="20"/>
          <w:szCs w:val="18"/>
        </w:rPr>
        <w:t xml:space="preserve">Quarters are used for comparison purposes </w:t>
      </w:r>
      <w:r w:rsidR="007B3EE3" w:rsidRPr="005235B8">
        <w:rPr>
          <w:sz w:val="20"/>
          <w:szCs w:val="18"/>
        </w:rPr>
        <w:t>with</w:t>
      </w:r>
      <w:r w:rsidR="00C93308" w:rsidRPr="005235B8">
        <w:rPr>
          <w:sz w:val="20"/>
          <w:szCs w:val="18"/>
        </w:rPr>
        <w:t xml:space="preserve"> existing policy settings. </w:t>
      </w:r>
      <w:r w:rsidR="00C91C74" w:rsidRPr="005235B8">
        <w:rPr>
          <w:sz w:val="20"/>
          <w:szCs w:val="18"/>
        </w:rPr>
        <w:t xml:space="preserve">There will be no quarterly payment requirements </w:t>
      </w:r>
      <w:r w:rsidR="00FD4F2F">
        <w:rPr>
          <w:sz w:val="20"/>
          <w:szCs w:val="18"/>
        </w:rPr>
        <w:t xml:space="preserve">under </w:t>
      </w:r>
      <w:r w:rsidR="00F13AB5">
        <w:rPr>
          <w:sz w:val="20"/>
          <w:szCs w:val="18"/>
        </w:rPr>
        <w:t xml:space="preserve">a </w:t>
      </w:r>
      <w:r w:rsidR="00253842">
        <w:rPr>
          <w:sz w:val="20"/>
          <w:szCs w:val="18"/>
        </w:rPr>
        <w:t>payday super model</w:t>
      </w:r>
      <w:r w:rsidR="00D66934" w:rsidRPr="005235B8">
        <w:rPr>
          <w:sz w:val="20"/>
          <w:szCs w:val="18"/>
        </w:rPr>
        <w:t xml:space="preserve">. </w:t>
      </w:r>
    </w:p>
    <w:p w14:paraId="5EC1817F" w14:textId="45B64966" w:rsidR="00F15B34" w:rsidRPr="005235B8" w:rsidRDefault="00F15B34" w:rsidP="00744E92">
      <w:pPr>
        <w:pStyle w:val="Bullet"/>
        <w:numPr>
          <w:ilvl w:val="0"/>
          <w:numId w:val="0"/>
        </w:numPr>
      </w:pPr>
      <w:r>
        <w:t xml:space="preserve">To avoid disadvantaging employees who may reach the </w:t>
      </w:r>
      <w:r w:rsidR="0013427E">
        <w:t xml:space="preserve">concessional contributions cap in </w:t>
      </w:r>
      <w:r w:rsidR="00917A23">
        <w:t>2026-27</w:t>
      </w:r>
      <w:r w:rsidR="00430662">
        <w:t xml:space="preserve"> </w:t>
      </w:r>
      <w:r w:rsidR="00CA14DB">
        <w:t xml:space="preserve">due to </w:t>
      </w:r>
      <w:r w:rsidR="00E313CD">
        <w:t>the policy change</w:t>
      </w:r>
      <w:r w:rsidR="00080761">
        <w:t>,</w:t>
      </w:r>
      <w:r w:rsidR="00917A23">
        <w:t xml:space="preserve"> </w:t>
      </w:r>
      <w:r w:rsidR="00392B8E">
        <w:t xml:space="preserve">temporary transition arrangements to contribution caps </w:t>
      </w:r>
      <w:r w:rsidR="002D022A">
        <w:t xml:space="preserve">may need to be made to </w:t>
      </w:r>
      <w:r w:rsidR="005D31D1">
        <w:t xml:space="preserve">ensure </w:t>
      </w:r>
      <w:r w:rsidR="000E55D9">
        <w:t xml:space="preserve">affected </w:t>
      </w:r>
      <w:r w:rsidR="005D31D1">
        <w:t>employees are no worse off.</w:t>
      </w:r>
      <w:r w:rsidR="004C7B79">
        <w:t xml:space="preserve"> </w:t>
      </w:r>
    </w:p>
    <w:p w14:paraId="6DF6E4FF" w14:textId="77777777" w:rsidR="00BA1D04" w:rsidRDefault="00BA1D04" w:rsidP="00BA1D04">
      <w:pPr>
        <w:shd w:val="clear" w:color="auto" w:fill="E8F0FC" w:themeFill="accent5" w:themeFillTint="33"/>
        <w:rPr>
          <w:b/>
          <w:bCs/>
        </w:rPr>
      </w:pPr>
      <w:r>
        <w:rPr>
          <w:b/>
          <w:bCs/>
        </w:rPr>
        <w:t>Consultation questions</w:t>
      </w:r>
    </w:p>
    <w:p w14:paraId="5D6317BE" w14:textId="34A1CECE" w:rsidR="00BA1D04" w:rsidRPr="005D31D1" w:rsidRDefault="00F266AE" w:rsidP="00744E92">
      <w:pPr>
        <w:pStyle w:val="OutlineNumbered1"/>
        <w:shd w:val="clear" w:color="auto" w:fill="E8F0FC" w:themeFill="accent5" w:themeFillTint="33"/>
        <w:spacing w:line="276" w:lineRule="auto"/>
        <w:ind w:left="522" w:hanging="522"/>
      </w:pPr>
      <w:r>
        <w:t>What is the best mechanism</w:t>
      </w:r>
      <w:r w:rsidR="00D36AB0" w:rsidRPr="005235B8">
        <w:t xml:space="preserve"> to avoid disadvantaging employees who would reach the concessional contributions cap in 2026-27 due to the </w:t>
      </w:r>
      <w:r w:rsidR="00B952D3">
        <w:t>accounting of SG</w:t>
      </w:r>
      <w:r w:rsidR="00D36AB0">
        <w:t xml:space="preserve"> contributions </w:t>
      </w:r>
      <w:r w:rsidR="00B952D3">
        <w:t>in the year the policy commences</w:t>
      </w:r>
      <w:r w:rsidR="00D36AB0" w:rsidRPr="005235B8">
        <w:t xml:space="preserve">? </w:t>
      </w:r>
    </w:p>
    <w:p w14:paraId="523ADC4C" w14:textId="7BD428A4" w:rsidR="00AA493A" w:rsidRDefault="00AA493A" w:rsidP="00D21CB5">
      <w:pPr>
        <w:pStyle w:val="Heading4"/>
      </w:pPr>
      <w:r w:rsidRPr="00D21CB5">
        <w:t>Maximum</w:t>
      </w:r>
      <w:r>
        <w:t xml:space="preserve"> </w:t>
      </w:r>
      <w:r w:rsidR="000B324D">
        <w:t xml:space="preserve">contribution </w:t>
      </w:r>
      <w:r>
        <w:t>base calculations</w:t>
      </w:r>
    </w:p>
    <w:p w14:paraId="71569C3D" w14:textId="17B801BD" w:rsidR="00CB03EF" w:rsidRDefault="00E65484" w:rsidP="000503F3">
      <w:pPr>
        <w:pStyle w:val="Bullet"/>
        <w:numPr>
          <w:ilvl w:val="0"/>
          <w:numId w:val="0"/>
        </w:numPr>
      </w:pPr>
      <w:r>
        <w:t xml:space="preserve">Currently, if an employee earns more than the maximum contribution base for the quarter, an employer is not required to pay superannuation on any </w:t>
      </w:r>
      <w:r w:rsidR="008C44AC">
        <w:t>employee</w:t>
      </w:r>
      <w:r>
        <w:t xml:space="preserve"> earnings that exceed the maximum</w:t>
      </w:r>
      <w:r w:rsidR="00AB7F65">
        <w:t xml:space="preserve"> for that period</w:t>
      </w:r>
      <w:r>
        <w:t xml:space="preserve">. </w:t>
      </w:r>
      <w:r w:rsidR="00987835">
        <w:t>This is intended to stop employers paying contributions above the concessional contributions cap for employees.</w:t>
      </w:r>
      <w:r>
        <w:t xml:space="preserve"> </w:t>
      </w:r>
      <w:r w:rsidR="00C140F4">
        <w:t xml:space="preserve">However, in a </w:t>
      </w:r>
      <w:r w:rsidR="00253842">
        <w:t>payday super model</w:t>
      </w:r>
      <w:r w:rsidR="004F7E92">
        <w:t>,</w:t>
      </w:r>
      <w:r w:rsidR="0010780D">
        <w:t xml:space="preserve"> SG </w:t>
      </w:r>
      <w:r w:rsidR="008C44AC">
        <w:t xml:space="preserve">contributions </w:t>
      </w:r>
      <w:r w:rsidR="0010780D">
        <w:t>will no longer be paid, due or accounted for on a</w:t>
      </w:r>
      <w:r w:rsidR="00B35859">
        <w:t xml:space="preserve"> </w:t>
      </w:r>
      <w:r w:rsidR="0010780D">
        <w:t>quarterly payment basis</w:t>
      </w:r>
      <w:r w:rsidR="00F461E0">
        <w:t>. This means that</w:t>
      </w:r>
      <w:r w:rsidR="00236390">
        <w:t xml:space="preserve"> a</w:t>
      </w:r>
      <w:r w:rsidR="0010780D">
        <w:t xml:space="preserve"> </w:t>
      </w:r>
      <w:r w:rsidR="00F461E0">
        <w:t xml:space="preserve">new maximum </w:t>
      </w:r>
      <w:r w:rsidR="008C44AC">
        <w:t xml:space="preserve">contribution </w:t>
      </w:r>
      <w:r w:rsidR="00F461E0">
        <w:t xml:space="preserve">base will be required. </w:t>
      </w:r>
    </w:p>
    <w:p w14:paraId="4F7B5122" w14:textId="15281590" w:rsidR="00F461E0" w:rsidRDefault="000503F3" w:rsidP="005235B8">
      <w:pPr>
        <w:pStyle w:val="Bullet"/>
        <w:numPr>
          <w:ilvl w:val="0"/>
          <w:numId w:val="0"/>
        </w:numPr>
      </w:pPr>
      <w:r>
        <w:t xml:space="preserve">For example, the new maximum contribution base could </w:t>
      </w:r>
      <w:r w:rsidR="00063A62">
        <w:t xml:space="preserve">be calculated on a </w:t>
      </w:r>
      <w:r w:rsidR="00253842">
        <w:t>payday super model</w:t>
      </w:r>
      <w:r w:rsidR="00403E34">
        <w:t xml:space="preserve"> </w:t>
      </w:r>
      <w:r w:rsidR="00063A62">
        <w:t xml:space="preserve">(with reference tables depending on </w:t>
      </w:r>
      <w:r w:rsidR="00025979">
        <w:t>how often</w:t>
      </w:r>
      <w:r w:rsidR="00063A62">
        <w:t xml:space="preserve"> </w:t>
      </w:r>
      <w:r w:rsidR="00025979">
        <w:t xml:space="preserve">an employee’s regular pay cycle occurs). </w:t>
      </w:r>
      <w:r w:rsidR="00C428BD">
        <w:rPr>
          <w:rStyle w:val="ui-provider"/>
        </w:rPr>
        <w:t xml:space="preserve">The design of a maximum contribution base will need to consider employees who are not paid according to a regular </w:t>
      </w:r>
      <w:r w:rsidR="003C6A64">
        <w:rPr>
          <w:rStyle w:val="ui-provider"/>
        </w:rPr>
        <w:t xml:space="preserve">pay </w:t>
      </w:r>
      <w:r w:rsidR="00C428BD">
        <w:rPr>
          <w:rStyle w:val="ui-provider"/>
        </w:rPr>
        <w:t>cycle</w:t>
      </w:r>
      <w:r w:rsidR="00CB03EF">
        <w:t xml:space="preserve">. </w:t>
      </w:r>
    </w:p>
    <w:p w14:paraId="761211C1" w14:textId="77777777" w:rsidR="00CB03EF" w:rsidRDefault="00CB03EF" w:rsidP="009410B5">
      <w:pPr>
        <w:keepNext/>
        <w:shd w:val="clear" w:color="auto" w:fill="E8F0FC" w:themeFill="accent5" w:themeFillTint="33"/>
        <w:rPr>
          <w:b/>
          <w:bCs/>
        </w:rPr>
      </w:pPr>
      <w:bookmarkStart w:id="38" w:name="_Hlk136525080"/>
      <w:r>
        <w:rPr>
          <w:b/>
          <w:bCs/>
        </w:rPr>
        <w:t>Consultation questions</w:t>
      </w:r>
    </w:p>
    <w:p w14:paraId="43D6579B" w14:textId="5674B2DE" w:rsidR="00CB03EF" w:rsidRDefault="00A349B4" w:rsidP="00744E92">
      <w:pPr>
        <w:pStyle w:val="OutlineNumbered1"/>
        <w:shd w:val="clear" w:color="auto" w:fill="E8F0FC" w:themeFill="accent5" w:themeFillTint="33"/>
        <w:spacing w:line="276" w:lineRule="auto"/>
        <w:ind w:left="522" w:hanging="522"/>
      </w:pPr>
      <w:r>
        <w:t>On what period should the maximum superannuation</w:t>
      </w:r>
      <w:r w:rsidR="00D40E40">
        <w:t xml:space="preserve"> contribution</w:t>
      </w:r>
      <w:r>
        <w:t xml:space="preserve"> base be calculated in a </w:t>
      </w:r>
      <w:r w:rsidR="00253842">
        <w:t>payday super model</w:t>
      </w:r>
      <w:r>
        <w:t xml:space="preserve">? </w:t>
      </w:r>
      <w:r w:rsidR="00721C8C">
        <w:t>Would there be issues if</w:t>
      </w:r>
      <w:r w:rsidR="008E704E">
        <w:t xml:space="preserve"> it remain</w:t>
      </w:r>
      <w:r w:rsidR="00721C8C">
        <w:t>ed</w:t>
      </w:r>
      <w:r w:rsidR="008E704E">
        <w:t xml:space="preserve"> a quarterly </w:t>
      </w:r>
      <w:r w:rsidR="000E1B79">
        <w:t>calculation</w:t>
      </w:r>
      <w:r w:rsidR="0083240D">
        <w:t>?</w:t>
      </w:r>
      <w:r w:rsidR="00F36174">
        <w:t xml:space="preserve"> </w:t>
      </w:r>
      <w:r w:rsidR="00C16EC4">
        <w:t xml:space="preserve">Are there any other mechanisms that could help prevent employers </w:t>
      </w:r>
      <w:r w:rsidR="002B60E7">
        <w:t xml:space="preserve">paying over the </w:t>
      </w:r>
      <w:r w:rsidR="00987835" w:rsidRPr="00987835">
        <w:t>concessional contributions cap for employees</w:t>
      </w:r>
      <w:r w:rsidR="00987835">
        <w:t>?</w:t>
      </w:r>
    </w:p>
    <w:bookmarkEnd w:id="38"/>
    <w:p w14:paraId="09582154" w14:textId="092778F2" w:rsidR="00194B21" w:rsidRDefault="00194B21" w:rsidP="00E25197">
      <w:pPr>
        <w:pStyle w:val="Heading4"/>
      </w:pPr>
      <w:r>
        <w:t xml:space="preserve">Defined benefit </w:t>
      </w:r>
      <w:proofErr w:type="gramStart"/>
      <w:r w:rsidR="00B736A3">
        <w:t>members</w:t>
      </w:r>
      <w:proofErr w:type="gramEnd"/>
    </w:p>
    <w:p w14:paraId="2F69F9F7" w14:textId="12B2CEF2" w:rsidR="00447C47" w:rsidRDefault="00194B21" w:rsidP="00194B21">
      <w:pPr>
        <w:pStyle w:val="Bullet"/>
        <w:numPr>
          <w:ilvl w:val="0"/>
          <w:numId w:val="0"/>
        </w:numPr>
      </w:pPr>
      <w:r>
        <w:t xml:space="preserve">For those who hold a defined benefit interest, changes </w:t>
      </w:r>
      <w:r w:rsidR="00447C47">
        <w:t>will be</w:t>
      </w:r>
      <w:r>
        <w:t xml:space="preserve"> required to how </w:t>
      </w:r>
      <w:r w:rsidRPr="00447C47">
        <w:t>benefit certificates are calculate</w:t>
      </w:r>
      <w:r w:rsidR="00447C47" w:rsidRPr="00BE5FF2">
        <w:t>d</w:t>
      </w:r>
      <w:r>
        <w:t xml:space="preserve"> with an increase in SG payment frequency. </w:t>
      </w:r>
    </w:p>
    <w:p w14:paraId="1015DD0E" w14:textId="5139DC9A" w:rsidR="006B4E77" w:rsidRDefault="0088003E" w:rsidP="00194B21">
      <w:pPr>
        <w:pStyle w:val="Bullet"/>
        <w:numPr>
          <w:ilvl w:val="0"/>
          <w:numId w:val="0"/>
        </w:numPr>
      </w:pPr>
      <w:r>
        <w:t>There will also be some consequential changes to benefit certificates issued by an actuary, where the certificate refer</w:t>
      </w:r>
      <w:r w:rsidR="00450A29">
        <w:t>s to a whole or part of a quarter.</w:t>
      </w:r>
    </w:p>
    <w:p w14:paraId="78C9CD4C" w14:textId="2BEDA332" w:rsidR="009249D0" w:rsidRDefault="00447C47" w:rsidP="00F80AB2">
      <w:pPr>
        <w:keepNext/>
        <w:shd w:val="clear" w:color="auto" w:fill="E8F0FC" w:themeFill="accent5" w:themeFillTint="33"/>
      </w:pPr>
      <w:r>
        <w:rPr>
          <w:b/>
          <w:bCs/>
        </w:rPr>
        <w:t>Consultation questions</w:t>
      </w:r>
      <w:r w:rsidR="003F4656">
        <w:rPr>
          <w:b/>
          <w:bCs/>
        </w:rPr>
        <w:t xml:space="preserve">   </w:t>
      </w:r>
    </w:p>
    <w:p w14:paraId="4BEBD7A3" w14:textId="3604D5F6" w:rsidR="00447C47" w:rsidRDefault="00447C47" w:rsidP="00447C47">
      <w:pPr>
        <w:pStyle w:val="OutlineNumbered1"/>
        <w:shd w:val="clear" w:color="auto" w:fill="E8F0FC" w:themeFill="accent5" w:themeFillTint="33"/>
        <w:spacing w:line="276" w:lineRule="auto"/>
        <w:ind w:left="522" w:hanging="522"/>
      </w:pPr>
      <w:r>
        <w:t xml:space="preserve">Are there any other </w:t>
      </w:r>
      <w:r w:rsidR="00763BF2">
        <w:t>changes that will be required for defined benefit members?</w:t>
      </w:r>
    </w:p>
    <w:p w14:paraId="3D8E3784" w14:textId="0961B9A2" w:rsidR="00220653" w:rsidRDefault="00220653" w:rsidP="009410B5">
      <w:pPr>
        <w:pStyle w:val="Heading4"/>
      </w:pPr>
      <w:r>
        <w:t>Self-managed superannuation funds</w:t>
      </w:r>
    </w:p>
    <w:p w14:paraId="3B5AFA73" w14:textId="2837A04C" w:rsidR="006773AA" w:rsidRDefault="00220653" w:rsidP="009410B5">
      <w:pPr>
        <w:pStyle w:val="Bullet"/>
        <w:numPr>
          <w:ilvl w:val="0"/>
          <w:numId w:val="0"/>
        </w:numPr>
      </w:pPr>
      <w:r>
        <w:t>As SMSFs are unable to report member SG contributions through the MA</w:t>
      </w:r>
      <w:r w:rsidR="0054706D">
        <w:t>A</w:t>
      </w:r>
      <w:r>
        <w:t xml:space="preserve">S and MATS channels used by APRA-regulated superannuation funds, the potential reporting and ATO data matching models proposed in this paper cannot be applied to SMSFs. The current annual reporting cycle to the ATO required by SMSFs does not provide the same level of granularity of whether an employee’s SG entitlements are being met by their employer. However, as with all superannuation funds, SMSF trustees have the sole responsibility for the prudent management of a fund’s savings. This involves a high level of responsibility, including oversight of employer SG contributions. Where employers are not paying or underpaying entitlements, SMSF members will continue to be empowered to lodge an employee notification with the ATO and will also benefit from any changes to the compliance mechanisms introduced in the Securing Australians’ Superannuation package. </w:t>
      </w:r>
    </w:p>
    <w:p w14:paraId="0575FEF6" w14:textId="77777777" w:rsidR="006773AA" w:rsidRDefault="006773AA" w:rsidP="006773AA">
      <w:pPr>
        <w:shd w:val="clear" w:color="auto" w:fill="E8F0FC" w:themeFill="accent5" w:themeFillTint="33"/>
      </w:pPr>
      <w:r>
        <w:rPr>
          <w:b/>
          <w:bCs/>
        </w:rPr>
        <w:t xml:space="preserve">Consultation questions   </w:t>
      </w:r>
    </w:p>
    <w:p w14:paraId="522CA4F5" w14:textId="596E510B" w:rsidR="006773AA" w:rsidRDefault="006773AA" w:rsidP="009410B5">
      <w:pPr>
        <w:pStyle w:val="OutlineNumbered1"/>
        <w:shd w:val="clear" w:color="auto" w:fill="E8F0FC" w:themeFill="accent5" w:themeFillTint="33"/>
      </w:pPr>
      <w:r>
        <w:t>Should there be any changes to the reporting frameworks for SMSFs and/or Defined Benefit funds to the ATO?</w:t>
      </w:r>
    </w:p>
    <w:p w14:paraId="3636B9CC" w14:textId="0BFF09EE" w:rsidR="00510D3C" w:rsidRPr="00510D3C" w:rsidRDefault="006773AA" w:rsidP="009410B5">
      <w:pPr>
        <w:pStyle w:val="OutlineNumbered1"/>
        <w:shd w:val="clear" w:color="auto" w:fill="E8F0FC" w:themeFill="accent5" w:themeFillTint="33"/>
        <w:spacing w:line="276" w:lineRule="auto"/>
        <w:ind w:left="522" w:hanging="522"/>
      </w:pPr>
      <w:r>
        <w:t>Are there any other changes that will be required for self-managed superannuation fund members?</w:t>
      </w:r>
    </w:p>
    <w:p w14:paraId="6DBED7B1" w14:textId="1F1F2842" w:rsidR="00E25197" w:rsidRPr="0040141F" w:rsidRDefault="00E34AD3" w:rsidP="00E25197">
      <w:pPr>
        <w:pStyle w:val="Heading4"/>
      </w:pPr>
      <w:r>
        <w:t>Other i</w:t>
      </w:r>
      <w:r w:rsidR="00057968">
        <w:t xml:space="preserve">ssues </w:t>
      </w:r>
    </w:p>
    <w:p w14:paraId="037AB1EF" w14:textId="77777777" w:rsidR="00585E03" w:rsidRDefault="00585E03" w:rsidP="00744E92">
      <w:pPr>
        <w:pStyle w:val="Bullet"/>
        <w:numPr>
          <w:ilvl w:val="0"/>
          <w:numId w:val="0"/>
        </w:numPr>
        <w:shd w:val="clear" w:color="auto" w:fill="E8F0FC" w:themeFill="accent5" w:themeFillTint="33"/>
        <w:ind w:left="520" w:hanging="520"/>
        <w:rPr>
          <w:b/>
          <w:bCs/>
        </w:rPr>
      </w:pPr>
      <w:r>
        <w:rPr>
          <w:b/>
          <w:bCs/>
        </w:rPr>
        <w:t>Consultation questions</w:t>
      </w:r>
    </w:p>
    <w:p w14:paraId="742488D6" w14:textId="4BD97652" w:rsidR="00585E03" w:rsidRDefault="00E25197" w:rsidP="00585E03">
      <w:pPr>
        <w:pStyle w:val="OutlineNumbered1"/>
        <w:shd w:val="clear" w:color="auto" w:fill="E8F0FC" w:themeFill="accent5" w:themeFillTint="33"/>
      </w:pPr>
      <w:r>
        <w:t xml:space="preserve">Are there any other impacts </w:t>
      </w:r>
      <w:r w:rsidR="00B81E77">
        <w:t xml:space="preserve">on stakeholders </w:t>
      </w:r>
      <w:r>
        <w:t>or considerations Government should consider in policy design?</w:t>
      </w:r>
    </w:p>
    <w:p w14:paraId="2736638D" w14:textId="041B4050" w:rsidR="00BA61A2" w:rsidRDefault="00BA61A2" w:rsidP="009410B5">
      <w:pPr>
        <w:pStyle w:val="OutlineNumbered1"/>
        <w:shd w:val="clear" w:color="auto" w:fill="E8F0FC" w:themeFill="accent5" w:themeFillTint="33"/>
        <w:spacing w:line="276" w:lineRule="auto"/>
        <w:ind w:left="522" w:hanging="522"/>
      </w:pPr>
      <w:r>
        <w:t>What further changes would be required under the current rules to allow employers to meet payday super requirements?</w:t>
      </w:r>
    </w:p>
    <w:p w14:paraId="454C99E2" w14:textId="77777777" w:rsidR="004F265F" w:rsidRDefault="004F265F">
      <w:pPr>
        <w:spacing w:before="0" w:after="160" w:line="259" w:lineRule="auto"/>
        <w:rPr>
          <w:rFonts w:ascii="Calibri" w:hAnsi="Calibri" w:cs="Arial"/>
          <w:b/>
          <w:color w:val="5D779D" w:themeColor="accent3"/>
          <w:kern w:val="32"/>
          <w:sz w:val="44"/>
          <w:szCs w:val="36"/>
        </w:rPr>
      </w:pPr>
      <w:r>
        <w:br w:type="page"/>
      </w:r>
    </w:p>
    <w:p w14:paraId="0C9655A2" w14:textId="33BF3E1D" w:rsidR="000E5323" w:rsidRDefault="000E5323" w:rsidP="000E5323">
      <w:pPr>
        <w:pStyle w:val="Heading1"/>
      </w:pPr>
      <w:bookmarkStart w:id="39" w:name="_Toc147500261"/>
      <w:r>
        <w:t>Appendix A: The current SG framework</w:t>
      </w:r>
      <w:bookmarkEnd w:id="39"/>
      <w:r>
        <w:t xml:space="preserve"> </w:t>
      </w:r>
    </w:p>
    <w:p w14:paraId="7E5FCE5C" w14:textId="77777777" w:rsidR="000E5323" w:rsidRDefault="000E5323" w:rsidP="000E5323">
      <w:pPr>
        <w:pStyle w:val="BodyText"/>
      </w:pPr>
      <w:r>
        <w:t xml:space="preserve">The SG is governed by two main pieces of Commonwealth legislation: the </w:t>
      </w:r>
      <w:r>
        <w:rPr>
          <w:i/>
          <w:iCs/>
        </w:rPr>
        <w:t xml:space="preserve">Superannuation Guarantee (Administration) Act 1992 </w:t>
      </w:r>
      <w:r>
        <w:t xml:space="preserve">(SGA Act) </w:t>
      </w:r>
      <w:r w:rsidRPr="000C5B30">
        <w:t>and the</w:t>
      </w:r>
      <w:r>
        <w:t xml:space="preserve"> </w:t>
      </w:r>
      <w:r>
        <w:rPr>
          <w:i/>
          <w:iCs/>
        </w:rPr>
        <w:t xml:space="preserve">Superannuation Guarantee Charge Act 1992 </w:t>
      </w:r>
      <w:r>
        <w:t xml:space="preserve">(SGC Act). </w:t>
      </w:r>
    </w:p>
    <w:p w14:paraId="3C7CAD90" w14:textId="4ABE9C5A" w:rsidR="000E5323" w:rsidRDefault="000E5323" w:rsidP="000E5323">
      <w:pPr>
        <w:pStyle w:val="Heading2"/>
      </w:pPr>
      <w:bookmarkStart w:id="40" w:name="_Toc147500262"/>
      <w:r>
        <w:t>Employer superannuation contributions</w:t>
      </w:r>
      <w:bookmarkEnd w:id="40"/>
    </w:p>
    <w:p w14:paraId="161B36D2" w14:textId="77777777" w:rsidR="000E5323" w:rsidRPr="00567A04" w:rsidRDefault="000E5323" w:rsidP="00A3659D">
      <w:pPr>
        <w:pStyle w:val="Heading3"/>
      </w:pPr>
      <w:bookmarkStart w:id="41" w:name="_Toc147500263"/>
      <w:r w:rsidRPr="00567A04">
        <w:t>Contributions above the minimum rate of SG</w:t>
      </w:r>
      <w:bookmarkEnd w:id="41"/>
    </w:p>
    <w:p w14:paraId="2D12D109" w14:textId="77777777" w:rsidR="000E5323" w:rsidRDefault="000E5323" w:rsidP="000E5323">
      <w:pPr>
        <w:pStyle w:val="BodyText"/>
      </w:pPr>
      <w:r>
        <w:t>Some employees are entitled to higher superannuation contributions, as set out in a modern award, enterprise agreement or a contract agreed between employees and employers. S</w:t>
      </w:r>
      <w:r w:rsidRPr="0084790F">
        <w:t xml:space="preserve">uperannuation contributions made by employers </w:t>
      </w:r>
      <w:r>
        <w:t xml:space="preserve">above the legislated rate of SG </w:t>
      </w:r>
      <w:r w:rsidRPr="0084790F">
        <w:t xml:space="preserve">under a </w:t>
      </w:r>
      <w:r>
        <w:t xml:space="preserve">modern </w:t>
      </w:r>
      <w:r w:rsidRPr="0084790F">
        <w:t xml:space="preserve">award, occupational </w:t>
      </w:r>
      <w:proofErr w:type="gramStart"/>
      <w:r w:rsidRPr="0084790F">
        <w:t>arrangement</w:t>
      </w:r>
      <w:proofErr w:type="gramEnd"/>
      <w:r w:rsidRPr="0084790F">
        <w:t xml:space="preserve"> or scheme</w:t>
      </w:r>
      <w:r>
        <w:t>,</w:t>
      </w:r>
      <w:r w:rsidRPr="0084790F">
        <w:t xml:space="preserve"> count towards the minimum level of support under the SGA Act. Generally, </w:t>
      </w:r>
      <w:proofErr w:type="gramStart"/>
      <w:r w:rsidRPr="0084790F">
        <w:t>as long as</w:t>
      </w:r>
      <w:proofErr w:type="gramEnd"/>
      <w:r w:rsidRPr="0084790F">
        <w:t xml:space="preserve"> an employer’s total superannuation contributions for their employee under a </w:t>
      </w:r>
      <w:r>
        <w:t xml:space="preserve">modern </w:t>
      </w:r>
      <w:r w:rsidRPr="0084790F">
        <w:t xml:space="preserve">award or </w:t>
      </w:r>
      <w:r>
        <w:t xml:space="preserve">enterprise </w:t>
      </w:r>
      <w:r w:rsidRPr="0084790F">
        <w:t>agreement meet or exceed the minimum level of support require</w:t>
      </w:r>
      <w:r>
        <w:t>d</w:t>
      </w:r>
      <w:r w:rsidRPr="0084790F">
        <w:t xml:space="preserve">, the employer will </w:t>
      </w:r>
      <w:r>
        <w:t>be considered to have met their minimum SG obligations</w:t>
      </w:r>
      <w:r w:rsidRPr="0084790F">
        <w:t xml:space="preserve">. </w:t>
      </w:r>
    </w:p>
    <w:p w14:paraId="45EA0955" w14:textId="77777777" w:rsidR="000E5323" w:rsidRPr="008E51A1" w:rsidRDefault="000E5323" w:rsidP="000E5323">
      <w:pPr>
        <w:pStyle w:val="Heading3"/>
      </w:pPr>
      <w:bookmarkStart w:id="42" w:name="_Toc147500264"/>
      <w:r w:rsidRPr="008E51A1">
        <w:t>Salary</w:t>
      </w:r>
      <w:r w:rsidRPr="00567A04">
        <w:rPr>
          <w:rFonts w:ascii="Calibri Light" w:hAnsi="Calibri Light"/>
          <w:b w:val="0"/>
          <w:sz w:val="24"/>
        </w:rPr>
        <w:t xml:space="preserve"> </w:t>
      </w:r>
      <w:proofErr w:type="gramStart"/>
      <w:r w:rsidRPr="008E51A1">
        <w:t>sacrifice</w:t>
      </w:r>
      <w:proofErr w:type="gramEnd"/>
      <w:r w:rsidRPr="008E51A1">
        <w:t xml:space="preserve"> </w:t>
      </w:r>
      <w:r>
        <w:t xml:space="preserve">superannuation </w:t>
      </w:r>
      <w:r w:rsidRPr="008E51A1">
        <w:t>contributions</w:t>
      </w:r>
      <w:bookmarkEnd w:id="42"/>
      <w:r w:rsidRPr="008E51A1">
        <w:t xml:space="preserve"> </w:t>
      </w:r>
    </w:p>
    <w:p w14:paraId="3E74CB29" w14:textId="77777777" w:rsidR="000E5323" w:rsidRDefault="000E5323" w:rsidP="000E5323">
      <w:pPr>
        <w:pStyle w:val="BodyText"/>
      </w:pPr>
      <w:r>
        <w:t xml:space="preserve">Employees may have salary sacrifice arrangements with their employers whereby some of their salary or wage is paid instead as superannuation contributions. Salary sacrifice contributions are in addition to the minimum rate of SG and cannot be used by employers to reduce the level of superannuation support they are required to provide. </w:t>
      </w:r>
    </w:p>
    <w:p w14:paraId="21A2B019" w14:textId="77777777" w:rsidR="000E5323" w:rsidRDefault="000E5323" w:rsidP="000E5323">
      <w:pPr>
        <w:pStyle w:val="BodyText"/>
      </w:pPr>
      <w:r>
        <w:t xml:space="preserve">Currently, there are no legislative requirements in relation to frequency of employers making salary sacrifice payments on behalf of their employee. Payments of salary sacrifice amounts are agreed between employer and employee. </w:t>
      </w:r>
    </w:p>
    <w:p w14:paraId="794A7E81" w14:textId="77777777" w:rsidR="000E5323" w:rsidRDefault="000E5323" w:rsidP="000E5323">
      <w:pPr>
        <w:pStyle w:val="BodyText"/>
      </w:pPr>
      <w:r>
        <w:t xml:space="preserve">Commonly, intermediaries can also provide a salary sacrifice or ‘salary packaging’ service to employees. </w:t>
      </w:r>
      <w:proofErr w:type="gramStart"/>
      <w:r>
        <w:t>These salary</w:t>
      </w:r>
      <w:proofErr w:type="gramEnd"/>
      <w:r>
        <w:t xml:space="preserve"> sacrificed amounts are paid independently of the employer and therefore visibility for employers over this arrangement is limited. </w:t>
      </w:r>
    </w:p>
    <w:p w14:paraId="39E40962" w14:textId="77777777" w:rsidR="000E5323" w:rsidRPr="008E51A1" w:rsidRDefault="000E5323" w:rsidP="000E5323">
      <w:pPr>
        <w:pStyle w:val="Heading3"/>
      </w:pPr>
      <w:bookmarkStart w:id="43" w:name="_Toc147500265"/>
      <w:r w:rsidRPr="008E51A1">
        <w:t xml:space="preserve">Defined benefit </w:t>
      </w:r>
      <w:proofErr w:type="gramStart"/>
      <w:r w:rsidRPr="008E51A1">
        <w:t>contributions</w:t>
      </w:r>
      <w:bookmarkEnd w:id="43"/>
      <w:proofErr w:type="gramEnd"/>
      <w:r w:rsidRPr="008E51A1">
        <w:t xml:space="preserve"> </w:t>
      </w:r>
    </w:p>
    <w:p w14:paraId="7C48CB71" w14:textId="77777777" w:rsidR="000E5323" w:rsidRDefault="000E5323" w:rsidP="000E5323">
      <w:pPr>
        <w:pStyle w:val="Bullet"/>
        <w:numPr>
          <w:ilvl w:val="0"/>
          <w:numId w:val="0"/>
        </w:numPr>
      </w:pPr>
      <w:r>
        <w:t xml:space="preserve">Employers who make superannuation contributions into their employee’s defined benefit scheme are required to obtain a benefit certificate issued by an actuary to determine whether the level of superannuation support provided meets the long-term cost of the benefits accruing. The benefit certificate has effect for the whole or part of the quarter. </w:t>
      </w:r>
    </w:p>
    <w:p w14:paraId="0FB19BE6" w14:textId="77777777" w:rsidR="000E5323" w:rsidRDefault="000E5323" w:rsidP="000E5323">
      <w:pPr>
        <w:pStyle w:val="Bullet"/>
        <w:numPr>
          <w:ilvl w:val="0"/>
          <w:numId w:val="0"/>
        </w:numPr>
      </w:pPr>
      <w:r>
        <w:t xml:space="preserve">The benefit certificate outlines a notional contribution rate for the defined benefit scheme. The benefit certificate also </w:t>
      </w:r>
      <w:proofErr w:type="gramStart"/>
      <w:r>
        <w:t>takes into account</w:t>
      </w:r>
      <w:proofErr w:type="gramEnd"/>
      <w:r>
        <w:t xml:space="preserve"> where a person was an employee but not a member of the defined benefit scheme, and the notional contribution rate is proportionately reduced to reflect this. </w:t>
      </w:r>
    </w:p>
    <w:p w14:paraId="2BB6851F" w14:textId="77777777" w:rsidR="000E5323" w:rsidRDefault="000E5323" w:rsidP="000E5323">
      <w:pPr>
        <w:pStyle w:val="Bullet"/>
        <w:numPr>
          <w:ilvl w:val="0"/>
          <w:numId w:val="0"/>
        </w:numPr>
      </w:pPr>
      <w:r>
        <w:t xml:space="preserve">In some circumstances, an employee may hold a defined benefit interest alongside an accumulation interest. Any employer may have separate obligations when it comes to the payment frequency of the real accumulation interest, alongside the notional contribution rate for the defined benefit interest. </w:t>
      </w:r>
    </w:p>
    <w:p w14:paraId="141DC371" w14:textId="77777777" w:rsidR="000E5323" w:rsidRDefault="000E5323" w:rsidP="000E5323">
      <w:pPr>
        <w:pStyle w:val="Heading3"/>
      </w:pPr>
      <w:bookmarkStart w:id="44" w:name="_Toc147500266"/>
      <w:r>
        <w:t>Maximum superannuation contribution base</w:t>
      </w:r>
      <w:bookmarkEnd w:id="44"/>
    </w:p>
    <w:p w14:paraId="54DF7CF9" w14:textId="4F3FF782" w:rsidR="000E5323" w:rsidRPr="006E371A" w:rsidRDefault="000E5323" w:rsidP="000E5323">
      <w:pPr>
        <w:pStyle w:val="Bullet"/>
        <w:numPr>
          <w:ilvl w:val="0"/>
          <w:numId w:val="0"/>
        </w:numPr>
        <w:rPr>
          <w:highlight w:val="cyan"/>
        </w:rPr>
      </w:pPr>
      <w:r w:rsidRPr="00010695">
        <w:t xml:space="preserve">The maximum </w:t>
      </w:r>
      <w:r>
        <w:t xml:space="preserve">superannuation contribution base acts as a ceiling </w:t>
      </w:r>
      <w:proofErr w:type="gramStart"/>
      <w:r>
        <w:t>for the amount of</w:t>
      </w:r>
      <w:proofErr w:type="gramEnd"/>
      <w:r>
        <w:t xml:space="preserve"> superannuation contributions an employer is required to make on behalf of their employees in order to avoid paying the </w:t>
      </w:r>
      <w:r w:rsidR="00584FC2">
        <w:t>SG charge</w:t>
      </w:r>
      <w:r>
        <w:t xml:space="preserve">. If an employee earns more than the maximum contribution base for the quarter, an employer is not required to pay superannuation on any employee earnings that exceed the maximum for the remainder of that quarter. </w:t>
      </w:r>
    </w:p>
    <w:p w14:paraId="1CCA3BC5" w14:textId="77777777" w:rsidR="000E5323" w:rsidRDefault="000E5323" w:rsidP="000E5323">
      <w:pPr>
        <w:pStyle w:val="Bullet"/>
        <w:numPr>
          <w:ilvl w:val="0"/>
          <w:numId w:val="0"/>
        </w:numPr>
      </w:pPr>
      <w:r>
        <w:t>The maximum contribution base is indexed each financial year. In 2023-24,</w:t>
      </w:r>
      <w:r w:rsidDel="00493102">
        <w:t xml:space="preserve"> </w:t>
      </w:r>
      <w:r>
        <w:t xml:space="preserve">the contribution base is $62,270 per quarter.  </w:t>
      </w:r>
    </w:p>
    <w:p w14:paraId="1563A9D8" w14:textId="6F3CD111" w:rsidR="000E5323" w:rsidRPr="00FC1AC9" w:rsidRDefault="000E5323" w:rsidP="000E5323">
      <w:pPr>
        <w:pStyle w:val="Heading3"/>
      </w:pPr>
      <w:bookmarkStart w:id="45" w:name="_Toc147500267"/>
      <w:r w:rsidRPr="00FC1AC9">
        <w:t>Tax deductibility of employer contributions</w:t>
      </w:r>
      <w:bookmarkEnd w:id="45"/>
    </w:p>
    <w:p w14:paraId="2B777C91" w14:textId="77777777" w:rsidR="000E5323" w:rsidRDefault="000E5323" w:rsidP="000E5323">
      <w:pPr>
        <w:pStyle w:val="Bullet"/>
        <w:numPr>
          <w:ilvl w:val="0"/>
          <w:numId w:val="0"/>
        </w:numPr>
      </w:pPr>
      <w:r>
        <w:t xml:space="preserve">Employers </w:t>
      </w:r>
      <w:proofErr w:type="gramStart"/>
      <w:r>
        <w:t>are able to</w:t>
      </w:r>
      <w:proofErr w:type="gramEnd"/>
      <w:r>
        <w:t xml:space="preserve"> claim a tax deduction for superannuation contributions made on behalf of their employees to a complying superannuation fund or retirement savings account. Generally, the ability to claim a tax deduction is limited to the financial year the contributions are made. There are three contribution types that may be deductible for an employer:</w:t>
      </w:r>
    </w:p>
    <w:p w14:paraId="21F289E3" w14:textId="77777777" w:rsidR="000E5323" w:rsidRDefault="000E5323" w:rsidP="000E5323">
      <w:pPr>
        <w:pStyle w:val="Bullet"/>
      </w:pPr>
      <w:r>
        <w:t>Employer contributions made before the employee turns 75,</w:t>
      </w:r>
    </w:p>
    <w:p w14:paraId="70A0A0AE" w14:textId="77777777" w:rsidR="000E5323" w:rsidRDefault="000E5323" w:rsidP="000E5323">
      <w:pPr>
        <w:pStyle w:val="Bullet"/>
      </w:pPr>
      <w:r>
        <w:t>Contributions required by an industrial law (e.g., modern awards or enterprise agreements), and</w:t>
      </w:r>
    </w:p>
    <w:p w14:paraId="5D411D88" w14:textId="77777777" w:rsidR="000E5323" w:rsidRDefault="000E5323" w:rsidP="000E5323">
      <w:pPr>
        <w:pStyle w:val="Bullet"/>
      </w:pPr>
      <w:r>
        <w:t>Advance superannuation payments for future quarters in respect of an employee.</w:t>
      </w:r>
    </w:p>
    <w:p w14:paraId="59B1725F" w14:textId="486342EB" w:rsidR="00017F3A" w:rsidRDefault="002B39B5" w:rsidP="00017F3A">
      <w:pPr>
        <w:pStyle w:val="Bullet"/>
        <w:numPr>
          <w:ilvl w:val="0"/>
          <w:numId w:val="0"/>
        </w:numPr>
      </w:pPr>
      <w:r>
        <w:t xml:space="preserve">As outlined, </w:t>
      </w:r>
      <w:r w:rsidR="00B1756E">
        <w:t>currently</w:t>
      </w:r>
      <w:r w:rsidR="008C1364">
        <w:t xml:space="preserve"> </w:t>
      </w:r>
      <w:r w:rsidR="009A694B">
        <w:t xml:space="preserve">the </w:t>
      </w:r>
      <w:r w:rsidR="00584FC2">
        <w:t>SG charge</w:t>
      </w:r>
      <w:r w:rsidR="009A694B">
        <w:t xml:space="preserve"> is not tax deductible for employers who </w:t>
      </w:r>
      <w:r w:rsidR="00D11893">
        <w:t xml:space="preserve">do not </w:t>
      </w:r>
      <w:r w:rsidR="0080498A">
        <w:t xml:space="preserve">meet the minimum </w:t>
      </w:r>
      <w:r w:rsidR="00F9464C">
        <w:t xml:space="preserve">SG </w:t>
      </w:r>
      <w:r w:rsidR="0080498A">
        <w:t xml:space="preserve">contribution amount by the cut-off date. </w:t>
      </w:r>
      <w:r w:rsidR="00A01F01">
        <w:t xml:space="preserve">Further, </w:t>
      </w:r>
      <w:r w:rsidR="00B97D08">
        <w:t xml:space="preserve">employers cannot claim a tax deduction </w:t>
      </w:r>
      <w:r w:rsidR="005662F4">
        <w:t>if they are subject to further penalties</w:t>
      </w:r>
      <w:r w:rsidR="0070639C">
        <w:t>, such as</w:t>
      </w:r>
      <w:r w:rsidR="00370210">
        <w:t xml:space="preserve"> failing to provide an </w:t>
      </w:r>
      <w:r w:rsidR="00584FC2">
        <w:t>SG charge</w:t>
      </w:r>
      <w:r w:rsidR="00370210">
        <w:t xml:space="preserve"> statement</w:t>
      </w:r>
      <w:r w:rsidR="0070639C">
        <w:t xml:space="preserve"> </w:t>
      </w:r>
      <w:r w:rsidR="00EC20AF">
        <w:t>when required</w:t>
      </w:r>
      <w:r w:rsidR="00177270">
        <w:t xml:space="preserve"> or when the general interest charge applies for late payment. </w:t>
      </w:r>
      <w:r w:rsidR="00544D5D">
        <w:t xml:space="preserve"> </w:t>
      </w:r>
      <w:r w:rsidR="00EE7A08">
        <w:t xml:space="preserve"> </w:t>
      </w:r>
      <w:r w:rsidR="00017F3A">
        <w:t xml:space="preserve">  </w:t>
      </w:r>
    </w:p>
    <w:p w14:paraId="2616E105" w14:textId="67D32FCC" w:rsidR="000E5323" w:rsidRDefault="000E5323" w:rsidP="000E5323">
      <w:pPr>
        <w:pStyle w:val="Heading2"/>
      </w:pPr>
      <w:bookmarkStart w:id="46" w:name="_Toc147500268"/>
      <w:r>
        <w:t>Superannuation payment frequency</w:t>
      </w:r>
      <w:bookmarkEnd w:id="46"/>
    </w:p>
    <w:p w14:paraId="56C344E5" w14:textId="7A410235" w:rsidR="000E5323" w:rsidRDefault="000E5323" w:rsidP="000E5323">
      <w:pPr>
        <w:pStyle w:val="BodyText"/>
      </w:pPr>
      <w:r>
        <w:t>The current superannuation compliance regime requires that superannuation</w:t>
      </w:r>
      <w:r w:rsidRPr="00F7668B">
        <w:t xml:space="preserve"> </w:t>
      </w:r>
      <w:r>
        <w:t>contributions are</w:t>
      </w:r>
      <w:r w:rsidRPr="00F7668B">
        <w:t xml:space="preserve"> received by </w:t>
      </w:r>
      <w:r>
        <w:t>an employee’s</w:t>
      </w:r>
      <w:r w:rsidRPr="00F7668B">
        <w:t xml:space="preserve"> superannuation fund on</w:t>
      </w:r>
      <w:r>
        <w:t xml:space="preserve"> or before</w:t>
      </w:r>
      <w:r w:rsidRPr="00F7668B">
        <w:t xml:space="preserve"> the 28th day of the</w:t>
      </w:r>
      <w:r w:rsidRPr="001C15C6">
        <w:t xml:space="preserve"> month following the </w:t>
      </w:r>
      <w:r>
        <w:t xml:space="preserve">end of the </w:t>
      </w:r>
      <w:r w:rsidRPr="001C15C6">
        <w:t>quarter</w:t>
      </w:r>
      <w:r>
        <w:t xml:space="preserve"> (section 19 of the SGA Act). </w:t>
      </w:r>
      <w:r w:rsidRPr="007C14CE">
        <w:t>If an employer does not make</w:t>
      </w:r>
      <w:r w:rsidR="0073153E">
        <w:t xml:space="preserve"> the minimum SG contribution amount</w:t>
      </w:r>
      <w:r w:rsidRPr="007C14CE">
        <w:t xml:space="preserve"> within 28 days of the end of </w:t>
      </w:r>
      <w:r>
        <w:t>the</w:t>
      </w:r>
      <w:r w:rsidRPr="007C14CE">
        <w:t xml:space="preserve"> quarter, they </w:t>
      </w:r>
      <w:r>
        <w:t>are</w:t>
      </w:r>
      <w:r w:rsidRPr="007C14CE">
        <w:t xml:space="preserve"> liable </w:t>
      </w:r>
      <w:r>
        <w:t>to pay</w:t>
      </w:r>
      <w:r w:rsidRPr="007C14CE">
        <w:t xml:space="preserve"> the S</w:t>
      </w:r>
      <w:r>
        <w:t xml:space="preserve">uperannuation </w:t>
      </w:r>
      <w:r w:rsidRPr="007C14CE">
        <w:t>G</w:t>
      </w:r>
      <w:r>
        <w:t>uarantee charge (</w:t>
      </w:r>
      <w:r w:rsidR="00584FC2">
        <w:t>SG charge</w:t>
      </w:r>
      <w:r>
        <w:t xml:space="preserve">). Table </w:t>
      </w:r>
      <w:r w:rsidR="001100ED">
        <w:t>3</w:t>
      </w:r>
      <w:r>
        <w:t xml:space="preserve"> sets out the quarterly superannuation payment due dates. </w:t>
      </w:r>
    </w:p>
    <w:p w14:paraId="1C36FB5B" w14:textId="2AFEA923" w:rsidR="000E5323" w:rsidRDefault="000E5323" w:rsidP="000E5323">
      <w:pPr>
        <w:pStyle w:val="ChartMainHeading"/>
      </w:pPr>
      <w:bookmarkStart w:id="47" w:name="_Toc147500269"/>
      <w:r>
        <w:t xml:space="preserve">Table </w:t>
      </w:r>
      <w:r w:rsidR="005E3D2F">
        <w:t>3</w:t>
      </w:r>
      <w:r>
        <w:t>: Quarterly super payment due dates</w:t>
      </w:r>
      <w:r w:rsidR="002163FC">
        <w:t>*</w:t>
      </w:r>
      <w:bookmarkEnd w:id="47"/>
    </w:p>
    <w:tbl>
      <w:tblPr>
        <w:tblStyle w:val="GridTable1Light"/>
        <w:tblW w:w="8433" w:type="dxa"/>
        <w:tblLook w:val="04A0" w:firstRow="1" w:lastRow="0" w:firstColumn="1" w:lastColumn="0" w:noHBand="0" w:noVBand="1"/>
      </w:tblPr>
      <w:tblGrid>
        <w:gridCol w:w="1468"/>
        <w:gridCol w:w="3359"/>
        <w:gridCol w:w="3606"/>
      </w:tblGrid>
      <w:tr w:rsidR="000E5323" w:rsidRPr="004842A0" w14:paraId="2B5A9DB6" w14:textId="77777777">
        <w:trPr>
          <w:cnfStyle w:val="100000000000" w:firstRow="1" w:lastRow="0" w:firstColumn="0" w:lastColumn="0" w:oddVBand="0" w:evenVBand="0" w:oddHBand="0"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shd w:val="clear" w:color="auto" w:fill="EEEEEE" w:themeFill="background2"/>
            <w:hideMark/>
          </w:tcPr>
          <w:p w14:paraId="045596B2" w14:textId="77777777" w:rsidR="000E5323" w:rsidRPr="00C252D3" w:rsidRDefault="000E5323">
            <w:pPr>
              <w:pStyle w:val="Bullet"/>
              <w:numPr>
                <w:ilvl w:val="0"/>
                <w:numId w:val="0"/>
              </w:numPr>
              <w:rPr>
                <w:b w:val="0"/>
                <w:bCs w:val="0"/>
              </w:rPr>
            </w:pPr>
            <w:r w:rsidRPr="00C252D3">
              <w:rPr>
                <w:b w:val="0"/>
                <w:bCs w:val="0"/>
              </w:rPr>
              <w:t>Quarter</w:t>
            </w:r>
          </w:p>
        </w:tc>
        <w:tc>
          <w:tcPr>
            <w:tcW w:w="3359" w:type="dxa"/>
            <w:shd w:val="clear" w:color="auto" w:fill="EEEEEE" w:themeFill="background2"/>
            <w:hideMark/>
          </w:tcPr>
          <w:p w14:paraId="6282ECD3" w14:textId="77777777" w:rsidR="000E5323" w:rsidRPr="00C252D3" w:rsidRDefault="000E5323">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bCs w:val="0"/>
              </w:rPr>
            </w:pPr>
            <w:r w:rsidRPr="00C252D3">
              <w:rPr>
                <w:b w:val="0"/>
                <w:bCs w:val="0"/>
              </w:rPr>
              <w:t>Period</w:t>
            </w:r>
          </w:p>
        </w:tc>
        <w:tc>
          <w:tcPr>
            <w:tcW w:w="3606" w:type="dxa"/>
            <w:shd w:val="clear" w:color="auto" w:fill="EEEEEE" w:themeFill="background2"/>
            <w:hideMark/>
          </w:tcPr>
          <w:p w14:paraId="53C44367" w14:textId="77777777" w:rsidR="000E5323" w:rsidRPr="00C252D3" w:rsidRDefault="000E5323">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bCs w:val="0"/>
              </w:rPr>
            </w:pPr>
            <w:r w:rsidRPr="00C252D3">
              <w:rPr>
                <w:b w:val="0"/>
                <w:bCs w:val="0"/>
              </w:rPr>
              <w:t>Payment due date</w:t>
            </w:r>
          </w:p>
        </w:tc>
      </w:tr>
      <w:tr w:rsidR="000E5323" w:rsidRPr="004842A0" w14:paraId="73AF182F" w14:textId="77777777">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4E611A0C" w14:textId="77777777" w:rsidR="000E5323" w:rsidRPr="00C252D3" w:rsidRDefault="000E5323">
            <w:pPr>
              <w:pStyle w:val="Bullet"/>
              <w:numPr>
                <w:ilvl w:val="0"/>
                <w:numId w:val="0"/>
              </w:numPr>
              <w:rPr>
                <w:b w:val="0"/>
                <w:bCs w:val="0"/>
              </w:rPr>
            </w:pPr>
            <w:r w:rsidRPr="00C252D3">
              <w:rPr>
                <w:b w:val="0"/>
                <w:bCs w:val="0"/>
              </w:rPr>
              <w:t>1</w:t>
            </w:r>
          </w:p>
        </w:tc>
        <w:tc>
          <w:tcPr>
            <w:tcW w:w="3359" w:type="dxa"/>
            <w:hideMark/>
          </w:tcPr>
          <w:p w14:paraId="7E310A68" w14:textId="77777777" w:rsidR="000E5323" w:rsidRPr="00C252D3"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1 July – 30 September</w:t>
            </w:r>
          </w:p>
        </w:tc>
        <w:tc>
          <w:tcPr>
            <w:tcW w:w="3606" w:type="dxa"/>
            <w:hideMark/>
          </w:tcPr>
          <w:p w14:paraId="3A6945FF" w14:textId="77777777" w:rsidR="000E5323" w:rsidRPr="00C252D3"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28 October</w:t>
            </w:r>
          </w:p>
        </w:tc>
      </w:tr>
      <w:tr w:rsidR="000E5323" w:rsidRPr="004842A0" w14:paraId="0BAB3B54" w14:textId="77777777">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1F3FA708" w14:textId="77777777" w:rsidR="000E5323" w:rsidRPr="00C252D3" w:rsidRDefault="000E5323">
            <w:pPr>
              <w:pStyle w:val="Bullet"/>
              <w:numPr>
                <w:ilvl w:val="0"/>
                <w:numId w:val="0"/>
              </w:numPr>
              <w:rPr>
                <w:b w:val="0"/>
                <w:bCs w:val="0"/>
              </w:rPr>
            </w:pPr>
            <w:r w:rsidRPr="00C252D3">
              <w:rPr>
                <w:b w:val="0"/>
                <w:bCs w:val="0"/>
              </w:rPr>
              <w:t>2</w:t>
            </w:r>
          </w:p>
        </w:tc>
        <w:tc>
          <w:tcPr>
            <w:tcW w:w="3359" w:type="dxa"/>
            <w:hideMark/>
          </w:tcPr>
          <w:p w14:paraId="67F79D5E" w14:textId="77777777" w:rsidR="000E5323" w:rsidRPr="00C252D3"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1 October – 31 December</w:t>
            </w:r>
          </w:p>
        </w:tc>
        <w:tc>
          <w:tcPr>
            <w:tcW w:w="3606" w:type="dxa"/>
            <w:hideMark/>
          </w:tcPr>
          <w:p w14:paraId="215D1995" w14:textId="77777777" w:rsidR="000E5323" w:rsidRPr="00C252D3"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28 January</w:t>
            </w:r>
          </w:p>
        </w:tc>
      </w:tr>
      <w:tr w:rsidR="000E5323" w:rsidRPr="004842A0" w14:paraId="0601F388" w14:textId="77777777">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430FC2F5" w14:textId="77777777" w:rsidR="000E5323" w:rsidRPr="00C252D3" w:rsidRDefault="000E5323">
            <w:pPr>
              <w:pStyle w:val="Bullet"/>
              <w:numPr>
                <w:ilvl w:val="0"/>
                <w:numId w:val="0"/>
              </w:numPr>
              <w:rPr>
                <w:b w:val="0"/>
                <w:bCs w:val="0"/>
              </w:rPr>
            </w:pPr>
            <w:r w:rsidRPr="00C252D3">
              <w:rPr>
                <w:b w:val="0"/>
                <w:bCs w:val="0"/>
              </w:rPr>
              <w:t>3</w:t>
            </w:r>
          </w:p>
        </w:tc>
        <w:tc>
          <w:tcPr>
            <w:tcW w:w="3359" w:type="dxa"/>
            <w:hideMark/>
          </w:tcPr>
          <w:p w14:paraId="4EB708BF" w14:textId="77777777" w:rsidR="000E5323" w:rsidRPr="00C252D3"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1 January – 31 March</w:t>
            </w:r>
          </w:p>
        </w:tc>
        <w:tc>
          <w:tcPr>
            <w:tcW w:w="3606" w:type="dxa"/>
            <w:hideMark/>
          </w:tcPr>
          <w:p w14:paraId="5ED755C3" w14:textId="77777777" w:rsidR="000E5323" w:rsidRPr="00C252D3"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28 April</w:t>
            </w:r>
          </w:p>
        </w:tc>
      </w:tr>
      <w:tr w:rsidR="000E5323" w:rsidRPr="004842A0" w14:paraId="60759303" w14:textId="77777777">
        <w:trPr>
          <w:trHeight w:val="536"/>
        </w:trPr>
        <w:tc>
          <w:tcPr>
            <w:cnfStyle w:val="001000000000" w:firstRow="0" w:lastRow="0" w:firstColumn="1" w:lastColumn="0" w:oddVBand="0" w:evenVBand="0" w:oddHBand="0" w:evenHBand="0" w:firstRowFirstColumn="0" w:firstRowLastColumn="0" w:lastRowFirstColumn="0" w:lastRowLastColumn="0"/>
            <w:tcW w:w="0" w:type="auto"/>
            <w:hideMark/>
          </w:tcPr>
          <w:p w14:paraId="13E86C25" w14:textId="77777777" w:rsidR="000E5323" w:rsidRPr="00C252D3" w:rsidRDefault="000E5323">
            <w:pPr>
              <w:pStyle w:val="Bullet"/>
              <w:numPr>
                <w:ilvl w:val="0"/>
                <w:numId w:val="0"/>
              </w:numPr>
              <w:rPr>
                <w:b w:val="0"/>
                <w:bCs w:val="0"/>
              </w:rPr>
            </w:pPr>
            <w:r w:rsidRPr="00C252D3">
              <w:rPr>
                <w:b w:val="0"/>
                <w:bCs w:val="0"/>
              </w:rPr>
              <w:t>4</w:t>
            </w:r>
          </w:p>
        </w:tc>
        <w:tc>
          <w:tcPr>
            <w:tcW w:w="3359" w:type="dxa"/>
            <w:hideMark/>
          </w:tcPr>
          <w:p w14:paraId="568982B5" w14:textId="77777777" w:rsidR="000E5323" w:rsidRPr="00C252D3"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1 April – 30 June</w:t>
            </w:r>
          </w:p>
        </w:tc>
        <w:tc>
          <w:tcPr>
            <w:tcW w:w="3606" w:type="dxa"/>
            <w:hideMark/>
          </w:tcPr>
          <w:p w14:paraId="74684D97" w14:textId="77777777" w:rsidR="000E5323" w:rsidRPr="00C252D3"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C252D3">
              <w:t>28 July</w:t>
            </w:r>
          </w:p>
        </w:tc>
      </w:tr>
    </w:tbl>
    <w:p w14:paraId="1995CF5B" w14:textId="11BBFE49" w:rsidR="000E5323" w:rsidRPr="00567A04" w:rsidRDefault="002163FC" w:rsidP="000E5323">
      <w:pPr>
        <w:pStyle w:val="BodyText"/>
        <w:rPr>
          <w:sz w:val="18"/>
          <w:szCs w:val="18"/>
        </w:rPr>
      </w:pPr>
      <w:r>
        <w:rPr>
          <w:sz w:val="18"/>
          <w:szCs w:val="18"/>
        </w:rPr>
        <w:t>*</w:t>
      </w:r>
      <w:r w:rsidR="000E5323" w:rsidRPr="00567A04">
        <w:rPr>
          <w:sz w:val="18"/>
          <w:szCs w:val="18"/>
        </w:rPr>
        <w:t>Note: Some superannuation funds and modern awards and enterprise agreements require superannuation to be paid more regularly (for example, monthly) than the current minimum quarterly requirement.</w:t>
      </w:r>
    </w:p>
    <w:p w14:paraId="234093CD" w14:textId="18AFB4F5" w:rsidR="000E5323" w:rsidRDefault="000E5323" w:rsidP="000E5323">
      <w:pPr>
        <w:pStyle w:val="BodyText"/>
      </w:pPr>
      <w:r>
        <w:t xml:space="preserve">Many employers choose to pay more frequently than the minimum quarterly requirement. Although, these payments do not necessarily align with an employee’s payday. Table </w:t>
      </w:r>
      <w:r w:rsidR="001100ED">
        <w:t>4</w:t>
      </w:r>
      <w:r>
        <w:t xml:space="preserve"> sets out the payment frequency by employer type for the 2021-22 financial year. </w:t>
      </w:r>
    </w:p>
    <w:p w14:paraId="7F72ECB8" w14:textId="27BDE230" w:rsidR="000E5323" w:rsidRDefault="000E5323" w:rsidP="000E5323">
      <w:pPr>
        <w:pStyle w:val="BodyText"/>
      </w:pPr>
      <w:r>
        <w:t xml:space="preserve">For the purposes of Table </w:t>
      </w:r>
      <w:r w:rsidR="001100ED">
        <w:t>4</w:t>
      </w:r>
      <w:r>
        <w:t>, micro businesses are businesses with annual income less than $2 million, small to medium enterprises have business income between $2 and $250 million and large market businesses have business income greater than $250 million.</w:t>
      </w:r>
    </w:p>
    <w:p w14:paraId="76F05975" w14:textId="3A9B1458" w:rsidR="000E5323" w:rsidRDefault="000E5323" w:rsidP="000E5323">
      <w:pPr>
        <w:pStyle w:val="ChartMainHeading"/>
      </w:pPr>
      <w:bookmarkStart w:id="48" w:name="_Toc147500270"/>
      <w:r>
        <w:t xml:space="preserve">Table </w:t>
      </w:r>
      <w:r w:rsidR="005E3D2F">
        <w:t>4</w:t>
      </w:r>
      <w:r>
        <w:t>: Employer SG payment frequency for the 2021-22 financial year – count of employers</w:t>
      </w:r>
      <w:bookmarkEnd w:id="48"/>
    </w:p>
    <w:tbl>
      <w:tblPr>
        <w:tblStyle w:val="GridTable1Light"/>
        <w:tblW w:w="9752" w:type="dxa"/>
        <w:tblInd w:w="-147" w:type="dxa"/>
        <w:tblLayout w:type="fixed"/>
        <w:tblLook w:val="04A0" w:firstRow="1" w:lastRow="0" w:firstColumn="1" w:lastColumn="0" w:noHBand="0" w:noVBand="1"/>
      </w:tblPr>
      <w:tblGrid>
        <w:gridCol w:w="1393"/>
        <w:gridCol w:w="1393"/>
        <w:gridCol w:w="1393"/>
        <w:gridCol w:w="1393"/>
        <w:gridCol w:w="1393"/>
        <w:gridCol w:w="1393"/>
        <w:gridCol w:w="1394"/>
      </w:tblGrid>
      <w:tr w:rsidR="00F90913" w14:paraId="03219E36" w14:textId="77777777">
        <w:trPr>
          <w:cnfStyle w:val="100000000000" w:firstRow="1" w:lastRow="0" w:firstColumn="0" w:lastColumn="0" w:oddVBand="0" w:evenVBand="0" w:oddHBand="0" w:evenHBand="0" w:firstRowFirstColumn="0" w:firstRowLastColumn="0" w:lastRowFirstColumn="0" w:lastRowLastColumn="0"/>
          <w:trHeight w:val="646"/>
        </w:trPr>
        <w:tc>
          <w:tcPr>
            <w:cnfStyle w:val="001000000000" w:firstRow="0" w:lastRow="0" w:firstColumn="1" w:lastColumn="0" w:oddVBand="0" w:evenVBand="0" w:oddHBand="0" w:evenHBand="0" w:firstRowFirstColumn="0" w:firstRowLastColumn="0" w:lastRowFirstColumn="0" w:lastRowLastColumn="0"/>
            <w:tcW w:w="1393" w:type="dxa"/>
            <w:shd w:val="clear" w:color="auto" w:fill="EEEEEE" w:themeFill="background2"/>
          </w:tcPr>
          <w:p w14:paraId="7DA4DF34" w14:textId="77777777" w:rsidR="000E5323" w:rsidRPr="002C5763" w:rsidRDefault="000E5323">
            <w:pPr>
              <w:pStyle w:val="Bullet"/>
              <w:numPr>
                <w:ilvl w:val="0"/>
                <w:numId w:val="0"/>
              </w:numPr>
            </w:pPr>
            <w:r>
              <w:t>Employer market s</w:t>
            </w:r>
            <w:r w:rsidRPr="00787304">
              <w:t>egment</w:t>
            </w:r>
          </w:p>
        </w:tc>
        <w:tc>
          <w:tcPr>
            <w:tcW w:w="1393" w:type="dxa"/>
            <w:shd w:val="clear" w:color="auto" w:fill="EEEEEE" w:themeFill="background2"/>
          </w:tcPr>
          <w:p w14:paraId="3913B7EA" w14:textId="77777777" w:rsidR="000E5323" w:rsidRPr="003A180E" w:rsidRDefault="000E5323">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787304">
              <w:t>Weekly</w:t>
            </w:r>
          </w:p>
        </w:tc>
        <w:tc>
          <w:tcPr>
            <w:tcW w:w="1393" w:type="dxa"/>
            <w:shd w:val="clear" w:color="auto" w:fill="EEEEEE" w:themeFill="background2"/>
          </w:tcPr>
          <w:p w14:paraId="448366BF" w14:textId="77777777" w:rsidR="000E5323" w:rsidRPr="003A180E" w:rsidRDefault="000E5323">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787304">
              <w:t>Fortnightly</w:t>
            </w:r>
          </w:p>
        </w:tc>
        <w:tc>
          <w:tcPr>
            <w:tcW w:w="1393" w:type="dxa"/>
            <w:shd w:val="clear" w:color="auto" w:fill="EEEEEE" w:themeFill="background2"/>
          </w:tcPr>
          <w:p w14:paraId="000985F5" w14:textId="77777777" w:rsidR="000E5323" w:rsidRPr="003A180E" w:rsidRDefault="000E5323">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787304">
              <w:t>Monthly</w:t>
            </w:r>
          </w:p>
        </w:tc>
        <w:tc>
          <w:tcPr>
            <w:tcW w:w="1393" w:type="dxa"/>
            <w:shd w:val="clear" w:color="auto" w:fill="EEEEEE" w:themeFill="background2"/>
          </w:tcPr>
          <w:p w14:paraId="0864AFF2" w14:textId="77777777" w:rsidR="000E5323" w:rsidRPr="003A180E" w:rsidRDefault="000E5323">
            <w:pPr>
              <w:pStyle w:val="Bullet"/>
              <w:numPr>
                <w:ilvl w:val="0"/>
                <w:numId w:val="0"/>
              </w:numPr>
              <w:cnfStyle w:val="100000000000" w:firstRow="1" w:lastRow="0" w:firstColumn="0" w:lastColumn="0" w:oddVBand="0" w:evenVBand="0" w:oddHBand="0" w:evenHBand="0" w:firstRowFirstColumn="0" w:firstRowLastColumn="0" w:lastRowFirstColumn="0" w:lastRowLastColumn="0"/>
              <w:rPr>
                <w:b w:val="0"/>
              </w:rPr>
            </w:pPr>
            <w:r w:rsidRPr="00787304">
              <w:t>Quarterly</w:t>
            </w:r>
          </w:p>
        </w:tc>
        <w:tc>
          <w:tcPr>
            <w:tcW w:w="1393" w:type="dxa"/>
            <w:shd w:val="clear" w:color="auto" w:fill="EEEEEE" w:themeFill="background2"/>
          </w:tcPr>
          <w:p w14:paraId="19BE8347" w14:textId="77777777" w:rsidR="000E5323" w:rsidRPr="002C5763" w:rsidRDefault="000E5323">
            <w:pPr>
              <w:pStyle w:val="Bullet"/>
              <w:numPr>
                <w:ilvl w:val="0"/>
                <w:numId w:val="0"/>
              </w:numPr>
              <w:cnfStyle w:val="100000000000" w:firstRow="1" w:lastRow="0" w:firstColumn="0" w:lastColumn="0" w:oddVBand="0" w:evenVBand="0" w:oddHBand="0" w:evenHBand="0" w:firstRowFirstColumn="0" w:firstRowLastColumn="0" w:lastRowFirstColumn="0" w:lastRowLastColumn="0"/>
            </w:pPr>
            <w:r>
              <w:t>NA**</w:t>
            </w:r>
          </w:p>
        </w:tc>
        <w:tc>
          <w:tcPr>
            <w:tcW w:w="1394" w:type="dxa"/>
            <w:shd w:val="clear" w:color="auto" w:fill="EEEEEE" w:themeFill="background2"/>
          </w:tcPr>
          <w:p w14:paraId="3CBEE9F1" w14:textId="77777777" w:rsidR="000E5323" w:rsidRDefault="000E5323">
            <w:pPr>
              <w:pStyle w:val="Bullet"/>
              <w:numPr>
                <w:ilvl w:val="0"/>
                <w:numId w:val="0"/>
              </w:numPr>
              <w:cnfStyle w:val="100000000000" w:firstRow="1" w:lastRow="0" w:firstColumn="0" w:lastColumn="0" w:oddVBand="0" w:evenVBand="0" w:oddHBand="0" w:evenHBand="0" w:firstRowFirstColumn="0" w:firstRowLastColumn="0" w:lastRowFirstColumn="0" w:lastRowLastColumn="0"/>
            </w:pPr>
            <w:r>
              <w:t>Total</w:t>
            </w:r>
          </w:p>
        </w:tc>
      </w:tr>
      <w:tr w:rsidR="000E5323" w14:paraId="2B9194F6" w14:textId="77777777">
        <w:trPr>
          <w:trHeight w:val="564"/>
        </w:trPr>
        <w:tc>
          <w:tcPr>
            <w:cnfStyle w:val="001000000000" w:firstRow="0" w:lastRow="0" w:firstColumn="1" w:lastColumn="0" w:oddVBand="0" w:evenVBand="0" w:oddHBand="0" w:evenHBand="0" w:firstRowFirstColumn="0" w:firstRowLastColumn="0" w:lastRowFirstColumn="0" w:lastRowLastColumn="0"/>
            <w:tcW w:w="1393" w:type="dxa"/>
          </w:tcPr>
          <w:p w14:paraId="3BBF2ED8" w14:textId="77777777" w:rsidR="000E5323" w:rsidRPr="00296DC7" w:rsidRDefault="000E5323">
            <w:pPr>
              <w:pStyle w:val="Bullet"/>
              <w:numPr>
                <w:ilvl w:val="0"/>
                <w:numId w:val="0"/>
              </w:numPr>
              <w:rPr>
                <w:b w:val="0"/>
                <w:bCs w:val="0"/>
              </w:rPr>
            </w:pPr>
            <w:r w:rsidRPr="00B06CDB">
              <w:t>Government</w:t>
            </w:r>
          </w:p>
        </w:tc>
        <w:tc>
          <w:tcPr>
            <w:tcW w:w="1393" w:type="dxa"/>
          </w:tcPr>
          <w:p w14:paraId="3074FB46"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24 </w:t>
            </w:r>
          </w:p>
        </w:tc>
        <w:tc>
          <w:tcPr>
            <w:tcW w:w="1393" w:type="dxa"/>
          </w:tcPr>
          <w:p w14:paraId="12D87F01"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922 </w:t>
            </w:r>
          </w:p>
        </w:tc>
        <w:tc>
          <w:tcPr>
            <w:tcW w:w="1393" w:type="dxa"/>
          </w:tcPr>
          <w:p w14:paraId="168D0349"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1,451 </w:t>
            </w:r>
          </w:p>
        </w:tc>
        <w:tc>
          <w:tcPr>
            <w:tcW w:w="1393" w:type="dxa"/>
          </w:tcPr>
          <w:p w14:paraId="3AC3CAA8" w14:textId="30E31C5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424 </w:t>
            </w:r>
          </w:p>
        </w:tc>
        <w:tc>
          <w:tcPr>
            <w:tcW w:w="1393" w:type="dxa"/>
          </w:tcPr>
          <w:p w14:paraId="04425F49"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485 </w:t>
            </w:r>
          </w:p>
        </w:tc>
        <w:tc>
          <w:tcPr>
            <w:tcW w:w="1394" w:type="dxa"/>
          </w:tcPr>
          <w:p w14:paraId="014E153E"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2"/>
              </w:rPr>
              <w:t xml:space="preserve">3,306 </w:t>
            </w:r>
          </w:p>
        </w:tc>
      </w:tr>
      <w:tr w:rsidR="000E5323" w14:paraId="09691DEA" w14:textId="77777777">
        <w:trPr>
          <w:trHeight w:val="593"/>
        </w:trPr>
        <w:tc>
          <w:tcPr>
            <w:cnfStyle w:val="001000000000" w:firstRow="0" w:lastRow="0" w:firstColumn="1" w:lastColumn="0" w:oddVBand="0" w:evenVBand="0" w:oddHBand="0" w:evenHBand="0" w:firstRowFirstColumn="0" w:firstRowLastColumn="0" w:lastRowFirstColumn="0" w:lastRowLastColumn="0"/>
            <w:tcW w:w="1393" w:type="dxa"/>
          </w:tcPr>
          <w:p w14:paraId="0B0C6602" w14:textId="77777777" w:rsidR="000E5323" w:rsidRPr="00296DC7" w:rsidRDefault="000E5323">
            <w:pPr>
              <w:pStyle w:val="Bullet"/>
              <w:numPr>
                <w:ilvl w:val="0"/>
                <w:numId w:val="0"/>
              </w:numPr>
              <w:rPr>
                <w:b w:val="0"/>
                <w:bCs w:val="0"/>
              </w:rPr>
            </w:pPr>
            <w:r w:rsidRPr="00B06CDB">
              <w:t>Individuals</w:t>
            </w:r>
          </w:p>
        </w:tc>
        <w:tc>
          <w:tcPr>
            <w:tcW w:w="1393" w:type="dxa"/>
          </w:tcPr>
          <w:p w14:paraId="75B20206"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8 </w:t>
            </w:r>
          </w:p>
        </w:tc>
        <w:tc>
          <w:tcPr>
            <w:tcW w:w="1393" w:type="dxa"/>
          </w:tcPr>
          <w:p w14:paraId="49049794"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4 </w:t>
            </w:r>
          </w:p>
        </w:tc>
        <w:tc>
          <w:tcPr>
            <w:tcW w:w="1393" w:type="dxa"/>
          </w:tcPr>
          <w:p w14:paraId="5037E082"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157 </w:t>
            </w:r>
          </w:p>
        </w:tc>
        <w:tc>
          <w:tcPr>
            <w:tcW w:w="1393" w:type="dxa"/>
          </w:tcPr>
          <w:p w14:paraId="0AACA99B"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463 </w:t>
            </w:r>
          </w:p>
        </w:tc>
        <w:tc>
          <w:tcPr>
            <w:tcW w:w="1393" w:type="dxa"/>
          </w:tcPr>
          <w:p w14:paraId="1CF352A3"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 </w:t>
            </w:r>
          </w:p>
        </w:tc>
        <w:tc>
          <w:tcPr>
            <w:tcW w:w="1394" w:type="dxa"/>
          </w:tcPr>
          <w:p w14:paraId="3DB5FAF3"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2"/>
              </w:rPr>
              <w:t xml:space="preserve">633 </w:t>
            </w:r>
          </w:p>
        </w:tc>
      </w:tr>
      <w:tr w:rsidR="000E5323" w14:paraId="18832C0D" w14:textId="77777777">
        <w:trPr>
          <w:trHeight w:val="572"/>
        </w:trPr>
        <w:tc>
          <w:tcPr>
            <w:cnfStyle w:val="001000000000" w:firstRow="0" w:lastRow="0" w:firstColumn="1" w:lastColumn="0" w:oddVBand="0" w:evenVBand="0" w:oddHBand="0" w:evenHBand="0" w:firstRowFirstColumn="0" w:firstRowLastColumn="0" w:lastRowFirstColumn="0" w:lastRowLastColumn="0"/>
            <w:tcW w:w="1393" w:type="dxa"/>
          </w:tcPr>
          <w:p w14:paraId="20AD411F" w14:textId="77777777" w:rsidR="000E5323" w:rsidRPr="00296DC7" w:rsidRDefault="000E5323">
            <w:pPr>
              <w:pStyle w:val="Bullet"/>
              <w:numPr>
                <w:ilvl w:val="0"/>
                <w:numId w:val="0"/>
              </w:numPr>
              <w:rPr>
                <w:b w:val="0"/>
                <w:bCs w:val="0"/>
              </w:rPr>
            </w:pPr>
            <w:r w:rsidRPr="00B06CDB">
              <w:t>Large market</w:t>
            </w:r>
          </w:p>
        </w:tc>
        <w:tc>
          <w:tcPr>
            <w:tcW w:w="1393" w:type="dxa"/>
          </w:tcPr>
          <w:p w14:paraId="31A8150F"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78 </w:t>
            </w:r>
          </w:p>
        </w:tc>
        <w:tc>
          <w:tcPr>
            <w:tcW w:w="1393" w:type="dxa"/>
          </w:tcPr>
          <w:p w14:paraId="183CAF47"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391 </w:t>
            </w:r>
          </w:p>
        </w:tc>
        <w:tc>
          <w:tcPr>
            <w:tcW w:w="1393" w:type="dxa"/>
          </w:tcPr>
          <w:p w14:paraId="6B1CED90"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6,209 </w:t>
            </w:r>
          </w:p>
        </w:tc>
        <w:tc>
          <w:tcPr>
            <w:tcW w:w="1393" w:type="dxa"/>
          </w:tcPr>
          <w:p w14:paraId="4FD2A50C"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1,183 </w:t>
            </w:r>
          </w:p>
        </w:tc>
        <w:tc>
          <w:tcPr>
            <w:tcW w:w="1393" w:type="dxa"/>
          </w:tcPr>
          <w:p w14:paraId="5F12A163"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42 </w:t>
            </w:r>
          </w:p>
        </w:tc>
        <w:tc>
          <w:tcPr>
            <w:tcW w:w="1394" w:type="dxa"/>
          </w:tcPr>
          <w:p w14:paraId="68C63F9C"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2"/>
              </w:rPr>
              <w:t xml:space="preserve">7,903 </w:t>
            </w:r>
          </w:p>
        </w:tc>
      </w:tr>
      <w:tr w:rsidR="000E5323" w14:paraId="57BE437F" w14:textId="77777777">
        <w:trPr>
          <w:trHeight w:val="566"/>
        </w:trPr>
        <w:tc>
          <w:tcPr>
            <w:cnfStyle w:val="001000000000" w:firstRow="0" w:lastRow="0" w:firstColumn="1" w:lastColumn="0" w:oddVBand="0" w:evenVBand="0" w:oddHBand="0" w:evenHBand="0" w:firstRowFirstColumn="0" w:firstRowLastColumn="0" w:lastRowFirstColumn="0" w:lastRowLastColumn="0"/>
            <w:tcW w:w="1393" w:type="dxa"/>
          </w:tcPr>
          <w:p w14:paraId="7B3DA32B" w14:textId="77777777" w:rsidR="000E5323" w:rsidRPr="00296DC7" w:rsidRDefault="000E5323">
            <w:pPr>
              <w:pStyle w:val="Bullet"/>
              <w:numPr>
                <w:ilvl w:val="0"/>
                <w:numId w:val="0"/>
              </w:numPr>
              <w:rPr>
                <w:b w:val="0"/>
                <w:bCs w:val="0"/>
              </w:rPr>
            </w:pPr>
            <w:r w:rsidRPr="00B06CDB">
              <w:t>Micro</w:t>
            </w:r>
          </w:p>
        </w:tc>
        <w:tc>
          <w:tcPr>
            <w:tcW w:w="1393" w:type="dxa"/>
          </w:tcPr>
          <w:p w14:paraId="06A9AE86"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10,915 </w:t>
            </w:r>
          </w:p>
        </w:tc>
        <w:tc>
          <w:tcPr>
            <w:tcW w:w="1393" w:type="dxa"/>
          </w:tcPr>
          <w:p w14:paraId="3698EE92"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11,520 </w:t>
            </w:r>
          </w:p>
        </w:tc>
        <w:tc>
          <w:tcPr>
            <w:tcW w:w="1393" w:type="dxa"/>
          </w:tcPr>
          <w:p w14:paraId="2405311B"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157,294 </w:t>
            </w:r>
          </w:p>
        </w:tc>
        <w:tc>
          <w:tcPr>
            <w:tcW w:w="1393" w:type="dxa"/>
          </w:tcPr>
          <w:p w14:paraId="76399905" w14:textId="13C30F5F"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403,894 </w:t>
            </w:r>
          </w:p>
        </w:tc>
        <w:tc>
          <w:tcPr>
            <w:tcW w:w="1393" w:type="dxa"/>
          </w:tcPr>
          <w:p w14:paraId="1AB04835"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4,796 </w:t>
            </w:r>
          </w:p>
        </w:tc>
        <w:tc>
          <w:tcPr>
            <w:tcW w:w="1394" w:type="dxa"/>
          </w:tcPr>
          <w:p w14:paraId="77CEE89A"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2"/>
              </w:rPr>
              <w:t xml:space="preserve">588,419 </w:t>
            </w:r>
          </w:p>
        </w:tc>
      </w:tr>
      <w:tr w:rsidR="000E5323" w14:paraId="2474CEC3" w14:textId="77777777">
        <w:trPr>
          <w:trHeight w:val="574"/>
        </w:trPr>
        <w:tc>
          <w:tcPr>
            <w:cnfStyle w:val="001000000000" w:firstRow="0" w:lastRow="0" w:firstColumn="1" w:lastColumn="0" w:oddVBand="0" w:evenVBand="0" w:oddHBand="0" w:evenHBand="0" w:firstRowFirstColumn="0" w:firstRowLastColumn="0" w:lastRowFirstColumn="0" w:lastRowLastColumn="0"/>
            <w:tcW w:w="1393" w:type="dxa"/>
          </w:tcPr>
          <w:p w14:paraId="39303A2D" w14:textId="77777777" w:rsidR="000E5323" w:rsidRPr="00296DC7" w:rsidRDefault="000E5323">
            <w:pPr>
              <w:pStyle w:val="Bullet"/>
              <w:numPr>
                <w:ilvl w:val="0"/>
                <w:numId w:val="0"/>
              </w:numPr>
              <w:rPr>
                <w:b w:val="0"/>
                <w:bCs w:val="0"/>
              </w:rPr>
            </w:pPr>
            <w:r w:rsidRPr="00B06CDB">
              <w:t>Not for profit</w:t>
            </w:r>
          </w:p>
        </w:tc>
        <w:tc>
          <w:tcPr>
            <w:tcW w:w="1393" w:type="dxa"/>
          </w:tcPr>
          <w:p w14:paraId="0A349E6D"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90 </w:t>
            </w:r>
          </w:p>
        </w:tc>
        <w:tc>
          <w:tcPr>
            <w:tcW w:w="1393" w:type="dxa"/>
          </w:tcPr>
          <w:p w14:paraId="1FAE796A"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933 </w:t>
            </w:r>
          </w:p>
        </w:tc>
        <w:tc>
          <w:tcPr>
            <w:tcW w:w="1393" w:type="dxa"/>
          </w:tcPr>
          <w:p w14:paraId="0374ABBB"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15,591 </w:t>
            </w:r>
          </w:p>
        </w:tc>
        <w:tc>
          <w:tcPr>
            <w:tcW w:w="1393" w:type="dxa"/>
          </w:tcPr>
          <w:p w14:paraId="2DECDEB4" w14:textId="3D317A3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13,020 </w:t>
            </w:r>
          </w:p>
        </w:tc>
        <w:tc>
          <w:tcPr>
            <w:tcW w:w="1393" w:type="dxa"/>
          </w:tcPr>
          <w:p w14:paraId="73287AF3"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159 </w:t>
            </w:r>
          </w:p>
        </w:tc>
        <w:tc>
          <w:tcPr>
            <w:tcW w:w="1394" w:type="dxa"/>
          </w:tcPr>
          <w:p w14:paraId="7301BB21"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2"/>
              </w:rPr>
              <w:t xml:space="preserve">29,793 </w:t>
            </w:r>
          </w:p>
        </w:tc>
      </w:tr>
      <w:tr w:rsidR="000E5323" w14:paraId="146196E7" w14:textId="77777777">
        <w:trPr>
          <w:trHeight w:val="583"/>
        </w:trPr>
        <w:tc>
          <w:tcPr>
            <w:cnfStyle w:val="001000000000" w:firstRow="0" w:lastRow="0" w:firstColumn="1" w:lastColumn="0" w:oddVBand="0" w:evenVBand="0" w:oddHBand="0" w:evenHBand="0" w:firstRowFirstColumn="0" w:firstRowLastColumn="0" w:lastRowFirstColumn="0" w:lastRowLastColumn="0"/>
            <w:tcW w:w="1393" w:type="dxa"/>
          </w:tcPr>
          <w:p w14:paraId="302CC65D" w14:textId="77777777" w:rsidR="000E5323" w:rsidRPr="00296DC7" w:rsidRDefault="000E5323">
            <w:pPr>
              <w:pStyle w:val="Bullet"/>
              <w:numPr>
                <w:ilvl w:val="0"/>
                <w:numId w:val="0"/>
              </w:numPr>
              <w:rPr>
                <w:b w:val="0"/>
                <w:bCs w:val="0"/>
              </w:rPr>
            </w:pPr>
            <w:r w:rsidRPr="00B06CDB">
              <w:t>Small-medium enterprise</w:t>
            </w:r>
          </w:p>
        </w:tc>
        <w:tc>
          <w:tcPr>
            <w:tcW w:w="1393" w:type="dxa"/>
          </w:tcPr>
          <w:p w14:paraId="40C2A81D"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2,555 </w:t>
            </w:r>
          </w:p>
        </w:tc>
        <w:tc>
          <w:tcPr>
            <w:tcW w:w="1393" w:type="dxa"/>
          </w:tcPr>
          <w:p w14:paraId="06B84192"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2,371 </w:t>
            </w:r>
          </w:p>
        </w:tc>
        <w:tc>
          <w:tcPr>
            <w:tcW w:w="1393" w:type="dxa"/>
          </w:tcPr>
          <w:p w14:paraId="65B83A21"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76,680 </w:t>
            </w:r>
          </w:p>
        </w:tc>
        <w:tc>
          <w:tcPr>
            <w:tcW w:w="1393" w:type="dxa"/>
          </w:tcPr>
          <w:p w14:paraId="679AF7C0"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70,357 </w:t>
            </w:r>
          </w:p>
        </w:tc>
        <w:tc>
          <w:tcPr>
            <w:tcW w:w="1393" w:type="dxa"/>
          </w:tcPr>
          <w:p w14:paraId="3F1F72F1"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1,255 </w:t>
            </w:r>
          </w:p>
        </w:tc>
        <w:tc>
          <w:tcPr>
            <w:tcW w:w="1394" w:type="dxa"/>
          </w:tcPr>
          <w:p w14:paraId="34895A7F"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2"/>
              </w:rPr>
              <w:t xml:space="preserve">153,218 </w:t>
            </w:r>
          </w:p>
        </w:tc>
      </w:tr>
      <w:tr w:rsidR="000E5323" w14:paraId="658551C9" w14:textId="77777777">
        <w:trPr>
          <w:trHeight w:val="576"/>
        </w:trPr>
        <w:tc>
          <w:tcPr>
            <w:cnfStyle w:val="001000000000" w:firstRow="0" w:lastRow="0" w:firstColumn="1" w:lastColumn="0" w:oddVBand="0" w:evenVBand="0" w:oddHBand="0" w:evenHBand="0" w:firstRowFirstColumn="0" w:firstRowLastColumn="0" w:lastRowFirstColumn="0" w:lastRowLastColumn="0"/>
            <w:tcW w:w="1393" w:type="dxa"/>
          </w:tcPr>
          <w:p w14:paraId="7EE6CA72" w14:textId="77777777" w:rsidR="000E5323" w:rsidRPr="00296DC7" w:rsidRDefault="000E5323">
            <w:pPr>
              <w:pStyle w:val="Bullet"/>
              <w:numPr>
                <w:ilvl w:val="0"/>
                <w:numId w:val="0"/>
              </w:numPr>
              <w:rPr>
                <w:b w:val="0"/>
                <w:bCs w:val="0"/>
              </w:rPr>
            </w:pPr>
            <w:r w:rsidRPr="00B06CDB">
              <w:t>Unknown*</w:t>
            </w:r>
          </w:p>
        </w:tc>
        <w:tc>
          <w:tcPr>
            <w:tcW w:w="1393" w:type="dxa"/>
          </w:tcPr>
          <w:p w14:paraId="76F16FE5"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128 </w:t>
            </w:r>
          </w:p>
        </w:tc>
        <w:tc>
          <w:tcPr>
            <w:tcW w:w="1393" w:type="dxa"/>
          </w:tcPr>
          <w:p w14:paraId="275EA765"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203 </w:t>
            </w:r>
          </w:p>
        </w:tc>
        <w:tc>
          <w:tcPr>
            <w:tcW w:w="1393" w:type="dxa"/>
          </w:tcPr>
          <w:p w14:paraId="75488343"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3,062 </w:t>
            </w:r>
          </w:p>
        </w:tc>
        <w:tc>
          <w:tcPr>
            <w:tcW w:w="1393" w:type="dxa"/>
          </w:tcPr>
          <w:p w14:paraId="79E09CAB"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8,942 </w:t>
            </w:r>
          </w:p>
        </w:tc>
        <w:tc>
          <w:tcPr>
            <w:tcW w:w="1393" w:type="dxa"/>
          </w:tcPr>
          <w:p w14:paraId="38E74BBA"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sidRPr="00296DC7">
              <w:rPr>
                <w:rFonts w:cs="Calibri Light"/>
                <w:color w:val="000000"/>
                <w:szCs w:val="22"/>
              </w:rPr>
              <w:t xml:space="preserve">47 </w:t>
            </w:r>
          </w:p>
        </w:tc>
        <w:tc>
          <w:tcPr>
            <w:tcW w:w="1394" w:type="dxa"/>
          </w:tcPr>
          <w:p w14:paraId="1C50DEF0" w14:textId="77777777" w:rsidR="000E5323" w:rsidRPr="00FD4938"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Cs w:val="22"/>
              </w:rPr>
              <w:t xml:space="preserve">12,382 </w:t>
            </w:r>
          </w:p>
        </w:tc>
      </w:tr>
      <w:tr w:rsidR="000E5323" w14:paraId="58211D9F" w14:textId="77777777">
        <w:trPr>
          <w:trHeight w:val="585"/>
        </w:trPr>
        <w:tc>
          <w:tcPr>
            <w:cnfStyle w:val="001000000000" w:firstRow="0" w:lastRow="0" w:firstColumn="1" w:lastColumn="0" w:oddVBand="0" w:evenVBand="0" w:oddHBand="0" w:evenHBand="0" w:firstRowFirstColumn="0" w:firstRowLastColumn="0" w:lastRowFirstColumn="0" w:lastRowLastColumn="0"/>
            <w:tcW w:w="1393" w:type="dxa"/>
          </w:tcPr>
          <w:p w14:paraId="469F797D" w14:textId="77777777" w:rsidR="000E5323" w:rsidRPr="00787304" w:rsidRDefault="000E5323">
            <w:pPr>
              <w:pStyle w:val="Bullet"/>
              <w:numPr>
                <w:ilvl w:val="0"/>
                <w:numId w:val="0"/>
              </w:numPr>
            </w:pPr>
            <w:r>
              <w:t>Total</w:t>
            </w:r>
          </w:p>
        </w:tc>
        <w:tc>
          <w:tcPr>
            <w:tcW w:w="1393" w:type="dxa"/>
          </w:tcPr>
          <w:p w14:paraId="6F0498B5"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 xml:space="preserve">13,798 </w:t>
            </w:r>
          </w:p>
        </w:tc>
        <w:tc>
          <w:tcPr>
            <w:tcW w:w="1393" w:type="dxa"/>
          </w:tcPr>
          <w:p w14:paraId="1E6351F7"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 xml:space="preserve">16,344 </w:t>
            </w:r>
          </w:p>
        </w:tc>
        <w:tc>
          <w:tcPr>
            <w:tcW w:w="1393" w:type="dxa"/>
          </w:tcPr>
          <w:p w14:paraId="634C2E18"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 xml:space="preserve">260,444 </w:t>
            </w:r>
          </w:p>
        </w:tc>
        <w:tc>
          <w:tcPr>
            <w:tcW w:w="1393" w:type="dxa"/>
          </w:tcPr>
          <w:p w14:paraId="7C9145DA"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 xml:space="preserve">498,283 </w:t>
            </w:r>
          </w:p>
        </w:tc>
        <w:tc>
          <w:tcPr>
            <w:tcW w:w="1393" w:type="dxa"/>
          </w:tcPr>
          <w:p w14:paraId="6C31B50D"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 xml:space="preserve">6,785 </w:t>
            </w:r>
          </w:p>
        </w:tc>
        <w:tc>
          <w:tcPr>
            <w:tcW w:w="1394" w:type="dxa"/>
          </w:tcPr>
          <w:p w14:paraId="49FBB37A"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Pr>
                <w:rFonts w:ascii="Calibri" w:hAnsi="Calibri" w:cs="Calibri"/>
                <w:b/>
                <w:bCs/>
                <w:color w:val="000000"/>
                <w:szCs w:val="22"/>
              </w:rPr>
              <w:t xml:space="preserve">795,654 </w:t>
            </w:r>
          </w:p>
        </w:tc>
      </w:tr>
      <w:tr w:rsidR="000E5323" w14:paraId="73FF0257" w14:textId="77777777">
        <w:trPr>
          <w:trHeight w:val="564"/>
        </w:trPr>
        <w:tc>
          <w:tcPr>
            <w:cnfStyle w:val="001000000000" w:firstRow="0" w:lastRow="0" w:firstColumn="1" w:lastColumn="0" w:oddVBand="0" w:evenVBand="0" w:oddHBand="0" w:evenHBand="0" w:firstRowFirstColumn="0" w:firstRowLastColumn="0" w:lastRowFirstColumn="0" w:lastRowLastColumn="0"/>
            <w:tcW w:w="1393" w:type="dxa"/>
          </w:tcPr>
          <w:p w14:paraId="097A2F7C" w14:textId="77777777" w:rsidR="000E5323" w:rsidRPr="00787304" w:rsidRDefault="000E5323">
            <w:pPr>
              <w:pStyle w:val="Bullet"/>
              <w:numPr>
                <w:ilvl w:val="0"/>
                <w:numId w:val="0"/>
              </w:numPr>
            </w:pPr>
            <w:r>
              <w:t>Percentage of total</w:t>
            </w:r>
          </w:p>
        </w:tc>
        <w:tc>
          <w:tcPr>
            <w:tcW w:w="1393" w:type="dxa"/>
          </w:tcPr>
          <w:p w14:paraId="2F7C6FE8"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1.7%</w:t>
            </w:r>
          </w:p>
        </w:tc>
        <w:tc>
          <w:tcPr>
            <w:tcW w:w="1393" w:type="dxa"/>
          </w:tcPr>
          <w:p w14:paraId="53DDD22D"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2.1%</w:t>
            </w:r>
          </w:p>
        </w:tc>
        <w:tc>
          <w:tcPr>
            <w:tcW w:w="1393" w:type="dxa"/>
          </w:tcPr>
          <w:p w14:paraId="7FD4D957" w14:textId="2E2A6D7E"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32.7%</w:t>
            </w:r>
          </w:p>
        </w:tc>
        <w:tc>
          <w:tcPr>
            <w:tcW w:w="1393" w:type="dxa"/>
          </w:tcPr>
          <w:p w14:paraId="23A2EC5F"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62.6%</w:t>
            </w:r>
          </w:p>
        </w:tc>
        <w:tc>
          <w:tcPr>
            <w:tcW w:w="1393" w:type="dxa"/>
          </w:tcPr>
          <w:p w14:paraId="3C52C577"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sidRPr="00296DC7">
              <w:rPr>
                <w:rFonts w:cs="Calibri Light"/>
                <w:b/>
                <w:bCs/>
                <w:color w:val="000000"/>
                <w:szCs w:val="22"/>
              </w:rPr>
              <w:t>0.9%</w:t>
            </w:r>
          </w:p>
        </w:tc>
        <w:tc>
          <w:tcPr>
            <w:tcW w:w="1394" w:type="dxa"/>
          </w:tcPr>
          <w:p w14:paraId="4E6E2E9C" w14:textId="77777777" w:rsidR="000E5323" w:rsidRPr="00296DC7" w:rsidRDefault="000E5323">
            <w:pPr>
              <w:pStyle w:val="Bullet"/>
              <w:numPr>
                <w:ilvl w:val="0"/>
                <w:numId w:val="0"/>
              </w:numPr>
              <w:cnfStyle w:val="000000000000" w:firstRow="0" w:lastRow="0" w:firstColumn="0" w:lastColumn="0" w:oddVBand="0" w:evenVBand="0" w:oddHBand="0" w:evenHBand="0" w:firstRowFirstColumn="0" w:firstRowLastColumn="0" w:lastRowFirstColumn="0" w:lastRowLastColumn="0"/>
              <w:rPr>
                <w:b/>
              </w:rPr>
            </w:pPr>
            <w:r>
              <w:rPr>
                <w:rFonts w:ascii="Calibri" w:hAnsi="Calibri" w:cs="Calibri"/>
                <w:b/>
                <w:bCs/>
                <w:color w:val="000000"/>
                <w:szCs w:val="22"/>
              </w:rPr>
              <w:t>100.0%</w:t>
            </w:r>
          </w:p>
        </w:tc>
      </w:tr>
    </w:tbl>
    <w:p w14:paraId="1909C47C" w14:textId="77777777" w:rsidR="000E5323" w:rsidRPr="00296DC7" w:rsidRDefault="000E5323" w:rsidP="000E5323">
      <w:pPr>
        <w:pStyle w:val="BodyText"/>
        <w:rPr>
          <w:sz w:val="18"/>
          <w:szCs w:val="18"/>
        </w:rPr>
      </w:pPr>
      <w:r>
        <w:rPr>
          <w:sz w:val="18"/>
          <w:szCs w:val="18"/>
        </w:rPr>
        <w:t>*</w:t>
      </w:r>
      <w:r w:rsidRPr="00296DC7">
        <w:rPr>
          <w:sz w:val="18"/>
          <w:szCs w:val="18"/>
        </w:rPr>
        <w:t>Note: Unknown refers to other entities where the ATO has not categorised the market segment</w:t>
      </w:r>
    </w:p>
    <w:p w14:paraId="26C38CB6" w14:textId="2CB748A0" w:rsidR="000E5323" w:rsidRDefault="000E5323" w:rsidP="000E5323">
      <w:pPr>
        <w:pStyle w:val="BodyText"/>
        <w:rPr>
          <w:sz w:val="18"/>
          <w:szCs w:val="18"/>
        </w:rPr>
      </w:pPr>
      <w:r>
        <w:rPr>
          <w:sz w:val="18"/>
          <w:szCs w:val="18"/>
        </w:rPr>
        <w:t>**</w:t>
      </w:r>
      <w:r w:rsidRPr="00296DC7">
        <w:rPr>
          <w:sz w:val="18"/>
          <w:szCs w:val="18"/>
        </w:rPr>
        <w:t xml:space="preserve">Note: NA refers to payments received on an </w:t>
      </w:r>
      <w:proofErr w:type="spellStart"/>
      <w:r w:rsidRPr="00296DC7">
        <w:rPr>
          <w:sz w:val="18"/>
          <w:szCs w:val="18"/>
        </w:rPr>
        <w:t>adhoc</w:t>
      </w:r>
      <w:proofErr w:type="spellEnd"/>
      <w:r w:rsidRPr="00296DC7">
        <w:rPr>
          <w:sz w:val="18"/>
          <w:szCs w:val="18"/>
        </w:rPr>
        <w:t xml:space="preserve"> basis or at other frequencies that </w:t>
      </w:r>
      <w:proofErr w:type="spellStart"/>
      <w:r w:rsidRPr="00296DC7">
        <w:rPr>
          <w:sz w:val="18"/>
          <w:szCs w:val="18"/>
        </w:rPr>
        <w:t>can not</w:t>
      </w:r>
      <w:proofErr w:type="spellEnd"/>
      <w:r w:rsidRPr="00296DC7">
        <w:rPr>
          <w:sz w:val="18"/>
          <w:szCs w:val="18"/>
        </w:rPr>
        <w:t xml:space="preserve"> be attributed to weekly, fortnightly, </w:t>
      </w:r>
      <w:proofErr w:type="gramStart"/>
      <w:r w:rsidRPr="00296DC7">
        <w:rPr>
          <w:sz w:val="18"/>
          <w:szCs w:val="18"/>
        </w:rPr>
        <w:t>monthly</w:t>
      </w:r>
      <w:proofErr w:type="gramEnd"/>
      <w:r w:rsidRPr="00296DC7">
        <w:rPr>
          <w:sz w:val="18"/>
          <w:szCs w:val="18"/>
        </w:rPr>
        <w:t xml:space="preserve"> or quarterly patterns.</w:t>
      </w:r>
    </w:p>
    <w:p w14:paraId="36F9D66B" w14:textId="6E7E27DF" w:rsidR="000E5323" w:rsidRPr="00296DC7" w:rsidRDefault="000E5323" w:rsidP="000E5323">
      <w:pPr>
        <w:pStyle w:val="BodyText"/>
        <w:rPr>
          <w:sz w:val="18"/>
          <w:szCs w:val="18"/>
        </w:rPr>
      </w:pPr>
      <w:r>
        <w:t xml:space="preserve">The delay between payment of wages and superannuation can make it difficult for employees and the ATO to identify underpayment of SG in a timely manner and can make it difficult to reconcile how much SG is owing for </w:t>
      </w:r>
      <w:proofErr w:type="gramStart"/>
      <w:r>
        <w:t>particular periods</w:t>
      </w:r>
      <w:proofErr w:type="gramEnd"/>
      <w:r>
        <w:t xml:space="preserve">. </w:t>
      </w:r>
    </w:p>
    <w:p w14:paraId="29A39878" w14:textId="190BADFB" w:rsidR="000E5323" w:rsidRDefault="000E5323" w:rsidP="000E5323">
      <w:pPr>
        <w:pStyle w:val="Heading2"/>
      </w:pPr>
      <w:bookmarkStart w:id="49" w:name="_Toc147500271"/>
      <w:r>
        <w:t xml:space="preserve">The </w:t>
      </w:r>
      <w:r w:rsidR="00584FC2">
        <w:t xml:space="preserve">SG </w:t>
      </w:r>
      <w:proofErr w:type="gramStart"/>
      <w:r w:rsidR="00584FC2">
        <w:t>charge</w:t>
      </w:r>
      <w:bookmarkEnd w:id="49"/>
      <w:proofErr w:type="gramEnd"/>
    </w:p>
    <w:p w14:paraId="041D0605" w14:textId="32D2C855" w:rsidR="000E5323" w:rsidRDefault="000E5323" w:rsidP="000E5323">
      <w:pPr>
        <w:pStyle w:val="Heading3"/>
      </w:pPr>
      <w:bookmarkStart w:id="50" w:name="_Toc147500272"/>
      <w:r>
        <w:t xml:space="preserve">Design of the </w:t>
      </w:r>
      <w:r w:rsidR="00584FC2">
        <w:t>SG charge</w:t>
      </w:r>
      <w:bookmarkEnd w:id="50"/>
    </w:p>
    <w:p w14:paraId="687C99CC" w14:textId="000984E1" w:rsidR="000E5323" w:rsidRDefault="000E5323" w:rsidP="000E5323">
      <w:pPr>
        <w:pStyle w:val="BodyText"/>
      </w:pPr>
      <w:r>
        <w:t xml:space="preserve">Where an employer fails to pay their employee’s SG contributions by the due date, the </w:t>
      </w:r>
      <w:r w:rsidR="00584FC2">
        <w:t>SG charge</w:t>
      </w:r>
      <w:r>
        <w:t xml:space="preserve"> is raised against the employer. The </w:t>
      </w:r>
      <w:r w:rsidR="00584FC2">
        <w:t>SG charge</w:t>
      </w:r>
      <w:r>
        <w:t xml:space="preserve"> levies additional taxes and fees to incentivise employers to be compliant with their SG obligations by paying SG on time and in full. </w:t>
      </w:r>
    </w:p>
    <w:p w14:paraId="0F2518DB" w14:textId="083B4F8F" w:rsidR="000E5323" w:rsidRDefault="000E5323" w:rsidP="000E5323">
      <w:pPr>
        <w:pStyle w:val="BodyText"/>
      </w:pPr>
      <w:r>
        <w:t xml:space="preserve">The </w:t>
      </w:r>
      <w:r w:rsidR="00584FC2">
        <w:t>SG charge</w:t>
      </w:r>
      <w:r>
        <w:t xml:space="preserve"> is made up of:</w:t>
      </w:r>
    </w:p>
    <w:p w14:paraId="1D3732B2" w14:textId="77777777" w:rsidR="000E5323" w:rsidRDefault="000E5323" w:rsidP="000E5323">
      <w:pPr>
        <w:pStyle w:val="Bullet"/>
      </w:pPr>
      <w:r>
        <w:t>the SG shortfall,</w:t>
      </w:r>
    </w:p>
    <w:p w14:paraId="69A0A5C9" w14:textId="77777777" w:rsidR="000E5323" w:rsidRDefault="000E5323" w:rsidP="000E5323">
      <w:pPr>
        <w:pStyle w:val="Bullet"/>
      </w:pPr>
      <w:r>
        <w:t>nominal interest of 10 per cent per annum, and</w:t>
      </w:r>
    </w:p>
    <w:p w14:paraId="53050907" w14:textId="77777777" w:rsidR="000E5323" w:rsidRDefault="000E5323" w:rsidP="000E5323">
      <w:pPr>
        <w:pStyle w:val="Bullet"/>
      </w:pPr>
      <w:r>
        <w:t xml:space="preserve">an administration fee of $20 per employee, per quarter that the SG contribution is underpaid. </w:t>
      </w:r>
    </w:p>
    <w:p w14:paraId="033838CC" w14:textId="40CC75B5" w:rsidR="000E5323" w:rsidRPr="0062031B" w:rsidRDefault="00C32D08" w:rsidP="000E5323">
      <w:pPr>
        <w:pStyle w:val="Heading4"/>
      </w:pPr>
      <w:r>
        <w:t xml:space="preserve">Figure </w:t>
      </w:r>
      <w:r w:rsidR="001100ED">
        <w:t>4</w:t>
      </w:r>
      <w:r>
        <w:t>:</w:t>
      </w:r>
      <w:r w:rsidR="000E5323">
        <w:t xml:space="preserve"> </w:t>
      </w:r>
      <w:r w:rsidR="00584FC2">
        <w:t>SG charge</w:t>
      </w:r>
    </w:p>
    <w:p w14:paraId="1EE7A920" w14:textId="77777777" w:rsidR="000E5323" w:rsidRDefault="000E5323" w:rsidP="000E5323">
      <w:pPr>
        <w:pStyle w:val="BodyText"/>
      </w:pPr>
      <w:r>
        <w:rPr>
          <w:noProof/>
        </w:rPr>
        <w:drawing>
          <wp:inline distT="0" distB="0" distL="0" distR="0" wp14:anchorId="32F0EF48" wp14:editId="60185D5E">
            <wp:extent cx="5486400" cy="953729"/>
            <wp:effectExtent l="0" t="0" r="19050" b="0"/>
            <wp:docPr id="128" name="Diagram 1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38500140" w14:textId="7ECC8215" w:rsidR="000E5323" w:rsidRDefault="000E5323" w:rsidP="000E5323">
      <w:pPr>
        <w:pStyle w:val="BodyText"/>
      </w:pPr>
      <w:r>
        <w:t xml:space="preserve">The </w:t>
      </w:r>
      <w:r w:rsidR="00584FC2">
        <w:t>SG charge</w:t>
      </w:r>
      <w:r>
        <w:t xml:space="preserve"> is intended to compensate for amounts of SG that should have been paid to the employee and forgone investment earnings, and to assist in recovering administrative costs incurred by the ATO. The shortfall includes the superannuation that should have been paid to the employee, plus any choice liability. Unlike the calculation of the SG, the shortfall amount is calculated on the salary and wages of the employee (including any overtime) for that period, instead of OTE. </w:t>
      </w:r>
    </w:p>
    <w:p w14:paraId="704CCFCF" w14:textId="050F7497" w:rsidR="000E5323" w:rsidRDefault="000E5323" w:rsidP="000E5323">
      <w:pPr>
        <w:pStyle w:val="BodyText"/>
      </w:pPr>
      <w:r>
        <w:t xml:space="preserve">Nominal interest accrues from the start of the relevant quarter until the </w:t>
      </w:r>
      <w:r w:rsidR="00584FC2">
        <w:t>SG charge</w:t>
      </w:r>
      <w:r>
        <w:t xml:space="preserve"> is due and payable. This is </w:t>
      </w:r>
      <w:r w:rsidRPr="004C02DB">
        <w:t xml:space="preserve">the later </w:t>
      </w:r>
      <w:r>
        <w:t xml:space="preserve">either </w:t>
      </w:r>
      <w:r w:rsidRPr="004C02DB">
        <w:t>of the 28th day of the second month after the quarter</w:t>
      </w:r>
      <w:r>
        <w:t xml:space="preserve">, </w:t>
      </w:r>
      <w:r w:rsidRPr="004C02DB">
        <w:t xml:space="preserve">when the </w:t>
      </w:r>
      <w:r w:rsidR="00584FC2">
        <w:t>SG charge</w:t>
      </w:r>
      <w:r>
        <w:t xml:space="preserve"> </w:t>
      </w:r>
      <w:r w:rsidRPr="004C02DB">
        <w:t>statement is lodged</w:t>
      </w:r>
      <w:r>
        <w:t xml:space="preserve"> or assessed by the ATO</w:t>
      </w:r>
      <w:r w:rsidRPr="004C02DB">
        <w:t>.</w:t>
      </w:r>
      <w:r>
        <w:t xml:space="preserve"> </w:t>
      </w:r>
    </w:p>
    <w:p w14:paraId="4DCD370D" w14:textId="248BD6C6" w:rsidR="000E5323" w:rsidRDefault="000E5323" w:rsidP="000E5323">
      <w:pPr>
        <w:pStyle w:val="BodyText"/>
      </w:pPr>
      <w:r>
        <w:t xml:space="preserve">The </w:t>
      </w:r>
      <w:r w:rsidR="00584FC2">
        <w:t>SG charge</w:t>
      </w:r>
      <w:r>
        <w:t xml:space="preserve"> is assessed by the ATO as a tax against the employer (section 16 of the SGA Act). As with other taxes, the employer is required to pay the </w:t>
      </w:r>
      <w:r w:rsidR="00584FC2">
        <w:t>SG charge</w:t>
      </w:r>
      <w:r>
        <w:t xml:space="preserve"> amount to the ATO. The ATO then remits the SG shortfall amount and nominal interest to the employee’s fund. The ATO retains the administration fee component as consolidated revenue.  </w:t>
      </w:r>
    </w:p>
    <w:p w14:paraId="54C5DB7E" w14:textId="23BB3F46" w:rsidR="000E5323" w:rsidRDefault="00584FC2" w:rsidP="000E5323">
      <w:pPr>
        <w:pStyle w:val="Heading3"/>
      </w:pPr>
      <w:bookmarkStart w:id="51" w:name="_Toc147500273"/>
      <w:r>
        <w:t>SG charge</w:t>
      </w:r>
      <w:r w:rsidR="000E5323">
        <w:t xml:space="preserve"> statement</w:t>
      </w:r>
      <w:bookmarkEnd w:id="51"/>
    </w:p>
    <w:p w14:paraId="45824E95" w14:textId="08CD44CE" w:rsidR="000E5323" w:rsidRDefault="000E5323" w:rsidP="000E5323">
      <w:pPr>
        <w:pStyle w:val="BodyText"/>
      </w:pPr>
      <w:r>
        <w:t xml:space="preserve">The </w:t>
      </w:r>
      <w:r w:rsidR="00584FC2">
        <w:t>SG charge</w:t>
      </w:r>
      <w:r>
        <w:t xml:space="preserve"> statement is a </w:t>
      </w:r>
      <w:proofErr w:type="gramStart"/>
      <w:r>
        <w:t>form employers</w:t>
      </w:r>
      <w:proofErr w:type="gramEnd"/>
      <w:r>
        <w:t xml:space="preserve"> are required to submit to the ATO if the correct amount of SG is not paid on time. For liable employers, an </w:t>
      </w:r>
      <w:r w:rsidR="00584FC2">
        <w:t>SG charge</w:t>
      </w:r>
      <w:r>
        <w:t xml:space="preserve"> statement must be </w:t>
      </w:r>
      <w:proofErr w:type="gramStart"/>
      <w:r>
        <w:t>lodged</w:t>
      </w:r>
      <w:proofErr w:type="gramEnd"/>
      <w:r>
        <w:t xml:space="preserve"> and the </w:t>
      </w:r>
      <w:r w:rsidR="00584FC2">
        <w:t>SG charge</w:t>
      </w:r>
      <w:r>
        <w:t xml:space="preserve"> paid to the ATO by the </w:t>
      </w:r>
      <w:r w:rsidR="00584FC2">
        <w:t>SG charge</w:t>
      </w:r>
      <w:r>
        <w:t xml:space="preserve"> due date. The </w:t>
      </w:r>
      <w:r w:rsidR="00584FC2">
        <w:t>SG charge</w:t>
      </w:r>
      <w:r>
        <w:t xml:space="preserve"> statement is due one month after the SG payment is due (section 33 of the SGA Act). If an employer cannot pay their </w:t>
      </w:r>
      <w:r w:rsidR="00584FC2">
        <w:t>SG charge</w:t>
      </w:r>
      <w:r>
        <w:t xml:space="preserve"> amount, they will still need to lodge the </w:t>
      </w:r>
      <w:r w:rsidR="00584FC2">
        <w:t>SG charge</w:t>
      </w:r>
      <w:r>
        <w:t xml:space="preserve"> statement on time. If the </w:t>
      </w:r>
      <w:r w:rsidR="00584FC2">
        <w:t>SG charge</w:t>
      </w:r>
      <w:r>
        <w:t xml:space="preserve"> statement is not lodged on time, an employer is liable for additional SG nominal interest as it continues to accrue until the statement has been lodged or an assessment is made by the Commissioner. </w:t>
      </w:r>
    </w:p>
    <w:p w14:paraId="330D93DB" w14:textId="45D544F7" w:rsidR="000E5323" w:rsidRDefault="000E5323" w:rsidP="000E5323">
      <w:pPr>
        <w:pStyle w:val="Heading3"/>
      </w:pPr>
      <w:bookmarkStart w:id="52" w:name="_Toc147500274"/>
      <w:r>
        <w:t xml:space="preserve">Discretion to reduce or remit </w:t>
      </w:r>
      <w:r w:rsidR="00584FC2">
        <w:t xml:space="preserve">SG </w:t>
      </w:r>
      <w:proofErr w:type="gramStart"/>
      <w:r w:rsidR="00584FC2">
        <w:t>charge</w:t>
      </w:r>
      <w:bookmarkEnd w:id="52"/>
      <w:proofErr w:type="gramEnd"/>
    </w:p>
    <w:p w14:paraId="2AEDF75A" w14:textId="1C94ADFB" w:rsidR="000E5323" w:rsidRDefault="000E5323" w:rsidP="000E5323">
      <w:pPr>
        <w:pStyle w:val="BodyText"/>
      </w:pPr>
      <w:r>
        <w:t xml:space="preserve">Currently, the Commissioner of Taxation has limited discretion to reduce the </w:t>
      </w:r>
      <w:r w:rsidR="00584FC2">
        <w:t>SG charge</w:t>
      </w:r>
      <w:r>
        <w:t xml:space="preserve"> where an employer’s SG contributions are unpaid or paid late.</w:t>
      </w:r>
    </w:p>
    <w:p w14:paraId="0636F36B" w14:textId="79ACA83A" w:rsidR="000E5323" w:rsidRDefault="000E5323" w:rsidP="000E5323">
      <w:pPr>
        <w:pStyle w:val="BodyText"/>
      </w:pPr>
      <w:r w:rsidRPr="00D906A9">
        <w:t xml:space="preserve">The Commissioner has authority to reduce the SG </w:t>
      </w:r>
      <w:r>
        <w:t>shortfall (including to nil) for the employee in instances where the following conditions are met:</w:t>
      </w:r>
    </w:p>
    <w:p w14:paraId="0524FA6F" w14:textId="77777777" w:rsidR="000E5323" w:rsidRDefault="000E5323" w:rsidP="000E5323">
      <w:pPr>
        <w:pStyle w:val="Bullet"/>
      </w:pPr>
      <w:r>
        <w:t>the employer was notified by the Commissioner about an employee’s existing superannuation account (known as a stapled fund); and</w:t>
      </w:r>
    </w:p>
    <w:p w14:paraId="76A82E64" w14:textId="01CB3048" w:rsidR="000E5323" w:rsidRDefault="000E5323" w:rsidP="000E5323">
      <w:pPr>
        <w:pStyle w:val="Bullet"/>
      </w:pPr>
      <w:r>
        <w:t>that fund did not accept contributions from the employer on behalf of the employee; and</w:t>
      </w:r>
    </w:p>
    <w:p w14:paraId="2D08A9C4" w14:textId="6B07FAD1" w:rsidR="000E5323" w:rsidRDefault="000E5323" w:rsidP="000E5323">
      <w:pPr>
        <w:pStyle w:val="Bullet"/>
      </w:pPr>
      <w:r>
        <w:t>the employer makes a late contribution to any fund on behalf of the employee.</w:t>
      </w:r>
    </w:p>
    <w:p w14:paraId="40658C5C" w14:textId="2C2E1AC4" w:rsidR="000E5323" w:rsidRDefault="000E5323" w:rsidP="000E5323">
      <w:pPr>
        <w:pStyle w:val="Bullet"/>
        <w:numPr>
          <w:ilvl w:val="0"/>
          <w:numId w:val="0"/>
        </w:numPr>
      </w:pPr>
      <w:r>
        <w:t xml:space="preserve">This discretionary power is necessary to ensure employers are not liable for an individual SG shortfall for an employee where the employer has acted reasonably in compliance with the stapled fund rules (see subsection 19(2F) of the SGA Act). </w:t>
      </w:r>
    </w:p>
    <w:p w14:paraId="12C67C31" w14:textId="77777777" w:rsidR="000E5323" w:rsidRDefault="000E5323" w:rsidP="000E5323">
      <w:pPr>
        <w:pStyle w:val="Heading3"/>
      </w:pPr>
      <w:bookmarkStart w:id="53" w:name="_Toc147500275"/>
      <w:r>
        <w:t xml:space="preserve">Late Payment Offset and tax </w:t>
      </w:r>
      <w:proofErr w:type="gramStart"/>
      <w:r>
        <w:t>deductibility</w:t>
      </w:r>
      <w:bookmarkEnd w:id="53"/>
      <w:proofErr w:type="gramEnd"/>
    </w:p>
    <w:p w14:paraId="63972450" w14:textId="3EE6E5DB" w:rsidR="000E5323" w:rsidRDefault="000E5323" w:rsidP="000E5323">
      <w:pPr>
        <w:pStyle w:val="BodyText"/>
      </w:pPr>
      <w:r>
        <w:t xml:space="preserve">If an employer makes an SG payment late but before an </w:t>
      </w:r>
      <w:r w:rsidR="00584FC2">
        <w:t>SG charge</w:t>
      </w:r>
      <w:r>
        <w:t xml:space="preserve"> statement is lodged, or an assessment is made by the Commissioner, they can choose to utilise the Late Payment Offset (LPO). The LPO enables them to effectively reduce the amount of the nominal interest and SG shortfall components of the </w:t>
      </w:r>
      <w:r w:rsidR="00584FC2">
        <w:t>SG charge</w:t>
      </w:r>
      <w:r>
        <w:t xml:space="preserve">. </w:t>
      </w:r>
    </w:p>
    <w:p w14:paraId="3858F9F7" w14:textId="3B0CD8F4" w:rsidR="000E5323" w:rsidRDefault="000E5323" w:rsidP="000E5323">
      <w:pPr>
        <w:pStyle w:val="BodyText"/>
      </w:pPr>
      <w:r>
        <w:t xml:space="preserve">The late SG payment, including the </w:t>
      </w:r>
      <w:r w:rsidR="00584FC2">
        <w:t>SG charge</w:t>
      </w:r>
      <w:r>
        <w:t xml:space="preserve">, is not tax deductible for the employer. Alternatively, the employer can choose to carry forward the late payment to a future quarter for the same employee (effectively an early super payment for that employee) </w:t>
      </w:r>
      <w:r w:rsidRPr="00E65E41">
        <w:t>if that quarter commences no more than 12 months after the contributions are made</w:t>
      </w:r>
      <w:r>
        <w:t>. This carry forward is tax deductible in the financial year it</w:t>
      </w:r>
      <w:r w:rsidR="002469B8">
        <w:t xml:space="preserve"> is</w:t>
      </w:r>
      <w:r>
        <w:t xml:space="preserve"> received by the fund. </w:t>
      </w:r>
    </w:p>
    <w:p w14:paraId="487A3798" w14:textId="2A7069F8" w:rsidR="000E5323" w:rsidRDefault="000E5323" w:rsidP="000E5323">
      <w:pPr>
        <w:pStyle w:val="Heading2"/>
      </w:pPr>
      <w:bookmarkStart w:id="54" w:name="_Toc147500276"/>
      <w:r>
        <w:t>Penalties for non-compliance</w:t>
      </w:r>
      <w:bookmarkEnd w:id="54"/>
    </w:p>
    <w:p w14:paraId="13B3AB45" w14:textId="76EBCCAC" w:rsidR="000E5323" w:rsidRDefault="000E5323" w:rsidP="000E5323">
      <w:pPr>
        <w:pStyle w:val="Heading3"/>
      </w:pPr>
      <w:bookmarkStart w:id="55" w:name="_Toc147500277"/>
      <w:r>
        <w:t xml:space="preserve">Additional </w:t>
      </w:r>
      <w:r w:rsidR="00584FC2">
        <w:t>SG charge</w:t>
      </w:r>
      <w:r>
        <w:t xml:space="preserve"> (Part 7 penalties)</w:t>
      </w:r>
      <w:bookmarkEnd w:id="55"/>
    </w:p>
    <w:p w14:paraId="6EBE42DE" w14:textId="08E1003D" w:rsidR="000E5323" w:rsidRDefault="000E5323" w:rsidP="000E5323">
      <w:pPr>
        <w:pStyle w:val="BodyText"/>
      </w:pPr>
      <w:r>
        <w:t xml:space="preserve">Where an employer fails to provide an </w:t>
      </w:r>
      <w:r w:rsidR="00584FC2">
        <w:t>SG charge</w:t>
      </w:r>
      <w:r>
        <w:t xml:space="preserve"> statement when required, the ATO can apply penalties. These penalties are outlined in Part 7 of the SGA Act. Actions punishable under Part 7 includes lodging an </w:t>
      </w:r>
      <w:r w:rsidR="00584FC2">
        <w:t>SG charge</w:t>
      </w:r>
      <w:r>
        <w:t xml:space="preserve"> statement late, or failing to provide a statement during an audit, with the maximum penalty being 200 per cent of the </w:t>
      </w:r>
      <w:r w:rsidR="00584FC2">
        <w:t>SG charge</w:t>
      </w:r>
      <w:r>
        <w:t xml:space="preserve">. </w:t>
      </w:r>
    </w:p>
    <w:p w14:paraId="14181F75" w14:textId="77777777" w:rsidR="000E5323" w:rsidRDefault="000E5323" w:rsidP="000E5323">
      <w:pPr>
        <w:pStyle w:val="Heading3"/>
      </w:pPr>
      <w:bookmarkStart w:id="56" w:name="_Toc147500278"/>
      <w:r>
        <w:t>Other penalties</w:t>
      </w:r>
      <w:bookmarkEnd w:id="56"/>
      <w:r>
        <w:t xml:space="preserve"> </w:t>
      </w:r>
    </w:p>
    <w:p w14:paraId="7C7B990D" w14:textId="3AD2DBC2" w:rsidR="000E5323" w:rsidRPr="00BA2636" w:rsidRDefault="000E5323" w:rsidP="000E5323">
      <w:pPr>
        <w:pStyle w:val="BodyText"/>
      </w:pPr>
      <w:r>
        <w:t xml:space="preserve">The </w:t>
      </w:r>
      <w:r w:rsidRPr="00296DC7">
        <w:rPr>
          <w:i/>
          <w:iCs/>
        </w:rPr>
        <w:t>Tax</w:t>
      </w:r>
      <w:r>
        <w:rPr>
          <w:i/>
          <w:iCs/>
        </w:rPr>
        <w:t>ation</w:t>
      </w:r>
      <w:r w:rsidRPr="00296DC7">
        <w:rPr>
          <w:i/>
          <w:iCs/>
        </w:rPr>
        <w:t xml:space="preserve"> Administration Act 1953</w:t>
      </w:r>
      <w:r>
        <w:t xml:space="preserve"> (TA Act) outlines further penalties for failure to pay employees’ SG contributions on time. Under the TA Act, administrative penalties are applied if an employer pays less </w:t>
      </w:r>
      <w:r w:rsidR="00584FC2">
        <w:t>SG charge</w:t>
      </w:r>
      <w:r>
        <w:t xml:space="preserve"> than they should have because they have made a false or misleading statement. The base penalty is up to 75 per cent of the SG shortfall. </w:t>
      </w:r>
    </w:p>
    <w:p w14:paraId="2CAB87DA" w14:textId="7150F2D7" w:rsidR="000E5323" w:rsidRDefault="000E5323" w:rsidP="000E5323">
      <w:pPr>
        <w:pStyle w:val="BodyText"/>
        <w:rPr>
          <w:rFonts w:cs="Times New Roman"/>
          <w:b/>
          <w:szCs w:val="20"/>
        </w:rPr>
      </w:pPr>
      <w:r w:rsidRPr="00C208BD">
        <w:t xml:space="preserve">Where an </w:t>
      </w:r>
      <w:r w:rsidR="00584FC2">
        <w:t>SG charge</w:t>
      </w:r>
      <w:r w:rsidRPr="00C208BD">
        <w:t xml:space="preserve"> amount remains outstanding, a company director may become personally liable for a penalty equal to the unpaid amount. The ATO can issue a director penalty notice to recover the SG owed. The penalty is </w:t>
      </w:r>
      <w:r w:rsidRPr="000D756A">
        <w:rPr>
          <w:rFonts w:cs="Times New Roman"/>
          <w:szCs w:val="20"/>
        </w:rPr>
        <w:t>reduced once the outstanding amount is paid, or if the directors company goes</w:t>
      </w:r>
      <w:r>
        <w:rPr>
          <w:rFonts w:cs="Times New Roman"/>
          <w:szCs w:val="20"/>
        </w:rPr>
        <w:t xml:space="preserve"> promptly</w:t>
      </w:r>
      <w:r w:rsidRPr="000D756A">
        <w:rPr>
          <w:rFonts w:cs="Times New Roman"/>
          <w:szCs w:val="20"/>
        </w:rPr>
        <w:t xml:space="preserve"> into voluntary administration</w:t>
      </w:r>
      <w:r>
        <w:rPr>
          <w:rFonts w:cs="Times New Roman"/>
          <w:szCs w:val="20"/>
        </w:rPr>
        <w:t>, restructuring</w:t>
      </w:r>
      <w:r w:rsidRPr="000D756A">
        <w:rPr>
          <w:rFonts w:cs="Times New Roman"/>
          <w:szCs w:val="20"/>
        </w:rPr>
        <w:t xml:space="preserve"> or liquidation.</w:t>
      </w:r>
    </w:p>
    <w:p w14:paraId="4B87810C" w14:textId="75A73524" w:rsidR="000E5323" w:rsidRPr="00395955" w:rsidRDefault="000E5323" w:rsidP="000E5323">
      <w:pPr>
        <w:pStyle w:val="BodyText"/>
      </w:pPr>
      <w:r>
        <w:t xml:space="preserve">The </w:t>
      </w:r>
      <w:r w:rsidR="005977D2">
        <w:t>g</w:t>
      </w:r>
      <w:r>
        <w:t xml:space="preserve">eneral </w:t>
      </w:r>
      <w:r w:rsidR="005977D2">
        <w:t>i</w:t>
      </w:r>
      <w:r>
        <w:t xml:space="preserve">nterest </w:t>
      </w:r>
      <w:r w:rsidR="005977D2">
        <w:t>c</w:t>
      </w:r>
      <w:r>
        <w:t xml:space="preserve">harge also applies to the </w:t>
      </w:r>
      <w:r w:rsidR="00584FC2">
        <w:t>SG charge</w:t>
      </w:r>
      <w:r>
        <w:t xml:space="preserve"> after an </w:t>
      </w:r>
      <w:r w:rsidR="00584FC2">
        <w:t>SG charge</w:t>
      </w:r>
      <w:r>
        <w:t xml:space="preserve"> statement is submitted or the Commissioner makes a default assessment and acts as an additional incentive for employers to make SG contributions on time. The </w:t>
      </w:r>
      <w:r w:rsidR="005977D2">
        <w:t>general interest charge</w:t>
      </w:r>
      <w:r>
        <w:t xml:space="preserve"> is calculated on a daily compounding basis. The amount of </w:t>
      </w:r>
      <w:r w:rsidR="005977D2">
        <w:t>general interest charge</w:t>
      </w:r>
      <w:r>
        <w:t xml:space="preserve"> that relates to shortfall is then distributed by the ATO to the employee’s superannuation fund. The current rate of the </w:t>
      </w:r>
      <w:r w:rsidR="005977D2">
        <w:t>general interest charge</w:t>
      </w:r>
      <w:r>
        <w:t xml:space="preserve"> for the July-September 2023 quarter is 10.90 per cent. </w:t>
      </w:r>
    </w:p>
    <w:p w14:paraId="286E94CF" w14:textId="77777777" w:rsidR="000E5323" w:rsidRDefault="000E5323" w:rsidP="000E5323">
      <w:pPr>
        <w:pStyle w:val="Heading2"/>
      </w:pPr>
      <w:bookmarkStart w:id="57" w:name="_Toc147500279"/>
      <w:r>
        <w:t xml:space="preserve">Payment and reporting </w:t>
      </w:r>
      <w:proofErr w:type="gramStart"/>
      <w:r>
        <w:t>requirements</w:t>
      </w:r>
      <w:bookmarkEnd w:id="57"/>
      <w:proofErr w:type="gramEnd"/>
    </w:p>
    <w:p w14:paraId="354F8ECF" w14:textId="77777777" w:rsidR="000E5323" w:rsidRDefault="000E5323" w:rsidP="000E5323">
      <w:pPr>
        <w:pStyle w:val="BodyText"/>
      </w:pPr>
      <w:r>
        <w:t>Employers and superannuation funds are required to report SG liabilities and the payment of SG contributions across a range of platforms. This helps to improve the visibility of SG payments for both employees and the ATO.</w:t>
      </w:r>
    </w:p>
    <w:p w14:paraId="48266B39" w14:textId="77777777" w:rsidR="000E5323" w:rsidRPr="00CA562E" w:rsidRDefault="000E5323" w:rsidP="000E5323">
      <w:pPr>
        <w:pStyle w:val="BodyText"/>
        <w:rPr>
          <w:rFonts w:ascii="Calibri" w:hAnsi="Calibri" w:cs="Arial"/>
          <w:b/>
          <w:color w:val="4D7861" w:themeColor="accent2"/>
          <w:kern w:val="32"/>
          <w:sz w:val="28"/>
          <w:szCs w:val="26"/>
        </w:rPr>
      </w:pPr>
      <w:r>
        <w:rPr>
          <w:rFonts w:ascii="Calibri" w:eastAsia="Times New Roman" w:hAnsi="Calibri" w:cs="Arial"/>
          <w:b/>
          <w:color w:val="4D7861" w:themeColor="accent2"/>
          <w:kern w:val="32"/>
          <w:sz w:val="28"/>
          <w:szCs w:val="26"/>
          <w:lang w:eastAsia="en-AU"/>
        </w:rPr>
        <w:t xml:space="preserve">Employer requirements </w:t>
      </w:r>
    </w:p>
    <w:p w14:paraId="04EC4340" w14:textId="77777777" w:rsidR="000E5323" w:rsidRDefault="000E5323" w:rsidP="000E5323">
      <w:pPr>
        <w:pStyle w:val="Heading4"/>
      </w:pPr>
      <w:r>
        <w:t>Employee choice of fund</w:t>
      </w:r>
    </w:p>
    <w:p w14:paraId="76DCA40C" w14:textId="77777777" w:rsidR="000E5323" w:rsidRPr="00D156C7" w:rsidRDefault="000E5323" w:rsidP="000E5323">
      <w:pPr>
        <w:pStyle w:val="BodyText"/>
      </w:pPr>
      <w:r>
        <w:t>When onboarding a new employee, employers are required to offer the employee a choice of fund. Under the SGA Act, employers must provide employees a standard choice of fund form within 28 days of commencement. Where an employee makes a valid choice, the employer must make contributions to the chosen fund to fulfill their choice of fund requirements.</w:t>
      </w:r>
    </w:p>
    <w:p w14:paraId="098E4A3D" w14:textId="77777777" w:rsidR="000E5323" w:rsidRPr="00846521" w:rsidRDefault="000E5323" w:rsidP="000E5323">
      <w:pPr>
        <w:pStyle w:val="BodyText"/>
      </w:pPr>
      <w:r>
        <w:t>If an employee does not choose a fund, the employer must request stapled fund details from the Commissioner of Taxation. Where a stapled fund exists, the employer must make contributions to this fund. If the employee does not choose a fund, and the Commissioner of Taxation determines that there is no stapled fund, the employer can make contributions to their default fund on behalf of the employee to fulfill their choice of fund requirements.</w:t>
      </w:r>
    </w:p>
    <w:p w14:paraId="32C2AC99" w14:textId="77777777" w:rsidR="000E5323" w:rsidRDefault="000E5323" w:rsidP="000E5323">
      <w:pPr>
        <w:pStyle w:val="Heading4"/>
      </w:pPr>
      <w:r>
        <w:t xml:space="preserve">Pay slip </w:t>
      </w:r>
      <w:proofErr w:type="gramStart"/>
      <w:r>
        <w:t>reporting</w:t>
      </w:r>
      <w:proofErr w:type="gramEnd"/>
      <w:r>
        <w:t xml:space="preserve"> </w:t>
      </w:r>
    </w:p>
    <w:p w14:paraId="71644A63" w14:textId="77777777" w:rsidR="000E5323" w:rsidRPr="000A4F2D" w:rsidRDefault="000E5323" w:rsidP="000E5323">
      <w:pPr>
        <w:pStyle w:val="BodyText"/>
      </w:pPr>
      <w:r w:rsidRPr="000A4F2D">
        <w:t xml:space="preserve">Under the </w:t>
      </w:r>
      <w:r w:rsidRPr="00296DC7">
        <w:rPr>
          <w:i/>
        </w:rPr>
        <w:t>Fair Work Act 2009</w:t>
      </w:r>
      <w:r>
        <w:t xml:space="preserve"> </w:t>
      </w:r>
      <w:r w:rsidRPr="000A4F2D">
        <w:t xml:space="preserve">and </w:t>
      </w:r>
      <w:r w:rsidRPr="00296DC7">
        <w:rPr>
          <w:i/>
        </w:rPr>
        <w:t>Fair Work Act Regulations 2009</w:t>
      </w:r>
      <w:r w:rsidRPr="000A4F2D">
        <w:t>, employers are required to issue payslips to</w:t>
      </w:r>
      <w:r>
        <w:t xml:space="preserve"> their</w:t>
      </w:r>
      <w:r w:rsidRPr="000A4F2D">
        <w:t xml:space="preserve"> employees. </w:t>
      </w:r>
      <w:r>
        <w:t xml:space="preserve">Payslips must </w:t>
      </w:r>
      <w:r w:rsidRPr="000A4F2D">
        <w:t xml:space="preserve">include the superannuation contributions that </w:t>
      </w:r>
      <w:r>
        <w:t>an</w:t>
      </w:r>
      <w:r w:rsidRPr="000A4F2D">
        <w:t xml:space="preserve"> employer is liable to make (or has made) </w:t>
      </w:r>
      <w:r>
        <w:t xml:space="preserve">for the </w:t>
      </w:r>
      <w:r w:rsidRPr="000A4F2D">
        <w:t>pay period</w:t>
      </w:r>
      <w:r>
        <w:t xml:space="preserve"> that the payslip relates</w:t>
      </w:r>
      <w:r w:rsidRPr="000A4F2D">
        <w:t>.</w:t>
      </w:r>
    </w:p>
    <w:p w14:paraId="2F86ABE1" w14:textId="77777777" w:rsidR="000E5323" w:rsidRDefault="000E5323" w:rsidP="000E5323">
      <w:pPr>
        <w:pStyle w:val="BodyText"/>
      </w:pPr>
      <w:r w:rsidRPr="00241596">
        <w:t xml:space="preserve">While an employer is obliged to indicate on payslips the amount of superannuation contributions accrued, it does not mean that this amount is actually paid to the superannuation fund. </w:t>
      </w:r>
      <w:proofErr w:type="gramStart"/>
      <w:r w:rsidRPr="00241596">
        <w:t>In order to</w:t>
      </w:r>
      <w:proofErr w:type="gramEnd"/>
      <w:r w:rsidRPr="00241596">
        <w:t xml:space="preserve"> identify any shortfall, an employee must compare the amounts stated on their payslips with the statements issued by their superannuation fund.</w:t>
      </w:r>
    </w:p>
    <w:p w14:paraId="5C7CB093" w14:textId="77777777" w:rsidR="000E5323" w:rsidRDefault="000E5323" w:rsidP="000E5323">
      <w:pPr>
        <w:pStyle w:val="Heading4"/>
      </w:pPr>
      <w:r>
        <w:t>Single Touch Payroll reporting</w:t>
      </w:r>
    </w:p>
    <w:p w14:paraId="368EEF70" w14:textId="77777777" w:rsidR="000E5323" w:rsidRPr="00241596" w:rsidRDefault="000E5323" w:rsidP="000E5323">
      <w:pPr>
        <w:pStyle w:val="BodyText"/>
      </w:pPr>
      <w:r w:rsidRPr="00241596">
        <w:t>Single Touch Payroll (STP) is a mandatory reporting requirement of a pay event to the ATO on or before an employee’s payday</w:t>
      </w:r>
      <w:r>
        <w:t>, subject to certain exceptions</w:t>
      </w:r>
      <w:r w:rsidRPr="00241596">
        <w:t xml:space="preserve">. </w:t>
      </w:r>
      <w:r>
        <w:t xml:space="preserve">This requirement includes reporting of an employee’s OTE and optional reporting of employer superannuation liabilities. </w:t>
      </w:r>
      <w:proofErr w:type="gramStart"/>
      <w:r w:rsidRPr="00241596">
        <w:t>For the purpose of</w:t>
      </w:r>
      <w:proofErr w:type="gramEnd"/>
      <w:r w:rsidRPr="00241596">
        <w:t xml:space="preserve"> reporting STP, an employee’s payday is either the payment date stipulated in a payment to a financial institution or the date an employer intends to make the payment into their employee's bank account. </w:t>
      </w:r>
    </w:p>
    <w:p w14:paraId="24847514" w14:textId="77777777" w:rsidR="000E5323" w:rsidRPr="00241596" w:rsidRDefault="000E5323" w:rsidP="000E5323">
      <w:pPr>
        <w:pStyle w:val="BodyText"/>
      </w:pPr>
      <w:r w:rsidRPr="00241596">
        <w:t xml:space="preserve">Employers can choose to report mandatory STP obligations through either STP-enabled payroll software or through a third party such as a registered tax agent. </w:t>
      </w:r>
    </w:p>
    <w:p w14:paraId="088C4E7F" w14:textId="77777777" w:rsidR="000E5323" w:rsidRPr="007F78FF" w:rsidRDefault="000E5323" w:rsidP="000E5323">
      <w:pPr>
        <w:pStyle w:val="BodyText"/>
      </w:pPr>
      <w:r w:rsidRPr="00241596">
        <w:t xml:space="preserve">Digital </w:t>
      </w:r>
      <w:r>
        <w:t>s</w:t>
      </w:r>
      <w:r w:rsidRPr="00241596">
        <w:t xml:space="preserve">ervice </w:t>
      </w:r>
      <w:r>
        <w:t>p</w:t>
      </w:r>
      <w:r w:rsidRPr="00241596">
        <w:t xml:space="preserve">roviders can provide automated STP lodgement to the ATO on behalf of employers. To qualify to provide these services, software providers must meet ATO prescribed </w:t>
      </w:r>
      <w:r>
        <w:t xml:space="preserve">digital </w:t>
      </w:r>
      <w:r w:rsidRPr="00241596">
        <w:t>security requirements. A list of ATO-approved STP product</w:t>
      </w:r>
      <w:r>
        <w:t>s</w:t>
      </w:r>
      <w:r w:rsidRPr="00241596">
        <w:t xml:space="preserve"> is provided on the ATO website.</w:t>
      </w:r>
    </w:p>
    <w:p w14:paraId="09AC0388" w14:textId="77777777" w:rsidR="000E5323" w:rsidRDefault="000E5323" w:rsidP="000E5323">
      <w:pPr>
        <w:pStyle w:val="Heading4"/>
      </w:pPr>
      <w:proofErr w:type="spellStart"/>
      <w:r>
        <w:t>SuperStream</w:t>
      </w:r>
      <w:proofErr w:type="spellEnd"/>
      <w:r>
        <w:t xml:space="preserve"> </w:t>
      </w:r>
      <w:proofErr w:type="gramStart"/>
      <w:r>
        <w:t>reporting</w:t>
      </w:r>
      <w:proofErr w:type="gramEnd"/>
      <w:r>
        <w:t xml:space="preserve"> </w:t>
      </w:r>
    </w:p>
    <w:p w14:paraId="27101E06" w14:textId="77777777" w:rsidR="000E5323" w:rsidRPr="00D0666E" w:rsidRDefault="000E5323" w:rsidP="000E5323">
      <w:r>
        <w:t xml:space="preserve">Since July 2016, all employers have been required to make super contributions through </w:t>
      </w:r>
      <w:proofErr w:type="spellStart"/>
      <w:r>
        <w:t>SuperStream</w:t>
      </w:r>
      <w:proofErr w:type="spellEnd"/>
      <w:r>
        <w:t>.</w:t>
      </w:r>
    </w:p>
    <w:p w14:paraId="305C86B3" w14:textId="77777777" w:rsidR="000E5323" w:rsidRDefault="000E5323" w:rsidP="000E5323">
      <w:pPr>
        <w:pStyle w:val="BodyText"/>
      </w:pPr>
      <w:proofErr w:type="spellStart"/>
      <w:r w:rsidRPr="006E3412">
        <w:t>SuperStream</w:t>
      </w:r>
      <w:proofErr w:type="spellEnd"/>
      <w:r w:rsidRPr="006E3412">
        <w:t xml:space="preserve"> transmits an employee’s superannuation contribution and associated data from their employer to their superannuation fund. </w:t>
      </w:r>
      <w:r>
        <w:t xml:space="preserve">There are several options an employer can choose that are outlined on the ATO website that meets both the payment and data requirements for </w:t>
      </w:r>
      <w:proofErr w:type="spellStart"/>
      <w:r>
        <w:t>SuperStream</w:t>
      </w:r>
      <w:proofErr w:type="spellEnd"/>
      <w:r>
        <w:t>. The most common is through the direct use of a clearing house or via their payroll software that has a relationship with a clearing house.</w:t>
      </w:r>
    </w:p>
    <w:p w14:paraId="68A8558B" w14:textId="77777777" w:rsidR="000E5323" w:rsidRPr="006E3412" w:rsidRDefault="000E5323" w:rsidP="000E5323">
      <w:pPr>
        <w:pStyle w:val="BodyText"/>
      </w:pPr>
      <w:r w:rsidRPr="006E3412">
        <w:t>Employee superannuation contributions are generally paid to a super</w:t>
      </w:r>
      <w:r>
        <w:t>annuation</w:t>
      </w:r>
      <w:r w:rsidRPr="006E3412">
        <w:t xml:space="preserve"> clearing house which then distributes contributions and </w:t>
      </w:r>
      <w:proofErr w:type="spellStart"/>
      <w:r w:rsidRPr="006E3412">
        <w:t>SuperStream</w:t>
      </w:r>
      <w:proofErr w:type="spellEnd"/>
      <w:r w:rsidRPr="006E3412">
        <w:t xml:space="preserve"> data to the relevant superannuation funds. </w:t>
      </w:r>
      <w:r>
        <w:t>Clearing houses are discussed further below</w:t>
      </w:r>
      <w:r w:rsidRPr="006E3412">
        <w:t xml:space="preserve">. </w:t>
      </w:r>
    </w:p>
    <w:p w14:paraId="1CE6B181" w14:textId="77777777" w:rsidR="000E5323" w:rsidRPr="006E3412" w:rsidRDefault="000E5323" w:rsidP="000E5323">
      <w:pPr>
        <w:pStyle w:val="BodyText"/>
      </w:pPr>
      <w:r w:rsidRPr="006E3412">
        <w:t xml:space="preserve">APRA-regulated </w:t>
      </w:r>
      <w:r>
        <w:t>superannuation</w:t>
      </w:r>
      <w:r w:rsidRPr="006E3412">
        <w:t xml:space="preserve"> funds must be able to send and receive information and payments using</w:t>
      </w:r>
      <w:r w:rsidRPr="006E3412" w:rsidDel="00D65120">
        <w:t xml:space="preserve"> </w:t>
      </w:r>
      <w:proofErr w:type="spellStart"/>
      <w:r w:rsidRPr="006E3412">
        <w:t>SuperStream</w:t>
      </w:r>
      <w:proofErr w:type="spellEnd"/>
      <w:r w:rsidRPr="006E3412">
        <w:t>.</w:t>
      </w:r>
    </w:p>
    <w:p w14:paraId="59346CF1" w14:textId="42955A35" w:rsidR="000E5323" w:rsidRPr="006E3412" w:rsidRDefault="000E5323" w:rsidP="000E5323">
      <w:pPr>
        <w:pStyle w:val="BodyText"/>
      </w:pPr>
      <w:r w:rsidRPr="006E3412">
        <w:t xml:space="preserve">SMSFs </w:t>
      </w:r>
      <w:r>
        <w:t xml:space="preserve">are required to </w:t>
      </w:r>
      <w:r w:rsidRPr="006E3412">
        <w:t xml:space="preserve">receive employer contributions and the associated data electronically using the </w:t>
      </w:r>
      <w:proofErr w:type="spellStart"/>
      <w:r w:rsidRPr="006E3412">
        <w:t>SuperStream</w:t>
      </w:r>
      <w:proofErr w:type="spellEnd"/>
      <w:r w:rsidRPr="006E3412">
        <w:t xml:space="preserve"> standard. To receive </w:t>
      </w:r>
      <w:proofErr w:type="spellStart"/>
      <w:r w:rsidRPr="006E3412">
        <w:t>SuperStream</w:t>
      </w:r>
      <w:proofErr w:type="spellEnd"/>
      <w:r w:rsidRPr="006E3412">
        <w:t xml:space="preserve"> contributions, SMSFs must have an electric service address, which facilitates electronic interaction across the super network. </w:t>
      </w:r>
    </w:p>
    <w:p w14:paraId="4B44338A" w14:textId="77777777" w:rsidR="000E5323" w:rsidRPr="00CA562E" w:rsidRDefault="000E5323" w:rsidP="000E5323">
      <w:pPr>
        <w:pStyle w:val="Bullet"/>
        <w:numPr>
          <w:ilvl w:val="0"/>
          <w:numId w:val="0"/>
        </w:numPr>
        <w:ind w:left="520" w:hanging="520"/>
        <w:rPr>
          <w:b/>
          <w:bCs/>
        </w:rPr>
      </w:pPr>
      <w:r w:rsidRPr="00CA562E">
        <w:rPr>
          <w:b/>
          <w:bCs/>
        </w:rPr>
        <w:t>Small Business</w:t>
      </w:r>
      <w:r>
        <w:rPr>
          <w:b/>
          <w:bCs/>
        </w:rPr>
        <w:t xml:space="preserve"> Superannuation</w:t>
      </w:r>
      <w:r w:rsidRPr="00CA562E">
        <w:rPr>
          <w:b/>
          <w:bCs/>
        </w:rPr>
        <w:t xml:space="preserve"> Clearing House</w:t>
      </w:r>
    </w:p>
    <w:p w14:paraId="127A14BF" w14:textId="77777777" w:rsidR="000E5323" w:rsidRDefault="000E5323" w:rsidP="000E5323">
      <w:pPr>
        <w:pStyle w:val="BodyText"/>
      </w:pPr>
      <w:r>
        <w:t xml:space="preserve">For employers with 19 or fewer employees or an annual aggregate turnover of less than $10 million, the ATO provides a free clearing house for employee superannuation contributions. By using the ATO small business clearing house, employers can pay their employee’s SG contributions in one payment that satisfies their </w:t>
      </w:r>
      <w:proofErr w:type="spellStart"/>
      <w:r>
        <w:t>SuperStream</w:t>
      </w:r>
      <w:proofErr w:type="spellEnd"/>
      <w:r>
        <w:t xml:space="preserve"> requirements. When employers use the ATO’s clearing house, SG contributions are considered made on the day the clearing house receives the funds, rather than the day the employee’s superannuation fund receives the funds. </w:t>
      </w:r>
    </w:p>
    <w:p w14:paraId="707A8E2B" w14:textId="77777777" w:rsidR="000E5323" w:rsidRPr="00CA562E" w:rsidRDefault="000E5323" w:rsidP="000E5323">
      <w:pPr>
        <w:pStyle w:val="Bullet"/>
        <w:numPr>
          <w:ilvl w:val="0"/>
          <w:numId w:val="0"/>
        </w:numPr>
        <w:ind w:left="520" w:hanging="520"/>
        <w:rPr>
          <w:b/>
          <w:bCs/>
        </w:rPr>
      </w:pPr>
      <w:r w:rsidRPr="00CA562E">
        <w:rPr>
          <w:b/>
          <w:bCs/>
        </w:rPr>
        <w:t>Commercial Clearing House</w:t>
      </w:r>
      <w:r w:rsidRPr="00CA562E">
        <w:rPr>
          <w:b/>
          <w:bCs/>
        </w:rPr>
        <w:tab/>
      </w:r>
    </w:p>
    <w:p w14:paraId="28ACFCF6" w14:textId="4D539C06" w:rsidR="000E5323" w:rsidRDefault="000E5323" w:rsidP="000E5323">
      <w:pPr>
        <w:pStyle w:val="BodyText"/>
      </w:pPr>
      <w:proofErr w:type="gramStart"/>
      <w:r>
        <w:t>Similar to</w:t>
      </w:r>
      <w:proofErr w:type="gramEnd"/>
      <w:r>
        <w:t xml:space="preserve"> the ATO’s clearing house, commercial clearing houses allow employers to make all of their employee’s superannuation contributions in one payment and to satisfy their </w:t>
      </w:r>
      <w:proofErr w:type="spellStart"/>
      <w:r>
        <w:t>SuperStream</w:t>
      </w:r>
      <w:proofErr w:type="spellEnd"/>
      <w:r>
        <w:t xml:space="preserve"> requirements. Employers can choose a commercial clearing house from a list of providers listed on the ATO website or a clearing house associated with their payroll software or superannuation fund. There are </w:t>
      </w:r>
      <w:r w:rsidR="00292B20">
        <w:t>eight</w:t>
      </w:r>
      <w:r>
        <w:t xml:space="preserve"> commercial clearing houses which are currently operational and </w:t>
      </w:r>
      <w:proofErr w:type="spellStart"/>
      <w:r>
        <w:t>SuperStream</w:t>
      </w:r>
      <w:proofErr w:type="spellEnd"/>
      <w:r>
        <w:t xml:space="preserve"> compliant, several of which are associated with superannuation funds.</w:t>
      </w:r>
      <w:r w:rsidRPr="002124B4">
        <w:t xml:space="preserve"> </w:t>
      </w:r>
      <w:r>
        <w:t xml:space="preserve">When employers use commercial clearing houses, contributions are considered made on the day the fund receives the contribution, not the day the employer pays the contribution to the commercial clearing house. </w:t>
      </w:r>
    </w:p>
    <w:p w14:paraId="0F712E3B" w14:textId="77777777" w:rsidR="000E5323" w:rsidRPr="007C3EE8" w:rsidRDefault="000E5323" w:rsidP="000E5323">
      <w:pPr>
        <w:pStyle w:val="Heading3"/>
      </w:pPr>
      <w:bookmarkStart w:id="58" w:name="_Toc147500280"/>
      <w:r w:rsidRPr="007C3EE8">
        <w:t xml:space="preserve">Superannuation fund </w:t>
      </w:r>
      <w:r>
        <w:t>requirements</w:t>
      </w:r>
      <w:bookmarkEnd w:id="58"/>
    </w:p>
    <w:p w14:paraId="04073E24" w14:textId="77777777" w:rsidR="000E5323" w:rsidRPr="007C3EE8" w:rsidRDefault="000E5323" w:rsidP="000E5323">
      <w:pPr>
        <w:pStyle w:val="Heading4"/>
      </w:pPr>
      <w:r w:rsidRPr="007C3EE8">
        <w:t>Member Account Attribute Service</w:t>
      </w:r>
      <w:r>
        <w:t xml:space="preserve"> reporting </w:t>
      </w:r>
    </w:p>
    <w:p w14:paraId="24E7A11A" w14:textId="52859E6E" w:rsidR="000E5323" w:rsidRDefault="000E5323" w:rsidP="000E5323">
      <w:pPr>
        <w:pStyle w:val="BodyText"/>
      </w:pPr>
      <w:r w:rsidRPr="007C3EE8">
        <w:t xml:space="preserve">MAAS is a </w:t>
      </w:r>
      <w:r>
        <w:t xml:space="preserve">digital reporting channel </w:t>
      </w:r>
      <w:r w:rsidRPr="007C3EE8">
        <w:t>through which</w:t>
      </w:r>
      <w:r>
        <w:t xml:space="preserve"> superannuation funds and certain life insurance companies </w:t>
      </w:r>
      <w:r w:rsidRPr="007C3EE8">
        <w:t xml:space="preserve">mandatorily report </w:t>
      </w:r>
      <w:r>
        <w:t xml:space="preserve">to the ATO </w:t>
      </w:r>
      <w:r w:rsidRPr="007C3EE8">
        <w:t xml:space="preserve">opened, </w:t>
      </w:r>
      <w:proofErr w:type="gramStart"/>
      <w:r w:rsidRPr="007C3EE8">
        <w:t>updated</w:t>
      </w:r>
      <w:proofErr w:type="gramEnd"/>
      <w:r w:rsidRPr="007C3EE8">
        <w:t xml:space="preserve"> and closed accounts </w:t>
      </w:r>
      <w:r>
        <w:t>including relevant account attributes such as</w:t>
      </w:r>
      <w:r w:rsidRPr="007C3EE8">
        <w:t xml:space="preserve"> account phases</w:t>
      </w:r>
      <w:r>
        <w:t>,</w:t>
      </w:r>
      <w:r w:rsidRPr="007C3EE8">
        <w:t xml:space="preserve"> </w:t>
      </w:r>
      <w:r>
        <w:t>no later than 5 business days after the event</w:t>
      </w:r>
      <w:r w:rsidRPr="007C3EE8">
        <w:t xml:space="preserve">. </w:t>
      </w:r>
    </w:p>
    <w:p w14:paraId="651C3ADC" w14:textId="77777777" w:rsidR="000E5323" w:rsidRDefault="000E5323" w:rsidP="000E5323">
      <w:pPr>
        <w:pStyle w:val="BodyText"/>
      </w:pPr>
      <w:r w:rsidRPr="007C3EE8">
        <w:t xml:space="preserve">SMSFs </w:t>
      </w:r>
      <w:r>
        <w:t>do not</w:t>
      </w:r>
      <w:r w:rsidRPr="007C3EE8">
        <w:t xml:space="preserve"> report transactions to the ATO </w:t>
      </w:r>
      <w:r>
        <w:t>through MAAS</w:t>
      </w:r>
      <w:r w:rsidRPr="007C3EE8">
        <w:t>.</w:t>
      </w:r>
    </w:p>
    <w:p w14:paraId="070AF0A7" w14:textId="77777777" w:rsidR="000E5323" w:rsidRDefault="000E5323" w:rsidP="000E5323">
      <w:pPr>
        <w:pStyle w:val="Heading4"/>
      </w:pPr>
      <w:r>
        <w:t>Member Account Transaction Service reporting</w:t>
      </w:r>
    </w:p>
    <w:p w14:paraId="49BEEB44" w14:textId="52D8BBC5" w:rsidR="000E5323" w:rsidRDefault="000E5323" w:rsidP="000E5323">
      <w:pPr>
        <w:pStyle w:val="BodyText"/>
      </w:pPr>
      <w:r w:rsidRPr="007C3EE8">
        <w:t xml:space="preserve">The </w:t>
      </w:r>
      <w:r>
        <w:t>MATS</w:t>
      </w:r>
      <w:r w:rsidRPr="00241596">
        <w:t xml:space="preserve"> is </w:t>
      </w:r>
      <w:r>
        <w:t>a digital</w:t>
      </w:r>
      <w:r w:rsidRPr="007C3EE8">
        <w:t xml:space="preserve"> </w:t>
      </w:r>
      <w:r>
        <w:t xml:space="preserve">reporting channel </w:t>
      </w:r>
      <w:r w:rsidRPr="007C3EE8">
        <w:t xml:space="preserve">through which </w:t>
      </w:r>
      <w:r>
        <w:t xml:space="preserve">superannuation funds and certain life insurance companies </w:t>
      </w:r>
      <w:r w:rsidRPr="007C3EE8">
        <w:t>mandatorily report</w:t>
      </w:r>
      <w:r>
        <w:t xml:space="preserve"> to the ATO all contributions allocated to a member account no later than 10 business days after receiving the superannuation contribution</w:t>
      </w:r>
      <w:r w:rsidRPr="00241596">
        <w:t>.</w:t>
      </w:r>
      <w:r>
        <w:t xml:space="preserve"> </w:t>
      </w:r>
    </w:p>
    <w:p w14:paraId="3C547D2D" w14:textId="77777777" w:rsidR="000E5323" w:rsidRDefault="000E5323" w:rsidP="000E5323">
      <w:pPr>
        <w:pStyle w:val="BodyText"/>
      </w:pPr>
      <w:r>
        <w:t xml:space="preserve">Where a payment cannot be matched to a member account, a superannuation fund has up to </w:t>
      </w:r>
      <w:r>
        <w:br/>
        <w:t xml:space="preserve">20 business days to reject the payment to the sender.  </w:t>
      </w:r>
    </w:p>
    <w:p w14:paraId="1052E94A" w14:textId="77777777" w:rsidR="000E5323" w:rsidRDefault="000E5323" w:rsidP="000E5323">
      <w:pPr>
        <w:pStyle w:val="BodyText"/>
      </w:pPr>
      <w:r w:rsidRPr="007C3EE8">
        <w:t xml:space="preserve">SMSFs </w:t>
      </w:r>
      <w:r>
        <w:t>do not</w:t>
      </w:r>
      <w:r w:rsidRPr="007C3EE8">
        <w:t xml:space="preserve"> report transactions to the ATO through MATS.</w:t>
      </w:r>
    </w:p>
    <w:p w14:paraId="57CC695D" w14:textId="77777777" w:rsidR="000E5323" w:rsidRDefault="000E5323" w:rsidP="000E5323">
      <w:pPr>
        <w:pStyle w:val="Heading2"/>
      </w:pPr>
      <w:bookmarkStart w:id="59" w:name="_Toc147500281"/>
      <w:r>
        <w:t>SG compliance initiation</w:t>
      </w:r>
      <w:bookmarkEnd w:id="59"/>
      <w:r>
        <w:t xml:space="preserve">  </w:t>
      </w:r>
    </w:p>
    <w:p w14:paraId="57F2F870" w14:textId="77777777" w:rsidR="000E5323" w:rsidRDefault="000E5323" w:rsidP="000E5323">
      <w:pPr>
        <w:pStyle w:val="BodyText"/>
      </w:pPr>
      <w:r>
        <w:t>As the administrators of the SG, the ATO is responsible for undertaking SG compliance to recover unpaid SG from employers on behalf of employees.</w:t>
      </w:r>
    </w:p>
    <w:p w14:paraId="1F31D0DC" w14:textId="2AAE8AA2" w:rsidR="000E5323" w:rsidRDefault="000E5323" w:rsidP="000E5323">
      <w:pPr>
        <w:pStyle w:val="BodyText"/>
      </w:pPr>
      <w:r>
        <w:t xml:space="preserve">The current SG compliance model primarily relies on the employer reporting the </w:t>
      </w:r>
      <w:r w:rsidR="00584FC2">
        <w:t>SG charge</w:t>
      </w:r>
      <w:r>
        <w:t xml:space="preserve"> liability to the ATO (e</w:t>
      </w:r>
      <w:r w:rsidRPr="00F8632C">
        <w:t xml:space="preserve">mployer-initiated </w:t>
      </w:r>
      <w:r>
        <w:t>compliance), or an employee raising a complaint with the ATO</w:t>
      </w:r>
      <w:r w:rsidRPr="00F8632C">
        <w:t xml:space="preserve"> </w:t>
      </w:r>
      <w:r>
        <w:t>(e</w:t>
      </w:r>
      <w:r w:rsidRPr="00F8632C">
        <w:t>mployee-initiated compliance</w:t>
      </w:r>
      <w:r>
        <w:t>).</w:t>
      </w:r>
    </w:p>
    <w:p w14:paraId="5526382D" w14:textId="77777777" w:rsidR="000E5323" w:rsidRDefault="000E5323" w:rsidP="000E5323">
      <w:pPr>
        <w:pStyle w:val="BodyText"/>
      </w:pPr>
      <w:r>
        <w:t>The ATO also undertakes some</w:t>
      </w:r>
      <w:r w:rsidRPr="006E3412">
        <w:t xml:space="preserve"> proactive compliance</w:t>
      </w:r>
      <w:r>
        <w:t xml:space="preserve"> (</w:t>
      </w:r>
      <w:r w:rsidRPr="00945F9A">
        <w:t>ATO-initiated compliance</w:t>
      </w:r>
      <w:r>
        <w:t>), targeting high risk industries. However, the ATO does not currently have the necessary visibility of superannuation payments or the digital resources to identify non-payment or under-payment of SG in real time or at scale.</w:t>
      </w:r>
    </w:p>
    <w:p w14:paraId="3645EF4A" w14:textId="77777777" w:rsidR="000E5323" w:rsidRDefault="000E5323" w:rsidP="000E5323">
      <w:pPr>
        <w:pStyle w:val="Heading3"/>
      </w:pPr>
      <w:bookmarkStart w:id="60" w:name="_Toc147500282"/>
      <w:r>
        <w:t>Employer-initiated compliance</w:t>
      </w:r>
      <w:bookmarkEnd w:id="60"/>
    </w:p>
    <w:p w14:paraId="33F9B4AA" w14:textId="77777777" w:rsidR="000E5323" w:rsidRDefault="000E5323" w:rsidP="000E5323">
      <w:r>
        <w:t>Where an employer identifies that they have not paid or underpaid SG to an employee after the quarterly due date they are required to:</w:t>
      </w:r>
    </w:p>
    <w:p w14:paraId="0D949BE0" w14:textId="050939B4" w:rsidR="000E5323" w:rsidRDefault="000E5323" w:rsidP="000E5323">
      <w:pPr>
        <w:pStyle w:val="Bullet"/>
        <w:numPr>
          <w:ilvl w:val="0"/>
          <w:numId w:val="12"/>
        </w:numPr>
        <w:tabs>
          <w:tab w:val="clear" w:pos="720"/>
        </w:tabs>
        <w:spacing w:before="0" w:after="160" w:line="259" w:lineRule="auto"/>
      </w:pPr>
      <w:r>
        <w:t xml:space="preserve">calculate the </w:t>
      </w:r>
      <w:r w:rsidR="00584FC2">
        <w:t>SG charge</w:t>
      </w:r>
      <w:r>
        <w:t xml:space="preserve"> amount they owe and make the payment to the ATO, and</w:t>
      </w:r>
    </w:p>
    <w:p w14:paraId="192CAA1B" w14:textId="4DF7617E" w:rsidR="000E5323" w:rsidRDefault="000E5323" w:rsidP="000E5323">
      <w:pPr>
        <w:pStyle w:val="Bullet"/>
        <w:numPr>
          <w:ilvl w:val="0"/>
          <w:numId w:val="12"/>
        </w:numPr>
        <w:tabs>
          <w:tab w:val="clear" w:pos="720"/>
        </w:tabs>
        <w:spacing w:before="0" w:after="160" w:line="259" w:lineRule="auto"/>
      </w:pPr>
      <w:r>
        <w:t xml:space="preserve">lodge an </w:t>
      </w:r>
      <w:r w:rsidR="00584FC2">
        <w:t>SG charge</w:t>
      </w:r>
      <w:r>
        <w:t xml:space="preserve"> statement with the ATO.</w:t>
      </w:r>
    </w:p>
    <w:p w14:paraId="61869D75" w14:textId="2663F3F8" w:rsidR="000E5323" w:rsidRDefault="000E5323" w:rsidP="000E5323">
      <w:pPr>
        <w:pStyle w:val="Bullet"/>
        <w:numPr>
          <w:ilvl w:val="0"/>
          <w:numId w:val="0"/>
        </w:numPr>
      </w:pPr>
      <w:r>
        <w:t xml:space="preserve">If an employer does not lodge an </w:t>
      </w:r>
      <w:r w:rsidR="00584FC2">
        <w:t>SG charge</w:t>
      </w:r>
      <w:r>
        <w:t xml:space="preserve"> statement by the due date, nominal interest and any GIC continues to accrue. Once paid, the ATO forwards the shortfall amount and nominal interest component to the employee's superannuation fund. </w:t>
      </w:r>
    </w:p>
    <w:p w14:paraId="04536E92" w14:textId="77777777" w:rsidR="000E5323" w:rsidRDefault="000E5323" w:rsidP="000E5323">
      <w:pPr>
        <w:pStyle w:val="Heading3"/>
      </w:pPr>
      <w:bookmarkStart w:id="61" w:name="_Toc147500283"/>
      <w:r>
        <w:t>Employee-initiated compliance</w:t>
      </w:r>
      <w:bookmarkEnd w:id="61"/>
    </w:p>
    <w:p w14:paraId="0FC57B15" w14:textId="77777777" w:rsidR="000E5323" w:rsidRDefault="000E5323" w:rsidP="000E5323">
      <w:pPr>
        <w:pStyle w:val="BodyText"/>
      </w:pPr>
      <w:r>
        <w:t xml:space="preserve">Employees are able to lodge an Employee Notification with the ATO where they suspect their employer has either not paid or underpaid their SG </w:t>
      </w:r>
      <w:proofErr w:type="gramStart"/>
      <w:r>
        <w:t>contributions, or</w:t>
      </w:r>
      <w:proofErr w:type="gramEnd"/>
      <w:r>
        <w:t xml:space="preserve"> has paid these amounts to the wrong fund. The ATO will then investigate the employer using the information the employee has provided and any other data available. </w:t>
      </w:r>
    </w:p>
    <w:p w14:paraId="260F9645" w14:textId="29475219" w:rsidR="000E5323" w:rsidRDefault="000E5323" w:rsidP="000E5323">
      <w:pPr>
        <w:pStyle w:val="BodyText"/>
      </w:pPr>
      <w:r>
        <w:t xml:space="preserve">Where the ATO identifies that an employer has not met their </w:t>
      </w:r>
      <w:r w:rsidR="00584FC2">
        <w:t>SG charge</w:t>
      </w:r>
      <w:r>
        <w:t xml:space="preserve"> obligations, the </w:t>
      </w:r>
      <w:r w:rsidR="00584FC2">
        <w:t>SG charge</w:t>
      </w:r>
      <w:r>
        <w:t xml:space="preserve"> is assessed. The ATO will require the employer to lodge an </w:t>
      </w:r>
      <w:r w:rsidR="00584FC2">
        <w:t>SG charge</w:t>
      </w:r>
      <w:r>
        <w:t xml:space="preserve"> statement and then work with the employer to recover the unpaid amounts. The ATO will raise a default assessment if a statement is not supplied. </w:t>
      </w:r>
    </w:p>
    <w:p w14:paraId="3F048D0A" w14:textId="77777777" w:rsidR="000E5323" w:rsidRDefault="000E5323" w:rsidP="000E5323">
      <w:pPr>
        <w:pStyle w:val="BodyText"/>
      </w:pPr>
      <w:r>
        <w:t xml:space="preserve">The ATO will then </w:t>
      </w:r>
      <w:r w:rsidRPr="00E54935">
        <w:t>update</w:t>
      </w:r>
      <w:r>
        <w:t xml:space="preserve"> the employee</w:t>
      </w:r>
      <w:r w:rsidRPr="00E54935">
        <w:t xml:space="preserve"> on the progress of their complaint through a series of letters. The letters will generally advise the employee on the progress the ATO has made with the investigation of their </w:t>
      </w:r>
      <w:r>
        <w:t>unpaid SG</w:t>
      </w:r>
      <w:r w:rsidRPr="00E54935">
        <w:t xml:space="preserve"> complaint or what steps are being taken to recover the </w:t>
      </w:r>
      <w:r>
        <w:t>unpaid SG</w:t>
      </w:r>
      <w:r w:rsidRPr="00E54935">
        <w:t xml:space="preserve"> from their employer.</w:t>
      </w:r>
    </w:p>
    <w:p w14:paraId="2CA38669" w14:textId="77777777" w:rsidR="000E5323" w:rsidRDefault="000E5323" w:rsidP="000E5323">
      <w:pPr>
        <w:pStyle w:val="Heading3"/>
      </w:pPr>
      <w:bookmarkStart w:id="62" w:name="_Toc147500284"/>
      <w:r>
        <w:t>ATO-initiated compliance</w:t>
      </w:r>
      <w:bookmarkEnd w:id="62"/>
    </w:p>
    <w:p w14:paraId="18683274" w14:textId="77777777" w:rsidR="000E5323" w:rsidRDefault="000E5323" w:rsidP="000E5323">
      <w:pPr>
        <w:pStyle w:val="BodyText"/>
      </w:pPr>
      <w:r>
        <w:t>The ATO engages in some proactive compliance through identifying unpaid SG via third party referrals and some manual data matching of employer and superannuation fund reporting. This approach involves manual analysis of data to identify</w:t>
      </w:r>
      <w:r w:rsidRPr="004B358B">
        <w:t xml:space="preserve"> </w:t>
      </w:r>
      <w:r>
        <w:t xml:space="preserve">high-risk employers, being those employers most likely to have unpaid SG. </w:t>
      </w:r>
    </w:p>
    <w:p w14:paraId="70644A7A" w14:textId="1F90240E" w:rsidR="000E5323" w:rsidRPr="00C71247" w:rsidRDefault="000E5323" w:rsidP="000E5323">
      <w:pPr>
        <w:pStyle w:val="BodyText"/>
      </w:pPr>
      <w:r>
        <w:t xml:space="preserve">Where the ATO identifies that an SG contribution has gone unpaid, they will contact the employer to review their records and advise them to submit an </w:t>
      </w:r>
      <w:r w:rsidR="00584FC2">
        <w:t>SG charge</w:t>
      </w:r>
      <w:r>
        <w:t xml:space="preserve"> statement. If an employer either contests that the obligations has been unpaid or otherwise does not comply, the ATO will undertake an SG audit and raise an </w:t>
      </w:r>
      <w:r w:rsidR="00584FC2">
        <w:t>SG charge</w:t>
      </w:r>
      <w:r>
        <w:t xml:space="preserve"> assessment with additional penalties for not lodging the </w:t>
      </w:r>
      <w:r w:rsidR="00584FC2">
        <w:t>SG charge</w:t>
      </w:r>
      <w:r>
        <w:t xml:space="preserve"> statement by the due date. The employer will then be required to pay any </w:t>
      </w:r>
      <w:r w:rsidR="00584FC2">
        <w:t>SG charge</w:t>
      </w:r>
      <w:r>
        <w:t xml:space="preserve"> assessed to the ATO who will remit the shortfall and nominal interest components recovered to the employee’s superannuation fund. </w:t>
      </w:r>
    </w:p>
    <w:p w14:paraId="528A2F51" w14:textId="77777777" w:rsidR="000E5323" w:rsidRPr="003410AA" w:rsidRDefault="000E5323" w:rsidP="000E5323">
      <w:pPr>
        <w:pStyle w:val="BodyText"/>
      </w:pPr>
      <w:r>
        <w:t xml:space="preserve">In 2020-21, the ATO undertook 19,600 reviews of employers. 16,400 of these compliance cases were reactive, triggered by an Employee Notification complaint. These reactive reviews related to 21,000 employee notifications received, as not all employee complaints result in an employer review case being created. The ATO also undertook 3,200 proactive compliance cases as result of ATO-initiated reviews. </w:t>
      </w:r>
    </w:p>
    <w:p w14:paraId="3E54B753" w14:textId="77777777" w:rsidR="000E5323" w:rsidRDefault="000E5323">
      <w:pPr>
        <w:spacing w:before="0" w:after="160" w:line="259" w:lineRule="auto"/>
        <w:rPr>
          <w:rFonts w:ascii="Calibri" w:hAnsi="Calibri" w:cs="Arial"/>
          <w:b/>
          <w:color w:val="5D779D" w:themeColor="accent3"/>
          <w:kern w:val="32"/>
          <w:sz w:val="44"/>
          <w:szCs w:val="36"/>
        </w:rPr>
      </w:pPr>
      <w:r>
        <w:br w:type="page"/>
      </w:r>
    </w:p>
    <w:p w14:paraId="3567FF99" w14:textId="2F7454C7" w:rsidR="00F13878" w:rsidRDefault="00432EDF" w:rsidP="00FE41B5">
      <w:pPr>
        <w:pStyle w:val="Heading1"/>
      </w:pPr>
      <w:bookmarkStart w:id="63" w:name="_Toc147500285"/>
      <w:r>
        <w:t xml:space="preserve">Appendix </w:t>
      </w:r>
      <w:r w:rsidR="000E5323">
        <w:t>B</w:t>
      </w:r>
      <w:r>
        <w:t xml:space="preserve">: </w:t>
      </w:r>
      <w:r w:rsidR="00F13878">
        <w:t>Imple</w:t>
      </w:r>
      <w:r w:rsidR="00CB08EA">
        <w:t>ment</w:t>
      </w:r>
      <w:r w:rsidR="00E9700C">
        <w:t>ation timeline</w:t>
      </w:r>
      <w:bookmarkEnd w:id="63"/>
    </w:p>
    <w:bookmarkStart w:id="64" w:name="_Toc133506051"/>
    <w:bookmarkStart w:id="65" w:name="_Toc147500286"/>
    <w:p w14:paraId="271F9DC5" w14:textId="78CC9670" w:rsidR="00EF451C" w:rsidRPr="00B7223F" w:rsidRDefault="00184D76" w:rsidP="00DC7787">
      <w:pPr>
        <w:pStyle w:val="Heading2"/>
        <w:ind w:firstLine="720"/>
      </w:pPr>
      <w:r>
        <w:rPr>
          <w:noProof/>
        </w:rPr>
        <mc:AlternateContent>
          <mc:Choice Requires="wps">
            <w:drawing>
              <wp:anchor distT="0" distB="0" distL="114300" distR="114300" simplePos="0" relativeHeight="251658240" behindDoc="0" locked="0" layoutInCell="1" allowOverlap="1" wp14:anchorId="2179C29E" wp14:editId="2A049B35">
                <wp:simplePos x="0" y="0"/>
                <wp:positionH relativeFrom="column">
                  <wp:posOffset>-243205</wp:posOffset>
                </wp:positionH>
                <wp:positionV relativeFrom="paragraph">
                  <wp:posOffset>166370</wp:posOffset>
                </wp:positionV>
                <wp:extent cx="657225" cy="6457950"/>
                <wp:effectExtent l="19050" t="0" r="47625" b="38100"/>
                <wp:wrapNone/>
                <wp:docPr id="14" name="Arrow: Down 14"/>
                <wp:cNvGraphicFramePr/>
                <a:graphic xmlns:a="http://schemas.openxmlformats.org/drawingml/2006/main">
                  <a:graphicData uri="http://schemas.microsoft.com/office/word/2010/wordprocessingShape">
                    <wps:wsp>
                      <wps:cNvSpPr/>
                      <wps:spPr>
                        <a:xfrm>
                          <a:off x="0" y="0"/>
                          <a:ext cx="657225" cy="6457950"/>
                        </a:xfrm>
                        <a:prstGeom prst="downArrow">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42DB7C" id="Arrow: Down 14" o:spid="_x0000_s1026" type="#_x0000_t67" style="position:absolute;margin-left:-19.15pt;margin-top:13.1pt;width:51.75pt;height:508.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" adj="20501" fillcolor="#e8f0fc [664]" strokecolor="#e8f0fc [664]" strokeweight="2pt"/>
            </w:pict>
          </mc:Fallback>
        </mc:AlternateContent>
      </w:r>
      <w:r w:rsidR="005D1889">
        <w:t xml:space="preserve">Stage 1: </w:t>
      </w:r>
      <w:r w:rsidR="00EF451C" w:rsidRPr="00B7223F">
        <w:t>2023</w:t>
      </w:r>
      <w:bookmarkEnd w:id="64"/>
      <w:r w:rsidR="0096033E">
        <w:t xml:space="preserve"> </w:t>
      </w:r>
      <w:r w:rsidR="00B82AB0">
        <w:t>–</w:t>
      </w:r>
      <w:r w:rsidR="0096033E">
        <w:t xml:space="preserve"> </w:t>
      </w:r>
      <w:r w:rsidR="00B82AB0">
        <w:t>2024</w:t>
      </w:r>
      <w:bookmarkEnd w:id="65"/>
      <w:r w:rsidR="00EF451C">
        <w:t xml:space="preserve"> </w:t>
      </w:r>
    </w:p>
    <w:p w14:paraId="02F45215" w14:textId="6FE296DE" w:rsidR="00EF451C" w:rsidRDefault="00BE4B12" w:rsidP="00DC7787">
      <w:pPr>
        <w:ind w:left="720"/>
      </w:pPr>
      <w:r>
        <w:rPr>
          <w:i/>
          <w:iCs/>
        </w:rPr>
        <w:t>Implement the d</w:t>
      </w:r>
      <w:r w:rsidR="00EF451C" w:rsidRPr="001A03C2">
        <w:rPr>
          <w:i/>
          <w:iCs/>
        </w:rPr>
        <w:t>ata matching system</w:t>
      </w:r>
      <w:r w:rsidR="00EF451C">
        <w:rPr>
          <w:i/>
        </w:rPr>
        <w:t xml:space="preserve"> </w:t>
      </w:r>
      <w:r w:rsidR="00F9063E" w:rsidRPr="00F51A55">
        <w:t>–</w:t>
      </w:r>
      <w:r w:rsidR="00EF451C">
        <w:t xml:space="preserve"> The ATO will develop the digital infrastructure to automatically match data reported by employers and superannuation funds. This data matching system is the foundation required to effectively implement the SG on payday measure and proactive compliance system outlined at stage two. </w:t>
      </w:r>
    </w:p>
    <w:p w14:paraId="71FD95FD" w14:textId="33D03055" w:rsidR="00EF451C" w:rsidRDefault="00BE4B12" w:rsidP="00DC7787">
      <w:pPr>
        <w:ind w:left="720"/>
      </w:pPr>
      <w:r>
        <w:rPr>
          <w:i/>
          <w:iCs/>
        </w:rPr>
        <w:t>Undertake c</w:t>
      </w:r>
      <w:r w:rsidR="00EF451C" w:rsidRPr="001A03C2">
        <w:rPr>
          <w:i/>
          <w:iCs/>
        </w:rPr>
        <w:t>onsultation and co-design</w:t>
      </w:r>
      <w:r w:rsidR="00EF451C">
        <w:t xml:space="preserve"> – Undertake consultation and co-design on the policy and administrative changes needed to effectively implement the </w:t>
      </w:r>
      <w:r w:rsidR="001707F3">
        <w:t>payday super</w:t>
      </w:r>
      <w:r w:rsidR="00EF451C">
        <w:t xml:space="preserve"> measure and proactive compliance system outlined at stage two. This consultation paper is part of this process. The Government will </w:t>
      </w:r>
      <w:r w:rsidR="00C216C6">
        <w:t>decide</w:t>
      </w:r>
      <w:r w:rsidR="00EF451C">
        <w:t xml:space="preserve"> on the final design parameters for stage two </w:t>
      </w:r>
      <w:r w:rsidR="003E6DE7">
        <w:t>following consultation and co-design</w:t>
      </w:r>
      <w:r w:rsidR="00EF451C">
        <w:t xml:space="preserve">. </w:t>
      </w:r>
    </w:p>
    <w:p w14:paraId="26376964" w14:textId="67968894" w:rsidR="00E9700C" w:rsidRDefault="00BE4B12" w:rsidP="00DC7787">
      <w:pPr>
        <w:ind w:left="720"/>
        <w:rPr>
          <w:b/>
          <w:bCs/>
        </w:rPr>
      </w:pPr>
      <w:r>
        <w:rPr>
          <w:i/>
          <w:iCs/>
        </w:rPr>
        <w:t>Commence ‘I</w:t>
      </w:r>
      <w:r w:rsidR="00EF451C" w:rsidRPr="001A03C2">
        <w:rPr>
          <w:i/>
          <w:iCs/>
        </w:rPr>
        <w:t>nterim SG recovery measures</w:t>
      </w:r>
      <w:r>
        <w:rPr>
          <w:i/>
          <w:iCs/>
        </w:rPr>
        <w:t>’</w:t>
      </w:r>
      <w:r w:rsidR="00EF451C" w:rsidRPr="00887C88">
        <w:t xml:space="preserve"> – The ATO will commence</w:t>
      </w:r>
      <w:r w:rsidR="00EF451C">
        <w:t xml:space="preserve"> reporting on the</w:t>
      </w:r>
      <w:r w:rsidR="00EF451C" w:rsidRPr="00887C88">
        <w:t xml:space="preserve"> </w:t>
      </w:r>
      <w:r w:rsidR="00EF451C">
        <w:rPr>
          <w:i/>
          <w:iCs/>
        </w:rPr>
        <w:t>I</w:t>
      </w:r>
      <w:r w:rsidR="00EF451C" w:rsidRPr="001A03C2">
        <w:rPr>
          <w:i/>
          <w:iCs/>
        </w:rPr>
        <w:t>nterim SG recovery measures</w:t>
      </w:r>
      <w:r w:rsidR="00EF451C">
        <w:rPr>
          <w:i/>
          <w:iCs/>
        </w:rPr>
        <w:t xml:space="preserve"> </w:t>
      </w:r>
      <w:r w:rsidR="00EF451C" w:rsidRPr="008D74EC">
        <w:t>in the Australian Taxation Office Portfolio Budget Statement</w:t>
      </w:r>
      <w:r w:rsidR="00EF451C">
        <w:t xml:space="preserve"> on an annual basis.</w:t>
      </w:r>
    </w:p>
    <w:p w14:paraId="28700B1E" w14:textId="3410CE96" w:rsidR="00EF451C" w:rsidRPr="00B7223F" w:rsidRDefault="005D1889" w:rsidP="00DC7787">
      <w:pPr>
        <w:pStyle w:val="Heading2"/>
        <w:ind w:firstLine="720"/>
      </w:pPr>
      <w:bookmarkStart w:id="66" w:name="_Toc133506052"/>
      <w:bookmarkStart w:id="67" w:name="_Toc147500287"/>
      <w:r>
        <w:t xml:space="preserve">Stage 2: </w:t>
      </w:r>
      <w:r w:rsidR="00EF451C" w:rsidRPr="00B7223F">
        <w:t xml:space="preserve">2024 </w:t>
      </w:r>
      <w:r w:rsidR="00E9700C">
        <w:t>to</w:t>
      </w:r>
      <w:r w:rsidR="005B4974">
        <w:t xml:space="preserve"> </w:t>
      </w:r>
      <w:r w:rsidR="00B82AB0">
        <w:t>1 July 202</w:t>
      </w:r>
      <w:r w:rsidR="006D2DC7">
        <w:t>6</w:t>
      </w:r>
      <w:bookmarkEnd w:id="66"/>
      <w:bookmarkEnd w:id="67"/>
    </w:p>
    <w:p w14:paraId="1518BB79" w14:textId="633522EF" w:rsidR="00A87900" w:rsidRDefault="004A65B9" w:rsidP="00DC7787">
      <w:pPr>
        <w:ind w:left="720"/>
      </w:pPr>
      <w:r>
        <w:rPr>
          <w:i/>
          <w:iCs/>
        </w:rPr>
        <w:t xml:space="preserve">The </w:t>
      </w:r>
      <w:r w:rsidR="006D5EF7">
        <w:rPr>
          <w:i/>
          <w:iCs/>
        </w:rPr>
        <w:t xml:space="preserve">Government </w:t>
      </w:r>
      <w:r w:rsidR="00E43EC2">
        <w:rPr>
          <w:i/>
          <w:iCs/>
        </w:rPr>
        <w:t>to announce</w:t>
      </w:r>
      <w:r w:rsidR="006D5EF7">
        <w:rPr>
          <w:i/>
          <w:iCs/>
        </w:rPr>
        <w:t xml:space="preserve"> outstanding policy and administrative design</w:t>
      </w:r>
      <w:r w:rsidR="00F01969">
        <w:rPr>
          <w:i/>
          <w:iCs/>
        </w:rPr>
        <w:t xml:space="preserve"> </w:t>
      </w:r>
      <w:r w:rsidR="00F9063E" w:rsidRPr="00F51A55">
        <w:t>–</w:t>
      </w:r>
      <w:r w:rsidR="00F01969" w:rsidRPr="00663DF7">
        <w:t xml:space="preserve"> </w:t>
      </w:r>
      <w:r w:rsidR="00872EC4">
        <w:t>During</w:t>
      </w:r>
      <w:r w:rsidR="00B82AB0">
        <w:t xml:space="preserve"> the</w:t>
      </w:r>
      <w:r w:rsidR="00872EC4">
        <w:t xml:space="preserve"> 2024-25</w:t>
      </w:r>
      <w:r w:rsidR="00B82AB0">
        <w:t xml:space="preserve"> Budget</w:t>
      </w:r>
      <w:r w:rsidR="00872EC4">
        <w:t>,</w:t>
      </w:r>
      <w:r w:rsidR="00F01969">
        <w:t xml:space="preserve"> the</w:t>
      </w:r>
      <w:r w:rsidR="00E11195">
        <w:t xml:space="preserve"> Government will </w:t>
      </w:r>
      <w:r w:rsidR="00A87900">
        <w:t>finalise</w:t>
      </w:r>
      <w:r w:rsidR="00E11195">
        <w:t xml:space="preserve"> the outstanding</w:t>
      </w:r>
      <w:r w:rsidR="00F01969">
        <w:t xml:space="preserve"> </w:t>
      </w:r>
      <w:r w:rsidR="00F01969" w:rsidRPr="00663DF7">
        <w:t>design</w:t>
      </w:r>
      <w:r w:rsidR="00A87900">
        <w:t xml:space="preserve"> parameters for the </w:t>
      </w:r>
      <w:r w:rsidR="00B42D3F">
        <w:t>Securing Australians’ Superannuation package</w:t>
      </w:r>
      <w:r w:rsidR="0058533F">
        <w:t>,</w:t>
      </w:r>
      <w:r w:rsidR="004D4000">
        <w:t xml:space="preserve"> informed by the outcome of </w:t>
      </w:r>
      <w:r w:rsidR="00140DF9">
        <w:t xml:space="preserve">public </w:t>
      </w:r>
      <w:r w:rsidR="004D4000">
        <w:t xml:space="preserve">consultation and co-design. </w:t>
      </w:r>
    </w:p>
    <w:p w14:paraId="6D674035" w14:textId="509F937E" w:rsidR="00EF451C" w:rsidRDefault="00BE4B12" w:rsidP="00DC7787">
      <w:pPr>
        <w:ind w:left="720"/>
      </w:pPr>
      <w:r w:rsidRPr="00E72D41">
        <w:rPr>
          <w:i/>
          <w:iCs/>
        </w:rPr>
        <w:t>Implement the</w:t>
      </w:r>
      <w:r w:rsidR="00E72D41" w:rsidRPr="00E72D41">
        <w:rPr>
          <w:i/>
          <w:iCs/>
        </w:rPr>
        <w:t xml:space="preserve"> </w:t>
      </w:r>
      <w:r w:rsidR="00EF451C" w:rsidRPr="00E72D41">
        <w:rPr>
          <w:i/>
          <w:iCs/>
        </w:rPr>
        <w:t>SG on payday</w:t>
      </w:r>
      <w:r w:rsidR="00EF451C" w:rsidRPr="00FE41B5">
        <w:rPr>
          <w:i/>
          <w:iCs/>
        </w:rPr>
        <w:t xml:space="preserve"> </w:t>
      </w:r>
      <w:r w:rsidR="00E72D41" w:rsidRPr="00FE41B5">
        <w:rPr>
          <w:i/>
          <w:iCs/>
        </w:rPr>
        <w:t>measure</w:t>
      </w:r>
      <w:r w:rsidR="00F51A55">
        <w:rPr>
          <w:i/>
          <w:iCs/>
        </w:rPr>
        <w:t xml:space="preserve"> </w:t>
      </w:r>
      <w:r w:rsidR="004D45FD">
        <w:rPr>
          <w:i/>
          <w:iCs/>
        </w:rPr>
        <w:t>–</w:t>
      </w:r>
      <w:r w:rsidR="00EF451C" w:rsidRPr="00CD55E0">
        <w:t xml:space="preserve"> </w:t>
      </w:r>
      <w:r w:rsidR="004D45FD">
        <w:t xml:space="preserve">The Government will </w:t>
      </w:r>
      <w:r w:rsidR="00C216C6">
        <w:t xml:space="preserve">introduce </w:t>
      </w:r>
      <w:r w:rsidR="004D45FD">
        <w:t xml:space="preserve">legislation to give effect </w:t>
      </w:r>
      <w:r w:rsidR="00140DF9">
        <w:t>to the</w:t>
      </w:r>
      <w:r w:rsidR="00140DF9" w:rsidRPr="00140DF9">
        <w:t xml:space="preserve"> </w:t>
      </w:r>
      <w:r w:rsidR="00140DF9" w:rsidRPr="00663DF7">
        <w:t>measure</w:t>
      </w:r>
      <w:r w:rsidR="004D45FD">
        <w:t xml:space="preserve">. The </w:t>
      </w:r>
      <w:r w:rsidR="00EF451C">
        <w:t xml:space="preserve">ATO </w:t>
      </w:r>
      <w:r w:rsidR="00D42D8F" w:rsidRPr="00DA1696">
        <w:t xml:space="preserve">will work with key stakeholders in relation to implementation of the changes necessary to meet the final design parameters. </w:t>
      </w:r>
      <w:r w:rsidR="009E5D5A" w:rsidRPr="00DA1696">
        <w:t>This includes detailed co-design between stakeholders (including digital service providers) and the ATO, and finalisation of any required software build specifications. It will also allow time for the ATO and stakeholders to build and test solutions prior to the start date of 1 July 2026, and for employers to make changes to their cashflow to support the change</w:t>
      </w:r>
      <w:r w:rsidR="009E5D5A">
        <w:t xml:space="preserve"> </w:t>
      </w:r>
      <w:r w:rsidR="009E5D5A" w:rsidRPr="00DA1696">
        <w:t>if required.</w:t>
      </w:r>
    </w:p>
    <w:p w14:paraId="60CE8B98" w14:textId="5D20A6E3" w:rsidR="000D714D" w:rsidRPr="003717CE" w:rsidRDefault="00670EAE" w:rsidP="00DC7787">
      <w:pPr>
        <w:ind w:left="720"/>
      </w:pPr>
      <w:r>
        <w:rPr>
          <w:i/>
          <w:iCs/>
        </w:rPr>
        <w:t xml:space="preserve">Enhanced ATO compliance activities </w:t>
      </w:r>
      <w:r w:rsidR="00051DEC">
        <w:t>–</w:t>
      </w:r>
      <w:r>
        <w:t xml:space="preserve"> </w:t>
      </w:r>
      <w:r w:rsidR="00051DEC">
        <w:t>The ATO will</w:t>
      </w:r>
      <w:r w:rsidR="0004017E">
        <w:t xml:space="preserve"> progressively </w:t>
      </w:r>
      <w:r w:rsidR="00051DEC">
        <w:t xml:space="preserve">begin </w:t>
      </w:r>
      <w:r w:rsidR="0004017E">
        <w:t>utilising</w:t>
      </w:r>
      <w:r w:rsidR="00AB02A7">
        <w:t xml:space="preserve"> </w:t>
      </w:r>
      <w:r w:rsidR="00A45ECC">
        <w:t xml:space="preserve">enhanced </w:t>
      </w:r>
      <w:r w:rsidR="00597950">
        <w:t xml:space="preserve">data analysis processes to </w:t>
      </w:r>
      <w:r w:rsidR="00DD3410">
        <w:t>assist with conducting</w:t>
      </w:r>
      <w:r w:rsidR="00B11EEE">
        <w:t xml:space="preserve"> compliance </w:t>
      </w:r>
      <w:r w:rsidR="00DC4769">
        <w:t>activity</w:t>
      </w:r>
      <w:r w:rsidR="00B11EEE">
        <w:t xml:space="preserve">. </w:t>
      </w:r>
    </w:p>
    <w:p w14:paraId="60CDCC67" w14:textId="4DFE49A3" w:rsidR="00082FC2" w:rsidRDefault="005D1889" w:rsidP="00DC7787">
      <w:pPr>
        <w:pStyle w:val="Heading2"/>
        <w:ind w:firstLine="720"/>
      </w:pPr>
      <w:bookmarkStart w:id="68" w:name="_Toc133506053"/>
      <w:bookmarkStart w:id="69" w:name="_Toc147500288"/>
      <w:r>
        <w:t xml:space="preserve">Stage 3: </w:t>
      </w:r>
      <w:r w:rsidR="00E9700C" w:rsidRPr="00B7223F">
        <w:t>2026</w:t>
      </w:r>
      <w:r w:rsidR="00B82AB0">
        <w:t xml:space="preserve"> onwards</w:t>
      </w:r>
      <w:bookmarkEnd w:id="68"/>
      <w:bookmarkEnd w:id="69"/>
    </w:p>
    <w:p w14:paraId="32FF7FC7" w14:textId="2968E6EB" w:rsidR="00E72D41" w:rsidRDefault="007E22BB" w:rsidP="00DC7787">
      <w:pPr>
        <w:ind w:left="720"/>
        <w:rPr>
          <w:i/>
          <w:iCs/>
        </w:rPr>
      </w:pPr>
      <w:r>
        <w:rPr>
          <w:i/>
          <w:iCs/>
        </w:rPr>
        <w:t xml:space="preserve">Commence </w:t>
      </w:r>
      <w:r w:rsidR="00E72D41">
        <w:rPr>
          <w:i/>
          <w:iCs/>
        </w:rPr>
        <w:t>SG on payday measure</w:t>
      </w:r>
      <w:r w:rsidR="00F9063E">
        <w:rPr>
          <w:i/>
          <w:iCs/>
        </w:rPr>
        <w:t xml:space="preserve"> </w:t>
      </w:r>
      <w:r w:rsidR="00F9063E" w:rsidRPr="00F51A55">
        <w:t>–</w:t>
      </w:r>
      <w:r w:rsidR="00E72D41">
        <w:rPr>
          <w:i/>
          <w:iCs/>
        </w:rPr>
        <w:t xml:space="preserve"> </w:t>
      </w:r>
      <w:r w:rsidR="00E72D41" w:rsidRPr="00FE41B5">
        <w:t>From 1 July</w:t>
      </w:r>
      <w:r w:rsidR="00A32CE9">
        <w:t xml:space="preserve"> 2026</w:t>
      </w:r>
      <w:r w:rsidR="009331FD">
        <w:t>, all</w:t>
      </w:r>
      <w:r w:rsidR="00E72D41" w:rsidRPr="00663DF7">
        <w:t xml:space="preserve"> </w:t>
      </w:r>
      <w:r w:rsidR="00A32CE9" w:rsidRPr="00663DF7">
        <w:t xml:space="preserve">employers </w:t>
      </w:r>
      <w:r w:rsidR="00A32CE9">
        <w:t>will</w:t>
      </w:r>
      <w:r w:rsidR="00A32CE9" w:rsidRPr="00663DF7">
        <w:t xml:space="preserve"> pay their employees’ SG entitlements on </w:t>
      </w:r>
      <w:proofErr w:type="gramStart"/>
      <w:r w:rsidR="00A5302A">
        <w:t xml:space="preserve">at the same time </w:t>
      </w:r>
      <w:r w:rsidR="00A32CE9" w:rsidRPr="00663DF7">
        <w:t>that</w:t>
      </w:r>
      <w:proofErr w:type="gramEnd"/>
      <w:r w:rsidR="00A32CE9" w:rsidRPr="00663DF7">
        <w:t xml:space="preserve"> they pay salary and wages.</w:t>
      </w:r>
    </w:p>
    <w:p w14:paraId="365C5799" w14:textId="14EA31D3" w:rsidR="006D2DC7" w:rsidRDefault="007E22BB" w:rsidP="00DC7787">
      <w:pPr>
        <w:ind w:left="720"/>
        <w:rPr>
          <w:u w:val="single"/>
        </w:rPr>
      </w:pPr>
      <w:r>
        <w:rPr>
          <w:i/>
          <w:iCs/>
        </w:rPr>
        <w:t>Commence p</w:t>
      </w:r>
      <w:r w:rsidR="006D2DC7" w:rsidRPr="007B04DA">
        <w:rPr>
          <w:i/>
          <w:iCs/>
        </w:rPr>
        <w:t>roactive SG compliance system</w:t>
      </w:r>
      <w:r w:rsidR="006D2DC7" w:rsidRPr="00CC42E3">
        <w:t xml:space="preserve"> </w:t>
      </w:r>
      <w:r w:rsidR="006D2DC7" w:rsidRPr="00F51A55">
        <w:t>–</w:t>
      </w:r>
      <w:r w:rsidR="006D2DC7" w:rsidRPr="00FE41B5">
        <w:t xml:space="preserve"> </w:t>
      </w:r>
      <w:r w:rsidR="004D45FD">
        <w:t xml:space="preserve">The </w:t>
      </w:r>
      <w:r w:rsidR="00F51A55" w:rsidRPr="00FE41B5">
        <w:t>ATO will</w:t>
      </w:r>
      <w:r w:rsidR="00F51A55">
        <w:t xml:space="preserve"> begin </w:t>
      </w:r>
      <w:r w:rsidR="004D45FD">
        <w:t xml:space="preserve">proactive SG </w:t>
      </w:r>
      <w:r w:rsidR="00F51A55">
        <w:t xml:space="preserve">compliance based on the </w:t>
      </w:r>
      <w:r w:rsidR="00C810DF">
        <w:t>more frequent</w:t>
      </w:r>
      <w:r w:rsidR="00FE41B5">
        <w:t xml:space="preserve"> payment requirements. </w:t>
      </w:r>
      <w:r w:rsidR="00395FC6">
        <w:t xml:space="preserve">The ATO will have the </w:t>
      </w:r>
      <w:r w:rsidR="00395FC6" w:rsidRPr="00395FC6">
        <w:t>necessary digital infrastructure to identify instances of under</w:t>
      </w:r>
      <w:r w:rsidR="00E34CD0">
        <w:t>payment</w:t>
      </w:r>
      <w:r w:rsidR="00395FC6" w:rsidRPr="00395FC6">
        <w:t xml:space="preserve"> or non-payment of SG in near-real time</w:t>
      </w:r>
      <w:r w:rsidR="000234A9">
        <w:t xml:space="preserve"> and </w:t>
      </w:r>
      <w:r w:rsidR="00F65AAF">
        <w:t xml:space="preserve">be able to use this function when conducting compliance. </w:t>
      </w:r>
    </w:p>
    <w:p w14:paraId="510E2CE4" w14:textId="1BC35575" w:rsidR="00FE7F18" w:rsidRDefault="00BE4B12" w:rsidP="00DC7787">
      <w:pPr>
        <w:ind w:left="720"/>
      </w:pPr>
      <w:r>
        <w:rPr>
          <w:i/>
          <w:iCs/>
        </w:rPr>
        <w:t>Commence ‘</w:t>
      </w:r>
      <w:r w:rsidR="006D2DC7" w:rsidRPr="007B04DA">
        <w:rPr>
          <w:i/>
          <w:iCs/>
        </w:rPr>
        <w:t>Improved SG recovery measures</w:t>
      </w:r>
      <w:r>
        <w:rPr>
          <w:i/>
          <w:iCs/>
        </w:rPr>
        <w:t>’</w:t>
      </w:r>
      <w:r w:rsidR="006D2DC7" w:rsidRPr="008D74EC">
        <w:t xml:space="preserve"> – </w:t>
      </w:r>
      <w:r w:rsidR="006D2DC7" w:rsidRPr="00887C88">
        <w:t>The ATO will commence</w:t>
      </w:r>
      <w:r w:rsidR="006D2DC7">
        <w:t xml:space="preserve"> reporting on the</w:t>
      </w:r>
      <w:r w:rsidR="006D2DC7" w:rsidRPr="00887C88">
        <w:t xml:space="preserve"> </w:t>
      </w:r>
      <w:r w:rsidR="006D2DC7" w:rsidRPr="008D74EC">
        <w:rPr>
          <w:i/>
          <w:iCs/>
        </w:rPr>
        <w:t>Improved SG recovery measures</w:t>
      </w:r>
      <w:r w:rsidR="006D2DC7" w:rsidRPr="008D74EC">
        <w:t xml:space="preserve"> in the Australian Taxation Office Portfolio Budget Statement</w:t>
      </w:r>
      <w:r w:rsidR="006D2DC7">
        <w:t xml:space="preserve"> on an annual basi</w:t>
      </w:r>
      <w:r w:rsidR="00FE7F18">
        <w:t xml:space="preserve">s.  </w:t>
      </w:r>
    </w:p>
    <w:p w14:paraId="19BE6639" w14:textId="7FF6E657" w:rsidR="00082FC2" w:rsidRDefault="00082FC2" w:rsidP="006D2DC7"/>
    <w:sectPr w:rsidR="00082FC2" w:rsidSect="009410B5">
      <w:footerReference w:type="default" r:id="rId35"/>
      <w:pgSz w:w="11906" w:h="16838" w:code="9"/>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EB43" w14:textId="77777777" w:rsidR="000C12BB" w:rsidRDefault="000C12BB">
      <w:pPr>
        <w:spacing w:before="0" w:after="0"/>
      </w:pPr>
      <w:r>
        <w:separator/>
      </w:r>
    </w:p>
  </w:endnote>
  <w:endnote w:type="continuationSeparator" w:id="0">
    <w:p w14:paraId="3A443198" w14:textId="77777777" w:rsidR="000C12BB" w:rsidRDefault="000C12BB">
      <w:pPr>
        <w:spacing w:before="0" w:after="0"/>
      </w:pPr>
      <w:r>
        <w:continuationSeparator/>
      </w:r>
    </w:p>
  </w:endnote>
  <w:endnote w:type="continuationNotice" w:id="1">
    <w:p w14:paraId="68058277" w14:textId="77777777" w:rsidR="000C12BB" w:rsidRDefault="000C12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23593" w14:textId="77777777" w:rsidR="002314D2" w:rsidRPr="00E77C89" w:rsidRDefault="002314D2" w:rsidP="0017089D">
    <w:r>
      <w:fldChar w:fldCharType="begin"/>
    </w:r>
    <w:r>
      <w:instrText xml:space="preserve"> PAGE  \* Arabic  \* MERGEFORMAT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54F9" w14:textId="2730F7F2" w:rsidR="009927E5" w:rsidRPr="008043EA" w:rsidRDefault="009927E5" w:rsidP="0009151A">
    <w:r w:rsidRPr="00742366">
      <w:rPr>
        <w:noProof/>
      </w:rPr>
      <w:drawing>
        <wp:anchor distT="0" distB="0" distL="114300" distR="114300" simplePos="0" relativeHeight="251658241" behindDoc="1" locked="1" layoutInCell="1" allowOverlap="1" wp14:anchorId="087AC486" wp14:editId="68D1F051">
          <wp:simplePos x="0" y="0"/>
          <wp:positionH relativeFrom="margin">
            <wp:posOffset>5459095</wp:posOffset>
          </wp:positionH>
          <wp:positionV relativeFrom="page">
            <wp:posOffset>3280410</wp:posOffset>
          </wp:positionV>
          <wp:extent cx="7574280" cy="1043940"/>
          <wp:effectExtent l="762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0" wp14:anchorId="58FD30A3" wp14:editId="043FB58F">
          <wp:simplePos x="0" y="0"/>
          <wp:positionH relativeFrom="margin">
            <wp:align>left</wp:align>
          </wp:positionH>
          <wp:positionV relativeFrom="page">
            <wp:posOffset>10048875</wp:posOffset>
          </wp:positionV>
          <wp:extent cx="1324800" cy="201600"/>
          <wp:effectExtent l="0" t="0" r="0" b="8255"/>
          <wp:wrapTight wrapText="bothSides">
            <wp:wrapPolygon edited="0">
              <wp:start x="0" y="0"/>
              <wp:lineTo x="0" y="16353"/>
              <wp:lineTo x="2174" y="20442"/>
              <wp:lineTo x="9630" y="20442"/>
              <wp:lineTo x="13979" y="20442"/>
              <wp:lineTo x="21124" y="20442"/>
              <wp:lineTo x="20813" y="4088"/>
              <wp:lineTo x="1553" y="0"/>
              <wp:lineTo x="0" y="0"/>
            </wp:wrapPolygon>
          </wp:wrapTight>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rsidR="001911F1">
      <w:fldChar w:fldCharType="begin"/>
    </w:r>
    <w:r w:rsidR="001911F1">
      <w:instrText>STYLEREF  "Heading 1"  \* MERGEFORMAT</w:instrText>
    </w:r>
    <w:r w:rsidR="001911F1">
      <w:fldChar w:fldCharType="separate"/>
    </w:r>
    <w:r w:rsidR="001911F1">
      <w:rPr>
        <w:noProof/>
      </w:rPr>
      <w:t>Abbreviations</w:t>
    </w:r>
    <w:r w:rsidR="001911F1">
      <w:rPr>
        <w:noProof/>
      </w:rPr>
      <w:fldChar w:fldCharType="end"/>
    </w:r>
    <w:r>
      <w:t xml:space="preserve"> | </w:t>
    </w:r>
    <w:r>
      <w:fldChar w:fldCharType="begin"/>
    </w:r>
    <w:r>
      <w:instrText xml:space="preserve"> PAGE   \* MERGEFORMAT </w:instrText>
    </w:r>
    <w:r>
      <w:fldChar w:fldCharType="separate"/>
    </w:r>
    <w:r>
      <w:t>1</w:t>
    </w:r>
    <w:r>
      <w:fldChar w:fldCharType="end"/>
    </w:r>
  </w:p>
  <w:p w14:paraId="5B00C393" w14:textId="77777777" w:rsidR="009927E5" w:rsidRPr="008043EA" w:rsidRDefault="009927E5" w:rsidP="009927E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AB64" w14:textId="77777777" w:rsidR="00DC65F0" w:rsidRPr="00E77C89" w:rsidRDefault="00DC65F0" w:rsidP="0017089D">
    <w:r>
      <w:fldChar w:fldCharType="begin"/>
    </w:r>
    <w:r>
      <w:instrText xml:space="preserve"> PAGE  \* Arabic  \* MERGEFORMAT </w:instrText>
    </w:r>
    <w:r>
      <w:fldChar w:fldCharType="separate"/>
    </w:r>
    <w:r>
      <w:t>6</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7D41" w14:textId="6DF85CE3" w:rsidR="00DC65F0" w:rsidRPr="00E13E90" w:rsidRDefault="00DC65F0" w:rsidP="00E13E90">
    <w:pPr>
      <w:pStyle w:val="Footer"/>
    </w:pPr>
    <w:r w:rsidRPr="00742366">
      <w:drawing>
        <wp:anchor distT="0" distB="0" distL="114300" distR="114300" simplePos="0" relativeHeight="251658243" behindDoc="1" locked="1" layoutInCell="1" allowOverlap="1" wp14:anchorId="31F40944" wp14:editId="7A143EAE">
          <wp:simplePos x="0" y="0"/>
          <wp:positionH relativeFrom="margin">
            <wp:posOffset>5459095</wp:posOffset>
          </wp:positionH>
          <wp:positionV relativeFrom="page">
            <wp:posOffset>3280410</wp:posOffset>
          </wp:positionV>
          <wp:extent cx="7574280" cy="1043940"/>
          <wp:effectExtent l="762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rot="5400000">
                    <a:off x="0" y="0"/>
                    <a:ext cx="7574280" cy="1043940"/>
                  </a:xfrm>
                  <a:prstGeom prst="rect">
                    <a:avLst/>
                  </a:prstGeom>
                </pic:spPr>
              </pic:pic>
            </a:graphicData>
          </a:graphic>
          <wp14:sizeRelH relativeFrom="margin">
            <wp14:pctWidth>0</wp14:pctWidth>
          </wp14:sizeRelH>
          <wp14:sizeRelV relativeFrom="margin">
            <wp14:pctHeight>0</wp14:pctHeight>
          </wp14:sizeRelV>
        </wp:anchor>
      </w:drawing>
    </w:r>
    <w:r w:rsidRPr="00EF03E1">
      <w:rPr>
        <w:position w:val="-10"/>
      </w:rPr>
      <w:drawing>
        <wp:inline distT="0" distB="0" distL="0" distR="0" wp14:anchorId="75B59643" wp14:editId="52528EAF">
          <wp:extent cx="1324800" cy="201600"/>
          <wp:effectExtent l="0" t="0" r="0" b="8255"/>
          <wp:docPr id="27" name="Picture 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324800" cy="201600"/>
                  </a:xfrm>
                  <a:prstGeom prst="rect">
                    <a:avLst/>
                  </a:prstGeom>
                </pic:spPr>
              </pic:pic>
            </a:graphicData>
          </a:graphic>
        </wp:inline>
      </w:drawing>
    </w:r>
    <w:r>
      <w:tab/>
    </w:r>
    <w:r w:rsidR="001911F1">
      <w:fldChar w:fldCharType="begin"/>
    </w:r>
    <w:r w:rsidR="001911F1">
      <w:instrText>STYLEREF  "Heading 1"  \* MERGEFORMAT</w:instrText>
    </w:r>
    <w:r w:rsidR="001911F1">
      <w:fldChar w:fldCharType="separate"/>
    </w:r>
    <w:r w:rsidR="001911F1">
      <w:t>Consultation Process</w:t>
    </w:r>
    <w:r w:rsidR="001911F1">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A10DF" w14:textId="77777777" w:rsidR="00DC65F0" w:rsidRDefault="00DC65F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70CF" w14:textId="11CE5ABD" w:rsidR="00B85DB2" w:rsidRDefault="00E81A40">
    <w:pPr>
      <w:pStyle w:val="Footer"/>
    </w:pPr>
    <w:r>
      <w:tab/>
    </w:r>
    <w:r w:rsidR="001911F1">
      <w:fldChar w:fldCharType="begin"/>
    </w:r>
    <w:r w:rsidR="001911F1">
      <w:instrText>STYLEREF  "Heading 1"  \* MERGEFORMAT</w:instrText>
    </w:r>
    <w:r w:rsidR="001911F1">
      <w:fldChar w:fldCharType="separate"/>
    </w:r>
    <w:r w:rsidR="001911F1">
      <w:t>Policy considerations: Securing Australians’ Superannuation package</w:t>
    </w:r>
    <w:r w:rsidR="001911F1">
      <w:fldChar w:fldCharType="end"/>
    </w:r>
    <w:r>
      <w:t xml:space="preserve"> | </w:t>
    </w:r>
    <w:r>
      <w:rPr>
        <w:noProof w:val="0"/>
      </w:rPr>
      <w:fldChar w:fldCharType="begin"/>
    </w:r>
    <w:r>
      <w:instrText xml:space="preserve"> PAGE   \* MERGEFORMAT </w:instrText>
    </w:r>
    <w:r>
      <w:rPr>
        <w:noProof w:val="0"/>
      </w:rPr>
      <w:fldChar w:fldCharType="separate"/>
    </w:r>
    <w:r>
      <w:rPr>
        <w:noProof w:val="0"/>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4006D" w14:textId="77777777" w:rsidR="000C12BB" w:rsidRDefault="000C12BB">
      <w:pPr>
        <w:spacing w:before="0" w:after="0"/>
      </w:pPr>
      <w:r>
        <w:separator/>
      </w:r>
    </w:p>
  </w:footnote>
  <w:footnote w:type="continuationSeparator" w:id="0">
    <w:p w14:paraId="3BD069FF" w14:textId="77777777" w:rsidR="000C12BB" w:rsidRDefault="000C12BB">
      <w:pPr>
        <w:spacing w:before="0" w:after="0"/>
      </w:pPr>
      <w:r>
        <w:continuationSeparator/>
      </w:r>
    </w:p>
  </w:footnote>
  <w:footnote w:type="continuationNotice" w:id="1">
    <w:p w14:paraId="3D52CE0F" w14:textId="77777777" w:rsidR="000C12BB" w:rsidRDefault="000C12BB">
      <w:pPr>
        <w:spacing w:before="0" w:after="0"/>
      </w:pPr>
    </w:p>
  </w:footnote>
  <w:footnote w:id="2">
    <w:p w14:paraId="13206D1F" w14:textId="21E2AC13" w:rsidR="00AF0B3F" w:rsidRDefault="00AF0B3F" w:rsidP="0036511B">
      <w:pPr>
        <w:pStyle w:val="FootnoteText"/>
      </w:pPr>
      <w:r>
        <w:rPr>
          <w:rStyle w:val="FootnoteReference"/>
        </w:rPr>
        <w:footnoteRef/>
      </w:r>
      <w:r w:rsidR="0036511B">
        <w:t xml:space="preserve"> </w:t>
      </w:r>
      <w:r>
        <w:t xml:space="preserve">Review of Your Future, Your Super Measures, Treasury: </w:t>
      </w:r>
      <w:hyperlink r:id="rId1" w:history="1">
        <w:r>
          <w:rPr>
            <w:rStyle w:val="Hyperlink"/>
          </w:rPr>
          <w:t>https://treasury.gov.au/consultation/c2022-313936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1E0B" w14:textId="77777777" w:rsidR="002314D2" w:rsidRPr="001F3912" w:rsidRDefault="002314D2" w:rsidP="0017089D">
    <w:r>
      <w:fldChar w:fldCharType="begin"/>
    </w:r>
    <w:r>
      <w:instrText xml:space="preserve"> macrobutton nomacro [Click and add Publication Title]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0E346" w14:textId="77777777" w:rsidR="002314D2" w:rsidRPr="001F3912" w:rsidRDefault="002314D2" w:rsidP="0017089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B19D" w14:textId="77777777" w:rsidR="00DC65F0" w:rsidRPr="001F3912" w:rsidRDefault="00DC65F0" w:rsidP="0017089D">
    <w:r>
      <w:fldChar w:fldCharType="begin"/>
    </w:r>
    <w:r>
      <w:instrText xml:space="preserve"> macrobutton nomacro [Click and add Publication Title] </w:instrTex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1CD8" w14:textId="77777777" w:rsidR="00DC65F0" w:rsidRPr="00963E8D" w:rsidRDefault="00DC65F0" w:rsidP="00963E8D">
    <w:pPr>
      <w:pStyle w:val="Header"/>
    </w:pPr>
    <w:r>
      <w:rPr>
        <w:noProof/>
      </w:rPr>
      <w:drawing>
        <wp:anchor distT="0" distB="0" distL="114300" distR="114300" simplePos="0" relativeHeight="251658242" behindDoc="1" locked="1" layoutInCell="1" allowOverlap="1" wp14:anchorId="7E296B10" wp14:editId="15FD5008">
          <wp:simplePos x="0" y="0"/>
          <wp:positionH relativeFrom="page">
            <wp:align>center</wp:align>
          </wp:positionH>
          <wp:positionV relativeFrom="page">
            <wp:align>top</wp:align>
          </wp:positionV>
          <wp:extent cx="7570800" cy="104400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4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2264F" w14:textId="77777777" w:rsidR="00DC65F0" w:rsidRDefault="00DC6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D3FC7"/>
    <w:multiLevelType w:val="multilevel"/>
    <w:tmpl w:val="79E48CD8"/>
    <w:styleLink w:val="BoxBulletedList"/>
    <w:lvl w:ilvl="0">
      <w:start w:val="1"/>
      <w:numFmt w:val="bullet"/>
      <w:lvlRestart w:val="0"/>
      <w:lvlText w:val="•"/>
      <w:lvlJc w:val="left"/>
      <w:pPr>
        <w:tabs>
          <w:tab w:val="num" w:pos="567"/>
        </w:tabs>
        <w:ind w:left="567" w:hanging="283"/>
      </w:pPr>
      <w:rPr>
        <w:rFonts w:ascii="Times New Roman" w:hAnsi="Times New Roman" w:cs="Times New Roman" w:hint="default"/>
        <w:b w:val="0"/>
        <w:i w:val="0"/>
        <w:sz w:val="20"/>
      </w:rPr>
    </w:lvl>
    <w:lvl w:ilvl="1">
      <w:start w:val="1"/>
      <w:numFmt w:val="bullet"/>
      <w:lvlText w:val="–"/>
      <w:lvlJc w:val="left"/>
      <w:pPr>
        <w:tabs>
          <w:tab w:val="num" w:pos="851"/>
        </w:tabs>
        <w:ind w:left="851" w:hanging="284"/>
      </w:pPr>
      <w:rPr>
        <w:rFonts w:hint="default"/>
        <w:b w:val="0"/>
        <w:i w:val="0"/>
      </w:rPr>
    </w:lvl>
    <w:lvl w:ilvl="2">
      <w:start w:val="1"/>
      <w:numFmt w:val="bullet"/>
      <w:lvlText w:val=":"/>
      <w:lvlJc w:val="left"/>
      <w:pPr>
        <w:tabs>
          <w:tab w:val="num" w:pos="1134"/>
        </w:tabs>
        <w:ind w:left="1134" w:hanging="283"/>
      </w:pPr>
      <w:rPr>
        <w:rFonts w:hint="default"/>
        <w:b w:val="0"/>
        <w:i w:val="0"/>
      </w:rPr>
    </w:lvl>
    <w:lvl w:ilvl="3">
      <w:start w:val="1"/>
      <w:numFmt w:val="decimal"/>
      <w:lvlText w:val="(%4)"/>
      <w:lvlJc w:val="left"/>
      <w:pPr>
        <w:tabs>
          <w:tab w:val="num" w:pos="1724"/>
        </w:tabs>
        <w:ind w:left="1724" w:hanging="360"/>
      </w:pPr>
      <w:rPr>
        <w:rFonts w:hint="default"/>
        <w:b w:val="0"/>
        <w:i w:val="0"/>
      </w:rPr>
    </w:lvl>
    <w:lvl w:ilvl="4">
      <w:start w:val="1"/>
      <w:numFmt w:val="lowerLetter"/>
      <w:lvlText w:val="(%5)"/>
      <w:lvlJc w:val="left"/>
      <w:pPr>
        <w:tabs>
          <w:tab w:val="num" w:pos="2084"/>
        </w:tabs>
        <w:ind w:left="2084" w:hanging="360"/>
      </w:pPr>
      <w:rPr>
        <w:rFonts w:hint="default"/>
        <w:b w:val="0"/>
        <w:i w:val="0"/>
      </w:rPr>
    </w:lvl>
    <w:lvl w:ilvl="5">
      <w:start w:val="1"/>
      <w:numFmt w:val="lowerRoman"/>
      <w:lvlText w:val="(%6)"/>
      <w:lvlJc w:val="left"/>
      <w:pPr>
        <w:tabs>
          <w:tab w:val="num" w:pos="2444"/>
        </w:tabs>
        <w:ind w:left="2444" w:hanging="360"/>
      </w:pPr>
      <w:rPr>
        <w:rFonts w:hint="default"/>
        <w:b w:val="0"/>
        <w:i w:val="0"/>
      </w:rPr>
    </w:lvl>
    <w:lvl w:ilvl="6">
      <w:start w:val="1"/>
      <w:numFmt w:val="decimal"/>
      <w:lvlText w:val="%7."/>
      <w:lvlJc w:val="left"/>
      <w:pPr>
        <w:tabs>
          <w:tab w:val="num" w:pos="2804"/>
        </w:tabs>
        <w:ind w:left="2804" w:hanging="360"/>
      </w:pPr>
      <w:rPr>
        <w:rFonts w:hint="default"/>
        <w:b w:val="0"/>
        <w:i w:val="0"/>
      </w:rPr>
    </w:lvl>
    <w:lvl w:ilvl="7">
      <w:start w:val="1"/>
      <w:numFmt w:val="lowerLetter"/>
      <w:lvlText w:val="%8."/>
      <w:lvlJc w:val="left"/>
      <w:pPr>
        <w:tabs>
          <w:tab w:val="num" w:pos="3164"/>
        </w:tabs>
        <w:ind w:left="3164" w:hanging="360"/>
      </w:pPr>
      <w:rPr>
        <w:rFonts w:hint="default"/>
        <w:b w:val="0"/>
        <w:i w:val="0"/>
      </w:rPr>
    </w:lvl>
    <w:lvl w:ilvl="8">
      <w:start w:val="1"/>
      <w:numFmt w:val="lowerRoman"/>
      <w:lvlText w:val="%9."/>
      <w:lvlJc w:val="left"/>
      <w:pPr>
        <w:tabs>
          <w:tab w:val="num" w:pos="3524"/>
        </w:tabs>
        <w:ind w:left="3524" w:hanging="360"/>
      </w:pPr>
      <w:rPr>
        <w:rFonts w:hint="default"/>
        <w:b w:val="0"/>
        <w:i w:val="0"/>
      </w:rPr>
    </w:lvl>
  </w:abstractNum>
  <w:abstractNum w:abstractNumId="1" w15:restartNumberingAfterBreak="0">
    <w:nsid w:val="10653560"/>
    <w:multiLevelType w:val="multilevel"/>
    <w:tmpl w:val="72F8140E"/>
    <w:styleLink w:val="OutlineList"/>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418"/>
        </w:tabs>
        <w:ind w:left="1418" w:hanging="141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DF7717"/>
    <w:multiLevelType w:val="multilevel"/>
    <w:tmpl w:val="32BA81B0"/>
    <w:lvl w:ilvl="0">
      <w:start w:val="1"/>
      <w:numFmt w:val="decimal"/>
      <w:pStyle w:val="Heading1Numbered"/>
      <w:lvlText w:val="%1."/>
      <w:lvlJc w:val="left"/>
      <w:pPr>
        <w:ind w:left="454" w:hanging="454"/>
      </w:pPr>
      <w:rPr>
        <w:rFonts w:hint="default"/>
      </w:rPr>
    </w:lvl>
    <w:lvl w:ilvl="1">
      <w:start w:val="1"/>
      <w:numFmt w:val="decimal"/>
      <w:pStyle w:val="Heading2Numbered"/>
      <w:lvlText w:val="%1.%2"/>
      <w:lvlJc w:val="left"/>
      <w:pPr>
        <w:ind w:left="454" w:hanging="454"/>
      </w:pPr>
      <w:rPr>
        <w:rFonts w:hint="default"/>
      </w:rPr>
    </w:lvl>
    <w:lvl w:ilvl="2">
      <w:start w:val="1"/>
      <w:numFmt w:val="decimal"/>
      <w:pStyle w:val="Heading3Numbered"/>
      <w:lvlText w:val="%1.%2.%3"/>
      <w:lvlJc w:val="left"/>
      <w:pPr>
        <w:ind w:left="454" w:hanging="454"/>
      </w:pPr>
      <w:rPr>
        <w:rFonts w:hint="default"/>
      </w:rPr>
    </w:lvl>
    <w:lvl w:ilvl="3">
      <w:start w:val="1"/>
      <w:numFmt w:val="decimal"/>
      <w:lvlText w:val="(%4)"/>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lef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left"/>
      <w:pPr>
        <w:ind w:left="454" w:hanging="454"/>
      </w:pPr>
      <w:rPr>
        <w:rFonts w:hint="default"/>
      </w:rPr>
    </w:lvl>
  </w:abstractNum>
  <w:abstractNum w:abstractNumId="3" w15:restartNumberingAfterBreak="0">
    <w:nsid w:val="27826BF0"/>
    <w:multiLevelType w:val="multilevel"/>
    <w:tmpl w:val="A4B40D48"/>
    <w:lvl w:ilvl="0">
      <w:start w:val="1"/>
      <w:numFmt w:val="lowerRoman"/>
      <w:lvlText w:val="%1."/>
      <w:lvlJc w:val="left"/>
      <w:pPr>
        <w:tabs>
          <w:tab w:val="num" w:pos="720"/>
        </w:tabs>
        <w:ind w:left="720" w:hanging="720"/>
      </w:pPr>
      <w:rPr>
        <w:rFonts w:hint="default"/>
      </w:rPr>
    </w:lvl>
    <w:lvl w:ilvl="1">
      <w:start w:val="1"/>
      <w:numFmt w:val="lowerLetter"/>
      <w:pStyle w:val="AlphaParagraph"/>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CCC55AA"/>
    <w:multiLevelType w:val="hybridMultilevel"/>
    <w:tmpl w:val="BAACED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8C2710"/>
    <w:multiLevelType w:val="multilevel"/>
    <w:tmpl w:val="0D723674"/>
    <w:styleLink w:val="BulletedList"/>
    <w:lvl w:ilvl="0">
      <w:start w:val="1"/>
      <w:numFmt w:val="bullet"/>
      <w:lvlRestart w:val="0"/>
      <w:lvlText w:val="•"/>
      <w:lvlJc w:val="left"/>
      <w:pPr>
        <w:tabs>
          <w:tab w:val="num" w:pos="283"/>
        </w:tabs>
        <w:ind w:left="283" w:hanging="283"/>
      </w:pPr>
      <w:rPr>
        <w:rFonts w:ascii="Times New Roman" w:hAnsi="Times New Roman" w:cs="Times New Roman" w:hint="default"/>
        <w:b w:val="0"/>
        <w:i w:val="0"/>
      </w:rPr>
    </w:lvl>
    <w:lvl w:ilvl="1">
      <w:start w:val="1"/>
      <w:numFmt w:val="bullet"/>
      <w:pStyle w:val="Dash"/>
      <w:lvlText w:val="–"/>
      <w:lvlJc w:val="left"/>
      <w:pPr>
        <w:tabs>
          <w:tab w:val="num" w:pos="567"/>
        </w:tabs>
        <w:ind w:left="567" w:hanging="284"/>
      </w:pPr>
      <w:rPr>
        <w:rFonts w:ascii="Times New Roman" w:hAnsi="Times New Roman" w:cs="Times New Roman" w:hint="default"/>
        <w:b w:val="0"/>
        <w:i w:val="0"/>
      </w:rPr>
    </w:lvl>
    <w:lvl w:ilvl="2">
      <w:start w:val="1"/>
      <w:numFmt w:val="bullet"/>
      <w:pStyle w:val="DoubleDot"/>
      <w:lvlText w:val=":"/>
      <w:lvlJc w:val="left"/>
      <w:pPr>
        <w:tabs>
          <w:tab w:val="num" w:pos="850"/>
        </w:tabs>
        <w:ind w:left="850" w:hanging="283"/>
      </w:pPr>
      <w:rPr>
        <w:rFonts w:ascii="Times New Roman" w:hAnsi="Times New Roman" w:cs="Times New Roman" w:hint="default"/>
        <w:b w:val="0"/>
        <w:i w:val="0"/>
      </w:rPr>
    </w:lvl>
    <w:lvl w:ilvl="3">
      <w:start w:val="1"/>
      <w:numFmt w:val="decimal"/>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b w:val="0"/>
        <w:i w:val="0"/>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b w:val="0"/>
        <w:i w:val="0"/>
      </w:rPr>
    </w:lvl>
    <w:lvl w:ilvl="8">
      <w:start w:val="1"/>
      <w:numFmt w:val="lowerRoman"/>
      <w:lvlText w:val="%9."/>
      <w:lvlJc w:val="left"/>
      <w:pPr>
        <w:tabs>
          <w:tab w:val="num" w:pos="3240"/>
        </w:tabs>
        <w:ind w:left="3240" w:hanging="360"/>
      </w:pPr>
      <w:rPr>
        <w:rFonts w:hint="default"/>
        <w:b w:val="0"/>
        <w:i w:val="0"/>
      </w:rPr>
    </w:lvl>
  </w:abstractNum>
  <w:abstractNum w:abstractNumId="6" w15:restartNumberingAfterBreak="0">
    <w:nsid w:val="3238442C"/>
    <w:multiLevelType w:val="multilevel"/>
    <w:tmpl w:val="20C6D62C"/>
    <w:styleLink w:val="ChartandTableFootnoteAlphaList"/>
    <w:lvl w:ilvl="0">
      <w:start w:val="1"/>
      <w:numFmt w:val="lowerLetter"/>
      <w:pStyle w:val="ChartandTableFootnoteAlpha"/>
      <w:lvlText w:val="(%1)"/>
      <w:lvlJc w:val="left"/>
      <w:pPr>
        <w:tabs>
          <w:tab w:val="num" w:pos="284"/>
        </w:tabs>
        <w:ind w:left="284" w:hanging="284"/>
      </w:pPr>
      <w:rPr>
        <w:rFonts w:ascii="Arial" w:hAnsi="Arial" w:hint="default"/>
        <w:b w:val="0"/>
        <w:i w:val="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0C16AD"/>
    <w:multiLevelType w:val="multilevel"/>
    <w:tmpl w:val="D10E9CF6"/>
    <w:styleLink w:val="OneLevelList"/>
    <w:lvl w:ilvl="0">
      <w:start w:val="1"/>
      <w:numFmt w:val="decimal"/>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A52268E"/>
    <w:multiLevelType w:val="multilevel"/>
    <w:tmpl w:val="BA1C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F3E61"/>
    <w:multiLevelType w:val="multilevel"/>
    <w:tmpl w:val="833862E8"/>
    <w:name w:val="StandardBulletedList"/>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7100CA"/>
    <w:multiLevelType w:val="hybridMultilevel"/>
    <w:tmpl w:val="F440EB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364983"/>
    <w:multiLevelType w:val="multilevel"/>
    <w:tmpl w:val="6B6683CA"/>
    <w:lvl w:ilvl="0">
      <w:start w:val="1"/>
      <w:numFmt w:val="decimal"/>
      <w:pStyle w:val="Numberpoints"/>
      <w:lvlText w:val="%1."/>
      <w:lvlJc w:val="left"/>
      <w:pPr>
        <w:tabs>
          <w:tab w:val="num" w:pos="520"/>
        </w:tabs>
        <w:ind w:left="520" w:hanging="520"/>
      </w:pPr>
      <w:rPr>
        <w:rFonts w:hint="default"/>
        <w:color w:val="auto"/>
      </w:rPr>
    </w:lvl>
    <w:lvl w:ilvl="1">
      <w:start w:val="1"/>
      <w:numFmt w:val="bullet"/>
      <w:lvlText w:val="–"/>
      <w:lvlJc w:val="left"/>
      <w:pPr>
        <w:tabs>
          <w:tab w:val="num" w:pos="946"/>
        </w:tabs>
        <w:ind w:left="946" w:hanging="520"/>
      </w:pPr>
      <w:rPr>
        <w:rFonts w:ascii="Times New Roman" w:hAnsi="Times New Roman" w:cs="Times New Roman" w:hint="default"/>
      </w:rPr>
    </w:lvl>
    <w:lvl w:ilvl="2">
      <w:start w:val="1"/>
      <w:numFmt w:val="bullet"/>
      <w:lvlText w:val=":"/>
      <w:lvlJc w:val="left"/>
      <w:pPr>
        <w:tabs>
          <w:tab w:val="num" w:pos="1560"/>
        </w:tabs>
        <w:ind w:left="1560" w:hanging="52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A4E3B42"/>
    <w:multiLevelType w:val="hybridMultilevel"/>
    <w:tmpl w:val="E8C0C680"/>
    <w:lvl w:ilvl="0" w:tplc="0B121506">
      <w:start w:val="1"/>
      <w:numFmt w:val="bullet"/>
      <w:lvlText w:val="-"/>
      <w:lvlJc w:val="left"/>
      <w:pPr>
        <w:ind w:left="720" w:hanging="360"/>
      </w:pPr>
      <w:rPr>
        <w:rFonts w:ascii="Calibri Light" w:eastAsia="Times New Roman"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C210EE"/>
    <w:multiLevelType w:val="multilevel"/>
    <w:tmpl w:val="67E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652D02"/>
    <w:multiLevelType w:val="multilevel"/>
    <w:tmpl w:val="F7425B90"/>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D7D2449"/>
    <w:multiLevelType w:val="multilevel"/>
    <w:tmpl w:val="04B6FFA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FD87875"/>
    <w:multiLevelType w:val="hybridMultilevel"/>
    <w:tmpl w:val="F8F80B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0E6073E"/>
    <w:multiLevelType w:val="hybridMultilevel"/>
    <w:tmpl w:val="92EA8BF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2EF1E09"/>
    <w:multiLevelType w:val="multilevel"/>
    <w:tmpl w:val="99B0990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418" w:hanging="284"/>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9" w15:restartNumberingAfterBreak="0">
    <w:nsid w:val="7D6B5224"/>
    <w:multiLevelType w:val="multilevel"/>
    <w:tmpl w:val="88406B56"/>
    <w:lvl w:ilvl="0">
      <w:start w:val="1"/>
      <w:numFmt w:val="bullet"/>
      <w:pStyle w:val="Bullet"/>
      <w:lvlText w:val="•"/>
      <w:lvlJc w:val="left"/>
      <w:pPr>
        <w:tabs>
          <w:tab w:val="num" w:pos="520"/>
        </w:tabs>
        <w:ind w:left="520" w:hanging="520"/>
      </w:pPr>
      <w:rPr>
        <w:rFonts w:ascii="Times New Roman" w:hAnsi="Times New Roman" w:cs="Times New Roman"/>
        <w:color w:val="auto"/>
      </w:rPr>
    </w:lvl>
    <w:lvl w:ilvl="1">
      <w:start w:val="1"/>
      <w:numFmt w:val="bullet"/>
      <w:lvlText w:val="–"/>
      <w:lvlJc w:val="left"/>
      <w:pPr>
        <w:tabs>
          <w:tab w:val="num" w:pos="946"/>
        </w:tabs>
        <w:ind w:left="946"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DF1572B"/>
    <w:multiLevelType w:val="hybridMultilevel"/>
    <w:tmpl w:val="8ED892F8"/>
    <w:lvl w:ilvl="0" w:tplc="9A18088A">
      <w:start w:val="1"/>
      <w:numFmt w:val="decimal"/>
      <w:lvlText w:val="%1."/>
      <w:lvlJc w:val="left"/>
      <w:pPr>
        <w:ind w:left="720" w:hanging="360"/>
      </w:pPr>
    </w:lvl>
    <w:lvl w:ilvl="1" w:tplc="12FA845C">
      <w:start w:val="1"/>
      <w:numFmt w:val="decimal"/>
      <w:lvlText w:val="%2."/>
      <w:lvlJc w:val="left"/>
      <w:pPr>
        <w:ind w:left="720" w:hanging="360"/>
      </w:pPr>
    </w:lvl>
    <w:lvl w:ilvl="2" w:tplc="2BC6B36C">
      <w:start w:val="1"/>
      <w:numFmt w:val="decimal"/>
      <w:lvlText w:val="%3."/>
      <w:lvlJc w:val="left"/>
      <w:pPr>
        <w:ind w:left="720" w:hanging="360"/>
      </w:pPr>
    </w:lvl>
    <w:lvl w:ilvl="3" w:tplc="AAB22482">
      <w:start w:val="1"/>
      <w:numFmt w:val="decimal"/>
      <w:lvlText w:val="%4."/>
      <w:lvlJc w:val="left"/>
      <w:pPr>
        <w:ind w:left="720" w:hanging="360"/>
      </w:pPr>
    </w:lvl>
    <w:lvl w:ilvl="4" w:tplc="194CEFE0">
      <w:start w:val="1"/>
      <w:numFmt w:val="decimal"/>
      <w:lvlText w:val="%5."/>
      <w:lvlJc w:val="left"/>
      <w:pPr>
        <w:ind w:left="720" w:hanging="360"/>
      </w:pPr>
    </w:lvl>
    <w:lvl w:ilvl="5" w:tplc="F2A2EB7E">
      <w:start w:val="1"/>
      <w:numFmt w:val="decimal"/>
      <w:lvlText w:val="%6."/>
      <w:lvlJc w:val="left"/>
      <w:pPr>
        <w:ind w:left="720" w:hanging="360"/>
      </w:pPr>
    </w:lvl>
    <w:lvl w:ilvl="6" w:tplc="D6CCE1DC">
      <w:start w:val="1"/>
      <w:numFmt w:val="decimal"/>
      <w:lvlText w:val="%7."/>
      <w:lvlJc w:val="left"/>
      <w:pPr>
        <w:ind w:left="720" w:hanging="360"/>
      </w:pPr>
    </w:lvl>
    <w:lvl w:ilvl="7" w:tplc="60783D6E">
      <w:start w:val="1"/>
      <w:numFmt w:val="decimal"/>
      <w:lvlText w:val="%8."/>
      <w:lvlJc w:val="left"/>
      <w:pPr>
        <w:ind w:left="720" w:hanging="360"/>
      </w:pPr>
    </w:lvl>
    <w:lvl w:ilvl="8" w:tplc="00C8733A">
      <w:start w:val="1"/>
      <w:numFmt w:val="decimal"/>
      <w:lvlText w:val="%9."/>
      <w:lvlJc w:val="left"/>
      <w:pPr>
        <w:ind w:left="720" w:hanging="360"/>
      </w:pPr>
    </w:lvl>
  </w:abstractNum>
  <w:num w:numId="1" w16cid:durableId="647787840">
    <w:abstractNumId w:val="5"/>
  </w:num>
  <w:num w:numId="2" w16cid:durableId="1581208839">
    <w:abstractNumId w:val="0"/>
  </w:num>
  <w:num w:numId="3" w16cid:durableId="830946362">
    <w:abstractNumId w:val="7"/>
  </w:num>
  <w:num w:numId="4" w16cid:durableId="985208394">
    <w:abstractNumId w:val="1"/>
  </w:num>
  <w:num w:numId="5" w16cid:durableId="1100447359">
    <w:abstractNumId w:val="6"/>
  </w:num>
  <w:num w:numId="6" w16cid:durableId="29159343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4207520">
    <w:abstractNumId w:val="5"/>
  </w:num>
  <w:num w:numId="8" w16cid:durableId="1143696036">
    <w:abstractNumId w:val="2"/>
  </w:num>
  <w:num w:numId="9" w16cid:durableId="1976329250">
    <w:abstractNumId w:val="3"/>
  </w:num>
  <w:num w:numId="10" w16cid:durableId="116054370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2856448">
    <w:abstractNumId w:val="14"/>
  </w:num>
  <w:num w:numId="12" w16cid:durableId="1275020506">
    <w:abstractNumId w:val="15"/>
  </w:num>
  <w:num w:numId="13" w16cid:durableId="559900960">
    <w:abstractNumId w:val="18"/>
  </w:num>
  <w:num w:numId="14" w16cid:durableId="754862057">
    <w:abstractNumId w:val="10"/>
  </w:num>
  <w:num w:numId="15" w16cid:durableId="1760982490">
    <w:abstractNumId w:val="4"/>
  </w:num>
  <w:num w:numId="16" w16cid:durableId="61954571">
    <w:abstractNumId w:val="16"/>
  </w:num>
  <w:num w:numId="17" w16cid:durableId="455681511">
    <w:abstractNumId w:val="12"/>
  </w:num>
  <w:num w:numId="18" w16cid:durableId="999507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06631827">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936208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71139779">
    <w:abstractNumId w:val="11"/>
  </w:num>
  <w:num w:numId="22" w16cid:durableId="7341606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7288736">
    <w:abstractNumId w:val="14"/>
  </w:num>
  <w:num w:numId="24" w16cid:durableId="4018705">
    <w:abstractNumId w:val="8"/>
  </w:num>
  <w:num w:numId="25" w16cid:durableId="340011252">
    <w:abstractNumId w:val="13"/>
  </w:num>
  <w:num w:numId="26" w16cid:durableId="149934668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205062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5667546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00246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69197305">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6125741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43244084">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0145143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9239799">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062807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35260287">
    <w:abstractNumId w:val="17"/>
  </w:num>
  <w:num w:numId="37" w16cid:durableId="2095396410">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79186983">
    <w:abstractNumId w:val="20"/>
  </w:num>
  <w:num w:numId="39" w16cid:durableId="1020084172">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53839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6454688">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8313961">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39"/>
    <w:rsid w:val="00000120"/>
    <w:rsid w:val="0000014A"/>
    <w:rsid w:val="00000159"/>
    <w:rsid w:val="0000056C"/>
    <w:rsid w:val="000005A6"/>
    <w:rsid w:val="00000609"/>
    <w:rsid w:val="0000081F"/>
    <w:rsid w:val="00000AEE"/>
    <w:rsid w:val="00000B14"/>
    <w:rsid w:val="00000DA7"/>
    <w:rsid w:val="00000DE0"/>
    <w:rsid w:val="00000E23"/>
    <w:rsid w:val="00001001"/>
    <w:rsid w:val="000010CE"/>
    <w:rsid w:val="000011F7"/>
    <w:rsid w:val="000012C8"/>
    <w:rsid w:val="00001381"/>
    <w:rsid w:val="00001404"/>
    <w:rsid w:val="00001449"/>
    <w:rsid w:val="000014EE"/>
    <w:rsid w:val="00001545"/>
    <w:rsid w:val="000016C0"/>
    <w:rsid w:val="000018A0"/>
    <w:rsid w:val="00001965"/>
    <w:rsid w:val="00001AB0"/>
    <w:rsid w:val="00001ECF"/>
    <w:rsid w:val="00001F0A"/>
    <w:rsid w:val="00001FA7"/>
    <w:rsid w:val="00002224"/>
    <w:rsid w:val="0000226D"/>
    <w:rsid w:val="000022DD"/>
    <w:rsid w:val="000022E2"/>
    <w:rsid w:val="0000259E"/>
    <w:rsid w:val="0000271A"/>
    <w:rsid w:val="00002884"/>
    <w:rsid w:val="00002972"/>
    <w:rsid w:val="000029E3"/>
    <w:rsid w:val="000029EC"/>
    <w:rsid w:val="00002A87"/>
    <w:rsid w:val="00002AB6"/>
    <w:rsid w:val="00002C74"/>
    <w:rsid w:val="00002D21"/>
    <w:rsid w:val="00002D6F"/>
    <w:rsid w:val="00002D88"/>
    <w:rsid w:val="00002E07"/>
    <w:rsid w:val="00002E60"/>
    <w:rsid w:val="00002EC6"/>
    <w:rsid w:val="00002EED"/>
    <w:rsid w:val="00002F8E"/>
    <w:rsid w:val="0000305F"/>
    <w:rsid w:val="000031F3"/>
    <w:rsid w:val="0000321D"/>
    <w:rsid w:val="000033A4"/>
    <w:rsid w:val="000033B7"/>
    <w:rsid w:val="00003766"/>
    <w:rsid w:val="000037D4"/>
    <w:rsid w:val="0000393F"/>
    <w:rsid w:val="00003BD7"/>
    <w:rsid w:val="00003CD9"/>
    <w:rsid w:val="00003D20"/>
    <w:rsid w:val="00003F09"/>
    <w:rsid w:val="00003F37"/>
    <w:rsid w:val="00004251"/>
    <w:rsid w:val="00004261"/>
    <w:rsid w:val="00004383"/>
    <w:rsid w:val="00004530"/>
    <w:rsid w:val="0000460D"/>
    <w:rsid w:val="0000467D"/>
    <w:rsid w:val="0000469C"/>
    <w:rsid w:val="000047C4"/>
    <w:rsid w:val="0000480C"/>
    <w:rsid w:val="00004A9A"/>
    <w:rsid w:val="00004AA2"/>
    <w:rsid w:val="00004D70"/>
    <w:rsid w:val="00004DAA"/>
    <w:rsid w:val="00004DEF"/>
    <w:rsid w:val="00004F54"/>
    <w:rsid w:val="00005259"/>
    <w:rsid w:val="00005324"/>
    <w:rsid w:val="000055D2"/>
    <w:rsid w:val="00005889"/>
    <w:rsid w:val="000059A6"/>
    <w:rsid w:val="00005A7A"/>
    <w:rsid w:val="00005A99"/>
    <w:rsid w:val="00005BD2"/>
    <w:rsid w:val="00005D99"/>
    <w:rsid w:val="00005E64"/>
    <w:rsid w:val="00005ED0"/>
    <w:rsid w:val="00005FFB"/>
    <w:rsid w:val="0000607C"/>
    <w:rsid w:val="0000626E"/>
    <w:rsid w:val="00006342"/>
    <w:rsid w:val="0000636B"/>
    <w:rsid w:val="0000668A"/>
    <w:rsid w:val="0000680E"/>
    <w:rsid w:val="00006880"/>
    <w:rsid w:val="000068AA"/>
    <w:rsid w:val="0000699B"/>
    <w:rsid w:val="00006A1B"/>
    <w:rsid w:val="00006B0C"/>
    <w:rsid w:val="00006C3E"/>
    <w:rsid w:val="00006CB3"/>
    <w:rsid w:val="00006DC2"/>
    <w:rsid w:val="000070D5"/>
    <w:rsid w:val="00007145"/>
    <w:rsid w:val="00007214"/>
    <w:rsid w:val="0000724D"/>
    <w:rsid w:val="0000748F"/>
    <w:rsid w:val="000077F3"/>
    <w:rsid w:val="000079F7"/>
    <w:rsid w:val="00007BBA"/>
    <w:rsid w:val="00007BD4"/>
    <w:rsid w:val="00007C3C"/>
    <w:rsid w:val="00007FF0"/>
    <w:rsid w:val="00010045"/>
    <w:rsid w:val="00010075"/>
    <w:rsid w:val="0001027D"/>
    <w:rsid w:val="00010366"/>
    <w:rsid w:val="00010695"/>
    <w:rsid w:val="00010724"/>
    <w:rsid w:val="000107B6"/>
    <w:rsid w:val="0001087F"/>
    <w:rsid w:val="00010A5C"/>
    <w:rsid w:val="00010A95"/>
    <w:rsid w:val="00010D7D"/>
    <w:rsid w:val="00010EB9"/>
    <w:rsid w:val="00010F4B"/>
    <w:rsid w:val="00011111"/>
    <w:rsid w:val="0001112D"/>
    <w:rsid w:val="00011532"/>
    <w:rsid w:val="000116A7"/>
    <w:rsid w:val="000116B0"/>
    <w:rsid w:val="0001171A"/>
    <w:rsid w:val="00011725"/>
    <w:rsid w:val="00011933"/>
    <w:rsid w:val="0001193A"/>
    <w:rsid w:val="00011BA2"/>
    <w:rsid w:val="00011C11"/>
    <w:rsid w:val="00011C86"/>
    <w:rsid w:val="00012017"/>
    <w:rsid w:val="00012423"/>
    <w:rsid w:val="000127AE"/>
    <w:rsid w:val="00012848"/>
    <w:rsid w:val="00012A0A"/>
    <w:rsid w:val="00012A2F"/>
    <w:rsid w:val="00012C1A"/>
    <w:rsid w:val="00012C5E"/>
    <w:rsid w:val="00012C62"/>
    <w:rsid w:val="00012D2A"/>
    <w:rsid w:val="00012DE4"/>
    <w:rsid w:val="000130DC"/>
    <w:rsid w:val="00013150"/>
    <w:rsid w:val="000132BF"/>
    <w:rsid w:val="00013419"/>
    <w:rsid w:val="00013578"/>
    <w:rsid w:val="00013666"/>
    <w:rsid w:val="0001375A"/>
    <w:rsid w:val="00013840"/>
    <w:rsid w:val="0001388E"/>
    <w:rsid w:val="00013A96"/>
    <w:rsid w:val="00013D66"/>
    <w:rsid w:val="00013F25"/>
    <w:rsid w:val="00013FA6"/>
    <w:rsid w:val="000140BD"/>
    <w:rsid w:val="0001418D"/>
    <w:rsid w:val="00014206"/>
    <w:rsid w:val="000142C9"/>
    <w:rsid w:val="00014366"/>
    <w:rsid w:val="0001442B"/>
    <w:rsid w:val="000144BC"/>
    <w:rsid w:val="00014694"/>
    <w:rsid w:val="0001469E"/>
    <w:rsid w:val="000147FD"/>
    <w:rsid w:val="000148A3"/>
    <w:rsid w:val="00014E02"/>
    <w:rsid w:val="00014E90"/>
    <w:rsid w:val="00014FEE"/>
    <w:rsid w:val="000153AB"/>
    <w:rsid w:val="00015617"/>
    <w:rsid w:val="0001566C"/>
    <w:rsid w:val="000158EB"/>
    <w:rsid w:val="00015A06"/>
    <w:rsid w:val="00015AAE"/>
    <w:rsid w:val="00015B3E"/>
    <w:rsid w:val="00015B8F"/>
    <w:rsid w:val="00015BCB"/>
    <w:rsid w:val="00015D80"/>
    <w:rsid w:val="000163DA"/>
    <w:rsid w:val="0001640F"/>
    <w:rsid w:val="0001643D"/>
    <w:rsid w:val="000165C6"/>
    <w:rsid w:val="00016717"/>
    <w:rsid w:val="0001691C"/>
    <w:rsid w:val="000169EE"/>
    <w:rsid w:val="00016BFA"/>
    <w:rsid w:val="00016CE3"/>
    <w:rsid w:val="00016D22"/>
    <w:rsid w:val="00016E17"/>
    <w:rsid w:val="00016E72"/>
    <w:rsid w:val="00016ECC"/>
    <w:rsid w:val="00016F58"/>
    <w:rsid w:val="000170D3"/>
    <w:rsid w:val="000173C1"/>
    <w:rsid w:val="000173E5"/>
    <w:rsid w:val="000175B0"/>
    <w:rsid w:val="000176A4"/>
    <w:rsid w:val="0001772E"/>
    <w:rsid w:val="00017764"/>
    <w:rsid w:val="00017933"/>
    <w:rsid w:val="00017B1F"/>
    <w:rsid w:val="00017E38"/>
    <w:rsid w:val="00017E6E"/>
    <w:rsid w:val="00017F3A"/>
    <w:rsid w:val="00017F92"/>
    <w:rsid w:val="0002008C"/>
    <w:rsid w:val="00020136"/>
    <w:rsid w:val="000202D7"/>
    <w:rsid w:val="00020409"/>
    <w:rsid w:val="0002048D"/>
    <w:rsid w:val="000207CE"/>
    <w:rsid w:val="00020831"/>
    <w:rsid w:val="000208AD"/>
    <w:rsid w:val="00020BCF"/>
    <w:rsid w:val="00020BE6"/>
    <w:rsid w:val="00020CD9"/>
    <w:rsid w:val="00020D51"/>
    <w:rsid w:val="00020D7E"/>
    <w:rsid w:val="00021230"/>
    <w:rsid w:val="0002130B"/>
    <w:rsid w:val="00021340"/>
    <w:rsid w:val="000213D5"/>
    <w:rsid w:val="000214BA"/>
    <w:rsid w:val="000214EC"/>
    <w:rsid w:val="00021545"/>
    <w:rsid w:val="000215A8"/>
    <w:rsid w:val="00021738"/>
    <w:rsid w:val="00021863"/>
    <w:rsid w:val="00021932"/>
    <w:rsid w:val="00021DCE"/>
    <w:rsid w:val="00021F8A"/>
    <w:rsid w:val="0002211A"/>
    <w:rsid w:val="000221D0"/>
    <w:rsid w:val="000223AC"/>
    <w:rsid w:val="00022538"/>
    <w:rsid w:val="00022619"/>
    <w:rsid w:val="00022656"/>
    <w:rsid w:val="000226ED"/>
    <w:rsid w:val="0002277C"/>
    <w:rsid w:val="0002279B"/>
    <w:rsid w:val="00022852"/>
    <w:rsid w:val="00022A55"/>
    <w:rsid w:val="00022AFA"/>
    <w:rsid w:val="00022D41"/>
    <w:rsid w:val="00022DA9"/>
    <w:rsid w:val="00022ECE"/>
    <w:rsid w:val="00022EF6"/>
    <w:rsid w:val="00022F02"/>
    <w:rsid w:val="00022F42"/>
    <w:rsid w:val="00023028"/>
    <w:rsid w:val="00023045"/>
    <w:rsid w:val="000231E1"/>
    <w:rsid w:val="000231F6"/>
    <w:rsid w:val="000234A9"/>
    <w:rsid w:val="00023631"/>
    <w:rsid w:val="00023A5C"/>
    <w:rsid w:val="00023AC4"/>
    <w:rsid w:val="00023BC1"/>
    <w:rsid w:val="00023E9B"/>
    <w:rsid w:val="00023FC9"/>
    <w:rsid w:val="000241B3"/>
    <w:rsid w:val="00024228"/>
    <w:rsid w:val="00024281"/>
    <w:rsid w:val="0002447F"/>
    <w:rsid w:val="000244FA"/>
    <w:rsid w:val="000246F2"/>
    <w:rsid w:val="00024792"/>
    <w:rsid w:val="000249B5"/>
    <w:rsid w:val="00024BD9"/>
    <w:rsid w:val="00024EFA"/>
    <w:rsid w:val="000250BF"/>
    <w:rsid w:val="000251C5"/>
    <w:rsid w:val="00025230"/>
    <w:rsid w:val="000252DE"/>
    <w:rsid w:val="0002533E"/>
    <w:rsid w:val="0002542A"/>
    <w:rsid w:val="00025431"/>
    <w:rsid w:val="0002544D"/>
    <w:rsid w:val="000256B8"/>
    <w:rsid w:val="000257E4"/>
    <w:rsid w:val="0002594F"/>
    <w:rsid w:val="00025979"/>
    <w:rsid w:val="000259EE"/>
    <w:rsid w:val="00025B4B"/>
    <w:rsid w:val="00025EBF"/>
    <w:rsid w:val="00025FF2"/>
    <w:rsid w:val="000260FF"/>
    <w:rsid w:val="000261DC"/>
    <w:rsid w:val="000262BD"/>
    <w:rsid w:val="000262EA"/>
    <w:rsid w:val="0002636A"/>
    <w:rsid w:val="00026409"/>
    <w:rsid w:val="00026532"/>
    <w:rsid w:val="00026993"/>
    <w:rsid w:val="00026A59"/>
    <w:rsid w:val="00026C81"/>
    <w:rsid w:val="00026D32"/>
    <w:rsid w:val="0002715C"/>
    <w:rsid w:val="000271F4"/>
    <w:rsid w:val="00027428"/>
    <w:rsid w:val="000274DE"/>
    <w:rsid w:val="000275C5"/>
    <w:rsid w:val="000275EF"/>
    <w:rsid w:val="0002775F"/>
    <w:rsid w:val="00027847"/>
    <w:rsid w:val="00027E89"/>
    <w:rsid w:val="00030032"/>
    <w:rsid w:val="000300BD"/>
    <w:rsid w:val="0003034B"/>
    <w:rsid w:val="00030492"/>
    <w:rsid w:val="000305A5"/>
    <w:rsid w:val="000306F5"/>
    <w:rsid w:val="00030792"/>
    <w:rsid w:val="000307F4"/>
    <w:rsid w:val="00030822"/>
    <w:rsid w:val="0003086C"/>
    <w:rsid w:val="000308E7"/>
    <w:rsid w:val="000308EC"/>
    <w:rsid w:val="0003090B"/>
    <w:rsid w:val="00030920"/>
    <w:rsid w:val="00030B31"/>
    <w:rsid w:val="00030BB9"/>
    <w:rsid w:val="00030C00"/>
    <w:rsid w:val="00030CBA"/>
    <w:rsid w:val="00030EA5"/>
    <w:rsid w:val="00030F66"/>
    <w:rsid w:val="000318C5"/>
    <w:rsid w:val="00031945"/>
    <w:rsid w:val="00031E93"/>
    <w:rsid w:val="00031F6D"/>
    <w:rsid w:val="00031FCA"/>
    <w:rsid w:val="000323F6"/>
    <w:rsid w:val="00032532"/>
    <w:rsid w:val="000326CA"/>
    <w:rsid w:val="0003276F"/>
    <w:rsid w:val="0003278E"/>
    <w:rsid w:val="0003282D"/>
    <w:rsid w:val="000328C9"/>
    <w:rsid w:val="00032918"/>
    <w:rsid w:val="00032FE1"/>
    <w:rsid w:val="00033293"/>
    <w:rsid w:val="00033314"/>
    <w:rsid w:val="0003348B"/>
    <w:rsid w:val="0003351E"/>
    <w:rsid w:val="000335F1"/>
    <w:rsid w:val="00033748"/>
    <w:rsid w:val="0003378F"/>
    <w:rsid w:val="00033A6A"/>
    <w:rsid w:val="00033CAE"/>
    <w:rsid w:val="00033CD5"/>
    <w:rsid w:val="00033DA1"/>
    <w:rsid w:val="00033DDE"/>
    <w:rsid w:val="00033E3D"/>
    <w:rsid w:val="00033FD3"/>
    <w:rsid w:val="0003415B"/>
    <w:rsid w:val="00034276"/>
    <w:rsid w:val="00034282"/>
    <w:rsid w:val="000345F1"/>
    <w:rsid w:val="000346A7"/>
    <w:rsid w:val="00034732"/>
    <w:rsid w:val="0003477F"/>
    <w:rsid w:val="00034896"/>
    <w:rsid w:val="000348A1"/>
    <w:rsid w:val="00034A06"/>
    <w:rsid w:val="00034A82"/>
    <w:rsid w:val="00034B35"/>
    <w:rsid w:val="00034BCB"/>
    <w:rsid w:val="00034BEC"/>
    <w:rsid w:val="00034C38"/>
    <w:rsid w:val="00034C90"/>
    <w:rsid w:val="00034D2C"/>
    <w:rsid w:val="00035004"/>
    <w:rsid w:val="00035030"/>
    <w:rsid w:val="00035317"/>
    <w:rsid w:val="00035380"/>
    <w:rsid w:val="00035446"/>
    <w:rsid w:val="00035527"/>
    <w:rsid w:val="0003572B"/>
    <w:rsid w:val="00035761"/>
    <w:rsid w:val="00035864"/>
    <w:rsid w:val="000358E2"/>
    <w:rsid w:val="00035A67"/>
    <w:rsid w:val="00035DB7"/>
    <w:rsid w:val="00035E81"/>
    <w:rsid w:val="0003619A"/>
    <w:rsid w:val="000361B6"/>
    <w:rsid w:val="000361D1"/>
    <w:rsid w:val="00036240"/>
    <w:rsid w:val="0003629B"/>
    <w:rsid w:val="000362A3"/>
    <w:rsid w:val="000364A2"/>
    <w:rsid w:val="000364B1"/>
    <w:rsid w:val="00036B42"/>
    <w:rsid w:val="00036C47"/>
    <w:rsid w:val="00036D17"/>
    <w:rsid w:val="00036DE3"/>
    <w:rsid w:val="00037000"/>
    <w:rsid w:val="000372BD"/>
    <w:rsid w:val="00037487"/>
    <w:rsid w:val="0003773C"/>
    <w:rsid w:val="0003783E"/>
    <w:rsid w:val="0003789B"/>
    <w:rsid w:val="000379C7"/>
    <w:rsid w:val="000379F9"/>
    <w:rsid w:val="00037A97"/>
    <w:rsid w:val="00037AD0"/>
    <w:rsid w:val="00037C36"/>
    <w:rsid w:val="00037F03"/>
    <w:rsid w:val="00037F4B"/>
    <w:rsid w:val="00037F72"/>
    <w:rsid w:val="00040145"/>
    <w:rsid w:val="0004017E"/>
    <w:rsid w:val="00040257"/>
    <w:rsid w:val="00040331"/>
    <w:rsid w:val="00040679"/>
    <w:rsid w:val="000406D3"/>
    <w:rsid w:val="000407A1"/>
    <w:rsid w:val="0004096C"/>
    <w:rsid w:val="00040B20"/>
    <w:rsid w:val="00040BD4"/>
    <w:rsid w:val="00040BFA"/>
    <w:rsid w:val="00040C7C"/>
    <w:rsid w:val="00040C96"/>
    <w:rsid w:val="00040F50"/>
    <w:rsid w:val="00040FCE"/>
    <w:rsid w:val="00041080"/>
    <w:rsid w:val="000410FF"/>
    <w:rsid w:val="00041270"/>
    <w:rsid w:val="00041558"/>
    <w:rsid w:val="00041561"/>
    <w:rsid w:val="00041666"/>
    <w:rsid w:val="0004196D"/>
    <w:rsid w:val="00041A8B"/>
    <w:rsid w:val="00041CC4"/>
    <w:rsid w:val="00041CC9"/>
    <w:rsid w:val="00041DC3"/>
    <w:rsid w:val="00041F5C"/>
    <w:rsid w:val="00041F5E"/>
    <w:rsid w:val="000420B5"/>
    <w:rsid w:val="0004269B"/>
    <w:rsid w:val="0004274D"/>
    <w:rsid w:val="00042771"/>
    <w:rsid w:val="000427A3"/>
    <w:rsid w:val="000427D2"/>
    <w:rsid w:val="00042BA4"/>
    <w:rsid w:val="00042DEC"/>
    <w:rsid w:val="00042E84"/>
    <w:rsid w:val="00042EA9"/>
    <w:rsid w:val="00042F03"/>
    <w:rsid w:val="00042FC5"/>
    <w:rsid w:val="00042FD6"/>
    <w:rsid w:val="000430AA"/>
    <w:rsid w:val="000435E7"/>
    <w:rsid w:val="000437AD"/>
    <w:rsid w:val="0004382A"/>
    <w:rsid w:val="00043843"/>
    <w:rsid w:val="00043876"/>
    <w:rsid w:val="000438BB"/>
    <w:rsid w:val="0004394E"/>
    <w:rsid w:val="00043A31"/>
    <w:rsid w:val="00043AE7"/>
    <w:rsid w:val="00043BB1"/>
    <w:rsid w:val="00043C2B"/>
    <w:rsid w:val="00043C2F"/>
    <w:rsid w:val="00043E8C"/>
    <w:rsid w:val="00043F31"/>
    <w:rsid w:val="00043F8A"/>
    <w:rsid w:val="00043FE5"/>
    <w:rsid w:val="000440C1"/>
    <w:rsid w:val="0004413A"/>
    <w:rsid w:val="0004424F"/>
    <w:rsid w:val="000442DA"/>
    <w:rsid w:val="000442EA"/>
    <w:rsid w:val="00044588"/>
    <w:rsid w:val="00044611"/>
    <w:rsid w:val="00044706"/>
    <w:rsid w:val="0004497C"/>
    <w:rsid w:val="00044B8B"/>
    <w:rsid w:val="00044C0A"/>
    <w:rsid w:val="00044C0C"/>
    <w:rsid w:val="00044C2D"/>
    <w:rsid w:val="00044D1E"/>
    <w:rsid w:val="00044D39"/>
    <w:rsid w:val="00044E7C"/>
    <w:rsid w:val="00044F9D"/>
    <w:rsid w:val="000451BF"/>
    <w:rsid w:val="00045292"/>
    <w:rsid w:val="00045396"/>
    <w:rsid w:val="000453E2"/>
    <w:rsid w:val="00045461"/>
    <w:rsid w:val="00045463"/>
    <w:rsid w:val="00045500"/>
    <w:rsid w:val="0004564B"/>
    <w:rsid w:val="0004579D"/>
    <w:rsid w:val="00045AFA"/>
    <w:rsid w:val="00045AFF"/>
    <w:rsid w:val="00045B66"/>
    <w:rsid w:val="00045C5A"/>
    <w:rsid w:val="00045CF9"/>
    <w:rsid w:val="00045D1A"/>
    <w:rsid w:val="00045D36"/>
    <w:rsid w:val="0004604E"/>
    <w:rsid w:val="0004605F"/>
    <w:rsid w:val="00046161"/>
    <w:rsid w:val="0004617A"/>
    <w:rsid w:val="0004627F"/>
    <w:rsid w:val="000462E9"/>
    <w:rsid w:val="0004644F"/>
    <w:rsid w:val="0004646E"/>
    <w:rsid w:val="000464AD"/>
    <w:rsid w:val="00046562"/>
    <w:rsid w:val="00046891"/>
    <w:rsid w:val="000468CD"/>
    <w:rsid w:val="00046A50"/>
    <w:rsid w:val="00046D21"/>
    <w:rsid w:val="000473D0"/>
    <w:rsid w:val="00047573"/>
    <w:rsid w:val="0004787D"/>
    <w:rsid w:val="00047C46"/>
    <w:rsid w:val="00047DE5"/>
    <w:rsid w:val="00047E3E"/>
    <w:rsid w:val="00047E96"/>
    <w:rsid w:val="00047F35"/>
    <w:rsid w:val="00047FB4"/>
    <w:rsid w:val="00050030"/>
    <w:rsid w:val="000500AF"/>
    <w:rsid w:val="00050138"/>
    <w:rsid w:val="000502F6"/>
    <w:rsid w:val="0005032A"/>
    <w:rsid w:val="000503F3"/>
    <w:rsid w:val="00050423"/>
    <w:rsid w:val="000505D8"/>
    <w:rsid w:val="000508F0"/>
    <w:rsid w:val="0005092D"/>
    <w:rsid w:val="00051034"/>
    <w:rsid w:val="00051237"/>
    <w:rsid w:val="0005144D"/>
    <w:rsid w:val="00051540"/>
    <w:rsid w:val="00051756"/>
    <w:rsid w:val="0005177B"/>
    <w:rsid w:val="000517A0"/>
    <w:rsid w:val="00051878"/>
    <w:rsid w:val="000518FC"/>
    <w:rsid w:val="000519D3"/>
    <w:rsid w:val="00051C5F"/>
    <w:rsid w:val="00051CD9"/>
    <w:rsid w:val="00051D48"/>
    <w:rsid w:val="00051D60"/>
    <w:rsid w:val="00051DB3"/>
    <w:rsid w:val="00051DEC"/>
    <w:rsid w:val="00051EA7"/>
    <w:rsid w:val="00051F1F"/>
    <w:rsid w:val="00051FE5"/>
    <w:rsid w:val="00052192"/>
    <w:rsid w:val="000522A8"/>
    <w:rsid w:val="00052626"/>
    <w:rsid w:val="0005271A"/>
    <w:rsid w:val="0005272A"/>
    <w:rsid w:val="0005273A"/>
    <w:rsid w:val="00052747"/>
    <w:rsid w:val="00052808"/>
    <w:rsid w:val="0005293C"/>
    <w:rsid w:val="0005298B"/>
    <w:rsid w:val="000529A9"/>
    <w:rsid w:val="000529B8"/>
    <w:rsid w:val="00052B45"/>
    <w:rsid w:val="00052B9F"/>
    <w:rsid w:val="00052E6C"/>
    <w:rsid w:val="00053267"/>
    <w:rsid w:val="0005326F"/>
    <w:rsid w:val="000532AF"/>
    <w:rsid w:val="000532C1"/>
    <w:rsid w:val="000533CC"/>
    <w:rsid w:val="0005347C"/>
    <w:rsid w:val="000535EB"/>
    <w:rsid w:val="0005368B"/>
    <w:rsid w:val="00053AA7"/>
    <w:rsid w:val="00053B6E"/>
    <w:rsid w:val="00053CEB"/>
    <w:rsid w:val="00053E4D"/>
    <w:rsid w:val="0005428A"/>
    <w:rsid w:val="0005435C"/>
    <w:rsid w:val="000543A0"/>
    <w:rsid w:val="00054504"/>
    <w:rsid w:val="000547B5"/>
    <w:rsid w:val="00054817"/>
    <w:rsid w:val="00054BC7"/>
    <w:rsid w:val="00054C0D"/>
    <w:rsid w:val="00054C82"/>
    <w:rsid w:val="00054DD9"/>
    <w:rsid w:val="00054EBC"/>
    <w:rsid w:val="00055009"/>
    <w:rsid w:val="00055040"/>
    <w:rsid w:val="0005525D"/>
    <w:rsid w:val="000552B0"/>
    <w:rsid w:val="0005535B"/>
    <w:rsid w:val="000553B7"/>
    <w:rsid w:val="000553BF"/>
    <w:rsid w:val="000553EA"/>
    <w:rsid w:val="000556C1"/>
    <w:rsid w:val="00055784"/>
    <w:rsid w:val="00055854"/>
    <w:rsid w:val="00055963"/>
    <w:rsid w:val="0005598C"/>
    <w:rsid w:val="00055AC8"/>
    <w:rsid w:val="00055C6F"/>
    <w:rsid w:val="00055E33"/>
    <w:rsid w:val="0005607C"/>
    <w:rsid w:val="0005608D"/>
    <w:rsid w:val="0005618C"/>
    <w:rsid w:val="000562A2"/>
    <w:rsid w:val="00056393"/>
    <w:rsid w:val="0005645E"/>
    <w:rsid w:val="000565B9"/>
    <w:rsid w:val="00056696"/>
    <w:rsid w:val="000566A2"/>
    <w:rsid w:val="000567FC"/>
    <w:rsid w:val="00056880"/>
    <w:rsid w:val="000568BD"/>
    <w:rsid w:val="00056908"/>
    <w:rsid w:val="00056998"/>
    <w:rsid w:val="00056A08"/>
    <w:rsid w:val="00056C28"/>
    <w:rsid w:val="00057008"/>
    <w:rsid w:val="00057555"/>
    <w:rsid w:val="00057558"/>
    <w:rsid w:val="000575CB"/>
    <w:rsid w:val="0005777D"/>
    <w:rsid w:val="0005779B"/>
    <w:rsid w:val="000578A8"/>
    <w:rsid w:val="00057968"/>
    <w:rsid w:val="00057A92"/>
    <w:rsid w:val="00057DC9"/>
    <w:rsid w:val="00057DD6"/>
    <w:rsid w:val="00057EA1"/>
    <w:rsid w:val="0006005F"/>
    <w:rsid w:val="000601F2"/>
    <w:rsid w:val="000606FF"/>
    <w:rsid w:val="00060724"/>
    <w:rsid w:val="00060959"/>
    <w:rsid w:val="0006099A"/>
    <w:rsid w:val="00060C35"/>
    <w:rsid w:val="00060C39"/>
    <w:rsid w:val="00060E5F"/>
    <w:rsid w:val="00060E92"/>
    <w:rsid w:val="00060ED2"/>
    <w:rsid w:val="00060F51"/>
    <w:rsid w:val="000611F6"/>
    <w:rsid w:val="00061233"/>
    <w:rsid w:val="000612D5"/>
    <w:rsid w:val="000612DE"/>
    <w:rsid w:val="0006134E"/>
    <w:rsid w:val="000614C5"/>
    <w:rsid w:val="000617A4"/>
    <w:rsid w:val="0006182B"/>
    <w:rsid w:val="00061C64"/>
    <w:rsid w:val="00061C6C"/>
    <w:rsid w:val="00061CA7"/>
    <w:rsid w:val="00061FC6"/>
    <w:rsid w:val="00061FF8"/>
    <w:rsid w:val="00062015"/>
    <w:rsid w:val="000622AE"/>
    <w:rsid w:val="00062329"/>
    <w:rsid w:val="000624A6"/>
    <w:rsid w:val="000624D5"/>
    <w:rsid w:val="00062786"/>
    <w:rsid w:val="00062883"/>
    <w:rsid w:val="000629E7"/>
    <w:rsid w:val="00062E91"/>
    <w:rsid w:val="00062FEE"/>
    <w:rsid w:val="00063016"/>
    <w:rsid w:val="00063170"/>
    <w:rsid w:val="0006327A"/>
    <w:rsid w:val="0006340B"/>
    <w:rsid w:val="00063435"/>
    <w:rsid w:val="00063616"/>
    <w:rsid w:val="0006368E"/>
    <w:rsid w:val="000638A6"/>
    <w:rsid w:val="00063924"/>
    <w:rsid w:val="00063A62"/>
    <w:rsid w:val="00063CB0"/>
    <w:rsid w:val="00063CBD"/>
    <w:rsid w:val="00063EFC"/>
    <w:rsid w:val="0006448F"/>
    <w:rsid w:val="00064549"/>
    <w:rsid w:val="0006455B"/>
    <w:rsid w:val="0006456C"/>
    <w:rsid w:val="0006483A"/>
    <w:rsid w:val="000649FF"/>
    <w:rsid w:val="00064ACE"/>
    <w:rsid w:val="00064BE1"/>
    <w:rsid w:val="00064D23"/>
    <w:rsid w:val="00064D2E"/>
    <w:rsid w:val="00064ED2"/>
    <w:rsid w:val="0006502D"/>
    <w:rsid w:val="000650DB"/>
    <w:rsid w:val="00065191"/>
    <w:rsid w:val="00065230"/>
    <w:rsid w:val="000653F9"/>
    <w:rsid w:val="00065505"/>
    <w:rsid w:val="0006575D"/>
    <w:rsid w:val="000658D5"/>
    <w:rsid w:val="000659EF"/>
    <w:rsid w:val="00065A90"/>
    <w:rsid w:val="00065ABF"/>
    <w:rsid w:val="00065B39"/>
    <w:rsid w:val="00065D22"/>
    <w:rsid w:val="00065F41"/>
    <w:rsid w:val="000661FD"/>
    <w:rsid w:val="00066200"/>
    <w:rsid w:val="00066321"/>
    <w:rsid w:val="0006637E"/>
    <w:rsid w:val="000669ED"/>
    <w:rsid w:val="00066BD9"/>
    <w:rsid w:val="00066F1F"/>
    <w:rsid w:val="00066FFB"/>
    <w:rsid w:val="0006709F"/>
    <w:rsid w:val="000670F8"/>
    <w:rsid w:val="000672CC"/>
    <w:rsid w:val="0006745A"/>
    <w:rsid w:val="000675D1"/>
    <w:rsid w:val="0006780A"/>
    <w:rsid w:val="00067AE5"/>
    <w:rsid w:val="00067B7B"/>
    <w:rsid w:val="00067C10"/>
    <w:rsid w:val="00067DE3"/>
    <w:rsid w:val="00067E23"/>
    <w:rsid w:val="00070036"/>
    <w:rsid w:val="00070296"/>
    <w:rsid w:val="0007044F"/>
    <w:rsid w:val="000704A5"/>
    <w:rsid w:val="0007054B"/>
    <w:rsid w:val="0007063B"/>
    <w:rsid w:val="00070653"/>
    <w:rsid w:val="000707F1"/>
    <w:rsid w:val="0007085C"/>
    <w:rsid w:val="00070CD4"/>
    <w:rsid w:val="00070DCC"/>
    <w:rsid w:val="00070F60"/>
    <w:rsid w:val="0007102C"/>
    <w:rsid w:val="000711CE"/>
    <w:rsid w:val="00071223"/>
    <w:rsid w:val="00071230"/>
    <w:rsid w:val="00071323"/>
    <w:rsid w:val="0007155C"/>
    <w:rsid w:val="000715E2"/>
    <w:rsid w:val="00071676"/>
    <w:rsid w:val="0007180D"/>
    <w:rsid w:val="000719D9"/>
    <w:rsid w:val="00071B54"/>
    <w:rsid w:val="00071D5F"/>
    <w:rsid w:val="00071DA2"/>
    <w:rsid w:val="00071E5D"/>
    <w:rsid w:val="00071F59"/>
    <w:rsid w:val="00071F87"/>
    <w:rsid w:val="000720DE"/>
    <w:rsid w:val="00072109"/>
    <w:rsid w:val="00072331"/>
    <w:rsid w:val="00072352"/>
    <w:rsid w:val="00072431"/>
    <w:rsid w:val="0007271D"/>
    <w:rsid w:val="00072754"/>
    <w:rsid w:val="00072764"/>
    <w:rsid w:val="00072798"/>
    <w:rsid w:val="000727FE"/>
    <w:rsid w:val="00072A5B"/>
    <w:rsid w:val="00072DD0"/>
    <w:rsid w:val="00072E05"/>
    <w:rsid w:val="00073095"/>
    <w:rsid w:val="0007312A"/>
    <w:rsid w:val="00073293"/>
    <w:rsid w:val="000733D1"/>
    <w:rsid w:val="00073521"/>
    <w:rsid w:val="000735D4"/>
    <w:rsid w:val="00073691"/>
    <w:rsid w:val="000737BA"/>
    <w:rsid w:val="00073892"/>
    <w:rsid w:val="00073940"/>
    <w:rsid w:val="00073E68"/>
    <w:rsid w:val="00073F88"/>
    <w:rsid w:val="00074132"/>
    <w:rsid w:val="00074167"/>
    <w:rsid w:val="0007436E"/>
    <w:rsid w:val="00074410"/>
    <w:rsid w:val="00074483"/>
    <w:rsid w:val="000744F6"/>
    <w:rsid w:val="0007452D"/>
    <w:rsid w:val="0007498C"/>
    <w:rsid w:val="00074CE0"/>
    <w:rsid w:val="00074E9A"/>
    <w:rsid w:val="000751D7"/>
    <w:rsid w:val="000753B9"/>
    <w:rsid w:val="000754DD"/>
    <w:rsid w:val="000755F6"/>
    <w:rsid w:val="00075685"/>
    <w:rsid w:val="00075790"/>
    <w:rsid w:val="000757AF"/>
    <w:rsid w:val="00075839"/>
    <w:rsid w:val="00075880"/>
    <w:rsid w:val="000758D6"/>
    <w:rsid w:val="000759B8"/>
    <w:rsid w:val="00075B8A"/>
    <w:rsid w:val="00075C86"/>
    <w:rsid w:val="00075CAA"/>
    <w:rsid w:val="0007606A"/>
    <w:rsid w:val="0007619C"/>
    <w:rsid w:val="000761A2"/>
    <w:rsid w:val="0007639B"/>
    <w:rsid w:val="000763C7"/>
    <w:rsid w:val="000765DD"/>
    <w:rsid w:val="00076704"/>
    <w:rsid w:val="0007687A"/>
    <w:rsid w:val="00076A85"/>
    <w:rsid w:val="00076C4D"/>
    <w:rsid w:val="00076E18"/>
    <w:rsid w:val="00076E59"/>
    <w:rsid w:val="0007717C"/>
    <w:rsid w:val="00077187"/>
    <w:rsid w:val="000771E8"/>
    <w:rsid w:val="0007758E"/>
    <w:rsid w:val="000775DE"/>
    <w:rsid w:val="00077725"/>
    <w:rsid w:val="000779D8"/>
    <w:rsid w:val="00077B13"/>
    <w:rsid w:val="00077CDD"/>
    <w:rsid w:val="00077CE6"/>
    <w:rsid w:val="00077E0B"/>
    <w:rsid w:val="00077E7E"/>
    <w:rsid w:val="00077E93"/>
    <w:rsid w:val="00077FA9"/>
    <w:rsid w:val="000800DD"/>
    <w:rsid w:val="00080430"/>
    <w:rsid w:val="000804AE"/>
    <w:rsid w:val="00080761"/>
    <w:rsid w:val="00080A2C"/>
    <w:rsid w:val="00080A4A"/>
    <w:rsid w:val="00080CD8"/>
    <w:rsid w:val="00080D7E"/>
    <w:rsid w:val="00080F05"/>
    <w:rsid w:val="00080FEC"/>
    <w:rsid w:val="000810EF"/>
    <w:rsid w:val="000811E0"/>
    <w:rsid w:val="00081359"/>
    <w:rsid w:val="00081456"/>
    <w:rsid w:val="000814FE"/>
    <w:rsid w:val="00081717"/>
    <w:rsid w:val="00081853"/>
    <w:rsid w:val="0008193C"/>
    <w:rsid w:val="00081997"/>
    <w:rsid w:val="00081A69"/>
    <w:rsid w:val="00081AAE"/>
    <w:rsid w:val="00081B0A"/>
    <w:rsid w:val="00081C36"/>
    <w:rsid w:val="00081C71"/>
    <w:rsid w:val="00081D44"/>
    <w:rsid w:val="00081E9D"/>
    <w:rsid w:val="00082023"/>
    <w:rsid w:val="000822F5"/>
    <w:rsid w:val="00082573"/>
    <w:rsid w:val="000825F4"/>
    <w:rsid w:val="000828FA"/>
    <w:rsid w:val="0008291F"/>
    <w:rsid w:val="000829EE"/>
    <w:rsid w:val="00082B3C"/>
    <w:rsid w:val="00082B41"/>
    <w:rsid w:val="00082CBD"/>
    <w:rsid w:val="00082FC2"/>
    <w:rsid w:val="00082FDE"/>
    <w:rsid w:val="0008303A"/>
    <w:rsid w:val="00083120"/>
    <w:rsid w:val="00083298"/>
    <w:rsid w:val="000832A0"/>
    <w:rsid w:val="000833B4"/>
    <w:rsid w:val="00083412"/>
    <w:rsid w:val="00083716"/>
    <w:rsid w:val="000837C5"/>
    <w:rsid w:val="0008380D"/>
    <w:rsid w:val="00083981"/>
    <w:rsid w:val="000839DD"/>
    <w:rsid w:val="00083A69"/>
    <w:rsid w:val="00083AA8"/>
    <w:rsid w:val="00083AAC"/>
    <w:rsid w:val="00083C50"/>
    <w:rsid w:val="00083C90"/>
    <w:rsid w:val="00083CDB"/>
    <w:rsid w:val="00083D7F"/>
    <w:rsid w:val="00084083"/>
    <w:rsid w:val="00084098"/>
    <w:rsid w:val="000841F3"/>
    <w:rsid w:val="000842FD"/>
    <w:rsid w:val="0008447D"/>
    <w:rsid w:val="0008469A"/>
    <w:rsid w:val="00084727"/>
    <w:rsid w:val="00084AD4"/>
    <w:rsid w:val="00084BAF"/>
    <w:rsid w:val="00084C46"/>
    <w:rsid w:val="00084C8E"/>
    <w:rsid w:val="00084C95"/>
    <w:rsid w:val="00084FD7"/>
    <w:rsid w:val="000850C0"/>
    <w:rsid w:val="000850DA"/>
    <w:rsid w:val="00085177"/>
    <w:rsid w:val="000851D3"/>
    <w:rsid w:val="000858F2"/>
    <w:rsid w:val="0008599C"/>
    <w:rsid w:val="000859FC"/>
    <w:rsid w:val="00085A26"/>
    <w:rsid w:val="00085B66"/>
    <w:rsid w:val="00085C73"/>
    <w:rsid w:val="00085C74"/>
    <w:rsid w:val="00085CB2"/>
    <w:rsid w:val="00085D4D"/>
    <w:rsid w:val="00085E3C"/>
    <w:rsid w:val="0008604C"/>
    <w:rsid w:val="000860D9"/>
    <w:rsid w:val="00086225"/>
    <w:rsid w:val="000864CE"/>
    <w:rsid w:val="000869C2"/>
    <w:rsid w:val="00086A19"/>
    <w:rsid w:val="00086B45"/>
    <w:rsid w:val="00086B8F"/>
    <w:rsid w:val="00086BC4"/>
    <w:rsid w:val="00086D3F"/>
    <w:rsid w:val="00086E54"/>
    <w:rsid w:val="00086E6B"/>
    <w:rsid w:val="00086E9F"/>
    <w:rsid w:val="00087073"/>
    <w:rsid w:val="00087093"/>
    <w:rsid w:val="000870C1"/>
    <w:rsid w:val="000870F4"/>
    <w:rsid w:val="000871FC"/>
    <w:rsid w:val="000875AA"/>
    <w:rsid w:val="00087736"/>
    <w:rsid w:val="000877D1"/>
    <w:rsid w:val="000877F4"/>
    <w:rsid w:val="000878A5"/>
    <w:rsid w:val="00087902"/>
    <w:rsid w:val="00087AF6"/>
    <w:rsid w:val="00087B00"/>
    <w:rsid w:val="00087BA7"/>
    <w:rsid w:val="00087FAF"/>
    <w:rsid w:val="00090126"/>
    <w:rsid w:val="000901BB"/>
    <w:rsid w:val="00090571"/>
    <w:rsid w:val="0009059B"/>
    <w:rsid w:val="00090707"/>
    <w:rsid w:val="0009071E"/>
    <w:rsid w:val="00090843"/>
    <w:rsid w:val="0009086D"/>
    <w:rsid w:val="00090AFC"/>
    <w:rsid w:val="00090B01"/>
    <w:rsid w:val="00090C85"/>
    <w:rsid w:val="00090C9D"/>
    <w:rsid w:val="00090CBE"/>
    <w:rsid w:val="0009101D"/>
    <w:rsid w:val="000911AF"/>
    <w:rsid w:val="0009143E"/>
    <w:rsid w:val="0009151A"/>
    <w:rsid w:val="00091880"/>
    <w:rsid w:val="000919CC"/>
    <w:rsid w:val="00091B3D"/>
    <w:rsid w:val="00091D7D"/>
    <w:rsid w:val="00091E4E"/>
    <w:rsid w:val="00091ED2"/>
    <w:rsid w:val="000922A1"/>
    <w:rsid w:val="00092313"/>
    <w:rsid w:val="0009234C"/>
    <w:rsid w:val="00092388"/>
    <w:rsid w:val="000923D1"/>
    <w:rsid w:val="000923D4"/>
    <w:rsid w:val="00092487"/>
    <w:rsid w:val="0009250E"/>
    <w:rsid w:val="00092698"/>
    <w:rsid w:val="00092831"/>
    <w:rsid w:val="00092876"/>
    <w:rsid w:val="000928EB"/>
    <w:rsid w:val="00092971"/>
    <w:rsid w:val="00092A01"/>
    <w:rsid w:val="00092A9A"/>
    <w:rsid w:val="00092B78"/>
    <w:rsid w:val="00092CF7"/>
    <w:rsid w:val="00092E4F"/>
    <w:rsid w:val="000930B0"/>
    <w:rsid w:val="000930BA"/>
    <w:rsid w:val="000930FE"/>
    <w:rsid w:val="0009313B"/>
    <w:rsid w:val="0009347B"/>
    <w:rsid w:val="00093509"/>
    <w:rsid w:val="000935C5"/>
    <w:rsid w:val="0009398B"/>
    <w:rsid w:val="00093A83"/>
    <w:rsid w:val="00093BCE"/>
    <w:rsid w:val="00093D8E"/>
    <w:rsid w:val="00093E44"/>
    <w:rsid w:val="00093EF3"/>
    <w:rsid w:val="0009404E"/>
    <w:rsid w:val="000940A2"/>
    <w:rsid w:val="000945A1"/>
    <w:rsid w:val="00094782"/>
    <w:rsid w:val="00094AF5"/>
    <w:rsid w:val="00094E36"/>
    <w:rsid w:val="00094E4F"/>
    <w:rsid w:val="00094EA9"/>
    <w:rsid w:val="00094F17"/>
    <w:rsid w:val="00094FA3"/>
    <w:rsid w:val="0009507A"/>
    <w:rsid w:val="0009511C"/>
    <w:rsid w:val="000951B2"/>
    <w:rsid w:val="000951DF"/>
    <w:rsid w:val="00095203"/>
    <w:rsid w:val="0009564C"/>
    <w:rsid w:val="00095685"/>
    <w:rsid w:val="000959DD"/>
    <w:rsid w:val="00095BE4"/>
    <w:rsid w:val="00095C0D"/>
    <w:rsid w:val="00095C1D"/>
    <w:rsid w:val="00095F24"/>
    <w:rsid w:val="00095F6C"/>
    <w:rsid w:val="000960B1"/>
    <w:rsid w:val="00096239"/>
    <w:rsid w:val="0009653D"/>
    <w:rsid w:val="0009662D"/>
    <w:rsid w:val="00096656"/>
    <w:rsid w:val="00096AB2"/>
    <w:rsid w:val="00096E1F"/>
    <w:rsid w:val="00097105"/>
    <w:rsid w:val="0009731F"/>
    <w:rsid w:val="00097412"/>
    <w:rsid w:val="00097464"/>
    <w:rsid w:val="00097568"/>
    <w:rsid w:val="00097657"/>
    <w:rsid w:val="000976BA"/>
    <w:rsid w:val="000976EB"/>
    <w:rsid w:val="0009782E"/>
    <w:rsid w:val="00097950"/>
    <w:rsid w:val="00097B3B"/>
    <w:rsid w:val="00097BCB"/>
    <w:rsid w:val="00097C44"/>
    <w:rsid w:val="00097D7E"/>
    <w:rsid w:val="00097DA9"/>
    <w:rsid w:val="00097ED3"/>
    <w:rsid w:val="00097F26"/>
    <w:rsid w:val="000A01D5"/>
    <w:rsid w:val="000A0562"/>
    <w:rsid w:val="000A072F"/>
    <w:rsid w:val="000A0972"/>
    <w:rsid w:val="000A09C7"/>
    <w:rsid w:val="000A0A13"/>
    <w:rsid w:val="000A0D5D"/>
    <w:rsid w:val="000A0E19"/>
    <w:rsid w:val="000A0F3B"/>
    <w:rsid w:val="000A0F58"/>
    <w:rsid w:val="000A103D"/>
    <w:rsid w:val="000A113F"/>
    <w:rsid w:val="000A116E"/>
    <w:rsid w:val="000A120C"/>
    <w:rsid w:val="000A14B0"/>
    <w:rsid w:val="000A1575"/>
    <w:rsid w:val="000A16DE"/>
    <w:rsid w:val="000A17B3"/>
    <w:rsid w:val="000A17D6"/>
    <w:rsid w:val="000A181F"/>
    <w:rsid w:val="000A1E38"/>
    <w:rsid w:val="000A1E8B"/>
    <w:rsid w:val="000A1FD7"/>
    <w:rsid w:val="000A20ED"/>
    <w:rsid w:val="000A2218"/>
    <w:rsid w:val="000A221E"/>
    <w:rsid w:val="000A22C6"/>
    <w:rsid w:val="000A22F9"/>
    <w:rsid w:val="000A2471"/>
    <w:rsid w:val="000A258C"/>
    <w:rsid w:val="000A2740"/>
    <w:rsid w:val="000A2A6A"/>
    <w:rsid w:val="000A2A7A"/>
    <w:rsid w:val="000A2BF1"/>
    <w:rsid w:val="000A3000"/>
    <w:rsid w:val="000A3163"/>
    <w:rsid w:val="000A31BD"/>
    <w:rsid w:val="000A34D0"/>
    <w:rsid w:val="000A3787"/>
    <w:rsid w:val="000A37BE"/>
    <w:rsid w:val="000A38E8"/>
    <w:rsid w:val="000A394D"/>
    <w:rsid w:val="000A3ADE"/>
    <w:rsid w:val="000A3B7B"/>
    <w:rsid w:val="000A3CAF"/>
    <w:rsid w:val="000A3E1E"/>
    <w:rsid w:val="000A4246"/>
    <w:rsid w:val="000A4364"/>
    <w:rsid w:val="000A482E"/>
    <w:rsid w:val="000A48A8"/>
    <w:rsid w:val="000A4985"/>
    <w:rsid w:val="000A4AA3"/>
    <w:rsid w:val="000A4ADD"/>
    <w:rsid w:val="000A4BF2"/>
    <w:rsid w:val="000A4C28"/>
    <w:rsid w:val="000A4DC2"/>
    <w:rsid w:val="000A4DDE"/>
    <w:rsid w:val="000A4E45"/>
    <w:rsid w:val="000A4EB2"/>
    <w:rsid w:val="000A4F2D"/>
    <w:rsid w:val="000A54F8"/>
    <w:rsid w:val="000A5584"/>
    <w:rsid w:val="000A5631"/>
    <w:rsid w:val="000A5962"/>
    <w:rsid w:val="000A5BC1"/>
    <w:rsid w:val="000A5D42"/>
    <w:rsid w:val="000A6027"/>
    <w:rsid w:val="000A6106"/>
    <w:rsid w:val="000A6148"/>
    <w:rsid w:val="000A6338"/>
    <w:rsid w:val="000A6406"/>
    <w:rsid w:val="000A6447"/>
    <w:rsid w:val="000A6487"/>
    <w:rsid w:val="000A653C"/>
    <w:rsid w:val="000A6580"/>
    <w:rsid w:val="000A670C"/>
    <w:rsid w:val="000A676F"/>
    <w:rsid w:val="000A68D2"/>
    <w:rsid w:val="000A6975"/>
    <w:rsid w:val="000A6AB9"/>
    <w:rsid w:val="000A6B0B"/>
    <w:rsid w:val="000A6C82"/>
    <w:rsid w:val="000A6CC6"/>
    <w:rsid w:val="000A6CE1"/>
    <w:rsid w:val="000A6E43"/>
    <w:rsid w:val="000A7027"/>
    <w:rsid w:val="000A7102"/>
    <w:rsid w:val="000A710B"/>
    <w:rsid w:val="000A713F"/>
    <w:rsid w:val="000A72D4"/>
    <w:rsid w:val="000A72F1"/>
    <w:rsid w:val="000A7488"/>
    <w:rsid w:val="000A752E"/>
    <w:rsid w:val="000A759B"/>
    <w:rsid w:val="000A7624"/>
    <w:rsid w:val="000A7756"/>
    <w:rsid w:val="000A775C"/>
    <w:rsid w:val="000A779E"/>
    <w:rsid w:val="000A77D4"/>
    <w:rsid w:val="000A7811"/>
    <w:rsid w:val="000A78D9"/>
    <w:rsid w:val="000A7982"/>
    <w:rsid w:val="000A79D7"/>
    <w:rsid w:val="000A7E56"/>
    <w:rsid w:val="000A7ED9"/>
    <w:rsid w:val="000A7F62"/>
    <w:rsid w:val="000B0009"/>
    <w:rsid w:val="000B0171"/>
    <w:rsid w:val="000B02D0"/>
    <w:rsid w:val="000B037F"/>
    <w:rsid w:val="000B03ED"/>
    <w:rsid w:val="000B052B"/>
    <w:rsid w:val="000B0547"/>
    <w:rsid w:val="000B08D7"/>
    <w:rsid w:val="000B09B0"/>
    <w:rsid w:val="000B0A19"/>
    <w:rsid w:val="000B0C92"/>
    <w:rsid w:val="000B0DC9"/>
    <w:rsid w:val="000B0E76"/>
    <w:rsid w:val="000B0F29"/>
    <w:rsid w:val="000B0FE5"/>
    <w:rsid w:val="000B1161"/>
    <w:rsid w:val="000B1406"/>
    <w:rsid w:val="000B14C7"/>
    <w:rsid w:val="000B150B"/>
    <w:rsid w:val="000B15EB"/>
    <w:rsid w:val="000B16DF"/>
    <w:rsid w:val="000B1A0A"/>
    <w:rsid w:val="000B1EF8"/>
    <w:rsid w:val="000B201D"/>
    <w:rsid w:val="000B20FC"/>
    <w:rsid w:val="000B21D5"/>
    <w:rsid w:val="000B2203"/>
    <w:rsid w:val="000B2264"/>
    <w:rsid w:val="000B23D3"/>
    <w:rsid w:val="000B2452"/>
    <w:rsid w:val="000B2959"/>
    <w:rsid w:val="000B2B0B"/>
    <w:rsid w:val="000B2B4D"/>
    <w:rsid w:val="000B2C97"/>
    <w:rsid w:val="000B2D15"/>
    <w:rsid w:val="000B2DF2"/>
    <w:rsid w:val="000B3125"/>
    <w:rsid w:val="000B321E"/>
    <w:rsid w:val="000B324D"/>
    <w:rsid w:val="000B366F"/>
    <w:rsid w:val="000B3741"/>
    <w:rsid w:val="000B3745"/>
    <w:rsid w:val="000B3785"/>
    <w:rsid w:val="000B3A12"/>
    <w:rsid w:val="000B3AE7"/>
    <w:rsid w:val="000B3B98"/>
    <w:rsid w:val="000B3D68"/>
    <w:rsid w:val="000B4111"/>
    <w:rsid w:val="000B4268"/>
    <w:rsid w:val="000B445B"/>
    <w:rsid w:val="000B48AF"/>
    <w:rsid w:val="000B4A4C"/>
    <w:rsid w:val="000B4B92"/>
    <w:rsid w:val="000B4DB9"/>
    <w:rsid w:val="000B4FDB"/>
    <w:rsid w:val="000B50C7"/>
    <w:rsid w:val="000B514E"/>
    <w:rsid w:val="000B522B"/>
    <w:rsid w:val="000B52B9"/>
    <w:rsid w:val="000B5404"/>
    <w:rsid w:val="000B54A5"/>
    <w:rsid w:val="000B5725"/>
    <w:rsid w:val="000B57CF"/>
    <w:rsid w:val="000B5831"/>
    <w:rsid w:val="000B58A4"/>
    <w:rsid w:val="000B58D9"/>
    <w:rsid w:val="000B5D2D"/>
    <w:rsid w:val="000B5DE0"/>
    <w:rsid w:val="000B5FFE"/>
    <w:rsid w:val="000B601C"/>
    <w:rsid w:val="000B60B5"/>
    <w:rsid w:val="000B630E"/>
    <w:rsid w:val="000B64F6"/>
    <w:rsid w:val="000B67D4"/>
    <w:rsid w:val="000B67F2"/>
    <w:rsid w:val="000B6A70"/>
    <w:rsid w:val="000B6D0F"/>
    <w:rsid w:val="000B6E95"/>
    <w:rsid w:val="000B7099"/>
    <w:rsid w:val="000B71FF"/>
    <w:rsid w:val="000B73A5"/>
    <w:rsid w:val="000B74E9"/>
    <w:rsid w:val="000B755E"/>
    <w:rsid w:val="000B77AC"/>
    <w:rsid w:val="000B77FE"/>
    <w:rsid w:val="000B78ED"/>
    <w:rsid w:val="000B79E5"/>
    <w:rsid w:val="000B7BCE"/>
    <w:rsid w:val="000B7C0A"/>
    <w:rsid w:val="000B7C51"/>
    <w:rsid w:val="000B7DEB"/>
    <w:rsid w:val="000B7E5E"/>
    <w:rsid w:val="000B7F7C"/>
    <w:rsid w:val="000B7FC5"/>
    <w:rsid w:val="000B7FE0"/>
    <w:rsid w:val="000C0097"/>
    <w:rsid w:val="000C0261"/>
    <w:rsid w:val="000C03B4"/>
    <w:rsid w:val="000C04E0"/>
    <w:rsid w:val="000C0576"/>
    <w:rsid w:val="000C07E3"/>
    <w:rsid w:val="000C0D9C"/>
    <w:rsid w:val="000C1293"/>
    <w:rsid w:val="000C12BB"/>
    <w:rsid w:val="000C154E"/>
    <w:rsid w:val="000C164D"/>
    <w:rsid w:val="000C1756"/>
    <w:rsid w:val="000C17B6"/>
    <w:rsid w:val="000C181D"/>
    <w:rsid w:val="000C1B10"/>
    <w:rsid w:val="000C1B69"/>
    <w:rsid w:val="000C1C78"/>
    <w:rsid w:val="000C1E39"/>
    <w:rsid w:val="000C1ED2"/>
    <w:rsid w:val="000C1F4E"/>
    <w:rsid w:val="000C1FF1"/>
    <w:rsid w:val="000C208A"/>
    <w:rsid w:val="000C21F4"/>
    <w:rsid w:val="000C22A9"/>
    <w:rsid w:val="000C2437"/>
    <w:rsid w:val="000C2516"/>
    <w:rsid w:val="000C269E"/>
    <w:rsid w:val="000C27D1"/>
    <w:rsid w:val="000C27F1"/>
    <w:rsid w:val="000C2D0C"/>
    <w:rsid w:val="000C2DD6"/>
    <w:rsid w:val="000C2E79"/>
    <w:rsid w:val="000C2FD6"/>
    <w:rsid w:val="000C3415"/>
    <w:rsid w:val="000C37A0"/>
    <w:rsid w:val="000C38AC"/>
    <w:rsid w:val="000C3972"/>
    <w:rsid w:val="000C3B8C"/>
    <w:rsid w:val="000C3B98"/>
    <w:rsid w:val="000C3E32"/>
    <w:rsid w:val="000C4016"/>
    <w:rsid w:val="000C427F"/>
    <w:rsid w:val="000C4388"/>
    <w:rsid w:val="000C440D"/>
    <w:rsid w:val="000C4487"/>
    <w:rsid w:val="000C45E6"/>
    <w:rsid w:val="000C46E2"/>
    <w:rsid w:val="000C4769"/>
    <w:rsid w:val="000C4858"/>
    <w:rsid w:val="000C4A06"/>
    <w:rsid w:val="000C4D20"/>
    <w:rsid w:val="000C4D27"/>
    <w:rsid w:val="000C4DB0"/>
    <w:rsid w:val="000C501A"/>
    <w:rsid w:val="000C50AC"/>
    <w:rsid w:val="000C519B"/>
    <w:rsid w:val="000C5283"/>
    <w:rsid w:val="000C5318"/>
    <w:rsid w:val="000C541F"/>
    <w:rsid w:val="000C5627"/>
    <w:rsid w:val="000C567B"/>
    <w:rsid w:val="000C56EF"/>
    <w:rsid w:val="000C5979"/>
    <w:rsid w:val="000C59B3"/>
    <w:rsid w:val="000C5A69"/>
    <w:rsid w:val="000C5AEE"/>
    <w:rsid w:val="000C5B01"/>
    <w:rsid w:val="000C5B30"/>
    <w:rsid w:val="000C5BC7"/>
    <w:rsid w:val="000C5C37"/>
    <w:rsid w:val="000C5E94"/>
    <w:rsid w:val="000C5EA8"/>
    <w:rsid w:val="000C5F40"/>
    <w:rsid w:val="000C5FFF"/>
    <w:rsid w:val="000C606A"/>
    <w:rsid w:val="000C620F"/>
    <w:rsid w:val="000C630F"/>
    <w:rsid w:val="000C6355"/>
    <w:rsid w:val="000C6809"/>
    <w:rsid w:val="000C682E"/>
    <w:rsid w:val="000C68F0"/>
    <w:rsid w:val="000C6C14"/>
    <w:rsid w:val="000C6EDC"/>
    <w:rsid w:val="000C6F42"/>
    <w:rsid w:val="000C74D9"/>
    <w:rsid w:val="000C78FC"/>
    <w:rsid w:val="000C7EDC"/>
    <w:rsid w:val="000C7EEE"/>
    <w:rsid w:val="000C7FA3"/>
    <w:rsid w:val="000D0181"/>
    <w:rsid w:val="000D0198"/>
    <w:rsid w:val="000D022C"/>
    <w:rsid w:val="000D02F2"/>
    <w:rsid w:val="000D0472"/>
    <w:rsid w:val="000D0625"/>
    <w:rsid w:val="000D065A"/>
    <w:rsid w:val="000D0A26"/>
    <w:rsid w:val="000D0B15"/>
    <w:rsid w:val="000D0B55"/>
    <w:rsid w:val="000D0CC1"/>
    <w:rsid w:val="000D0E83"/>
    <w:rsid w:val="000D0FDB"/>
    <w:rsid w:val="000D10EA"/>
    <w:rsid w:val="000D1209"/>
    <w:rsid w:val="000D1284"/>
    <w:rsid w:val="000D1381"/>
    <w:rsid w:val="000D138B"/>
    <w:rsid w:val="000D13B7"/>
    <w:rsid w:val="000D145E"/>
    <w:rsid w:val="000D15F6"/>
    <w:rsid w:val="000D1628"/>
    <w:rsid w:val="000D1953"/>
    <w:rsid w:val="000D1A06"/>
    <w:rsid w:val="000D1B24"/>
    <w:rsid w:val="000D1B38"/>
    <w:rsid w:val="000D1BA2"/>
    <w:rsid w:val="000D1F5A"/>
    <w:rsid w:val="000D1FA0"/>
    <w:rsid w:val="000D243C"/>
    <w:rsid w:val="000D25CC"/>
    <w:rsid w:val="000D262C"/>
    <w:rsid w:val="000D26D7"/>
    <w:rsid w:val="000D2793"/>
    <w:rsid w:val="000D284C"/>
    <w:rsid w:val="000D2B01"/>
    <w:rsid w:val="000D2DAB"/>
    <w:rsid w:val="000D2DB1"/>
    <w:rsid w:val="000D2EB3"/>
    <w:rsid w:val="000D2FE1"/>
    <w:rsid w:val="000D3431"/>
    <w:rsid w:val="000D3501"/>
    <w:rsid w:val="000D35A5"/>
    <w:rsid w:val="000D38D2"/>
    <w:rsid w:val="000D38FB"/>
    <w:rsid w:val="000D38FC"/>
    <w:rsid w:val="000D392A"/>
    <w:rsid w:val="000D3A1E"/>
    <w:rsid w:val="000D3A2A"/>
    <w:rsid w:val="000D3A6D"/>
    <w:rsid w:val="000D3B42"/>
    <w:rsid w:val="000D3F68"/>
    <w:rsid w:val="000D3FF3"/>
    <w:rsid w:val="000D4167"/>
    <w:rsid w:val="000D4195"/>
    <w:rsid w:val="000D422D"/>
    <w:rsid w:val="000D44B0"/>
    <w:rsid w:val="000D44DB"/>
    <w:rsid w:val="000D4681"/>
    <w:rsid w:val="000D4792"/>
    <w:rsid w:val="000D4964"/>
    <w:rsid w:val="000D4D64"/>
    <w:rsid w:val="000D4DE8"/>
    <w:rsid w:val="000D4E27"/>
    <w:rsid w:val="000D4E7D"/>
    <w:rsid w:val="000D4E80"/>
    <w:rsid w:val="000D5023"/>
    <w:rsid w:val="000D54A2"/>
    <w:rsid w:val="000D55BF"/>
    <w:rsid w:val="000D5BD8"/>
    <w:rsid w:val="000D611C"/>
    <w:rsid w:val="000D617F"/>
    <w:rsid w:val="000D62F3"/>
    <w:rsid w:val="000D634C"/>
    <w:rsid w:val="000D68A2"/>
    <w:rsid w:val="000D69CF"/>
    <w:rsid w:val="000D6A45"/>
    <w:rsid w:val="000D6B90"/>
    <w:rsid w:val="000D6CB5"/>
    <w:rsid w:val="000D6EAC"/>
    <w:rsid w:val="000D6FBA"/>
    <w:rsid w:val="000D6FE3"/>
    <w:rsid w:val="000D7125"/>
    <w:rsid w:val="000D714D"/>
    <w:rsid w:val="000D728E"/>
    <w:rsid w:val="000D742D"/>
    <w:rsid w:val="000D756A"/>
    <w:rsid w:val="000D76DE"/>
    <w:rsid w:val="000D771E"/>
    <w:rsid w:val="000D7723"/>
    <w:rsid w:val="000D779C"/>
    <w:rsid w:val="000D7939"/>
    <w:rsid w:val="000D7BE3"/>
    <w:rsid w:val="000D7C23"/>
    <w:rsid w:val="000D7D9C"/>
    <w:rsid w:val="000D7DE3"/>
    <w:rsid w:val="000D7EB7"/>
    <w:rsid w:val="000D7EEC"/>
    <w:rsid w:val="000D7F0E"/>
    <w:rsid w:val="000E013D"/>
    <w:rsid w:val="000E0229"/>
    <w:rsid w:val="000E024A"/>
    <w:rsid w:val="000E026F"/>
    <w:rsid w:val="000E036F"/>
    <w:rsid w:val="000E03EC"/>
    <w:rsid w:val="000E05F9"/>
    <w:rsid w:val="000E079F"/>
    <w:rsid w:val="000E0907"/>
    <w:rsid w:val="000E091F"/>
    <w:rsid w:val="000E0A49"/>
    <w:rsid w:val="000E0B74"/>
    <w:rsid w:val="000E0BC4"/>
    <w:rsid w:val="000E0C22"/>
    <w:rsid w:val="000E0C2B"/>
    <w:rsid w:val="000E0D0A"/>
    <w:rsid w:val="000E1068"/>
    <w:rsid w:val="000E1091"/>
    <w:rsid w:val="000E10F1"/>
    <w:rsid w:val="000E1210"/>
    <w:rsid w:val="000E1284"/>
    <w:rsid w:val="000E132A"/>
    <w:rsid w:val="000E1391"/>
    <w:rsid w:val="000E142B"/>
    <w:rsid w:val="000E176F"/>
    <w:rsid w:val="000E18B3"/>
    <w:rsid w:val="000E1916"/>
    <w:rsid w:val="000E1A90"/>
    <w:rsid w:val="000E1B79"/>
    <w:rsid w:val="000E1DFC"/>
    <w:rsid w:val="000E21D6"/>
    <w:rsid w:val="000E2322"/>
    <w:rsid w:val="000E248D"/>
    <w:rsid w:val="000E25F6"/>
    <w:rsid w:val="000E2689"/>
    <w:rsid w:val="000E2969"/>
    <w:rsid w:val="000E2BBC"/>
    <w:rsid w:val="000E2C1A"/>
    <w:rsid w:val="000E2DA7"/>
    <w:rsid w:val="000E30DB"/>
    <w:rsid w:val="000E326F"/>
    <w:rsid w:val="000E3300"/>
    <w:rsid w:val="000E3368"/>
    <w:rsid w:val="000E33D2"/>
    <w:rsid w:val="000E36D7"/>
    <w:rsid w:val="000E3898"/>
    <w:rsid w:val="000E396D"/>
    <w:rsid w:val="000E3B2D"/>
    <w:rsid w:val="000E3CDE"/>
    <w:rsid w:val="000E3CF8"/>
    <w:rsid w:val="000E3DED"/>
    <w:rsid w:val="000E3EC5"/>
    <w:rsid w:val="000E3F3D"/>
    <w:rsid w:val="000E3FE0"/>
    <w:rsid w:val="000E4098"/>
    <w:rsid w:val="000E417C"/>
    <w:rsid w:val="000E41B1"/>
    <w:rsid w:val="000E43E1"/>
    <w:rsid w:val="000E4432"/>
    <w:rsid w:val="000E44BE"/>
    <w:rsid w:val="000E44CF"/>
    <w:rsid w:val="000E4877"/>
    <w:rsid w:val="000E4C11"/>
    <w:rsid w:val="000E4C21"/>
    <w:rsid w:val="000E4E1B"/>
    <w:rsid w:val="000E4F84"/>
    <w:rsid w:val="000E5023"/>
    <w:rsid w:val="000E51A4"/>
    <w:rsid w:val="000E5323"/>
    <w:rsid w:val="000E54AF"/>
    <w:rsid w:val="000E55D9"/>
    <w:rsid w:val="000E5760"/>
    <w:rsid w:val="000E588B"/>
    <w:rsid w:val="000E58C2"/>
    <w:rsid w:val="000E5948"/>
    <w:rsid w:val="000E5AC9"/>
    <w:rsid w:val="000E5AEB"/>
    <w:rsid w:val="000E5B45"/>
    <w:rsid w:val="000E5BCE"/>
    <w:rsid w:val="000E5E4E"/>
    <w:rsid w:val="000E5F24"/>
    <w:rsid w:val="000E5F4B"/>
    <w:rsid w:val="000E6252"/>
    <w:rsid w:val="000E6324"/>
    <w:rsid w:val="000E643B"/>
    <w:rsid w:val="000E6691"/>
    <w:rsid w:val="000E689A"/>
    <w:rsid w:val="000E6926"/>
    <w:rsid w:val="000E6FAE"/>
    <w:rsid w:val="000E6FC0"/>
    <w:rsid w:val="000E7093"/>
    <w:rsid w:val="000E7208"/>
    <w:rsid w:val="000E7272"/>
    <w:rsid w:val="000E7415"/>
    <w:rsid w:val="000E74B8"/>
    <w:rsid w:val="000E7A02"/>
    <w:rsid w:val="000F0138"/>
    <w:rsid w:val="000F033A"/>
    <w:rsid w:val="000F0560"/>
    <w:rsid w:val="000F05AE"/>
    <w:rsid w:val="000F08CB"/>
    <w:rsid w:val="000F0903"/>
    <w:rsid w:val="000F0BF8"/>
    <w:rsid w:val="000F0BFA"/>
    <w:rsid w:val="000F0CEA"/>
    <w:rsid w:val="000F0D66"/>
    <w:rsid w:val="000F0DFC"/>
    <w:rsid w:val="000F0E2B"/>
    <w:rsid w:val="000F1034"/>
    <w:rsid w:val="000F128E"/>
    <w:rsid w:val="000F18BA"/>
    <w:rsid w:val="000F18CD"/>
    <w:rsid w:val="000F19FC"/>
    <w:rsid w:val="000F1B23"/>
    <w:rsid w:val="000F1C85"/>
    <w:rsid w:val="000F1CF5"/>
    <w:rsid w:val="000F1D07"/>
    <w:rsid w:val="000F1D3F"/>
    <w:rsid w:val="000F208F"/>
    <w:rsid w:val="000F209F"/>
    <w:rsid w:val="000F21A3"/>
    <w:rsid w:val="000F22DB"/>
    <w:rsid w:val="000F237F"/>
    <w:rsid w:val="000F2501"/>
    <w:rsid w:val="000F25FE"/>
    <w:rsid w:val="000F289B"/>
    <w:rsid w:val="000F2987"/>
    <w:rsid w:val="000F29E7"/>
    <w:rsid w:val="000F2A5C"/>
    <w:rsid w:val="000F2B5B"/>
    <w:rsid w:val="000F2C53"/>
    <w:rsid w:val="000F2EC3"/>
    <w:rsid w:val="000F30AC"/>
    <w:rsid w:val="000F3176"/>
    <w:rsid w:val="000F33D4"/>
    <w:rsid w:val="000F3637"/>
    <w:rsid w:val="000F373C"/>
    <w:rsid w:val="000F378F"/>
    <w:rsid w:val="000F390C"/>
    <w:rsid w:val="000F397B"/>
    <w:rsid w:val="000F39A3"/>
    <w:rsid w:val="000F3B79"/>
    <w:rsid w:val="000F3C7B"/>
    <w:rsid w:val="000F3CD3"/>
    <w:rsid w:val="000F3F4E"/>
    <w:rsid w:val="000F4054"/>
    <w:rsid w:val="000F40F1"/>
    <w:rsid w:val="000F424E"/>
    <w:rsid w:val="000F4378"/>
    <w:rsid w:val="000F46E3"/>
    <w:rsid w:val="000F481E"/>
    <w:rsid w:val="000F49F0"/>
    <w:rsid w:val="000F4A68"/>
    <w:rsid w:val="000F4BD2"/>
    <w:rsid w:val="000F5029"/>
    <w:rsid w:val="000F536E"/>
    <w:rsid w:val="000F55C8"/>
    <w:rsid w:val="000F566A"/>
    <w:rsid w:val="000F56B0"/>
    <w:rsid w:val="000F583E"/>
    <w:rsid w:val="000F5BE7"/>
    <w:rsid w:val="000F5BF5"/>
    <w:rsid w:val="000F5C28"/>
    <w:rsid w:val="000F5C47"/>
    <w:rsid w:val="000F5CB4"/>
    <w:rsid w:val="000F5D90"/>
    <w:rsid w:val="000F5EBC"/>
    <w:rsid w:val="000F5F3B"/>
    <w:rsid w:val="000F5FFA"/>
    <w:rsid w:val="000F6024"/>
    <w:rsid w:val="000F60AC"/>
    <w:rsid w:val="000F643D"/>
    <w:rsid w:val="000F64D0"/>
    <w:rsid w:val="000F65A5"/>
    <w:rsid w:val="000F66A8"/>
    <w:rsid w:val="000F6912"/>
    <w:rsid w:val="000F69D1"/>
    <w:rsid w:val="000F6A98"/>
    <w:rsid w:val="000F6BC8"/>
    <w:rsid w:val="000F6C86"/>
    <w:rsid w:val="000F6CD9"/>
    <w:rsid w:val="000F6D22"/>
    <w:rsid w:val="000F6D4A"/>
    <w:rsid w:val="000F7175"/>
    <w:rsid w:val="000F7194"/>
    <w:rsid w:val="000F71D0"/>
    <w:rsid w:val="000F736A"/>
    <w:rsid w:val="000F7517"/>
    <w:rsid w:val="000F7910"/>
    <w:rsid w:val="000F7A83"/>
    <w:rsid w:val="000F7A8D"/>
    <w:rsid w:val="000F7AB2"/>
    <w:rsid w:val="000F7C99"/>
    <w:rsid w:val="000F7F61"/>
    <w:rsid w:val="00100136"/>
    <w:rsid w:val="001001FF"/>
    <w:rsid w:val="00100354"/>
    <w:rsid w:val="00100503"/>
    <w:rsid w:val="00100576"/>
    <w:rsid w:val="001005B3"/>
    <w:rsid w:val="00100670"/>
    <w:rsid w:val="001006FE"/>
    <w:rsid w:val="00100898"/>
    <w:rsid w:val="00100941"/>
    <w:rsid w:val="00100952"/>
    <w:rsid w:val="00100A4F"/>
    <w:rsid w:val="00100BC3"/>
    <w:rsid w:val="00100C77"/>
    <w:rsid w:val="00100E23"/>
    <w:rsid w:val="00100E58"/>
    <w:rsid w:val="00101059"/>
    <w:rsid w:val="0010116C"/>
    <w:rsid w:val="00101193"/>
    <w:rsid w:val="001012D9"/>
    <w:rsid w:val="00101702"/>
    <w:rsid w:val="00101C51"/>
    <w:rsid w:val="00101C68"/>
    <w:rsid w:val="00101CD9"/>
    <w:rsid w:val="00101D0D"/>
    <w:rsid w:val="00101D7B"/>
    <w:rsid w:val="00101F88"/>
    <w:rsid w:val="00102120"/>
    <w:rsid w:val="00102445"/>
    <w:rsid w:val="00102559"/>
    <w:rsid w:val="001026B9"/>
    <w:rsid w:val="0010282A"/>
    <w:rsid w:val="00102843"/>
    <w:rsid w:val="00102887"/>
    <w:rsid w:val="00102894"/>
    <w:rsid w:val="00102A07"/>
    <w:rsid w:val="00102F46"/>
    <w:rsid w:val="00102FB1"/>
    <w:rsid w:val="001030DE"/>
    <w:rsid w:val="001030E5"/>
    <w:rsid w:val="0010310F"/>
    <w:rsid w:val="00103443"/>
    <w:rsid w:val="001035AD"/>
    <w:rsid w:val="001036C9"/>
    <w:rsid w:val="0010378E"/>
    <w:rsid w:val="001037C9"/>
    <w:rsid w:val="00103838"/>
    <w:rsid w:val="00103D49"/>
    <w:rsid w:val="00103D4F"/>
    <w:rsid w:val="00103F24"/>
    <w:rsid w:val="00103FFF"/>
    <w:rsid w:val="00104022"/>
    <w:rsid w:val="00104160"/>
    <w:rsid w:val="00104262"/>
    <w:rsid w:val="001042AF"/>
    <w:rsid w:val="001043EF"/>
    <w:rsid w:val="00104409"/>
    <w:rsid w:val="0010451F"/>
    <w:rsid w:val="001045FC"/>
    <w:rsid w:val="001045FE"/>
    <w:rsid w:val="00104706"/>
    <w:rsid w:val="001047BE"/>
    <w:rsid w:val="00104844"/>
    <w:rsid w:val="00104872"/>
    <w:rsid w:val="00104995"/>
    <w:rsid w:val="00104A78"/>
    <w:rsid w:val="00104C35"/>
    <w:rsid w:val="00104CDD"/>
    <w:rsid w:val="00104F0B"/>
    <w:rsid w:val="001050AD"/>
    <w:rsid w:val="00105139"/>
    <w:rsid w:val="001051E3"/>
    <w:rsid w:val="00105236"/>
    <w:rsid w:val="001054D4"/>
    <w:rsid w:val="001055CC"/>
    <w:rsid w:val="001055F1"/>
    <w:rsid w:val="00105771"/>
    <w:rsid w:val="001059C1"/>
    <w:rsid w:val="00105A12"/>
    <w:rsid w:val="00105D24"/>
    <w:rsid w:val="00105E91"/>
    <w:rsid w:val="00106103"/>
    <w:rsid w:val="00106159"/>
    <w:rsid w:val="00106230"/>
    <w:rsid w:val="001064E0"/>
    <w:rsid w:val="00106649"/>
    <w:rsid w:val="001066EE"/>
    <w:rsid w:val="0010682C"/>
    <w:rsid w:val="0010683A"/>
    <w:rsid w:val="001068BE"/>
    <w:rsid w:val="00106BAA"/>
    <w:rsid w:val="00106D24"/>
    <w:rsid w:val="0010740A"/>
    <w:rsid w:val="00107645"/>
    <w:rsid w:val="001077C2"/>
    <w:rsid w:val="0010780D"/>
    <w:rsid w:val="0010799C"/>
    <w:rsid w:val="00107B95"/>
    <w:rsid w:val="00107D07"/>
    <w:rsid w:val="00107F9E"/>
    <w:rsid w:val="00107FAA"/>
    <w:rsid w:val="001100ED"/>
    <w:rsid w:val="0011031B"/>
    <w:rsid w:val="00110BD4"/>
    <w:rsid w:val="00110C30"/>
    <w:rsid w:val="00110CBC"/>
    <w:rsid w:val="001110EE"/>
    <w:rsid w:val="00111163"/>
    <w:rsid w:val="00111213"/>
    <w:rsid w:val="0011148C"/>
    <w:rsid w:val="0011195D"/>
    <w:rsid w:val="0011196C"/>
    <w:rsid w:val="00111995"/>
    <w:rsid w:val="001119AB"/>
    <w:rsid w:val="00111AE5"/>
    <w:rsid w:val="00111B26"/>
    <w:rsid w:val="00111B91"/>
    <w:rsid w:val="00111BAE"/>
    <w:rsid w:val="00111BE2"/>
    <w:rsid w:val="00111E33"/>
    <w:rsid w:val="00111E45"/>
    <w:rsid w:val="00111EB6"/>
    <w:rsid w:val="00111F54"/>
    <w:rsid w:val="00112017"/>
    <w:rsid w:val="00112194"/>
    <w:rsid w:val="001123CE"/>
    <w:rsid w:val="001125BA"/>
    <w:rsid w:val="00112662"/>
    <w:rsid w:val="00112788"/>
    <w:rsid w:val="00112806"/>
    <w:rsid w:val="00112D72"/>
    <w:rsid w:val="00112F32"/>
    <w:rsid w:val="001130CD"/>
    <w:rsid w:val="00113148"/>
    <w:rsid w:val="001131EA"/>
    <w:rsid w:val="00113261"/>
    <w:rsid w:val="001133F4"/>
    <w:rsid w:val="00113459"/>
    <w:rsid w:val="00113921"/>
    <w:rsid w:val="001139A1"/>
    <w:rsid w:val="00113C81"/>
    <w:rsid w:val="00113CE2"/>
    <w:rsid w:val="00114089"/>
    <w:rsid w:val="001140D3"/>
    <w:rsid w:val="00114171"/>
    <w:rsid w:val="00114201"/>
    <w:rsid w:val="00114296"/>
    <w:rsid w:val="00114333"/>
    <w:rsid w:val="00114363"/>
    <w:rsid w:val="001143DE"/>
    <w:rsid w:val="00114453"/>
    <w:rsid w:val="0011445F"/>
    <w:rsid w:val="0011462D"/>
    <w:rsid w:val="00114873"/>
    <w:rsid w:val="00114A13"/>
    <w:rsid w:val="00114A41"/>
    <w:rsid w:val="00114B3A"/>
    <w:rsid w:val="00114EB6"/>
    <w:rsid w:val="00114FED"/>
    <w:rsid w:val="00115082"/>
    <w:rsid w:val="00115095"/>
    <w:rsid w:val="00115101"/>
    <w:rsid w:val="001151A0"/>
    <w:rsid w:val="0011533D"/>
    <w:rsid w:val="0011537D"/>
    <w:rsid w:val="001153BC"/>
    <w:rsid w:val="001154DA"/>
    <w:rsid w:val="0011576E"/>
    <w:rsid w:val="00115A94"/>
    <w:rsid w:val="00115DD8"/>
    <w:rsid w:val="00115E30"/>
    <w:rsid w:val="001161F6"/>
    <w:rsid w:val="0011620F"/>
    <w:rsid w:val="001163DF"/>
    <w:rsid w:val="0011640C"/>
    <w:rsid w:val="00116461"/>
    <w:rsid w:val="00116497"/>
    <w:rsid w:val="00116506"/>
    <w:rsid w:val="00116551"/>
    <w:rsid w:val="00116831"/>
    <w:rsid w:val="001172F2"/>
    <w:rsid w:val="001174B5"/>
    <w:rsid w:val="001175B1"/>
    <w:rsid w:val="001176DC"/>
    <w:rsid w:val="00117703"/>
    <w:rsid w:val="001178F3"/>
    <w:rsid w:val="00117900"/>
    <w:rsid w:val="00117C12"/>
    <w:rsid w:val="00117D6C"/>
    <w:rsid w:val="00117E42"/>
    <w:rsid w:val="00117E53"/>
    <w:rsid w:val="00117ED8"/>
    <w:rsid w:val="00120021"/>
    <w:rsid w:val="001201D0"/>
    <w:rsid w:val="00120324"/>
    <w:rsid w:val="0012037C"/>
    <w:rsid w:val="00120504"/>
    <w:rsid w:val="00120513"/>
    <w:rsid w:val="00120625"/>
    <w:rsid w:val="001206FA"/>
    <w:rsid w:val="00120752"/>
    <w:rsid w:val="001209DC"/>
    <w:rsid w:val="00120A86"/>
    <w:rsid w:val="00120C0C"/>
    <w:rsid w:val="00120D09"/>
    <w:rsid w:val="00120DB9"/>
    <w:rsid w:val="0012131D"/>
    <w:rsid w:val="001214E1"/>
    <w:rsid w:val="00121718"/>
    <w:rsid w:val="001217E9"/>
    <w:rsid w:val="00121806"/>
    <w:rsid w:val="001218B0"/>
    <w:rsid w:val="001218E6"/>
    <w:rsid w:val="00121A65"/>
    <w:rsid w:val="00121AA5"/>
    <w:rsid w:val="00121ABB"/>
    <w:rsid w:val="00121AF6"/>
    <w:rsid w:val="00121AFF"/>
    <w:rsid w:val="00121BA4"/>
    <w:rsid w:val="00121BF9"/>
    <w:rsid w:val="00121BFC"/>
    <w:rsid w:val="00121E53"/>
    <w:rsid w:val="00121E7B"/>
    <w:rsid w:val="001221A8"/>
    <w:rsid w:val="00122250"/>
    <w:rsid w:val="0012254B"/>
    <w:rsid w:val="00122799"/>
    <w:rsid w:val="001227AC"/>
    <w:rsid w:val="00122811"/>
    <w:rsid w:val="001228A5"/>
    <w:rsid w:val="0012290B"/>
    <w:rsid w:val="00122D95"/>
    <w:rsid w:val="00122E34"/>
    <w:rsid w:val="00122E76"/>
    <w:rsid w:val="00122E9B"/>
    <w:rsid w:val="00122F25"/>
    <w:rsid w:val="001230F2"/>
    <w:rsid w:val="001231C8"/>
    <w:rsid w:val="00123238"/>
    <w:rsid w:val="00123323"/>
    <w:rsid w:val="0012334C"/>
    <w:rsid w:val="0012358E"/>
    <w:rsid w:val="001237A1"/>
    <w:rsid w:val="00123863"/>
    <w:rsid w:val="0012393A"/>
    <w:rsid w:val="001239BF"/>
    <w:rsid w:val="00123A78"/>
    <w:rsid w:val="00123A8D"/>
    <w:rsid w:val="00123B44"/>
    <w:rsid w:val="00123C52"/>
    <w:rsid w:val="00123D22"/>
    <w:rsid w:val="00123D3E"/>
    <w:rsid w:val="00123E8C"/>
    <w:rsid w:val="00123ECE"/>
    <w:rsid w:val="00124117"/>
    <w:rsid w:val="00124150"/>
    <w:rsid w:val="001241B4"/>
    <w:rsid w:val="00124207"/>
    <w:rsid w:val="00124777"/>
    <w:rsid w:val="001249C9"/>
    <w:rsid w:val="00124AB8"/>
    <w:rsid w:val="00124CFD"/>
    <w:rsid w:val="00124DC9"/>
    <w:rsid w:val="00124EC7"/>
    <w:rsid w:val="00125122"/>
    <w:rsid w:val="0012517C"/>
    <w:rsid w:val="001252A5"/>
    <w:rsid w:val="0012577A"/>
    <w:rsid w:val="001257E7"/>
    <w:rsid w:val="0012599A"/>
    <w:rsid w:val="00125C00"/>
    <w:rsid w:val="00125D03"/>
    <w:rsid w:val="00125D8B"/>
    <w:rsid w:val="0012635E"/>
    <w:rsid w:val="0012647B"/>
    <w:rsid w:val="00126547"/>
    <w:rsid w:val="00126856"/>
    <w:rsid w:val="001268C2"/>
    <w:rsid w:val="001268D8"/>
    <w:rsid w:val="001269BD"/>
    <w:rsid w:val="00126C7B"/>
    <w:rsid w:val="00126D10"/>
    <w:rsid w:val="0012710C"/>
    <w:rsid w:val="0012714D"/>
    <w:rsid w:val="0012723B"/>
    <w:rsid w:val="001274D4"/>
    <w:rsid w:val="001276FD"/>
    <w:rsid w:val="001278A7"/>
    <w:rsid w:val="00127936"/>
    <w:rsid w:val="00127A0A"/>
    <w:rsid w:val="00127C36"/>
    <w:rsid w:val="00127D29"/>
    <w:rsid w:val="00127D84"/>
    <w:rsid w:val="00127D9C"/>
    <w:rsid w:val="00127EB2"/>
    <w:rsid w:val="0013010E"/>
    <w:rsid w:val="001302B0"/>
    <w:rsid w:val="001302B1"/>
    <w:rsid w:val="001302C8"/>
    <w:rsid w:val="001308D2"/>
    <w:rsid w:val="001308F5"/>
    <w:rsid w:val="001308FE"/>
    <w:rsid w:val="001309A0"/>
    <w:rsid w:val="00130A07"/>
    <w:rsid w:val="00130A75"/>
    <w:rsid w:val="00130BAC"/>
    <w:rsid w:val="00130D62"/>
    <w:rsid w:val="00130FF0"/>
    <w:rsid w:val="001311EB"/>
    <w:rsid w:val="0013128B"/>
    <w:rsid w:val="0013137F"/>
    <w:rsid w:val="0013148B"/>
    <w:rsid w:val="001314DD"/>
    <w:rsid w:val="0013163C"/>
    <w:rsid w:val="0013174E"/>
    <w:rsid w:val="0013176F"/>
    <w:rsid w:val="001319A5"/>
    <w:rsid w:val="00131B69"/>
    <w:rsid w:val="00131D17"/>
    <w:rsid w:val="00131FAE"/>
    <w:rsid w:val="00132000"/>
    <w:rsid w:val="001324C5"/>
    <w:rsid w:val="00132599"/>
    <w:rsid w:val="0013278A"/>
    <w:rsid w:val="00132A47"/>
    <w:rsid w:val="00132CC7"/>
    <w:rsid w:val="00132DBC"/>
    <w:rsid w:val="00132DE8"/>
    <w:rsid w:val="00132EF4"/>
    <w:rsid w:val="00133114"/>
    <w:rsid w:val="00133243"/>
    <w:rsid w:val="0013362A"/>
    <w:rsid w:val="00133826"/>
    <w:rsid w:val="00133943"/>
    <w:rsid w:val="00133B0E"/>
    <w:rsid w:val="00133C58"/>
    <w:rsid w:val="00133DB6"/>
    <w:rsid w:val="00133EC3"/>
    <w:rsid w:val="001341F3"/>
    <w:rsid w:val="0013427E"/>
    <w:rsid w:val="001342A1"/>
    <w:rsid w:val="0013430B"/>
    <w:rsid w:val="00134336"/>
    <w:rsid w:val="001344A7"/>
    <w:rsid w:val="0013489C"/>
    <w:rsid w:val="00134995"/>
    <w:rsid w:val="00134A4C"/>
    <w:rsid w:val="00134C3A"/>
    <w:rsid w:val="00134C6C"/>
    <w:rsid w:val="00134EA6"/>
    <w:rsid w:val="00134F7A"/>
    <w:rsid w:val="001352F8"/>
    <w:rsid w:val="001353CB"/>
    <w:rsid w:val="0013542C"/>
    <w:rsid w:val="00135528"/>
    <w:rsid w:val="0013552D"/>
    <w:rsid w:val="00135599"/>
    <w:rsid w:val="001359F1"/>
    <w:rsid w:val="00135A89"/>
    <w:rsid w:val="00135C99"/>
    <w:rsid w:val="00135F02"/>
    <w:rsid w:val="00135F03"/>
    <w:rsid w:val="001360D7"/>
    <w:rsid w:val="00136179"/>
    <w:rsid w:val="00136202"/>
    <w:rsid w:val="00136222"/>
    <w:rsid w:val="001363CC"/>
    <w:rsid w:val="0013649D"/>
    <w:rsid w:val="0013659D"/>
    <w:rsid w:val="00136656"/>
    <w:rsid w:val="001366EA"/>
    <w:rsid w:val="00136850"/>
    <w:rsid w:val="0013691D"/>
    <w:rsid w:val="0013697E"/>
    <w:rsid w:val="00136A29"/>
    <w:rsid w:val="00136A38"/>
    <w:rsid w:val="00136AB7"/>
    <w:rsid w:val="00136B88"/>
    <w:rsid w:val="00136BE3"/>
    <w:rsid w:val="00136CD9"/>
    <w:rsid w:val="00136CE6"/>
    <w:rsid w:val="0013719B"/>
    <w:rsid w:val="001371E4"/>
    <w:rsid w:val="00137239"/>
    <w:rsid w:val="00137329"/>
    <w:rsid w:val="0013741C"/>
    <w:rsid w:val="00137570"/>
    <w:rsid w:val="001375B7"/>
    <w:rsid w:val="001375E7"/>
    <w:rsid w:val="0013767A"/>
    <w:rsid w:val="001378BB"/>
    <w:rsid w:val="001379FC"/>
    <w:rsid w:val="00137BBA"/>
    <w:rsid w:val="00137D9D"/>
    <w:rsid w:val="00137DC5"/>
    <w:rsid w:val="00137EFD"/>
    <w:rsid w:val="00137F02"/>
    <w:rsid w:val="00137F20"/>
    <w:rsid w:val="0014004F"/>
    <w:rsid w:val="001402DE"/>
    <w:rsid w:val="00140359"/>
    <w:rsid w:val="00140363"/>
    <w:rsid w:val="00140532"/>
    <w:rsid w:val="00140550"/>
    <w:rsid w:val="001405A6"/>
    <w:rsid w:val="001405D2"/>
    <w:rsid w:val="001408C2"/>
    <w:rsid w:val="00140912"/>
    <w:rsid w:val="0014091C"/>
    <w:rsid w:val="001409A4"/>
    <w:rsid w:val="00140AC5"/>
    <w:rsid w:val="00140BC9"/>
    <w:rsid w:val="00140DF9"/>
    <w:rsid w:val="00140E0E"/>
    <w:rsid w:val="00141322"/>
    <w:rsid w:val="00141428"/>
    <w:rsid w:val="00141767"/>
    <w:rsid w:val="001418F6"/>
    <w:rsid w:val="001419B0"/>
    <w:rsid w:val="001419F8"/>
    <w:rsid w:val="00141B8C"/>
    <w:rsid w:val="00141F38"/>
    <w:rsid w:val="00141FD4"/>
    <w:rsid w:val="00142117"/>
    <w:rsid w:val="0014215D"/>
    <w:rsid w:val="001421A0"/>
    <w:rsid w:val="001421B3"/>
    <w:rsid w:val="00142320"/>
    <w:rsid w:val="001423A7"/>
    <w:rsid w:val="001423BB"/>
    <w:rsid w:val="00142465"/>
    <w:rsid w:val="0014266E"/>
    <w:rsid w:val="0014283C"/>
    <w:rsid w:val="001428AD"/>
    <w:rsid w:val="00142907"/>
    <w:rsid w:val="00142A76"/>
    <w:rsid w:val="00142B4F"/>
    <w:rsid w:val="00142BB1"/>
    <w:rsid w:val="00142C2F"/>
    <w:rsid w:val="00142D2B"/>
    <w:rsid w:val="00142F17"/>
    <w:rsid w:val="0014318A"/>
    <w:rsid w:val="0014329C"/>
    <w:rsid w:val="001434FC"/>
    <w:rsid w:val="00143677"/>
    <w:rsid w:val="001436AD"/>
    <w:rsid w:val="001436BF"/>
    <w:rsid w:val="0014374F"/>
    <w:rsid w:val="001439E0"/>
    <w:rsid w:val="00143A36"/>
    <w:rsid w:val="00143AFA"/>
    <w:rsid w:val="00143C80"/>
    <w:rsid w:val="00143CAA"/>
    <w:rsid w:val="00143E02"/>
    <w:rsid w:val="00143E29"/>
    <w:rsid w:val="00143E71"/>
    <w:rsid w:val="00144093"/>
    <w:rsid w:val="00144317"/>
    <w:rsid w:val="00144661"/>
    <w:rsid w:val="00144684"/>
    <w:rsid w:val="001446B0"/>
    <w:rsid w:val="00144814"/>
    <w:rsid w:val="0014483F"/>
    <w:rsid w:val="00144AB9"/>
    <w:rsid w:val="00144D8E"/>
    <w:rsid w:val="00144FE1"/>
    <w:rsid w:val="00145259"/>
    <w:rsid w:val="00145268"/>
    <w:rsid w:val="001453F9"/>
    <w:rsid w:val="001455C3"/>
    <w:rsid w:val="0014582B"/>
    <w:rsid w:val="00145899"/>
    <w:rsid w:val="00145D83"/>
    <w:rsid w:val="00145DF3"/>
    <w:rsid w:val="0014631E"/>
    <w:rsid w:val="0014670C"/>
    <w:rsid w:val="00146808"/>
    <w:rsid w:val="00146890"/>
    <w:rsid w:val="001468DA"/>
    <w:rsid w:val="0014694F"/>
    <w:rsid w:val="00146A89"/>
    <w:rsid w:val="00146DA7"/>
    <w:rsid w:val="00146DCC"/>
    <w:rsid w:val="00146E14"/>
    <w:rsid w:val="00146E2A"/>
    <w:rsid w:val="00146EAD"/>
    <w:rsid w:val="001471B6"/>
    <w:rsid w:val="001471BD"/>
    <w:rsid w:val="00147270"/>
    <w:rsid w:val="0014761F"/>
    <w:rsid w:val="00147631"/>
    <w:rsid w:val="001476EC"/>
    <w:rsid w:val="001476F3"/>
    <w:rsid w:val="0014778C"/>
    <w:rsid w:val="0014780A"/>
    <w:rsid w:val="0014787C"/>
    <w:rsid w:val="0014788F"/>
    <w:rsid w:val="001478D9"/>
    <w:rsid w:val="0014794D"/>
    <w:rsid w:val="00147973"/>
    <w:rsid w:val="00147A11"/>
    <w:rsid w:val="00147CD4"/>
    <w:rsid w:val="00147D0D"/>
    <w:rsid w:val="00147E13"/>
    <w:rsid w:val="00147EDF"/>
    <w:rsid w:val="00150002"/>
    <w:rsid w:val="0015014E"/>
    <w:rsid w:val="00150733"/>
    <w:rsid w:val="00150812"/>
    <w:rsid w:val="00150930"/>
    <w:rsid w:val="00150CEF"/>
    <w:rsid w:val="00150D80"/>
    <w:rsid w:val="00150F59"/>
    <w:rsid w:val="00150F7C"/>
    <w:rsid w:val="00151011"/>
    <w:rsid w:val="0015110E"/>
    <w:rsid w:val="001512AE"/>
    <w:rsid w:val="001512F6"/>
    <w:rsid w:val="0015136F"/>
    <w:rsid w:val="001513E7"/>
    <w:rsid w:val="00151654"/>
    <w:rsid w:val="0015168C"/>
    <w:rsid w:val="001516F5"/>
    <w:rsid w:val="00151729"/>
    <w:rsid w:val="00151740"/>
    <w:rsid w:val="001517C7"/>
    <w:rsid w:val="0015191F"/>
    <w:rsid w:val="00151A09"/>
    <w:rsid w:val="00151B04"/>
    <w:rsid w:val="00152055"/>
    <w:rsid w:val="00152141"/>
    <w:rsid w:val="0015221F"/>
    <w:rsid w:val="0015225F"/>
    <w:rsid w:val="00152314"/>
    <w:rsid w:val="00152365"/>
    <w:rsid w:val="001523C7"/>
    <w:rsid w:val="001525B6"/>
    <w:rsid w:val="0015263A"/>
    <w:rsid w:val="00152893"/>
    <w:rsid w:val="001529F8"/>
    <w:rsid w:val="00152B38"/>
    <w:rsid w:val="00152B9D"/>
    <w:rsid w:val="00152BFF"/>
    <w:rsid w:val="00152F4A"/>
    <w:rsid w:val="00153164"/>
    <w:rsid w:val="0015318E"/>
    <w:rsid w:val="0015323B"/>
    <w:rsid w:val="0015346C"/>
    <w:rsid w:val="001534C4"/>
    <w:rsid w:val="00153589"/>
    <w:rsid w:val="001535B5"/>
    <w:rsid w:val="00153752"/>
    <w:rsid w:val="00153790"/>
    <w:rsid w:val="00153891"/>
    <w:rsid w:val="001538A5"/>
    <w:rsid w:val="00153934"/>
    <w:rsid w:val="00153AA8"/>
    <w:rsid w:val="00153B13"/>
    <w:rsid w:val="00153B44"/>
    <w:rsid w:val="00153B45"/>
    <w:rsid w:val="00153B89"/>
    <w:rsid w:val="00153D6F"/>
    <w:rsid w:val="00153DE3"/>
    <w:rsid w:val="00154080"/>
    <w:rsid w:val="001542B5"/>
    <w:rsid w:val="001542FE"/>
    <w:rsid w:val="00154698"/>
    <w:rsid w:val="001546D0"/>
    <w:rsid w:val="001546F8"/>
    <w:rsid w:val="001547B2"/>
    <w:rsid w:val="00154907"/>
    <w:rsid w:val="00154C3F"/>
    <w:rsid w:val="00154C48"/>
    <w:rsid w:val="00154CC3"/>
    <w:rsid w:val="001552DB"/>
    <w:rsid w:val="001552E4"/>
    <w:rsid w:val="0015533A"/>
    <w:rsid w:val="00155497"/>
    <w:rsid w:val="00155576"/>
    <w:rsid w:val="0015565A"/>
    <w:rsid w:val="00155766"/>
    <w:rsid w:val="0015576A"/>
    <w:rsid w:val="00155963"/>
    <w:rsid w:val="00155A42"/>
    <w:rsid w:val="00155ABF"/>
    <w:rsid w:val="00155AEC"/>
    <w:rsid w:val="00155B7B"/>
    <w:rsid w:val="00155FB0"/>
    <w:rsid w:val="00156018"/>
    <w:rsid w:val="00156075"/>
    <w:rsid w:val="0015608A"/>
    <w:rsid w:val="00156458"/>
    <w:rsid w:val="00156648"/>
    <w:rsid w:val="0015666D"/>
    <w:rsid w:val="001569AA"/>
    <w:rsid w:val="001569B9"/>
    <w:rsid w:val="00156AF8"/>
    <w:rsid w:val="00156AF9"/>
    <w:rsid w:val="00156D8B"/>
    <w:rsid w:val="00156E20"/>
    <w:rsid w:val="00156F62"/>
    <w:rsid w:val="00157165"/>
    <w:rsid w:val="0015721E"/>
    <w:rsid w:val="00157225"/>
    <w:rsid w:val="0015734C"/>
    <w:rsid w:val="001574A6"/>
    <w:rsid w:val="0015750F"/>
    <w:rsid w:val="00157706"/>
    <w:rsid w:val="0015772F"/>
    <w:rsid w:val="00157817"/>
    <w:rsid w:val="00157873"/>
    <w:rsid w:val="00157902"/>
    <w:rsid w:val="00157B60"/>
    <w:rsid w:val="00157DF2"/>
    <w:rsid w:val="00157F22"/>
    <w:rsid w:val="0016011D"/>
    <w:rsid w:val="0016015E"/>
    <w:rsid w:val="001601D7"/>
    <w:rsid w:val="00160349"/>
    <w:rsid w:val="001603A1"/>
    <w:rsid w:val="001606CF"/>
    <w:rsid w:val="00160745"/>
    <w:rsid w:val="0016085E"/>
    <w:rsid w:val="001609A7"/>
    <w:rsid w:val="00160B34"/>
    <w:rsid w:val="00160DBE"/>
    <w:rsid w:val="00160E54"/>
    <w:rsid w:val="00160EA7"/>
    <w:rsid w:val="00160ECC"/>
    <w:rsid w:val="001610BC"/>
    <w:rsid w:val="0016111C"/>
    <w:rsid w:val="0016128D"/>
    <w:rsid w:val="001612E7"/>
    <w:rsid w:val="0016155A"/>
    <w:rsid w:val="001615A4"/>
    <w:rsid w:val="00161651"/>
    <w:rsid w:val="001619E7"/>
    <w:rsid w:val="00161A21"/>
    <w:rsid w:val="00161AAD"/>
    <w:rsid w:val="00161AEB"/>
    <w:rsid w:val="00161CCA"/>
    <w:rsid w:val="00161CE8"/>
    <w:rsid w:val="00161EAC"/>
    <w:rsid w:val="0016202D"/>
    <w:rsid w:val="00162103"/>
    <w:rsid w:val="00162190"/>
    <w:rsid w:val="00162530"/>
    <w:rsid w:val="001625D0"/>
    <w:rsid w:val="00162744"/>
    <w:rsid w:val="001628D0"/>
    <w:rsid w:val="00162971"/>
    <w:rsid w:val="00162985"/>
    <w:rsid w:val="00162C40"/>
    <w:rsid w:val="00162CEA"/>
    <w:rsid w:val="00163034"/>
    <w:rsid w:val="0016309E"/>
    <w:rsid w:val="001630BF"/>
    <w:rsid w:val="00163214"/>
    <w:rsid w:val="00163289"/>
    <w:rsid w:val="001633C1"/>
    <w:rsid w:val="0016353F"/>
    <w:rsid w:val="0016357A"/>
    <w:rsid w:val="001635DE"/>
    <w:rsid w:val="00163671"/>
    <w:rsid w:val="00163696"/>
    <w:rsid w:val="00163718"/>
    <w:rsid w:val="001639F1"/>
    <w:rsid w:val="00163C1D"/>
    <w:rsid w:val="00163C5D"/>
    <w:rsid w:val="00163CCF"/>
    <w:rsid w:val="00163D84"/>
    <w:rsid w:val="00163E9E"/>
    <w:rsid w:val="00164156"/>
    <w:rsid w:val="00164231"/>
    <w:rsid w:val="00164362"/>
    <w:rsid w:val="001643A2"/>
    <w:rsid w:val="00164487"/>
    <w:rsid w:val="00164A5F"/>
    <w:rsid w:val="00164F36"/>
    <w:rsid w:val="0016501A"/>
    <w:rsid w:val="0016501F"/>
    <w:rsid w:val="00165168"/>
    <w:rsid w:val="00165239"/>
    <w:rsid w:val="00165646"/>
    <w:rsid w:val="001656B4"/>
    <w:rsid w:val="001656BF"/>
    <w:rsid w:val="00165AF3"/>
    <w:rsid w:val="00165D17"/>
    <w:rsid w:val="00165DE3"/>
    <w:rsid w:val="00165F8E"/>
    <w:rsid w:val="00165FFA"/>
    <w:rsid w:val="00166003"/>
    <w:rsid w:val="00166220"/>
    <w:rsid w:val="0016631E"/>
    <w:rsid w:val="0016641F"/>
    <w:rsid w:val="00166449"/>
    <w:rsid w:val="001664B0"/>
    <w:rsid w:val="0016664D"/>
    <w:rsid w:val="001666CE"/>
    <w:rsid w:val="001666DD"/>
    <w:rsid w:val="001668CA"/>
    <w:rsid w:val="00166A52"/>
    <w:rsid w:val="00166AFE"/>
    <w:rsid w:val="00166BFC"/>
    <w:rsid w:val="00166D15"/>
    <w:rsid w:val="00166D78"/>
    <w:rsid w:val="00166ED1"/>
    <w:rsid w:val="001670B2"/>
    <w:rsid w:val="00167352"/>
    <w:rsid w:val="001673D4"/>
    <w:rsid w:val="00167463"/>
    <w:rsid w:val="00167541"/>
    <w:rsid w:val="00167555"/>
    <w:rsid w:val="001675DB"/>
    <w:rsid w:val="001677EC"/>
    <w:rsid w:val="00167C75"/>
    <w:rsid w:val="00167FD2"/>
    <w:rsid w:val="001702B3"/>
    <w:rsid w:val="00170340"/>
    <w:rsid w:val="001704DC"/>
    <w:rsid w:val="001704DF"/>
    <w:rsid w:val="001704E2"/>
    <w:rsid w:val="00170539"/>
    <w:rsid w:val="00170560"/>
    <w:rsid w:val="001706E1"/>
    <w:rsid w:val="001707F3"/>
    <w:rsid w:val="0017089D"/>
    <w:rsid w:val="001709E9"/>
    <w:rsid w:val="00170ABB"/>
    <w:rsid w:val="00170CF2"/>
    <w:rsid w:val="00170D0C"/>
    <w:rsid w:val="00170F30"/>
    <w:rsid w:val="00170F40"/>
    <w:rsid w:val="00171469"/>
    <w:rsid w:val="0017148F"/>
    <w:rsid w:val="0017155D"/>
    <w:rsid w:val="00171619"/>
    <w:rsid w:val="001716C4"/>
    <w:rsid w:val="00171859"/>
    <w:rsid w:val="00171963"/>
    <w:rsid w:val="001719CA"/>
    <w:rsid w:val="00171A41"/>
    <w:rsid w:val="00171DAA"/>
    <w:rsid w:val="00171EB2"/>
    <w:rsid w:val="0017203D"/>
    <w:rsid w:val="00172616"/>
    <w:rsid w:val="0017282B"/>
    <w:rsid w:val="00172911"/>
    <w:rsid w:val="00172AED"/>
    <w:rsid w:val="00172D79"/>
    <w:rsid w:val="00172F35"/>
    <w:rsid w:val="00172FA4"/>
    <w:rsid w:val="00172FA8"/>
    <w:rsid w:val="0017300C"/>
    <w:rsid w:val="001732DE"/>
    <w:rsid w:val="001732E8"/>
    <w:rsid w:val="001733C3"/>
    <w:rsid w:val="001733E2"/>
    <w:rsid w:val="0017346D"/>
    <w:rsid w:val="00173516"/>
    <w:rsid w:val="00173606"/>
    <w:rsid w:val="0017364F"/>
    <w:rsid w:val="0017370F"/>
    <w:rsid w:val="001738A2"/>
    <w:rsid w:val="00173AA3"/>
    <w:rsid w:val="00173B49"/>
    <w:rsid w:val="00173B9B"/>
    <w:rsid w:val="00173D3F"/>
    <w:rsid w:val="0017406D"/>
    <w:rsid w:val="001740AD"/>
    <w:rsid w:val="001740EA"/>
    <w:rsid w:val="00174167"/>
    <w:rsid w:val="0017431B"/>
    <w:rsid w:val="001744B9"/>
    <w:rsid w:val="00174660"/>
    <w:rsid w:val="0017476C"/>
    <w:rsid w:val="00174961"/>
    <w:rsid w:val="001749B8"/>
    <w:rsid w:val="00174B05"/>
    <w:rsid w:val="00174CE7"/>
    <w:rsid w:val="00174E7F"/>
    <w:rsid w:val="00175255"/>
    <w:rsid w:val="00175284"/>
    <w:rsid w:val="00175433"/>
    <w:rsid w:val="001755DE"/>
    <w:rsid w:val="001755E6"/>
    <w:rsid w:val="001756C1"/>
    <w:rsid w:val="0017570B"/>
    <w:rsid w:val="00175743"/>
    <w:rsid w:val="00175824"/>
    <w:rsid w:val="00175837"/>
    <w:rsid w:val="001758C5"/>
    <w:rsid w:val="00175DCF"/>
    <w:rsid w:val="00175E4B"/>
    <w:rsid w:val="00175EA4"/>
    <w:rsid w:val="00175EDE"/>
    <w:rsid w:val="00175F6D"/>
    <w:rsid w:val="00176315"/>
    <w:rsid w:val="00176336"/>
    <w:rsid w:val="0017634D"/>
    <w:rsid w:val="00176374"/>
    <w:rsid w:val="00176484"/>
    <w:rsid w:val="001765AA"/>
    <w:rsid w:val="001765EB"/>
    <w:rsid w:val="00176657"/>
    <w:rsid w:val="00176A41"/>
    <w:rsid w:val="00176A5D"/>
    <w:rsid w:val="00176A86"/>
    <w:rsid w:val="00176ACA"/>
    <w:rsid w:val="00176CF8"/>
    <w:rsid w:val="00176EC9"/>
    <w:rsid w:val="00177196"/>
    <w:rsid w:val="001771DC"/>
    <w:rsid w:val="0017720A"/>
    <w:rsid w:val="0017721D"/>
    <w:rsid w:val="0017723C"/>
    <w:rsid w:val="00177270"/>
    <w:rsid w:val="001773F4"/>
    <w:rsid w:val="001774F9"/>
    <w:rsid w:val="00177551"/>
    <w:rsid w:val="001775D0"/>
    <w:rsid w:val="0017763C"/>
    <w:rsid w:val="0017766C"/>
    <w:rsid w:val="0017780C"/>
    <w:rsid w:val="00177A1C"/>
    <w:rsid w:val="00177A35"/>
    <w:rsid w:val="00177B3B"/>
    <w:rsid w:val="00177D67"/>
    <w:rsid w:val="001800E9"/>
    <w:rsid w:val="001801CF"/>
    <w:rsid w:val="001801D4"/>
    <w:rsid w:val="00180216"/>
    <w:rsid w:val="0018038E"/>
    <w:rsid w:val="0018048B"/>
    <w:rsid w:val="001806E4"/>
    <w:rsid w:val="00180873"/>
    <w:rsid w:val="001808BA"/>
    <w:rsid w:val="001809A5"/>
    <w:rsid w:val="00180A4B"/>
    <w:rsid w:val="00180AAB"/>
    <w:rsid w:val="00180B4B"/>
    <w:rsid w:val="00180E53"/>
    <w:rsid w:val="00180F71"/>
    <w:rsid w:val="00180F82"/>
    <w:rsid w:val="00181318"/>
    <w:rsid w:val="0018138D"/>
    <w:rsid w:val="0018143D"/>
    <w:rsid w:val="001814F9"/>
    <w:rsid w:val="00181673"/>
    <w:rsid w:val="001816A5"/>
    <w:rsid w:val="00181761"/>
    <w:rsid w:val="001819A8"/>
    <w:rsid w:val="00181C8F"/>
    <w:rsid w:val="00181D9F"/>
    <w:rsid w:val="00181F5D"/>
    <w:rsid w:val="00181F86"/>
    <w:rsid w:val="00181FB5"/>
    <w:rsid w:val="0018209D"/>
    <w:rsid w:val="001824F0"/>
    <w:rsid w:val="001825CF"/>
    <w:rsid w:val="0018268C"/>
    <w:rsid w:val="00182840"/>
    <w:rsid w:val="001829DB"/>
    <w:rsid w:val="00182B01"/>
    <w:rsid w:val="00182B20"/>
    <w:rsid w:val="00182C08"/>
    <w:rsid w:val="00182C55"/>
    <w:rsid w:val="00182D2E"/>
    <w:rsid w:val="00182DE5"/>
    <w:rsid w:val="00183355"/>
    <w:rsid w:val="00183440"/>
    <w:rsid w:val="001834B6"/>
    <w:rsid w:val="0018394C"/>
    <w:rsid w:val="00183954"/>
    <w:rsid w:val="00183CA4"/>
    <w:rsid w:val="00183E0A"/>
    <w:rsid w:val="00184070"/>
    <w:rsid w:val="001840B2"/>
    <w:rsid w:val="00184235"/>
    <w:rsid w:val="001842CC"/>
    <w:rsid w:val="001843C5"/>
    <w:rsid w:val="001843FD"/>
    <w:rsid w:val="00184529"/>
    <w:rsid w:val="00184588"/>
    <w:rsid w:val="0018464D"/>
    <w:rsid w:val="0018470C"/>
    <w:rsid w:val="00184905"/>
    <w:rsid w:val="001849D4"/>
    <w:rsid w:val="00184A6D"/>
    <w:rsid w:val="00184AD6"/>
    <w:rsid w:val="00184C50"/>
    <w:rsid w:val="00184D76"/>
    <w:rsid w:val="00185123"/>
    <w:rsid w:val="001851E9"/>
    <w:rsid w:val="001854A3"/>
    <w:rsid w:val="001854AB"/>
    <w:rsid w:val="001855F3"/>
    <w:rsid w:val="00185608"/>
    <w:rsid w:val="001858CF"/>
    <w:rsid w:val="00185CA8"/>
    <w:rsid w:val="00185E0E"/>
    <w:rsid w:val="00185E2C"/>
    <w:rsid w:val="00185E94"/>
    <w:rsid w:val="00186240"/>
    <w:rsid w:val="0018640B"/>
    <w:rsid w:val="001865DD"/>
    <w:rsid w:val="0018660B"/>
    <w:rsid w:val="001866F4"/>
    <w:rsid w:val="00186847"/>
    <w:rsid w:val="001868E4"/>
    <w:rsid w:val="001869A0"/>
    <w:rsid w:val="00186A49"/>
    <w:rsid w:val="00186BB1"/>
    <w:rsid w:val="00186D21"/>
    <w:rsid w:val="00186F4A"/>
    <w:rsid w:val="00187286"/>
    <w:rsid w:val="0018750E"/>
    <w:rsid w:val="0018769E"/>
    <w:rsid w:val="0018788A"/>
    <w:rsid w:val="00187973"/>
    <w:rsid w:val="001879F6"/>
    <w:rsid w:val="00187B33"/>
    <w:rsid w:val="00187C17"/>
    <w:rsid w:val="00187D6B"/>
    <w:rsid w:val="00187DB0"/>
    <w:rsid w:val="00187F3C"/>
    <w:rsid w:val="00187FBD"/>
    <w:rsid w:val="001900FF"/>
    <w:rsid w:val="001901FC"/>
    <w:rsid w:val="0019067A"/>
    <w:rsid w:val="00190798"/>
    <w:rsid w:val="00190909"/>
    <w:rsid w:val="00190A3F"/>
    <w:rsid w:val="00190B16"/>
    <w:rsid w:val="00190C3E"/>
    <w:rsid w:val="00190CD8"/>
    <w:rsid w:val="00190D2F"/>
    <w:rsid w:val="00190D95"/>
    <w:rsid w:val="00190DA7"/>
    <w:rsid w:val="00190DE7"/>
    <w:rsid w:val="00190E40"/>
    <w:rsid w:val="0019101A"/>
    <w:rsid w:val="0019113A"/>
    <w:rsid w:val="0019115A"/>
    <w:rsid w:val="001911B7"/>
    <w:rsid w:val="001911BD"/>
    <w:rsid w:val="001911F1"/>
    <w:rsid w:val="001917AB"/>
    <w:rsid w:val="001917D4"/>
    <w:rsid w:val="00191817"/>
    <w:rsid w:val="001919DE"/>
    <w:rsid w:val="00191B2B"/>
    <w:rsid w:val="00192146"/>
    <w:rsid w:val="0019227F"/>
    <w:rsid w:val="001922FB"/>
    <w:rsid w:val="00192303"/>
    <w:rsid w:val="0019242C"/>
    <w:rsid w:val="0019244E"/>
    <w:rsid w:val="001924DF"/>
    <w:rsid w:val="001926BD"/>
    <w:rsid w:val="00192A40"/>
    <w:rsid w:val="00192B27"/>
    <w:rsid w:val="00192F0A"/>
    <w:rsid w:val="001931E2"/>
    <w:rsid w:val="00193231"/>
    <w:rsid w:val="001932D3"/>
    <w:rsid w:val="001933F1"/>
    <w:rsid w:val="0019357B"/>
    <w:rsid w:val="00193588"/>
    <w:rsid w:val="00193ACC"/>
    <w:rsid w:val="00193B48"/>
    <w:rsid w:val="00193C51"/>
    <w:rsid w:val="00193C95"/>
    <w:rsid w:val="00193E70"/>
    <w:rsid w:val="00194312"/>
    <w:rsid w:val="00194378"/>
    <w:rsid w:val="001943F8"/>
    <w:rsid w:val="00194405"/>
    <w:rsid w:val="001944CE"/>
    <w:rsid w:val="00194691"/>
    <w:rsid w:val="001947C3"/>
    <w:rsid w:val="0019497A"/>
    <w:rsid w:val="00194B21"/>
    <w:rsid w:val="00194C03"/>
    <w:rsid w:val="00195063"/>
    <w:rsid w:val="00195173"/>
    <w:rsid w:val="001956A3"/>
    <w:rsid w:val="0019590C"/>
    <w:rsid w:val="00195935"/>
    <w:rsid w:val="001959B3"/>
    <w:rsid w:val="00195DED"/>
    <w:rsid w:val="00195DFD"/>
    <w:rsid w:val="00195E50"/>
    <w:rsid w:val="00195EA5"/>
    <w:rsid w:val="00196035"/>
    <w:rsid w:val="001960DF"/>
    <w:rsid w:val="001960FA"/>
    <w:rsid w:val="00196147"/>
    <w:rsid w:val="001962A1"/>
    <w:rsid w:val="001968BD"/>
    <w:rsid w:val="00196AC4"/>
    <w:rsid w:val="00196D81"/>
    <w:rsid w:val="00197253"/>
    <w:rsid w:val="00197304"/>
    <w:rsid w:val="001973FB"/>
    <w:rsid w:val="00197473"/>
    <w:rsid w:val="00197499"/>
    <w:rsid w:val="001974CD"/>
    <w:rsid w:val="001979BB"/>
    <w:rsid w:val="00197A7A"/>
    <w:rsid w:val="00197B75"/>
    <w:rsid w:val="00197C42"/>
    <w:rsid w:val="00197CC9"/>
    <w:rsid w:val="00197D76"/>
    <w:rsid w:val="00197DF6"/>
    <w:rsid w:val="00197ED6"/>
    <w:rsid w:val="001A00E4"/>
    <w:rsid w:val="001A02CF"/>
    <w:rsid w:val="001A032D"/>
    <w:rsid w:val="001A03C2"/>
    <w:rsid w:val="001A0517"/>
    <w:rsid w:val="001A064B"/>
    <w:rsid w:val="001A06F1"/>
    <w:rsid w:val="001A070D"/>
    <w:rsid w:val="001A0738"/>
    <w:rsid w:val="001A0825"/>
    <w:rsid w:val="001A084A"/>
    <w:rsid w:val="001A088A"/>
    <w:rsid w:val="001A08FF"/>
    <w:rsid w:val="001A097F"/>
    <w:rsid w:val="001A0A29"/>
    <w:rsid w:val="001A1282"/>
    <w:rsid w:val="001A128E"/>
    <w:rsid w:val="001A1363"/>
    <w:rsid w:val="001A1493"/>
    <w:rsid w:val="001A1569"/>
    <w:rsid w:val="001A161E"/>
    <w:rsid w:val="001A1626"/>
    <w:rsid w:val="001A17D4"/>
    <w:rsid w:val="001A19D8"/>
    <w:rsid w:val="001A19FA"/>
    <w:rsid w:val="001A1C12"/>
    <w:rsid w:val="001A1D49"/>
    <w:rsid w:val="001A1DE7"/>
    <w:rsid w:val="001A1FA8"/>
    <w:rsid w:val="001A20A6"/>
    <w:rsid w:val="001A232B"/>
    <w:rsid w:val="001A2357"/>
    <w:rsid w:val="001A2608"/>
    <w:rsid w:val="001A2A61"/>
    <w:rsid w:val="001A2AA6"/>
    <w:rsid w:val="001A2E90"/>
    <w:rsid w:val="001A2F62"/>
    <w:rsid w:val="001A3198"/>
    <w:rsid w:val="001A3317"/>
    <w:rsid w:val="001A3489"/>
    <w:rsid w:val="001A3626"/>
    <w:rsid w:val="001A37BE"/>
    <w:rsid w:val="001A3B24"/>
    <w:rsid w:val="001A3CB1"/>
    <w:rsid w:val="001A3CF4"/>
    <w:rsid w:val="001A3DDF"/>
    <w:rsid w:val="001A3E25"/>
    <w:rsid w:val="001A3F17"/>
    <w:rsid w:val="001A407A"/>
    <w:rsid w:val="001A42C5"/>
    <w:rsid w:val="001A42F4"/>
    <w:rsid w:val="001A43A9"/>
    <w:rsid w:val="001A448C"/>
    <w:rsid w:val="001A467D"/>
    <w:rsid w:val="001A47E0"/>
    <w:rsid w:val="001A4876"/>
    <w:rsid w:val="001A4878"/>
    <w:rsid w:val="001A4C1E"/>
    <w:rsid w:val="001A4C57"/>
    <w:rsid w:val="001A4DA8"/>
    <w:rsid w:val="001A4DE4"/>
    <w:rsid w:val="001A534D"/>
    <w:rsid w:val="001A556C"/>
    <w:rsid w:val="001A5660"/>
    <w:rsid w:val="001A582F"/>
    <w:rsid w:val="001A589C"/>
    <w:rsid w:val="001A59B5"/>
    <w:rsid w:val="001A59B8"/>
    <w:rsid w:val="001A5D2B"/>
    <w:rsid w:val="001A5E8B"/>
    <w:rsid w:val="001A5F5F"/>
    <w:rsid w:val="001A5F8D"/>
    <w:rsid w:val="001A5FAD"/>
    <w:rsid w:val="001A6089"/>
    <w:rsid w:val="001A60B6"/>
    <w:rsid w:val="001A6147"/>
    <w:rsid w:val="001A6298"/>
    <w:rsid w:val="001A64E4"/>
    <w:rsid w:val="001A653B"/>
    <w:rsid w:val="001A65CF"/>
    <w:rsid w:val="001A6772"/>
    <w:rsid w:val="001A67F1"/>
    <w:rsid w:val="001A6A42"/>
    <w:rsid w:val="001A6BC1"/>
    <w:rsid w:val="001A6D88"/>
    <w:rsid w:val="001A6FCC"/>
    <w:rsid w:val="001A7139"/>
    <w:rsid w:val="001A7252"/>
    <w:rsid w:val="001A7546"/>
    <w:rsid w:val="001A7558"/>
    <w:rsid w:val="001A76D8"/>
    <w:rsid w:val="001A7805"/>
    <w:rsid w:val="001A782A"/>
    <w:rsid w:val="001A7936"/>
    <w:rsid w:val="001A7972"/>
    <w:rsid w:val="001A7A2D"/>
    <w:rsid w:val="001A7ACA"/>
    <w:rsid w:val="001A7AF1"/>
    <w:rsid w:val="001A7BE8"/>
    <w:rsid w:val="001A7D30"/>
    <w:rsid w:val="001A7FB8"/>
    <w:rsid w:val="001A7FC4"/>
    <w:rsid w:val="001B021C"/>
    <w:rsid w:val="001B0306"/>
    <w:rsid w:val="001B0349"/>
    <w:rsid w:val="001B05A0"/>
    <w:rsid w:val="001B05DF"/>
    <w:rsid w:val="001B061C"/>
    <w:rsid w:val="001B0847"/>
    <w:rsid w:val="001B0A5B"/>
    <w:rsid w:val="001B0B18"/>
    <w:rsid w:val="001B0B7D"/>
    <w:rsid w:val="001B0C61"/>
    <w:rsid w:val="001B0C90"/>
    <w:rsid w:val="001B0CF3"/>
    <w:rsid w:val="001B0D48"/>
    <w:rsid w:val="001B0DC6"/>
    <w:rsid w:val="001B0E26"/>
    <w:rsid w:val="001B0E34"/>
    <w:rsid w:val="001B0F43"/>
    <w:rsid w:val="001B1135"/>
    <w:rsid w:val="001B117B"/>
    <w:rsid w:val="001B11E3"/>
    <w:rsid w:val="001B1234"/>
    <w:rsid w:val="001B12A8"/>
    <w:rsid w:val="001B13AB"/>
    <w:rsid w:val="001B1404"/>
    <w:rsid w:val="001B1690"/>
    <w:rsid w:val="001B1940"/>
    <w:rsid w:val="001B196A"/>
    <w:rsid w:val="001B1A20"/>
    <w:rsid w:val="001B1AFD"/>
    <w:rsid w:val="001B1B32"/>
    <w:rsid w:val="001B1B82"/>
    <w:rsid w:val="001B1D35"/>
    <w:rsid w:val="001B1E65"/>
    <w:rsid w:val="001B1EF4"/>
    <w:rsid w:val="001B1FDA"/>
    <w:rsid w:val="001B20B3"/>
    <w:rsid w:val="001B20F0"/>
    <w:rsid w:val="001B2112"/>
    <w:rsid w:val="001B214F"/>
    <w:rsid w:val="001B26A8"/>
    <w:rsid w:val="001B272F"/>
    <w:rsid w:val="001B2A5F"/>
    <w:rsid w:val="001B2AC6"/>
    <w:rsid w:val="001B2CA0"/>
    <w:rsid w:val="001B2FEF"/>
    <w:rsid w:val="001B3076"/>
    <w:rsid w:val="001B307B"/>
    <w:rsid w:val="001B309D"/>
    <w:rsid w:val="001B30A0"/>
    <w:rsid w:val="001B339B"/>
    <w:rsid w:val="001B3496"/>
    <w:rsid w:val="001B3812"/>
    <w:rsid w:val="001B38A5"/>
    <w:rsid w:val="001B3A30"/>
    <w:rsid w:val="001B3AC7"/>
    <w:rsid w:val="001B3C63"/>
    <w:rsid w:val="001B3E5C"/>
    <w:rsid w:val="001B3EAD"/>
    <w:rsid w:val="001B3ED9"/>
    <w:rsid w:val="001B4097"/>
    <w:rsid w:val="001B424D"/>
    <w:rsid w:val="001B4255"/>
    <w:rsid w:val="001B4378"/>
    <w:rsid w:val="001B445A"/>
    <w:rsid w:val="001B4678"/>
    <w:rsid w:val="001B488F"/>
    <w:rsid w:val="001B494F"/>
    <w:rsid w:val="001B4C2F"/>
    <w:rsid w:val="001B4CD5"/>
    <w:rsid w:val="001B4D44"/>
    <w:rsid w:val="001B4DC4"/>
    <w:rsid w:val="001B5459"/>
    <w:rsid w:val="001B5547"/>
    <w:rsid w:val="001B579B"/>
    <w:rsid w:val="001B5A93"/>
    <w:rsid w:val="001B5B0C"/>
    <w:rsid w:val="001B5B6E"/>
    <w:rsid w:val="001B5CD3"/>
    <w:rsid w:val="001B5D10"/>
    <w:rsid w:val="001B5D52"/>
    <w:rsid w:val="001B5DE9"/>
    <w:rsid w:val="001B5E9A"/>
    <w:rsid w:val="001B5EB3"/>
    <w:rsid w:val="001B5F30"/>
    <w:rsid w:val="001B6181"/>
    <w:rsid w:val="001B62D0"/>
    <w:rsid w:val="001B630F"/>
    <w:rsid w:val="001B634D"/>
    <w:rsid w:val="001B6581"/>
    <w:rsid w:val="001B66E9"/>
    <w:rsid w:val="001B67F2"/>
    <w:rsid w:val="001B6964"/>
    <w:rsid w:val="001B6973"/>
    <w:rsid w:val="001B6A8E"/>
    <w:rsid w:val="001B6B6F"/>
    <w:rsid w:val="001B6E9F"/>
    <w:rsid w:val="001B7279"/>
    <w:rsid w:val="001B72B5"/>
    <w:rsid w:val="001B737C"/>
    <w:rsid w:val="001B750D"/>
    <w:rsid w:val="001B75BC"/>
    <w:rsid w:val="001B7718"/>
    <w:rsid w:val="001B784F"/>
    <w:rsid w:val="001B7863"/>
    <w:rsid w:val="001B790B"/>
    <w:rsid w:val="001B7A40"/>
    <w:rsid w:val="001B7A54"/>
    <w:rsid w:val="001B7AB9"/>
    <w:rsid w:val="001B7ACC"/>
    <w:rsid w:val="001B7BEA"/>
    <w:rsid w:val="001B7BF4"/>
    <w:rsid w:val="001B7C58"/>
    <w:rsid w:val="001B7CCF"/>
    <w:rsid w:val="001B7E3F"/>
    <w:rsid w:val="001B7EC0"/>
    <w:rsid w:val="001B7EC8"/>
    <w:rsid w:val="001C0062"/>
    <w:rsid w:val="001C00B1"/>
    <w:rsid w:val="001C00CC"/>
    <w:rsid w:val="001C021E"/>
    <w:rsid w:val="001C02C6"/>
    <w:rsid w:val="001C0433"/>
    <w:rsid w:val="001C0464"/>
    <w:rsid w:val="001C0651"/>
    <w:rsid w:val="001C07E9"/>
    <w:rsid w:val="001C08A0"/>
    <w:rsid w:val="001C0987"/>
    <w:rsid w:val="001C0A4B"/>
    <w:rsid w:val="001C0B15"/>
    <w:rsid w:val="001C0C61"/>
    <w:rsid w:val="001C0F54"/>
    <w:rsid w:val="001C1168"/>
    <w:rsid w:val="001C1466"/>
    <w:rsid w:val="001C15C6"/>
    <w:rsid w:val="001C1703"/>
    <w:rsid w:val="001C178A"/>
    <w:rsid w:val="001C17BB"/>
    <w:rsid w:val="001C1807"/>
    <w:rsid w:val="001C180B"/>
    <w:rsid w:val="001C1A4E"/>
    <w:rsid w:val="001C1C2D"/>
    <w:rsid w:val="001C1CCE"/>
    <w:rsid w:val="001C1E54"/>
    <w:rsid w:val="001C1F47"/>
    <w:rsid w:val="001C1FB6"/>
    <w:rsid w:val="001C204A"/>
    <w:rsid w:val="001C23AF"/>
    <w:rsid w:val="001C2586"/>
    <w:rsid w:val="001C2999"/>
    <w:rsid w:val="001C2CDF"/>
    <w:rsid w:val="001C2D12"/>
    <w:rsid w:val="001C2DEA"/>
    <w:rsid w:val="001C2EAF"/>
    <w:rsid w:val="001C305C"/>
    <w:rsid w:val="001C308E"/>
    <w:rsid w:val="001C3207"/>
    <w:rsid w:val="001C3209"/>
    <w:rsid w:val="001C338E"/>
    <w:rsid w:val="001C358D"/>
    <w:rsid w:val="001C371E"/>
    <w:rsid w:val="001C3ADB"/>
    <w:rsid w:val="001C3AFB"/>
    <w:rsid w:val="001C3B34"/>
    <w:rsid w:val="001C3CC0"/>
    <w:rsid w:val="001C3DC9"/>
    <w:rsid w:val="001C4354"/>
    <w:rsid w:val="001C4524"/>
    <w:rsid w:val="001C466C"/>
    <w:rsid w:val="001C472A"/>
    <w:rsid w:val="001C4892"/>
    <w:rsid w:val="001C49D1"/>
    <w:rsid w:val="001C4AFC"/>
    <w:rsid w:val="001C4C3E"/>
    <w:rsid w:val="001C4D1D"/>
    <w:rsid w:val="001C4D6C"/>
    <w:rsid w:val="001C4E6A"/>
    <w:rsid w:val="001C4F5D"/>
    <w:rsid w:val="001C50D9"/>
    <w:rsid w:val="001C5288"/>
    <w:rsid w:val="001C58B6"/>
    <w:rsid w:val="001C59A0"/>
    <w:rsid w:val="001C59A3"/>
    <w:rsid w:val="001C5A26"/>
    <w:rsid w:val="001C5A36"/>
    <w:rsid w:val="001C5B1C"/>
    <w:rsid w:val="001C5BE3"/>
    <w:rsid w:val="001C5D8D"/>
    <w:rsid w:val="001C5D9E"/>
    <w:rsid w:val="001C5EF0"/>
    <w:rsid w:val="001C5F1A"/>
    <w:rsid w:val="001C605C"/>
    <w:rsid w:val="001C60B5"/>
    <w:rsid w:val="001C6151"/>
    <w:rsid w:val="001C626A"/>
    <w:rsid w:val="001C627B"/>
    <w:rsid w:val="001C63E8"/>
    <w:rsid w:val="001C6506"/>
    <w:rsid w:val="001C66E5"/>
    <w:rsid w:val="001C6848"/>
    <w:rsid w:val="001C6A4C"/>
    <w:rsid w:val="001C6FEB"/>
    <w:rsid w:val="001C7097"/>
    <w:rsid w:val="001C7136"/>
    <w:rsid w:val="001C7143"/>
    <w:rsid w:val="001C7293"/>
    <w:rsid w:val="001C73EA"/>
    <w:rsid w:val="001C7526"/>
    <w:rsid w:val="001C794D"/>
    <w:rsid w:val="001C7A0A"/>
    <w:rsid w:val="001C7FFB"/>
    <w:rsid w:val="001D009C"/>
    <w:rsid w:val="001D00A7"/>
    <w:rsid w:val="001D00B7"/>
    <w:rsid w:val="001D01F9"/>
    <w:rsid w:val="001D032E"/>
    <w:rsid w:val="001D040C"/>
    <w:rsid w:val="001D055A"/>
    <w:rsid w:val="001D0720"/>
    <w:rsid w:val="001D07EA"/>
    <w:rsid w:val="001D0943"/>
    <w:rsid w:val="001D0C98"/>
    <w:rsid w:val="001D0E9D"/>
    <w:rsid w:val="001D1067"/>
    <w:rsid w:val="001D14A0"/>
    <w:rsid w:val="001D1811"/>
    <w:rsid w:val="001D1828"/>
    <w:rsid w:val="001D1940"/>
    <w:rsid w:val="001D1A65"/>
    <w:rsid w:val="001D1B28"/>
    <w:rsid w:val="001D1D3D"/>
    <w:rsid w:val="001D1F45"/>
    <w:rsid w:val="001D1FC3"/>
    <w:rsid w:val="001D1FCD"/>
    <w:rsid w:val="001D201B"/>
    <w:rsid w:val="001D206A"/>
    <w:rsid w:val="001D20CC"/>
    <w:rsid w:val="001D2227"/>
    <w:rsid w:val="001D23BE"/>
    <w:rsid w:val="001D2495"/>
    <w:rsid w:val="001D25F2"/>
    <w:rsid w:val="001D26B4"/>
    <w:rsid w:val="001D271E"/>
    <w:rsid w:val="001D2927"/>
    <w:rsid w:val="001D2B6D"/>
    <w:rsid w:val="001D2C37"/>
    <w:rsid w:val="001D2C43"/>
    <w:rsid w:val="001D2D7E"/>
    <w:rsid w:val="001D2DAE"/>
    <w:rsid w:val="001D2DE0"/>
    <w:rsid w:val="001D2E18"/>
    <w:rsid w:val="001D2E7B"/>
    <w:rsid w:val="001D2EF5"/>
    <w:rsid w:val="001D316B"/>
    <w:rsid w:val="001D3173"/>
    <w:rsid w:val="001D31FC"/>
    <w:rsid w:val="001D35A8"/>
    <w:rsid w:val="001D3713"/>
    <w:rsid w:val="001D372E"/>
    <w:rsid w:val="001D3756"/>
    <w:rsid w:val="001D3926"/>
    <w:rsid w:val="001D3ADF"/>
    <w:rsid w:val="001D3D4C"/>
    <w:rsid w:val="001D3DCC"/>
    <w:rsid w:val="001D3E66"/>
    <w:rsid w:val="001D41C5"/>
    <w:rsid w:val="001D427D"/>
    <w:rsid w:val="001D432D"/>
    <w:rsid w:val="001D437E"/>
    <w:rsid w:val="001D43B4"/>
    <w:rsid w:val="001D4443"/>
    <w:rsid w:val="001D455A"/>
    <w:rsid w:val="001D45B1"/>
    <w:rsid w:val="001D4616"/>
    <w:rsid w:val="001D46CF"/>
    <w:rsid w:val="001D49AA"/>
    <w:rsid w:val="001D4B75"/>
    <w:rsid w:val="001D4EAA"/>
    <w:rsid w:val="001D4F73"/>
    <w:rsid w:val="001D5054"/>
    <w:rsid w:val="001D540A"/>
    <w:rsid w:val="001D581A"/>
    <w:rsid w:val="001D5896"/>
    <w:rsid w:val="001D5B91"/>
    <w:rsid w:val="001D5CA5"/>
    <w:rsid w:val="001D5F69"/>
    <w:rsid w:val="001D5FD2"/>
    <w:rsid w:val="001D6091"/>
    <w:rsid w:val="001D6201"/>
    <w:rsid w:val="001D62CD"/>
    <w:rsid w:val="001D638F"/>
    <w:rsid w:val="001D63BF"/>
    <w:rsid w:val="001D65DA"/>
    <w:rsid w:val="001D6603"/>
    <w:rsid w:val="001D67D4"/>
    <w:rsid w:val="001D68BA"/>
    <w:rsid w:val="001D68CF"/>
    <w:rsid w:val="001D6A81"/>
    <w:rsid w:val="001D6B1C"/>
    <w:rsid w:val="001D6B63"/>
    <w:rsid w:val="001D6C11"/>
    <w:rsid w:val="001D6CEC"/>
    <w:rsid w:val="001D7170"/>
    <w:rsid w:val="001D7192"/>
    <w:rsid w:val="001D72AE"/>
    <w:rsid w:val="001D7345"/>
    <w:rsid w:val="001D754C"/>
    <w:rsid w:val="001D75A2"/>
    <w:rsid w:val="001D7675"/>
    <w:rsid w:val="001D794B"/>
    <w:rsid w:val="001D796A"/>
    <w:rsid w:val="001D7992"/>
    <w:rsid w:val="001D7AF5"/>
    <w:rsid w:val="001D7CB8"/>
    <w:rsid w:val="001D7ECF"/>
    <w:rsid w:val="001E0331"/>
    <w:rsid w:val="001E03EB"/>
    <w:rsid w:val="001E0531"/>
    <w:rsid w:val="001E0556"/>
    <w:rsid w:val="001E074D"/>
    <w:rsid w:val="001E07E5"/>
    <w:rsid w:val="001E0AAC"/>
    <w:rsid w:val="001E0B26"/>
    <w:rsid w:val="001E0B8C"/>
    <w:rsid w:val="001E0DE9"/>
    <w:rsid w:val="001E0EA2"/>
    <w:rsid w:val="001E0ED1"/>
    <w:rsid w:val="001E0FC8"/>
    <w:rsid w:val="001E102E"/>
    <w:rsid w:val="001E106B"/>
    <w:rsid w:val="001E1218"/>
    <w:rsid w:val="001E130D"/>
    <w:rsid w:val="001E136C"/>
    <w:rsid w:val="001E13B9"/>
    <w:rsid w:val="001E14A0"/>
    <w:rsid w:val="001E165A"/>
    <w:rsid w:val="001E1904"/>
    <w:rsid w:val="001E1A38"/>
    <w:rsid w:val="001E1A74"/>
    <w:rsid w:val="001E1AF6"/>
    <w:rsid w:val="001E1B27"/>
    <w:rsid w:val="001E1CD8"/>
    <w:rsid w:val="001E1CDD"/>
    <w:rsid w:val="001E1FE8"/>
    <w:rsid w:val="001E20DD"/>
    <w:rsid w:val="001E20F1"/>
    <w:rsid w:val="001E2245"/>
    <w:rsid w:val="001E2598"/>
    <w:rsid w:val="001E26D1"/>
    <w:rsid w:val="001E274D"/>
    <w:rsid w:val="001E2873"/>
    <w:rsid w:val="001E28DF"/>
    <w:rsid w:val="001E2A02"/>
    <w:rsid w:val="001E2A30"/>
    <w:rsid w:val="001E2A42"/>
    <w:rsid w:val="001E2AD9"/>
    <w:rsid w:val="001E2B03"/>
    <w:rsid w:val="001E2D5B"/>
    <w:rsid w:val="001E2E84"/>
    <w:rsid w:val="001E2ED7"/>
    <w:rsid w:val="001E2FEB"/>
    <w:rsid w:val="001E307A"/>
    <w:rsid w:val="001E30A7"/>
    <w:rsid w:val="001E3455"/>
    <w:rsid w:val="001E35D3"/>
    <w:rsid w:val="001E3651"/>
    <w:rsid w:val="001E37CB"/>
    <w:rsid w:val="001E3B8A"/>
    <w:rsid w:val="001E3BC7"/>
    <w:rsid w:val="001E3E54"/>
    <w:rsid w:val="001E3FC9"/>
    <w:rsid w:val="001E4096"/>
    <w:rsid w:val="001E4216"/>
    <w:rsid w:val="001E4478"/>
    <w:rsid w:val="001E4719"/>
    <w:rsid w:val="001E49CE"/>
    <w:rsid w:val="001E4C5C"/>
    <w:rsid w:val="001E4CB1"/>
    <w:rsid w:val="001E535B"/>
    <w:rsid w:val="001E5847"/>
    <w:rsid w:val="001E59AB"/>
    <w:rsid w:val="001E5A08"/>
    <w:rsid w:val="001E5AB0"/>
    <w:rsid w:val="001E5C4F"/>
    <w:rsid w:val="001E5CEA"/>
    <w:rsid w:val="001E5F4F"/>
    <w:rsid w:val="001E60D9"/>
    <w:rsid w:val="001E60EB"/>
    <w:rsid w:val="001E6111"/>
    <w:rsid w:val="001E628A"/>
    <w:rsid w:val="001E6316"/>
    <w:rsid w:val="001E63B0"/>
    <w:rsid w:val="001E666A"/>
    <w:rsid w:val="001E66CE"/>
    <w:rsid w:val="001E682F"/>
    <w:rsid w:val="001E6917"/>
    <w:rsid w:val="001E6963"/>
    <w:rsid w:val="001E6A2A"/>
    <w:rsid w:val="001E6AEC"/>
    <w:rsid w:val="001E6BAB"/>
    <w:rsid w:val="001E6C30"/>
    <w:rsid w:val="001E6C37"/>
    <w:rsid w:val="001E6CC9"/>
    <w:rsid w:val="001E6CEB"/>
    <w:rsid w:val="001E6D41"/>
    <w:rsid w:val="001E6E22"/>
    <w:rsid w:val="001E707A"/>
    <w:rsid w:val="001E70C6"/>
    <w:rsid w:val="001E71D1"/>
    <w:rsid w:val="001E72AC"/>
    <w:rsid w:val="001E7361"/>
    <w:rsid w:val="001E74D3"/>
    <w:rsid w:val="001E755F"/>
    <w:rsid w:val="001E756B"/>
    <w:rsid w:val="001E7ABE"/>
    <w:rsid w:val="001E7C20"/>
    <w:rsid w:val="001E7C3D"/>
    <w:rsid w:val="001E7D4C"/>
    <w:rsid w:val="001E7E8A"/>
    <w:rsid w:val="001F004D"/>
    <w:rsid w:val="001F0217"/>
    <w:rsid w:val="001F04DA"/>
    <w:rsid w:val="001F04ED"/>
    <w:rsid w:val="001F04F7"/>
    <w:rsid w:val="001F0559"/>
    <w:rsid w:val="001F05AB"/>
    <w:rsid w:val="001F0851"/>
    <w:rsid w:val="001F08D7"/>
    <w:rsid w:val="001F0910"/>
    <w:rsid w:val="001F0B43"/>
    <w:rsid w:val="001F0FB4"/>
    <w:rsid w:val="001F0FD2"/>
    <w:rsid w:val="001F1005"/>
    <w:rsid w:val="001F106B"/>
    <w:rsid w:val="001F1077"/>
    <w:rsid w:val="001F112D"/>
    <w:rsid w:val="001F1138"/>
    <w:rsid w:val="001F11C4"/>
    <w:rsid w:val="001F11E7"/>
    <w:rsid w:val="001F13CB"/>
    <w:rsid w:val="001F1544"/>
    <w:rsid w:val="001F157B"/>
    <w:rsid w:val="001F16D2"/>
    <w:rsid w:val="001F1823"/>
    <w:rsid w:val="001F18DB"/>
    <w:rsid w:val="001F1D33"/>
    <w:rsid w:val="001F1D64"/>
    <w:rsid w:val="001F1DC9"/>
    <w:rsid w:val="001F1ECA"/>
    <w:rsid w:val="001F21BE"/>
    <w:rsid w:val="001F223C"/>
    <w:rsid w:val="001F243B"/>
    <w:rsid w:val="001F25CA"/>
    <w:rsid w:val="001F25EA"/>
    <w:rsid w:val="001F2696"/>
    <w:rsid w:val="001F284D"/>
    <w:rsid w:val="001F29A6"/>
    <w:rsid w:val="001F2A15"/>
    <w:rsid w:val="001F2D8C"/>
    <w:rsid w:val="001F2E35"/>
    <w:rsid w:val="001F2E39"/>
    <w:rsid w:val="001F2F71"/>
    <w:rsid w:val="001F2F7E"/>
    <w:rsid w:val="001F3053"/>
    <w:rsid w:val="001F3394"/>
    <w:rsid w:val="001F33A6"/>
    <w:rsid w:val="001F3710"/>
    <w:rsid w:val="001F3857"/>
    <w:rsid w:val="001F3931"/>
    <w:rsid w:val="001F3A89"/>
    <w:rsid w:val="001F3AAF"/>
    <w:rsid w:val="001F3AF8"/>
    <w:rsid w:val="001F3C17"/>
    <w:rsid w:val="001F3EF4"/>
    <w:rsid w:val="001F40D8"/>
    <w:rsid w:val="001F4174"/>
    <w:rsid w:val="001F4224"/>
    <w:rsid w:val="001F42A6"/>
    <w:rsid w:val="001F445E"/>
    <w:rsid w:val="001F47AC"/>
    <w:rsid w:val="001F485F"/>
    <w:rsid w:val="001F491D"/>
    <w:rsid w:val="001F4957"/>
    <w:rsid w:val="001F4AAA"/>
    <w:rsid w:val="001F4B1E"/>
    <w:rsid w:val="001F4CAE"/>
    <w:rsid w:val="001F4DF5"/>
    <w:rsid w:val="001F4F2F"/>
    <w:rsid w:val="001F4F48"/>
    <w:rsid w:val="001F4FA1"/>
    <w:rsid w:val="001F4FA9"/>
    <w:rsid w:val="001F5006"/>
    <w:rsid w:val="001F5095"/>
    <w:rsid w:val="001F5251"/>
    <w:rsid w:val="001F5394"/>
    <w:rsid w:val="001F53C3"/>
    <w:rsid w:val="001F5421"/>
    <w:rsid w:val="001F5518"/>
    <w:rsid w:val="001F5605"/>
    <w:rsid w:val="001F567E"/>
    <w:rsid w:val="001F592D"/>
    <w:rsid w:val="001F5F2F"/>
    <w:rsid w:val="001F607D"/>
    <w:rsid w:val="001F63AB"/>
    <w:rsid w:val="001F646B"/>
    <w:rsid w:val="001F65C6"/>
    <w:rsid w:val="001F66FB"/>
    <w:rsid w:val="001F672C"/>
    <w:rsid w:val="001F680B"/>
    <w:rsid w:val="001F68E1"/>
    <w:rsid w:val="001F695A"/>
    <w:rsid w:val="001F6C35"/>
    <w:rsid w:val="001F6D88"/>
    <w:rsid w:val="001F6E52"/>
    <w:rsid w:val="001F6EFF"/>
    <w:rsid w:val="001F7021"/>
    <w:rsid w:val="001F7076"/>
    <w:rsid w:val="001F70A9"/>
    <w:rsid w:val="001F70D2"/>
    <w:rsid w:val="001F711A"/>
    <w:rsid w:val="001F74C0"/>
    <w:rsid w:val="001F7727"/>
    <w:rsid w:val="001F7771"/>
    <w:rsid w:val="001F7AF2"/>
    <w:rsid w:val="001F7B02"/>
    <w:rsid w:val="001F7B36"/>
    <w:rsid w:val="001F7BD6"/>
    <w:rsid w:val="001F7D89"/>
    <w:rsid w:val="001F7DCA"/>
    <w:rsid w:val="001F7E09"/>
    <w:rsid w:val="00200013"/>
    <w:rsid w:val="002001A6"/>
    <w:rsid w:val="00200641"/>
    <w:rsid w:val="00200703"/>
    <w:rsid w:val="00200766"/>
    <w:rsid w:val="00200895"/>
    <w:rsid w:val="00200C2A"/>
    <w:rsid w:val="00200D3B"/>
    <w:rsid w:val="00200D80"/>
    <w:rsid w:val="00200E29"/>
    <w:rsid w:val="00200F3C"/>
    <w:rsid w:val="00200F78"/>
    <w:rsid w:val="00200FE6"/>
    <w:rsid w:val="00201100"/>
    <w:rsid w:val="00201106"/>
    <w:rsid w:val="0020111B"/>
    <w:rsid w:val="002015DC"/>
    <w:rsid w:val="002015E9"/>
    <w:rsid w:val="00201630"/>
    <w:rsid w:val="002017F6"/>
    <w:rsid w:val="00201806"/>
    <w:rsid w:val="002019E0"/>
    <w:rsid w:val="00201A8F"/>
    <w:rsid w:val="00201AF6"/>
    <w:rsid w:val="0020219A"/>
    <w:rsid w:val="002021A9"/>
    <w:rsid w:val="002022D5"/>
    <w:rsid w:val="0020234A"/>
    <w:rsid w:val="002024FA"/>
    <w:rsid w:val="00202608"/>
    <w:rsid w:val="002026A7"/>
    <w:rsid w:val="00202735"/>
    <w:rsid w:val="00202904"/>
    <w:rsid w:val="00202A77"/>
    <w:rsid w:val="00202AF8"/>
    <w:rsid w:val="00202B59"/>
    <w:rsid w:val="00202BF0"/>
    <w:rsid w:val="00202D1F"/>
    <w:rsid w:val="00202F2A"/>
    <w:rsid w:val="002031E1"/>
    <w:rsid w:val="00203321"/>
    <w:rsid w:val="002034F2"/>
    <w:rsid w:val="0020350B"/>
    <w:rsid w:val="002035D8"/>
    <w:rsid w:val="002035F4"/>
    <w:rsid w:val="00203737"/>
    <w:rsid w:val="0020387D"/>
    <w:rsid w:val="00203889"/>
    <w:rsid w:val="002038E6"/>
    <w:rsid w:val="002039F7"/>
    <w:rsid w:val="00203A32"/>
    <w:rsid w:val="00203B2C"/>
    <w:rsid w:val="00203C1F"/>
    <w:rsid w:val="00204069"/>
    <w:rsid w:val="00204158"/>
    <w:rsid w:val="002044E4"/>
    <w:rsid w:val="00204516"/>
    <w:rsid w:val="00204606"/>
    <w:rsid w:val="0020464F"/>
    <w:rsid w:val="00204878"/>
    <w:rsid w:val="00204C10"/>
    <w:rsid w:val="00204D5F"/>
    <w:rsid w:val="00204D64"/>
    <w:rsid w:val="00204DC9"/>
    <w:rsid w:val="00204E62"/>
    <w:rsid w:val="00204ECF"/>
    <w:rsid w:val="0020500F"/>
    <w:rsid w:val="002051E6"/>
    <w:rsid w:val="002053CC"/>
    <w:rsid w:val="00205550"/>
    <w:rsid w:val="00205668"/>
    <w:rsid w:val="002056F0"/>
    <w:rsid w:val="00205720"/>
    <w:rsid w:val="00205B67"/>
    <w:rsid w:val="00205B71"/>
    <w:rsid w:val="00205B8F"/>
    <w:rsid w:val="00205D88"/>
    <w:rsid w:val="0020604F"/>
    <w:rsid w:val="00206164"/>
    <w:rsid w:val="002061D5"/>
    <w:rsid w:val="002061F9"/>
    <w:rsid w:val="00206254"/>
    <w:rsid w:val="0020629E"/>
    <w:rsid w:val="002064B8"/>
    <w:rsid w:val="002065AD"/>
    <w:rsid w:val="0020679D"/>
    <w:rsid w:val="00206BA2"/>
    <w:rsid w:val="00206C46"/>
    <w:rsid w:val="00206E67"/>
    <w:rsid w:val="00206F1F"/>
    <w:rsid w:val="00206F65"/>
    <w:rsid w:val="002074DF"/>
    <w:rsid w:val="0020760D"/>
    <w:rsid w:val="00207A12"/>
    <w:rsid w:val="00207E23"/>
    <w:rsid w:val="00210010"/>
    <w:rsid w:val="0021003D"/>
    <w:rsid w:val="00210117"/>
    <w:rsid w:val="00210153"/>
    <w:rsid w:val="002101B2"/>
    <w:rsid w:val="002102BC"/>
    <w:rsid w:val="00210409"/>
    <w:rsid w:val="00210585"/>
    <w:rsid w:val="0021074E"/>
    <w:rsid w:val="00210797"/>
    <w:rsid w:val="002107E8"/>
    <w:rsid w:val="00210C74"/>
    <w:rsid w:val="00210CF5"/>
    <w:rsid w:val="00210DAC"/>
    <w:rsid w:val="00210F64"/>
    <w:rsid w:val="00211600"/>
    <w:rsid w:val="002117D8"/>
    <w:rsid w:val="00211A70"/>
    <w:rsid w:val="00211B10"/>
    <w:rsid w:val="00211BD4"/>
    <w:rsid w:val="00211BF0"/>
    <w:rsid w:val="00211C69"/>
    <w:rsid w:val="00211CE2"/>
    <w:rsid w:val="00211F21"/>
    <w:rsid w:val="002121E0"/>
    <w:rsid w:val="00212262"/>
    <w:rsid w:val="00212362"/>
    <w:rsid w:val="002123FD"/>
    <w:rsid w:val="00212481"/>
    <w:rsid w:val="002124B4"/>
    <w:rsid w:val="002125AD"/>
    <w:rsid w:val="002127FC"/>
    <w:rsid w:val="002128D9"/>
    <w:rsid w:val="00212A0C"/>
    <w:rsid w:val="00212AF4"/>
    <w:rsid w:val="00212D47"/>
    <w:rsid w:val="00212E9B"/>
    <w:rsid w:val="00212F69"/>
    <w:rsid w:val="00213057"/>
    <w:rsid w:val="00213226"/>
    <w:rsid w:val="00213286"/>
    <w:rsid w:val="002132ED"/>
    <w:rsid w:val="0021357D"/>
    <w:rsid w:val="0021372D"/>
    <w:rsid w:val="00213C0A"/>
    <w:rsid w:val="00213D47"/>
    <w:rsid w:val="00213EAF"/>
    <w:rsid w:val="00213FBB"/>
    <w:rsid w:val="002144D3"/>
    <w:rsid w:val="0021451F"/>
    <w:rsid w:val="002145E2"/>
    <w:rsid w:val="002145F8"/>
    <w:rsid w:val="002148DE"/>
    <w:rsid w:val="00214992"/>
    <w:rsid w:val="002149D8"/>
    <w:rsid w:val="00214A2A"/>
    <w:rsid w:val="00214D88"/>
    <w:rsid w:val="00214DB6"/>
    <w:rsid w:val="00214EE3"/>
    <w:rsid w:val="00214F27"/>
    <w:rsid w:val="00214FB6"/>
    <w:rsid w:val="00214FCE"/>
    <w:rsid w:val="0021502F"/>
    <w:rsid w:val="00215032"/>
    <w:rsid w:val="0021509C"/>
    <w:rsid w:val="002151BC"/>
    <w:rsid w:val="002151DF"/>
    <w:rsid w:val="002152CC"/>
    <w:rsid w:val="0021536A"/>
    <w:rsid w:val="00215467"/>
    <w:rsid w:val="00215551"/>
    <w:rsid w:val="0021555D"/>
    <w:rsid w:val="002156FA"/>
    <w:rsid w:val="002157E2"/>
    <w:rsid w:val="002158CA"/>
    <w:rsid w:val="00215C0A"/>
    <w:rsid w:val="00215CF9"/>
    <w:rsid w:val="00215E07"/>
    <w:rsid w:val="00215E9F"/>
    <w:rsid w:val="00215F27"/>
    <w:rsid w:val="00215FFB"/>
    <w:rsid w:val="00216142"/>
    <w:rsid w:val="00216153"/>
    <w:rsid w:val="00216160"/>
    <w:rsid w:val="002162BA"/>
    <w:rsid w:val="00216371"/>
    <w:rsid w:val="002163FC"/>
    <w:rsid w:val="002166D9"/>
    <w:rsid w:val="002167BC"/>
    <w:rsid w:val="002169A2"/>
    <w:rsid w:val="00216A81"/>
    <w:rsid w:val="00216BC7"/>
    <w:rsid w:val="00216C3E"/>
    <w:rsid w:val="00216C5C"/>
    <w:rsid w:val="00216C7C"/>
    <w:rsid w:val="00216CAC"/>
    <w:rsid w:val="00216DA0"/>
    <w:rsid w:val="00216DA2"/>
    <w:rsid w:val="00216E92"/>
    <w:rsid w:val="00217157"/>
    <w:rsid w:val="0021728F"/>
    <w:rsid w:val="002172F0"/>
    <w:rsid w:val="00217315"/>
    <w:rsid w:val="0021744E"/>
    <w:rsid w:val="00217467"/>
    <w:rsid w:val="0021755E"/>
    <w:rsid w:val="00217798"/>
    <w:rsid w:val="002177EA"/>
    <w:rsid w:val="00217A26"/>
    <w:rsid w:val="00217AA8"/>
    <w:rsid w:val="00217AB2"/>
    <w:rsid w:val="00217B25"/>
    <w:rsid w:val="00217CEC"/>
    <w:rsid w:val="00217E12"/>
    <w:rsid w:val="00217F0E"/>
    <w:rsid w:val="0022004A"/>
    <w:rsid w:val="002200FB"/>
    <w:rsid w:val="00220238"/>
    <w:rsid w:val="00220386"/>
    <w:rsid w:val="002203BE"/>
    <w:rsid w:val="002205C5"/>
    <w:rsid w:val="002205F6"/>
    <w:rsid w:val="00220653"/>
    <w:rsid w:val="0022068C"/>
    <w:rsid w:val="002206F1"/>
    <w:rsid w:val="00220722"/>
    <w:rsid w:val="00220905"/>
    <w:rsid w:val="002209D2"/>
    <w:rsid w:val="00220AD0"/>
    <w:rsid w:val="00220D9F"/>
    <w:rsid w:val="00220F28"/>
    <w:rsid w:val="00220F45"/>
    <w:rsid w:val="00221023"/>
    <w:rsid w:val="0022117D"/>
    <w:rsid w:val="00221344"/>
    <w:rsid w:val="00221378"/>
    <w:rsid w:val="0022138B"/>
    <w:rsid w:val="00221657"/>
    <w:rsid w:val="00221903"/>
    <w:rsid w:val="0022190E"/>
    <w:rsid w:val="00221BFE"/>
    <w:rsid w:val="00221E24"/>
    <w:rsid w:val="00221E60"/>
    <w:rsid w:val="00222055"/>
    <w:rsid w:val="0022215B"/>
    <w:rsid w:val="002221CF"/>
    <w:rsid w:val="00222289"/>
    <w:rsid w:val="0022242C"/>
    <w:rsid w:val="002224FC"/>
    <w:rsid w:val="002225C6"/>
    <w:rsid w:val="00222607"/>
    <w:rsid w:val="00222612"/>
    <w:rsid w:val="00222677"/>
    <w:rsid w:val="002229C5"/>
    <w:rsid w:val="00222ADF"/>
    <w:rsid w:val="00222B3A"/>
    <w:rsid w:val="00222C54"/>
    <w:rsid w:val="00222D3F"/>
    <w:rsid w:val="00222DF0"/>
    <w:rsid w:val="00222EB7"/>
    <w:rsid w:val="00222ED2"/>
    <w:rsid w:val="00222FC1"/>
    <w:rsid w:val="0022327D"/>
    <w:rsid w:val="002232FE"/>
    <w:rsid w:val="00223455"/>
    <w:rsid w:val="002234EF"/>
    <w:rsid w:val="0022374C"/>
    <w:rsid w:val="00223756"/>
    <w:rsid w:val="00223822"/>
    <w:rsid w:val="002238DE"/>
    <w:rsid w:val="00223956"/>
    <w:rsid w:val="002239CD"/>
    <w:rsid w:val="00223A63"/>
    <w:rsid w:val="00223B5A"/>
    <w:rsid w:val="00223C2A"/>
    <w:rsid w:val="00223C72"/>
    <w:rsid w:val="00223CC8"/>
    <w:rsid w:val="00223D31"/>
    <w:rsid w:val="00223DC4"/>
    <w:rsid w:val="00223E12"/>
    <w:rsid w:val="00223F4D"/>
    <w:rsid w:val="002241D2"/>
    <w:rsid w:val="0022437C"/>
    <w:rsid w:val="0022467B"/>
    <w:rsid w:val="0022475A"/>
    <w:rsid w:val="0022490B"/>
    <w:rsid w:val="00224A11"/>
    <w:rsid w:val="00224B1C"/>
    <w:rsid w:val="00224B75"/>
    <w:rsid w:val="00224B8C"/>
    <w:rsid w:val="00224CCE"/>
    <w:rsid w:val="00224D62"/>
    <w:rsid w:val="00224DF5"/>
    <w:rsid w:val="00224EAA"/>
    <w:rsid w:val="00225066"/>
    <w:rsid w:val="00225083"/>
    <w:rsid w:val="002250BD"/>
    <w:rsid w:val="002252EF"/>
    <w:rsid w:val="00225458"/>
    <w:rsid w:val="00225505"/>
    <w:rsid w:val="00225A33"/>
    <w:rsid w:val="00225A64"/>
    <w:rsid w:val="00225AA2"/>
    <w:rsid w:val="00225BFE"/>
    <w:rsid w:val="00225CC9"/>
    <w:rsid w:val="00225DF1"/>
    <w:rsid w:val="00225E42"/>
    <w:rsid w:val="00225F67"/>
    <w:rsid w:val="00225F80"/>
    <w:rsid w:val="00226388"/>
    <w:rsid w:val="0022644E"/>
    <w:rsid w:val="00226455"/>
    <w:rsid w:val="0022660F"/>
    <w:rsid w:val="0022672F"/>
    <w:rsid w:val="00226745"/>
    <w:rsid w:val="00226AA3"/>
    <w:rsid w:val="00226C0F"/>
    <w:rsid w:val="00226CE6"/>
    <w:rsid w:val="00226D1C"/>
    <w:rsid w:val="00226E0C"/>
    <w:rsid w:val="00226F81"/>
    <w:rsid w:val="002271E9"/>
    <w:rsid w:val="0022725D"/>
    <w:rsid w:val="0022728A"/>
    <w:rsid w:val="0022737F"/>
    <w:rsid w:val="0022740F"/>
    <w:rsid w:val="00227584"/>
    <w:rsid w:val="00227711"/>
    <w:rsid w:val="00227785"/>
    <w:rsid w:val="002278ED"/>
    <w:rsid w:val="00227A80"/>
    <w:rsid w:val="00227C1C"/>
    <w:rsid w:val="00227C8F"/>
    <w:rsid w:val="00227CD1"/>
    <w:rsid w:val="00230037"/>
    <w:rsid w:val="0023011B"/>
    <w:rsid w:val="002302D7"/>
    <w:rsid w:val="00230354"/>
    <w:rsid w:val="00230598"/>
    <w:rsid w:val="00230659"/>
    <w:rsid w:val="002307B9"/>
    <w:rsid w:val="00230A2E"/>
    <w:rsid w:val="00230A40"/>
    <w:rsid w:val="00230A72"/>
    <w:rsid w:val="00230B8D"/>
    <w:rsid w:val="00230DD8"/>
    <w:rsid w:val="00230F3E"/>
    <w:rsid w:val="00230F86"/>
    <w:rsid w:val="00231049"/>
    <w:rsid w:val="002314D2"/>
    <w:rsid w:val="00231604"/>
    <w:rsid w:val="00231685"/>
    <w:rsid w:val="00231967"/>
    <w:rsid w:val="00231980"/>
    <w:rsid w:val="00231A0D"/>
    <w:rsid w:val="00231B5A"/>
    <w:rsid w:val="00231BAC"/>
    <w:rsid w:val="00231C7A"/>
    <w:rsid w:val="00231F29"/>
    <w:rsid w:val="00231FBF"/>
    <w:rsid w:val="00232046"/>
    <w:rsid w:val="00232176"/>
    <w:rsid w:val="00232185"/>
    <w:rsid w:val="002322E9"/>
    <w:rsid w:val="002322FF"/>
    <w:rsid w:val="0023236F"/>
    <w:rsid w:val="00232477"/>
    <w:rsid w:val="002324E4"/>
    <w:rsid w:val="002325DB"/>
    <w:rsid w:val="002325F3"/>
    <w:rsid w:val="0023276C"/>
    <w:rsid w:val="00232BCF"/>
    <w:rsid w:val="00232C11"/>
    <w:rsid w:val="00232D4E"/>
    <w:rsid w:val="00232DD2"/>
    <w:rsid w:val="00232EB6"/>
    <w:rsid w:val="00232F8E"/>
    <w:rsid w:val="0023300D"/>
    <w:rsid w:val="002330F6"/>
    <w:rsid w:val="0023326A"/>
    <w:rsid w:val="00233354"/>
    <w:rsid w:val="0023342F"/>
    <w:rsid w:val="002334FE"/>
    <w:rsid w:val="00233533"/>
    <w:rsid w:val="0023368A"/>
    <w:rsid w:val="002339D7"/>
    <w:rsid w:val="00233A7E"/>
    <w:rsid w:val="00233AAB"/>
    <w:rsid w:val="00233B1D"/>
    <w:rsid w:val="00233CCC"/>
    <w:rsid w:val="00233D83"/>
    <w:rsid w:val="00233E76"/>
    <w:rsid w:val="00233EF7"/>
    <w:rsid w:val="00234115"/>
    <w:rsid w:val="0023424E"/>
    <w:rsid w:val="002343FA"/>
    <w:rsid w:val="0023444B"/>
    <w:rsid w:val="0023469D"/>
    <w:rsid w:val="00234770"/>
    <w:rsid w:val="00234904"/>
    <w:rsid w:val="00234E18"/>
    <w:rsid w:val="0023505B"/>
    <w:rsid w:val="00235224"/>
    <w:rsid w:val="002353A4"/>
    <w:rsid w:val="00235575"/>
    <w:rsid w:val="002356FA"/>
    <w:rsid w:val="002359C3"/>
    <w:rsid w:val="00235AD3"/>
    <w:rsid w:val="00235ADA"/>
    <w:rsid w:val="00235AED"/>
    <w:rsid w:val="00235BC3"/>
    <w:rsid w:val="00235BF3"/>
    <w:rsid w:val="00235C3D"/>
    <w:rsid w:val="00235E9F"/>
    <w:rsid w:val="00235EDE"/>
    <w:rsid w:val="00235F6C"/>
    <w:rsid w:val="00235FEF"/>
    <w:rsid w:val="00236243"/>
    <w:rsid w:val="00236370"/>
    <w:rsid w:val="00236390"/>
    <w:rsid w:val="002363DA"/>
    <w:rsid w:val="00236445"/>
    <w:rsid w:val="002366A3"/>
    <w:rsid w:val="002367F0"/>
    <w:rsid w:val="00236846"/>
    <w:rsid w:val="00236968"/>
    <w:rsid w:val="002369F7"/>
    <w:rsid w:val="00236B02"/>
    <w:rsid w:val="00236E40"/>
    <w:rsid w:val="00236E46"/>
    <w:rsid w:val="00236E56"/>
    <w:rsid w:val="00236F6A"/>
    <w:rsid w:val="0023719A"/>
    <w:rsid w:val="002372A6"/>
    <w:rsid w:val="0023764E"/>
    <w:rsid w:val="0023766F"/>
    <w:rsid w:val="002376D3"/>
    <w:rsid w:val="002378D1"/>
    <w:rsid w:val="00237913"/>
    <w:rsid w:val="00237AD2"/>
    <w:rsid w:val="00237C2B"/>
    <w:rsid w:val="00237D0C"/>
    <w:rsid w:val="00237E8C"/>
    <w:rsid w:val="00237F98"/>
    <w:rsid w:val="0024028A"/>
    <w:rsid w:val="0024028B"/>
    <w:rsid w:val="00240299"/>
    <w:rsid w:val="00240340"/>
    <w:rsid w:val="00240405"/>
    <w:rsid w:val="0024083B"/>
    <w:rsid w:val="00240983"/>
    <w:rsid w:val="002409AC"/>
    <w:rsid w:val="00240B4D"/>
    <w:rsid w:val="00240C8D"/>
    <w:rsid w:val="00240D99"/>
    <w:rsid w:val="00240F70"/>
    <w:rsid w:val="0024113F"/>
    <w:rsid w:val="0024116C"/>
    <w:rsid w:val="00241190"/>
    <w:rsid w:val="002411E0"/>
    <w:rsid w:val="002413A2"/>
    <w:rsid w:val="0024151A"/>
    <w:rsid w:val="00241596"/>
    <w:rsid w:val="002415F3"/>
    <w:rsid w:val="002417C3"/>
    <w:rsid w:val="00241960"/>
    <w:rsid w:val="00241988"/>
    <w:rsid w:val="00241EEE"/>
    <w:rsid w:val="00241FFF"/>
    <w:rsid w:val="0024213C"/>
    <w:rsid w:val="00242313"/>
    <w:rsid w:val="00242479"/>
    <w:rsid w:val="002424A6"/>
    <w:rsid w:val="00242A7F"/>
    <w:rsid w:val="00242AE1"/>
    <w:rsid w:val="00242B4B"/>
    <w:rsid w:val="00242B92"/>
    <w:rsid w:val="00242BAA"/>
    <w:rsid w:val="00242BD2"/>
    <w:rsid w:val="00242BEF"/>
    <w:rsid w:val="00242D3B"/>
    <w:rsid w:val="00242DA3"/>
    <w:rsid w:val="00242EBC"/>
    <w:rsid w:val="00242EC1"/>
    <w:rsid w:val="00242FE2"/>
    <w:rsid w:val="002430E6"/>
    <w:rsid w:val="00243253"/>
    <w:rsid w:val="00243425"/>
    <w:rsid w:val="0024361F"/>
    <w:rsid w:val="00243A99"/>
    <w:rsid w:val="00243ACA"/>
    <w:rsid w:val="00243C1B"/>
    <w:rsid w:val="00243C1C"/>
    <w:rsid w:val="00243C4E"/>
    <w:rsid w:val="00243E2F"/>
    <w:rsid w:val="00243F56"/>
    <w:rsid w:val="00244189"/>
    <w:rsid w:val="0024473B"/>
    <w:rsid w:val="00244770"/>
    <w:rsid w:val="00244785"/>
    <w:rsid w:val="002447FB"/>
    <w:rsid w:val="002447FF"/>
    <w:rsid w:val="002448CA"/>
    <w:rsid w:val="00244A7B"/>
    <w:rsid w:val="00244B5D"/>
    <w:rsid w:val="00244B64"/>
    <w:rsid w:val="00244CD0"/>
    <w:rsid w:val="00244ED6"/>
    <w:rsid w:val="00245074"/>
    <w:rsid w:val="00245088"/>
    <w:rsid w:val="002450BE"/>
    <w:rsid w:val="00245358"/>
    <w:rsid w:val="00245584"/>
    <w:rsid w:val="0024571F"/>
    <w:rsid w:val="00245846"/>
    <w:rsid w:val="00245895"/>
    <w:rsid w:val="00245B11"/>
    <w:rsid w:val="00245BF8"/>
    <w:rsid w:val="00245D6F"/>
    <w:rsid w:val="00245E82"/>
    <w:rsid w:val="00245E87"/>
    <w:rsid w:val="00245EAC"/>
    <w:rsid w:val="00245FE7"/>
    <w:rsid w:val="00246022"/>
    <w:rsid w:val="00246181"/>
    <w:rsid w:val="002461F0"/>
    <w:rsid w:val="00246297"/>
    <w:rsid w:val="0024676C"/>
    <w:rsid w:val="002469B8"/>
    <w:rsid w:val="00246C1A"/>
    <w:rsid w:val="00246DC4"/>
    <w:rsid w:val="00246F09"/>
    <w:rsid w:val="002470E4"/>
    <w:rsid w:val="002472F7"/>
    <w:rsid w:val="0024735A"/>
    <w:rsid w:val="002473A7"/>
    <w:rsid w:val="002473D9"/>
    <w:rsid w:val="00247480"/>
    <w:rsid w:val="00247629"/>
    <w:rsid w:val="0024770D"/>
    <w:rsid w:val="0024773A"/>
    <w:rsid w:val="00247772"/>
    <w:rsid w:val="00247BCC"/>
    <w:rsid w:val="00247CB4"/>
    <w:rsid w:val="00247D4F"/>
    <w:rsid w:val="00247F56"/>
    <w:rsid w:val="002500AF"/>
    <w:rsid w:val="002501F8"/>
    <w:rsid w:val="00250252"/>
    <w:rsid w:val="0025025B"/>
    <w:rsid w:val="00250271"/>
    <w:rsid w:val="002508E7"/>
    <w:rsid w:val="002508FE"/>
    <w:rsid w:val="002509DA"/>
    <w:rsid w:val="00250CC1"/>
    <w:rsid w:val="00250D13"/>
    <w:rsid w:val="00250EB8"/>
    <w:rsid w:val="00251206"/>
    <w:rsid w:val="002516AF"/>
    <w:rsid w:val="0025172F"/>
    <w:rsid w:val="0025187B"/>
    <w:rsid w:val="002519E4"/>
    <w:rsid w:val="00251AB7"/>
    <w:rsid w:val="00251AE6"/>
    <w:rsid w:val="00251B54"/>
    <w:rsid w:val="00251B7C"/>
    <w:rsid w:val="00251EFD"/>
    <w:rsid w:val="00251FD4"/>
    <w:rsid w:val="00251FFF"/>
    <w:rsid w:val="002520AD"/>
    <w:rsid w:val="002525E8"/>
    <w:rsid w:val="002525F7"/>
    <w:rsid w:val="00252606"/>
    <w:rsid w:val="002526A4"/>
    <w:rsid w:val="00252928"/>
    <w:rsid w:val="0025294A"/>
    <w:rsid w:val="00252ACE"/>
    <w:rsid w:val="00252CF5"/>
    <w:rsid w:val="002530F8"/>
    <w:rsid w:val="0025311A"/>
    <w:rsid w:val="00253159"/>
    <w:rsid w:val="0025350F"/>
    <w:rsid w:val="0025383D"/>
    <w:rsid w:val="00253842"/>
    <w:rsid w:val="00253868"/>
    <w:rsid w:val="00253882"/>
    <w:rsid w:val="002539CD"/>
    <w:rsid w:val="00253C72"/>
    <w:rsid w:val="00253D51"/>
    <w:rsid w:val="00253FD5"/>
    <w:rsid w:val="00253FE3"/>
    <w:rsid w:val="002542CD"/>
    <w:rsid w:val="0025436F"/>
    <w:rsid w:val="002544F8"/>
    <w:rsid w:val="00254597"/>
    <w:rsid w:val="002545BB"/>
    <w:rsid w:val="0025469D"/>
    <w:rsid w:val="002547FC"/>
    <w:rsid w:val="00254C76"/>
    <w:rsid w:val="0025506F"/>
    <w:rsid w:val="0025507C"/>
    <w:rsid w:val="0025511B"/>
    <w:rsid w:val="002553A6"/>
    <w:rsid w:val="002555D8"/>
    <w:rsid w:val="00255640"/>
    <w:rsid w:val="0025593A"/>
    <w:rsid w:val="002559A6"/>
    <w:rsid w:val="00255A06"/>
    <w:rsid w:val="00255A74"/>
    <w:rsid w:val="00255EA2"/>
    <w:rsid w:val="002562F9"/>
    <w:rsid w:val="002563A4"/>
    <w:rsid w:val="00256460"/>
    <w:rsid w:val="00256578"/>
    <w:rsid w:val="0025658F"/>
    <w:rsid w:val="00256604"/>
    <w:rsid w:val="00256657"/>
    <w:rsid w:val="002567BE"/>
    <w:rsid w:val="002567F0"/>
    <w:rsid w:val="002568BA"/>
    <w:rsid w:val="002568DE"/>
    <w:rsid w:val="00256A41"/>
    <w:rsid w:val="00256A64"/>
    <w:rsid w:val="00256AE0"/>
    <w:rsid w:val="00256C8F"/>
    <w:rsid w:val="00256CB0"/>
    <w:rsid w:val="00256CB5"/>
    <w:rsid w:val="00256E89"/>
    <w:rsid w:val="00256EB9"/>
    <w:rsid w:val="0025716A"/>
    <w:rsid w:val="0025717F"/>
    <w:rsid w:val="00257207"/>
    <w:rsid w:val="002572BF"/>
    <w:rsid w:val="002572D5"/>
    <w:rsid w:val="002573C9"/>
    <w:rsid w:val="002574AD"/>
    <w:rsid w:val="00257592"/>
    <w:rsid w:val="00257748"/>
    <w:rsid w:val="00257A68"/>
    <w:rsid w:val="00257A98"/>
    <w:rsid w:val="00257AEE"/>
    <w:rsid w:val="00257C92"/>
    <w:rsid w:val="00257DF9"/>
    <w:rsid w:val="00257F4A"/>
    <w:rsid w:val="0026018A"/>
    <w:rsid w:val="002602D6"/>
    <w:rsid w:val="002603B4"/>
    <w:rsid w:val="0026051E"/>
    <w:rsid w:val="0026067D"/>
    <w:rsid w:val="002606AB"/>
    <w:rsid w:val="0026072A"/>
    <w:rsid w:val="002607EB"/>
    <w:rsid w:val="00260933"/>
    <w:rsid w:val="00260BA8"/>
    <w:rsid w:val="00260BE9"/>
    <w:rsid w:val="00260F04"/>
    <w:rsid w:val="00260F70"/>
    <w:rsid w:val="00261277"/>
    <w:rsid w:val="002612D4"/>
    <w:rsid w:val="00261399"/>
    <w:rsid w:val="002616F7"/>
    <w:rsid w:val="00261853"/>
    <w:rsid w:val="002618E0"/>
    <w:rsid w:val="00261A0C"/>
    <w:rsid w:val="00261C53"/>
    <w:rsid w:val="00261FB8"/>
    <w:rsid w:val="002620BC"/>
    <w:rsid w:val="0026213D"/>
    <w:rsid w:val="002621DA"/>
    <w:rsid w:val="002622C3"/>
    <w:rsid w:val="00262336"/>
    <w:rsid w:val="00262370"/>
    <w:rsid w:val="00262430"/>
    <w:rsid w:val="0026248D"/>
    <w:rsid w:val="00262623"/>
    <w:rsid w:val="0026263C"/>
    <w:rsid w:val="0026268A"/>
    <w:rsid w:val="002627F1"/>
    <w:rsid w:val="002628F4"/>
    <w:rsid w:val="00262998"/>
    <w:rsid w:val="00262A12"/>
    <w:rsid w:val="00262BF7"/>
    <w:rsid w:val="00262D59"/>
    <w:rsid w:val="00262E00"/>
    <w:rsid w:val="00262E92"/>
    <w:rsid w:val="00262EF2"/>
    <w:rsid w:val="00262F3B"/>
    <w:rsid w:val="00263079"/>
    <w:rsid w:val="002630C4"/>
    <w:rsid w:val="0026319B"/>
    <w:rsid w:val="002631A1"/>
    <w:rsid w:val="00263254"/>
    <w:rsid w:val="0026337E"/>
    <w:rsid w:val="002637AA"/>
    <w:rsid w:val="00263825"/>
    <w:rsid w:val="002639AA"/>
    <w:rsid w:val="00263A00"/>
    <w:rsid w:val="00263B6C"/>
    <w:rsid w:val="00263C5E"/>
    <w:rsid w:val="00263D6A"/>
    <w:rsid w:val="00263E5D"/>
    <w:rsid w:val="00263EBF"/>
    <w:rsid w:val="0026436F"/>
    <w:rsid w:val="002644F0"/>
    <w:rsid w:val="0026463D"/>
    <w:rsid w:val="00264798"/>
    <w:rsid w:val="002647F9"/>
    <w:rsid w:val="00264857"/>
    <w:rsid w:val="0026493E"/>
    <w:rsid w:val="00264A2B"/>
    <w:rsid w:val="00264A6E"/>
    <w:rsid w:val="00264A74"/>
    <w:rsid w:val="00264EC0"/>
    <w:rsid w:val="00265302"/>
    <w:rsid w:val="0026539F"/>
    <w:rsid w:val="00265683"/>
    <w:rsid w:val="002658D1"/>
    <w:rsid w:val="00265945"/>
    <w:rsid w:val="00265977"/>
    <w:rsid w:val="00265A1A"/>
    <w:rsid w:val="00266255"/>
    <w:rsid w:val="00266444"/>
    <w:rsid w:val="002664EC"/>
    <w:rsid w:val="00266513"/>
    <w:rsid w:val="002667B0"/>
    <w:rsid w:val="0026680D"/>
    <w:rsid w:val="0026682A"/>
    <w:rsid w:val="00266B5E"/>
    <w:rsid w:val="00266C6C"/>
    <w:rsid w:val="00266D0D"/>
    <w:rsid w:val="00266E34"/>
    <w:rsid w:val="00266E8E"/>
    <w:rsid w:val="00266EDC"/>
    <w:rsid w:val="00266F2D"/>
    <w:rsid w:val="00266FEC"/>
    <w:rsid w:val="002670C0"/>
    <w:rsid w:val="0026727B"/>
    <w:rsid w:val="002672BE"/>
    <w:rsid w:val="002674CA"/>
    <w:rsid w:val="00267506"/>
    <w:rsid w:val="00267648"/>
    <w:rsid w:val="002676DA"/>
    <w:rsid w:val="00267A46"/>
    <w:rsid w:val="00267DF5"/>
    <w:rsid w:val="00267E1C"/>
    <w:rsid w:val="00267F51"/>
    <w:rsid w:val="00267FA5"/>
    <w:rsid w:val="00270495"/>
    <w:rsid w:val="0027055D"/>
    <w:rsid w:val="00270885"/>
    <w:rsid w:val="00270AC3"/>
    <w:rsid w:val="00270B40"/>
    <w:rsid w:val="00270D04"/>
    <w:rsid w:val="00270EA3"/>
    <w:rsid w:val="00270EDC"/>
    <w:rsid w:val="00270F46"/>
    <w:rsid w:val="00270F4A"/>
    <w:rsid w:val="00271095"/>
    <w:rsid w:val="00271156"/>
    <w:rsid w:val="002711C2"/>
    <w:rsid w:val="002713FF"/>
    <w:rsid w:val="00271443"/>
    <w:rsid w:val="00271507"/>
    <w:rsid w:val="00271548"/>
    <w:rsid w:val="002717FB"/>
    <w:rsid w:val="00271817"/>
    <w:rsid w:val="002718A4"/>
    <w:rsid w:val="002719A7"/>
    <w:rsid w:val="00271A8F"/>
    <w:rsid w:val="00271D0C"/>
    <w:rsid w:val="00271DD4"/>
    <w:rsid w:val="00272080"/>
    <w:rsid w:val="002721F1"/>
    <w:rsid w:val="002724BA"/>
    <w:rsid w:val="0027259D"/>
    <w:rsid w:val="002725AC"/>
    <w:rsid w:val="0027263D"/>
    <w:rsid w:val="00272644"/>
    <w:rsid w:val="0027268C"/>
    <w:rsid w:val="00272851"/>
    <w:rsid w:val="00272893"/>
    <w:rsid w:val="002728F2"/>
    <w:rsid w:val="00272A86"/>
    <w:rsid w:val="00272BF0"/>
    <w:rsid w:val="00272CF0"/>
    <w:rsid w:val="00272CFE"/>
    <w:rsid w:val="00272D7B"/>
    <w:rsid w:val="00272EA7"/>
    <w:rsid w:val="00272EF6"/>
    <w:rsid w:val="00272F8F"/>
    <w:rsid w:val="00273112"/>
    <w:rsid w:val="00273171"/>
    <w:rsid w:val="00273354"/>
    <w:rsid w:val="00273451"/>
    <w:rsid w:val="00273457"/>
    <w:rsid w:val="002734DF"/>
    <w:rsid w:val="002735CD"/>
    <w:rsid w:val="00273619"/>
    <w:rsid w:val="002736A5"/>
    <w:rsid w:val="0027374A"/>
    <w:rsid w:val="0027388F"/>
    <w:rsid w:val="00273A4C"/>
    <w:rsid w:val="00273B1A"/>
    <w:rsid w:val="00273B45"/>
    <w:rsid w:val="00273B57"/>
    <w:rsid w:val="00273EF3"/>
    <w:rsid w:val="00273EF7"/>
    <w:rsid w:val="00273FE7"/>
    <w:rsid w:val="00274269"/>
    <w:rsid w:val="00274380"/>
    <w:rsid w:val="0027440E"/>
    <w:rsid w:val="00274474"/>
    <w:rsid w:val="00274482"/>
    <w:rsid w:val="002744B7"/>
    <w:rsid w:val="002744CB"/>
    <w:rsid w:val="00274662"/>
    <w:rsid w:val="0027474E"/>
    <w:rsid w:val="002749E0"/>
    <w:rsid w:val="00274AE1"/>
    <w:rsid w:val="00274B61"/>
    <w:rsid w:val="00274B9B"/>
    <w:rsid w:val="00274C1C"/>
    <w:rsid w:val="00274C6D"/>
    <w:rsid w:val="00274E5E"/>
    <w:rsid w:val="0027513F"/>
    <w:rsid w:val="002751A1"/>
    <w:rsid w:val="0027526D"/>
    <w:rsid w:val="0027569D"/>
    <w:rsid w:val="0027590B"/>
    <w:rsid w:val="002759BE"/>
    <w:rsid w:val="00275A2E"/>
    <w:rsid w:val="00275BAA"/>
    <w:rsid w:val="00275BEB"/>
    <w:rsid w:val="00275E03"/>
    <w:rsid w:val="00275E90"/>
    <w:rsid w:val="00275FD2"/>
    <w:rsid w:val="00276010"/>
    <w:rsid w:val="00276178"/>
    <w:rsid w:val="002761D4"/>
    <w:rsid w:val="00276201"/>
    <w:rsid w:val="00276525"/>
    <w:rsid w:val="00276626"/>
    <w:rsid w:val="002769E0"/>
    <w:rsid w:val="00276A63"/>
    <w:rsid w:val="00276B06"/>
    <w:rsid w:val="00276C29"/>
    <w:rsid w:val="00276DC2"/>
    <w:rsid w:val="00276EBC"/>
    <w:rsid w:val="002773CE"/>
    <w:rsid w:val="002773FE"/>
    <w:rsid w:val="002775B5"/>
    <w:rsid w:val="002775F7"/>
    <w:rsid w:val="00277609"/>
    <w:rsid w:val="00277885"/>
    <w:rsid w:val="00277897"/>
    <w:rsid w:val="00277D2F"/>
    <w:rsid w:val="00277D3D"/>
    <w:rsid w:val="00277E0D"/>
    <w:rsid w:val="00277E25"/>
    <w:rsid w:val="00277E60"/>
    <w:rsid w:val="00277ED1"/>
    <w:rsid w:val="00277FCC"/>
    <w:rsid w:val="002802A7"/>
    <w:rsid w:val="0028031C"/>
    <w:rsid w:val="00280390"/>
    <w:rsid w:val="002806B8"/>
    <w:rsid w:val="00280716"/>
    <w:rsid w:val="0028093F"/>
    <w:rsid w:val="00280CBF"/>
    <w:rsid w:val="00280EC1"/>
    <w:rsid w:val="00280EE7"/>
    <w:rsid w:val="00280F9C"/>
    <w:rsid w:val="002810A5"/>
    <w:rsid w:val="0028114F"/>
    <w:rsid w:val="0028124D"/>
    <w:rsid w:val="0028130B"/>
    <w:rsid w:val="002813C4"/>
    <w:rsid w:val="00281442"/>
    <w:rsid w:val="00281459"/>
    <w:rsid w:val="002815F3"/>
    <w:rsid w:val="002817A0"/>
    <w:rsid w:val="0028182B"/>
    <w:rsid w:val="00281852"/>
    <w:rsid w:val="00281884"/>
    <w:rsid w:val="00281908"/>
    <w:rsid w:val="0028195E"/>
    <w:rsid w:val="002819A8"/>
    <w:rsid w:val="00281BBF"/>
    <w:rsid w:val="00281C68"/>
    <w:rsid w:val="00282259"/>
    <w:rsid w:val="00282344"/>
    <w:rsid w:val="00282529"/>
    <w:rsid w:val="002826D0"/>
    <w:rsid w:val="0028270B"/>
    <w:rsid w:val="0028270E"/>
    <w:rsid w:val="0028274C"/>
    <w:rsid w:val="0028289F"/>
    <w:rsid w:val="002828F9"/>
    <w:rsid w:val="00282951"/>
    <w:rsid w:val="00282A12"/>
    <w:rsid w:val="00282B14"/>
    <w:rsid w:val="00282CA9"/>
    <w:rsid w:val="00282CE8"/>
    <w:rsid w:val="0028302B"/>
    <w:rsid w:val="00283090"/>
    <w:rsid w:val="002830F8"/>
    <w:rsid w:val="002831F4"/>
    <w:rsid w:val="0028325C"/>
    <w:rsid w:val="002832C2"/>
    <w:rsid w:val="002834FA"/>
    <w:rsid w:val="002835C9"/>
    <w:rsid w:val="002835DA"/>
    <w:rsid w:val="00283776"/>
    <w:rsid w:val="002837E9"/>
    <w:rsid w:val="002838D0"/>
    <w:rsid w:val="002839EA"/>
    <w:rsid w:val="00283A06"/>
    <w:rsid w:val="00283A7B"/>
    <w:rsid w:val="00283B06"/>
    <w:rsid w:val="00283B9C"/>
    <w:rsid w:val="00283CF5"/>
    <w:rsid w:val="00283E4E"/>
    <w:rsid w:val="00283F50"/>
    <w:rsid w:val="00283FE7"/>
    <w:rsid w:val="00284177"/>
    <w:rsid w:val="0028423B"/>
    <w:rsid w:val="00284403"/>
    <w:rsid w:val="002847A3"/>
    <w:rsid w:val="002848DF"/>
    <w:rsid w:val="00284A0A"/>
    <w:rsid w:val="00284B26"/>
    <w:rsid w:val="00284B96"/>
    <w:rsid w:val="00284CCD"/>
    <w:rsid w:val="00284DCA"/>
    <w:rsid w:val="00285440"/>
    <w:rsid w:val="002854DC"/>
    <w:rsid w:val="00285744"/>
    <w:rsid w:val="00285969"/>
    <w:rsid w:val="0028599F"/>
    <w:rsid w:val="00285A30"/>
    <w:rsid w:val="00285F2F"/>
    <w:rsid w:val="00285FF5"/>
    <w:rsid w:val="0028609A"/>
    <w:rsid w:val="0028634C"/>
    <w:rsid w:val="00286385"/>
    <w:rsid w:val="00286536"/>
    <w:rsid w:val="002865C1"/>
    <w:rsid w:val="00286674"/>
    <w:rsid w:val="0028669E"/>
    <w:rsid w:val="00286936"/>
    <w:rsid w:val="00286C2B"/>
    <w:rsid w:val="00286C8B"/>
    <w:rsid w:val="00286EFF"/>
    <w:rsid w:val="0028710C"/>
    <w:rsid w:val="002873C8"/>
    <w:rsid w:val="00287407"/>
    <w:rsid w:val="0028743E"/>
    <w:rsid w:val="0028759E"/>
    <w:rsid w:val="002875D5"/>
    <w:rsid w:val="002875E9"/>
    <w:rsid w:val="0028778B"/>
    <w:rsid w:val="00287833"/>
    <w:rsid w:val="0028791D"/>
    <w:rsid w:val="00287C0A"/>
    <w:rsid w:val="00287E28"/>
    <w:rsid w:val="00287E2A"/>
    <w:rsid w:val="00287EF8"/>
    <w:rsid w:val="00287F35"/>
    <w:rsid w:val="00287FD2"/>
    <w:rsid w:val="00290008"/>
    <w:rsid w:val="002901B4"/>
    <w:rsid w:val="002901DA"/>
    <w:rsid w:val="0029021D"/>
    <w:rsid w:val="00290386"/>
    <w:rsid w:val="002903C5"/>
    <w:rsid w:val="002905E7"/>
    <w:rsid w:val="0029076B"/>
    <w:rsid w:val="002909ED"/>
    <w:rsid w:val="002909FB"/>
    <w:rsid w:val="00290A40"/>
    <w:rsid w:val="00290A75"/>
    <w:rsid w:val="00290C0E"/>
    <w:rsid w:val="00290C60"/>
    <w:rsid w:val="00290CF5"/>
    <w:rsid w:val="00290D79"/>
    <w:rsid w:val="002910B5"/>
    <w:rsid w:val="00291187"/>
    <w:rsid w:val="002912FB"/>
    <w:rsid w:val="0029131F"/>
    <w:rsid w:val="00291345"/>
    <w:rsid w:val="0029149C"/>
    <w:rsid w:val="002914E7"/>
    <w:rsid w:val="002915C6"/>
    <w:rsid w:val="0029168A"/>
    <w:rsid w:val="00291877"/>
    <w:rsid w:val="002918A5"/>
    <w:rsid w:val="002919AE"/>
    <w:rsid w:val="00291A46"/>
    <w:rsid w:val="00291B89"/>
    <w:rsid w:val="00291C89"/>
    <w:rsid w:val="00291DD9"/>
    <w:rsid w:val="00291EBD"/>
    <w:rsid w:val="00291F6D"/>
    <w:rsid w:val="00292089"/>
    <w:rsid w:val="00292249"/>
    <w:rsid w:val="0029224D"/>
    <w:rsid w:val="00292364"/>
    <w:rsid w:val="002924DB"/>
    <w:rsid w:val="002926B5"/>
    <w:rsid w:val="00292800"/>
    <w:rsid w:val="00292B20"/>
    <w:rsid w:val="00292BBC"/>
    <w:rsid w:val="00292D9E"/>
    <w:rsid w:val="00292F64"/>
    <w:rsid w:val="00292FEF"/>
    <w:rsid w:val="00293198"/>
    <w:rsid w:val="00293520"/>
    <w:rsid w:val="002935B7"/>
    <w:rsid w:val="00293722"/>
    <w:rsid w:val="00293752"/>
    <w:rsid w:val="00293834"/>
    <w:rsid w:val="0029397A"/>
    <w:rsid w:val="002939FA"/>
    <w:rsid w:val="00293C6F"/>
    <w:rsid w:val="00293E2F"/>
    <w:rsid w:val="00293FB1"/>
    <w:rsid w:val="0029408E"/>
    <w:rsid w:val="002940EC"/>
    <w:rsid w:val="002941EB"/>
    <w:rsid w:val="00294215"/>
    <w:rsid w:val="00294327"/>
    <w:rsid w:val="002944A9"/>
    <w:rsid w:val="002947C0"/>
    <w:rsid w:val="002947C5"/>
    <w:rsid w:val="00294880"/>
    <w:rsid w:val="002949AF"/>
    <w:rsid w:val="00294A31"/>
    <w:rsid w:val="00294BA4"/>
    <w:rsid w:val="00294C1B"/>
    <w:rsid w:val="00294C2B"/>
    <w:rsid w:val="00295128"/>
    <w:rsid w:val="00295254"/>
    <w:rsid w:val="0029534B"/>
    <w:rsid w:val="0029555C"/>
    <w:rsid w:val="002955E1"/>
    <w:rsid w:val="002957ED"/>
    <w:rsid w:val="00295867"/>
    <w:rsid w:val="00295A45"/>
    <w:rsid w:val="00295B19"/>
    <w:rsid w:val="00295B91"/>
    <w:rsid w:val="00295BC2"/>
    <w:rsid w:val="00295CC9"/>
    <w:rsid w:val="00295DFA"/>
    <w:rsid w:val="00295E57"/>
    <w:rsid w:val="00295F54"/>
    <w:rsid w:val="00295F75"/>
    <w:rsid w:val="00295FB4"/>
    <w:rsid w:val="0029600D"/>
    <w:rsid w:val="00296064"/>
    <w:rsid w:val="0029623F"/>
    <w:rsid w:val="00296344"/>
    <w:rsid w:val="0029636A"/>
    <w:rsid w:val="0029652F"/>
    <w:rsid w:val="0029674E"/>
    <w:rsid w:val="002967D9"/>
    <w:rsid w:val="00296B88"/>
    <w:rsid w:val="00296C50"/>
    <w:rsid w:val="00296CC6"/>
    <w:rsid w:val="00296DC7"/>
    <w:rsid w:val="00296F77"/>
    <w:rsid w:val="0029700E"/>
    <w:rsid w:val="00297216"/>
    <w:rsid w:val="002972BB"/>
    <w:rsid w:val="002973F3"/>
    <w:rsid w:val="002973FF"/>
    <w:rsid w:val="002975D6"/>
    <w:rsid w:val="002975DF"/>
    <w:rsid w:val="0029762E"/>
    <w:rsid w:val="00297690"/>
    <w:rsid w:val="00297759"/>
    <w:rsid w:val="0029782B"/>
    <w:rsid w:val="00297B5B"/>
    <w:rsid w:val="00297E8A"/>
    <w:rsid w:val="00297FA8"/>
    <w:rsid w:val="002A01F2"/>
    <w:rsid w:val="002A02A7"/>
    <w:rsid w:val="002A03B2"/>
    <w:rsid w:val="002A03EB"/>
    <w:rsid w:val="002A0577"/>
    <w:rsid w:val="002A05F9"/>
    <w:rsid w:val="002A078C"/>
    <w:rsid w:val="002A0979"/>
    <w:rsid w:val="002A0A03"/>
    <w:rsid w:val="002A0A83"/>
    <w:rsid w:val="002A0ACC"/>
    <w:rsid w:val="002A0E06"/>
    <w:rsid w:val="002A0EEE"/>
    <w:rsid w:val="002A0FCD"/>
    <w:rsid w:val="002A1005"/>
    <w:rsid w:val="002A1474"/>
    <w:rsid w:val="002A1543"/>
    <w:rsid w:val="002A1B0F"/>
    <w:rsid w:val="002A1B1F"/>
    <w:rsid w:val="002A1BAD"/>
    <w:rsid w:val="002A1C60"/>
    <w:rsid w:val="002A1EF1"/>
    <w:rsid w:val="002A1F15"/>
    <w:rsid w:val="002A1FEF"/>
    <w:rsid w:val="002A1FF0"/>
    <w:rsid w:val="002A20AF"/>
    <w:rsid w:val="002A20C1"/>
    <w:rsid w:val="002A21AB"/>
    <w:rsid w:val="002A2217"/>
    <w:rsid w:val="002A2542"/>
    <w:rsid w:val="002A2546"/>
    <w:rsid w:val="002A2583"/>
    <w:rsid w:val="002A25F0"/>
    <w:rsid w:val="002A2678"/>
    <w:rsid w:val="002A27AF"/>
    <w:rsid w:val="002A28E5"/>
    <w:rsid w:val="002A2E15"/>
    <w:rsid w:val="002A368D"/>
    <w:rsid w:val="002A37DC"/>
    <w:rsid w:val="002A38C8"/>
    <w:rsid w:val="002A3E13"/>
    <w:rsid w:val="002A3EC1"/>
    <w:rsid w:val="002A407E"/>
    <w:rsid w:val="002A45FA"/>
    <w:rsid w:val="002A4658"/>
    <w:rsid w:val="002A47DC"/>
    <w:rsid w:val="002A486C"/>
    <w:rsid w:val="002A48B7"/>
    <w:rsid w:val="002A4927"/>
    <w:rsid w:val="002A4A19"/>
    <w:rsid w:val="002A4A95"/>
    <w:rsid w:val="002A4AC8"/>
    <w:rsid w:val="002A4B62"/>
    <w:rsid w:val="002A4D0E"/>
    <w:rsid w:val="002A5015"/>
    <w:rsid w:val="002A514E"/>
    <w:rsid w:val="002A5288"/>
    <w:rsid w:val="002A532E"/>
    <w:rsid w:val="002A5347"/>
    <w:rsid w:val="002A5349"/>
    <w:rsid w:val="002A560F"/>
    <w:rsid w:val="002A5617"/>
    <w:rsid w:val="002A5676"/>
    <w:rsid w:val="002A5709"/>
    <w:rsid w:val="002A571C"/>
    <w:rsid w:val="002A5843"/>
    <w:rsid w:val="002A5915"/>
    <w:rsid w:val="002A5B66"/>
    <w:rsid w:val="002A5C5B"/>
    <w:rsid w:val="002A5EF4"/>
    <w:rsid w:val="002A5F5F"/>
    <w:rsid w:val="002A5F61"/>
    <w:rsid w:val="002A6222"/>
    <w:rsid w:val="002A62E1"/>
    <w:rsid w:val="002A636C"/>
    <w:rsid w:val="002A6660"/>
    <w:rsid w:val="002A6744"/>
    <w:rsid w:val="002A6B7A"/>
    <w:rsid w:val="002A6C9F"/>
    <w:rsid w:val="002A6D83"/>
    <w:rsid w:val="002A6D85"/>
    <w:rsid w:val="002A6E5A"/>
    <w:rsid w:val="002A6E70"/>
    <w:rsid w:val="002A73BB"/>
    <w:rsid w:val="002A75FC"/>
    <w:rsid w:val="002A78EA"/>
    <w:rsid w:val="002A7AC3"/>
    <w:rsid w:val="002A7CF7"/>
    <w:rsid w:val="002A7D13"/>
    <w:rsid w:val="002A7D5F"/>
    <w:rsid w:val="002A7D76"/>
    <w:rsid w:val="002A7E01"/>
    <w:rsid w:val="002A7EAB"/>
    <w:rsid w:val="002B0118"/>
    <w:rsid w:val="002B02A4"/>
    <w:rsid w:val="002B048A"/>
    <w:rsid w:val="002B0831"/>
    <w:rsid w:val="002B089A"/>
    <w:rsid w:val="002B09A6"/>
    <w:rsid w:val="002B0BB2"/>
    <w:rsid w:val="002B0BF6"/>
    <w:rsid w:val="002B0D58"/>
    <w:rsid w:val="002B0E33"/>
    <w:rsid w:val="002B0EB2"/>
    <w:rsid w:val="002B0EE5"/>
    <w:rsid w:val="002B0F0B"/>
    <w:rsid w:val="002B0F4A"/>
    <w:rsid w:val="002B13A5"/>
    <w:rsid w:val="002B1454"/>
    <w:rsid w:val="002B15B1"/>
    <w:rsid w:val="002B16CD"/>
    <w:rsid w:val="002B16D2"/>
    <w:rsid w:val="002B1A2C"/>
    <w:rsid w:val="002B1A3B"/>
    <w:rsid w:val="002B1AC0"/>
    <w:rsid w:val="002B1B21"/>
    <w:rsid w:val="002B1BD5"/>
    <w:rsid w:val="002B1C03"/>
    <w:rsid w:val="002B1C12"/>
    <w:rsid w:val="002B1CCA"/>
    <w:rsid w:val="002B1D9B"/>
    <w:rsid w:val="002B21E6"/>
    <w:rsid w:val="002B2237"/>
    <w:rsid w:val="002B2260"/>
    <w:rsid w:val="002B2278"/>
    <w:rsid w:val="002B2475"/>
    <w:rsid w:val="002B255E"/>
    <w:rsid w:val="002B25FD"/>
    <w:rsid w:val="002B28E1"/>
    <w:rsid w:val="002B2976"/>
    <w:rsid w:val="002B2C66"/>
    <w:rsid w:val="002B2D56"/>
    <w:rsid w:val="002B2D73"/>
    <w:rsid w:val="002B2DA8"/>
    <w:rsid w:val="002B2F32"/>
    <w:rsid w:val="002B31CB"/>
    <w:rsid w:val="002B35E3"/>
    <w:rsid w:val="002B3634"/>
    <w:rsid w:val="002B3725"/>
    <w:rsid w:val="002B376D"/>
    <w:rsid w:val="002B377D"/>
    <w:rsid w:val="002B3829"/>
    <w:rsid w:val="002B39B5"/>
    <w:rsid w:val="002B3B47"/>
    <w:rsid w:val="002B3F02"/>
    <w:rsid w:val="002B400A"/>
    <w:rsid w:val="002B416A"/>
    <w:rsid w:val="002B438D"/>
    <w:rsid w:val="002B4410"/>
    <w:rsid w:val="002B45C8"/>
    <w:rsid w:val="002B4722"/>
    <w:rsid w:val="002B4756"/>
    <w:rsid w:val="002B4A83"/>
    <w:rsid w:val="002B4A8D"/>
    <w:rsid w:val="002B4BC5"/>
    <w:rsid w:val="002B4C73"/>
    <w:rsid w:val="002B4D1D"/>
    <w:rsid w:val="002B4D4D"/>
    <w:rsid w:val="002B4E96"/>
    <w:rsid w:val="002B502D"/>
    <w:rsid w:val="002B527C"/>
    <w:rsid w:val="002B52F0"/>
    <w:rsid w:val="002B540A"/>
    <w:rsid w:val="002B541F"/>
    <w:rsid w:val="002B5588"/>
    <w:rsid w:val="002B57CD"/>
    <w:rsid w:val="002B5827"/>
    <w:rsid w:val="002B5895"/>
    <w:rsid w:val="002B58D7"/>
    <w:rsid w:val="002B5C39"/>
    <w:rsid w:val="002B5C77"/>
    <w:rsid w:val="002B5E66"/>
    <w:rsid w:val="002B5EF5"/>
    <w:rsid w:val="002B6052"/>
    <w:rsid w:val="002B60E7"/>
    <w:rsid w:val="002B6383"/>
    <w:rsid w:val="002B6411"/>
    <w:rsid w:val="002B6672"/>
    <w:rsid w:val="002B66BE"/>
    <w:rsid w:val="002B6862"/>
    <w:rsid w:val="002B6A24"/>
    <w:rsid w:val="002B6A4B"/>
    <w:rsid w:val="002B6AD1"/>
    <w:rsid w:val="002B6B10"/>
    <w:rsid w:val="002B6CE9"/>
    <w:rsid w:val="002B6E68"/>
    <w:rsid w:val="002B6EC7"/>
    <w:rsid w:val="002B6EE3"/>
    <w:rsid w:val="002B7122"/>
    <w:rsid w:val="002B7182"/>
    <w:rsid w:val="002B719B"/>
    <w:rsid w:val="002B7256"/>
    <w:rsid w:val="002B7402"/>
    <w:rsid w:val="002B75CD"/>
    <w:rsid w:val="002B7889"/>
    <w:rsid w:val="002B78AF"/>
    <w:rsid w:val="002B78DA"/>
    <w:rsid w:val="002B798F"/>
    <w:rsid w:val="002B7A46"/>
    <w:rsid w:val="002B7C7F"/>
    <w:rsid w:val="002C0417"/>
    <w:rsid w:val="002C064C"/>
    <w:rsid w:val="002C07B5"/>
    <w:rsid w:val="002C0871"/>
    <w:rsid w:val="002C0AEB"/>
    <w:rsid w:val="002C0F63"/>
    <w:rsid w:val="002C0F87"/>
    <w:rsid w:val="002C1278"/>
    <w:rsid w:val="002C127C"/>
    <w:rsid w:val="002C12A5"/>
    <w:rsid w:val="002C1311"/>
    <w:rsid w:val="002C141A"/>
    <w:rsid w:val="002C1422"/>
    <w:rsid w:val="002C14E4"/>
    <w:rsid w:val="002C162D"/>
    <w:rsid w:val="002C1643"/>
    <w:rsid w:val="002C175B"/>
    <w:rsid w:val="002C1A41"/>
    <w:rsid w:val="002C1C93"/>
    <w:rsid w:val="002C1CE0"/>
    <w:rsid w:val="002C1D2E"/>
    <w:rsid w:val="002C1D44"/>
    <w:rsid w:val="002C1D97"/>
    <w:rsid w:val="002C1FAE"/>
    <w:rsid w:val="002C2114"/>
    <w:rsid w:val="002C21A7"/>
    <w:rsid w:val="002C23E0"/>
    <w:rsid w:val="002C252F"/>
    <w:rsid w:val="002C26CA"/>
    <w:rsid w:val="002C288E"/>
    <w:rsid w:val="002C28AE"/>
    <w:rsid w:val="002C28EC"/>
    <w:rsid w:val="002C297C"/>
    <w:rsid w:val="002C2A52"/>
    <w:rsid w:val="002C2ABF"/>
    <w:rsid w:val="002C2ADB"/>
    <w:rsid w:val="002C3000"/>
    <w:rsid w:val="002C3035"/>
    <w:rsid w:val="002C309B"/>
    <w:rsid w:val="002C30A4"/>
    <w:rsid w:val="002C3155"/>
    <w:rsid w:val="002C329E"/>
    <w:rsid w:val="002C336C"/>
    <w:rsid w:val="002C3656"/>
    <w:rsid w:val="002C36B4"/>
    <w:rsid w:val="002C36D3"/>
    <w:rsid w:val="002C3894"/>
    <w:rsid w:val="002C39CB"/>
    <w:rsid w:val="002C3A32"/>
    <w:rsid w:val="002C3B09"/>
    <w:rsid w:val="002C3F3C"/>
    <w:rsid w:val="002C4018"/>
    <w:rsid w:val="002C4084"/>
    <w:rsid w:val="002C41DC"/>
    <w:rsid w:val="002C4294"/>
    <w:rsid w:val="002C4382"/>
    <w:rsid w:val="002C4469"/>
    <w:rsid w:val="002C4665"/>
    <w:rsid w:val="002C4762"/>
    <w:rsid w:val="002C4768"/>
    <w:rsid w:val="002C496D"/>
    <w:rsid w:val="002C50E0"/>
    <w:rsid w:val="002C531A"/>
    <w:rsid w:val="002C55BB"/>
    <w:rsid w:val="002C55F6"/>
    <w:rsid w:val="002C565E"/>
    <w:rsid w:val="002C56CA"/>
    <w:rsid w:val="002C5763"/>
    <w:rsid w:val="002C577A"/>
    <w:rsid w:val="002C5916"/>
    <w:rsid w:val="002C5955"/>
    <w:rsid w:val="002C5A5B"/>
    <w:rsid w:val="002C5C26"/>
    <w:rsid w:val="002C5CCE"/>
    <w:rsid w:val="002C5CF9"/>
    <w:rsid w:val="002C5F00"/>
    <w:rsid w:val="002C6185"/>
    <w:rsid w:val="002C61D9"/>
    <w:rsid w:val="002C61ED"/>
    <w:rsid w:val="002C6307"/>
    <w:rsid w:val="002C664C"/>
    <w:rsid w:val="002C670A"/>
    <w:rsid w:val="002C6DCC"/>
    <w:rsid w:val="002C6E86"/>
    <w:rsid w:val="002C6F14"/>
    <w:rsid w:val="002C6F1B"/>
    <w:rsid w:val="002C6F53"/>
    <w:rsid w:val="002C6F65"/>
    <w:rsid w:val="002C6F72"/>
    <w:rsid w:val="002C7040"/>
    <w:rsid w:val="002C70A0"/>
    <w:rsid w:val="002C7213"/>
    <w:rsid w:val="002C73BA"/>
    <w:rsid w:val="002C73DB"/>
    <w:rsid w:val="002C7529"/>
    <w:rsid w:val="002C766D"/>
    <w:rsid w:val="002C78CB"/>
    <w:rsid w:val="002C79B9"/>
    <w:rsid w:val="002C79BE"/>
    <w:rsid w:val="002C7B7B"/>
    <w:rsid w:val="002C7D36"/>
    <w:rsid w:val="002C7F50"/>
    <w:rsid w:val="002D0093"/>
    <w:rsid w:val="002D0124"/>
    <w:rsid w:val="002D022A"/>
    <w:rsid w:val="002D044F"/>
    <w:rsid w:val="002D0874"/>
    <w:rsid w:val="002D0BE1"/>
    <w:rsid w:val="002D0BE6"/>
    <w:rsid w:val="002D0C4E"/>
    <w:rsid w:val="002D0C5D"/>
    <w:rsid w:val="002D0CF4"/>
    <w:rsid w:val="002D0F46"/>
    <w:rsid w:val="002D0FB7"/>
    <w:rsid w:val="002D1036"/>
    <w:rsid w:val="002D10B0"/>
    <w:rsid w:val="002D1126"/>
    <w:rsid w:val="002D13A6"/>
    <w:rsid w:val="002D14AF"/>
    <w:rsid w:val="002D15A7"/>
    <w:rsid w:val="002D15BF"/>
    <w:rsid w:val="002D16B9"/>
    <w:rsid w:val="002D170A"/>
    <w:rsid w:val="002D1735"/>
    <w:rsid w:val="002D1960"/>
    <w:rsid w:val="002D19B1"/>
    <w:rsid w:val="002D19FB"/>
    <w:rsid w:val="002D1C4A"/>
    <w:rsid w:val="002D1DD2"/>
    <w:rsid w:val="002D1E23"/>
    <w:rsid w:val="002D1EC6"/>
    <w:rsid w:val="002D1F90"/>
    <w:rsid w:val="002D2164"/>
    <w:rsid w:val="002D21F2"/>
    <w:rsid w:val="002D22F7"/>
    <w:rsid w:val="002D249D"/>
    <w:rsid w:val="002D291C"/>
    <w:rsid w:val="002D2ACA"/>
    <w:rsid w:val="002D2AD1"/>
    <w:rsid w:val="002D2B7D"/>
    <w:rsid w:val="002D2C91"/>
    <w:rsid w:val="002D2CA4"/>
    <w:rsid w:val="002D2CE5"/>
    <w:rsid w:val="002D2F48"/>
    <w:rsid w:val="002D2FD9"/>
    <w:rsid w:val="002D304C"/>
    <w:rsid w:val="002D356B"/>
    <w:rsid w:val="002D36AA"/>
    <w:rsid w:val="002D37CD"/>
    <w:rsid w:val="002D3814"/>
    <w:rsid w:val="002D3891"/>
    <w:rsid w:val="002D3AC4"/>
    <w:rsid w:val="002D3AF7"/>
    <w:rsid w:val="002D3B23"/>
    <w:rsid w:val="002D3B33"/>
    <w:rsid w:val="002D3B75"/>
    <w:rsid w:val="002D3C4C"/>
    <w:rsid w:val="002D3E54"/>
    <w:rsid w:val="002D413F"/>
    <w:rsid w:val="002D4219"/>
    <w:rsid w:val="002D43AA"/>
    <w:rsid w:val="002D443E"/>
    <w:rsid w:val="002D4478"/>
    <w:rsid w:val="002D4575"/>
    <w:rsid w:val="002D4686"/>
    <w:rsid w:val="002D4824"/>
    <w:rsid w:val="002D4825"/>
    <w:rsid w:val="002D488F"/>
    <w:rsid w:val="002D48E5"/>
    <w:rsid w:val="002D48F6"/>
    <w:rsid w:val="002D49B5"/>
    <w:rsid w:val="002D4A31"/>
    <w:rsid w:val="002D4AB8"/>
    <w:rsid w:val="002D4B20"/>
    <w:rsid w:val="002D4DB8"/>
    <w:rsid w:val="002D4DDF"/>
    <w:rsid w:val="002D4E62"/>
    <w:rsid w:val="002D50DF"/>
    <w:rsid w:val="002D524F"/>
    <w:rsid w:val="002D52FF"/>
    <w:rsid w:val="002D549F"/>
    <w:rsid w:val="002D5593"/>
    <w:rsid w:val="002D55F7"/>
    <w:rsid w:val="002D573E"/>
    <w:rsid w:val="002D577C"/>
    <w:rsid w:val="002D5841"/>
    <w:rsid w:val="002D58BF"/>
    <w:rsid w:val="002D5A54"/>
    <w:rsid w:val="002D5B31"/>
    <w:rsid w:val="002D5C65"/>
    <w:rsid w:val="002D5C94"/>
    <w:rsid w:val="002D5CB9"/>
    <w:rsid w:val="002D5CE9"/>
    <w:rsid w:val="002D5DA3"/>
    <w:rsid w:val="002D5ED4"/>
    <w:rsid w:val="002D5EFA"/>
    <w:rsid w:val="002D5F61"/>
    <w:rsid w:val="002D5F6A"/>
    <w:rsid w:val="002D60CD"/>
    <w:rsid w:val="002D622E"/>
    <w:rsid w:val="002D6251"/>
    <w:rsid w:val="002D638C"/>
    <w:rsid w:val="002D64CC"/>
    <w:rsid w:val="002D697B"/>
    <w:rsid w:val="002D6A29"/>
    <w:rsid w:val="002D6E66"/>
    <w:rsid w:val="002D6FCF"/>
    <w:rsid w:val="002D7461"/>
    <w:rsid w:val="002D7583"/>
    <w:rsid w:val="002D7735"/>
    <w:rsid w:val="002D7943"/>
    <w:rsid w:val="002D7A47"/>
    <w:rsid w:val="002D7DF6"/>
    <w:rsid w:val="002D7FAE"/>
    <w:rsid w:val="002D7FD4"/>
    <w:rsid w:val="002E0133"/>
    <w:rsid w:val="002E0337"/>
    <w:rsid w:val="002E03D0"/>
    <w:rsid w:val="002E044F"/>
    <w:rsid w:val="002E048D"/>
    <w:rsid w:val="002E0493"/>
    <w:rsid w:val="002E04AA"/>
    <w:rsid w:val="002E0782"/>
    <w:rsid w:val="002E0866"/>
    <w:rsid w:val="002E0885"/>
    <w:rsid w:val="002E0966"/>
    <w:rsid w:val="002E0970"/>
    <w:rsid w:val="002E0E22"/>
    <w:rsid w:val="002E10CE"/>
    <w:rsid w:val="002E12EC"/>
    <w:rsid w:val="002E1540"/>
    <w:rsid w:val="002E1616"/>
    <w:rsid w:val="002E16D4"/>
    <w:rsid w:val="002E1814"/>
    <w:rsid w:val="002E189E"/>
    <w:rsid w:val="002E1902"/>
    <w:rsid w:val="002E1B1A"/>
    <w:rsid w:val="002E1B7D"/>
    <w:rsid w:val="002E1D60"/>
    <w:rsid w:val="002E1D8C"/>
    <w:rsid w:val="002E1E02"/>
    <w:rsid w:val="002E202C"/>
    <w:rsid w:val="002E20CF"/>
    <w:rsid w:val="002E20FB"/>
    <w:rsid w:val="002E222E"/>
    <w:rsid w:val="002E2344"/>
    <w:rsid w:val="002E23D2"/>
    <w:rsid w:val="002E254F"/>
    <w:rsid w:val="002E2698"/>
    <w:rsid w:val="002E26A7"/>
    <w:rsid w:val="002E277A"/>
    <w:rsid w:val="002E29A3"/>
    <w:rsid w:val="002E2B7C"/>
    <w:rsid w:val="002E2BB0"/>
    <w:rsid w:val="002E2D77"/>
    <w:rsid w:val="002E2E7C"/>
    <w:rsid w:val="002E2F8C"/>
    <w:rsid w:val="002E3011"/>
    <w:rsid w:val="002E3023"/>
    <w:rsid w:val="002E30E5"/>
    <w:rsid w:val="002E30FA"/>
    <w:rsid w:val="002E3360"/>
    <w:rsid w:val="002E3473"/>
    <w:rsid w:val="002E357E"/>
    <w:rsid w:val="002E36F5"/>
    <w:rsid w:val="002E3783"/>
    <w:rsid w:val="002E3AB6"/>
    <w:rsid w:val="002E3AC6"/>
    <w:rsid w:val="002E3C32"/>
    <w:rsid w:val="002E3C70"/>
    <w:rsid w:val="002E3D24"/>
    <w:rsid w:val="002E3E13"/>
    <w:rsid w:val="002E3EDA"/>
    <w:rsid w:val="002E4065"/>
    <w:rsid w:val="002E40CA"/>
    <w:rsid w:val="002E43D8"/>
    <w:rsid w:val="002E44B7"/>
    <w:rsid w:val="002E496F"/>
    <w:rsid w:val="002E4CFE"/>
    <w:rsid w:val="002E4E6F"/>
    <w:rsid w:val="002E4EA0"/>
    <w:rsid w:val="002E4F12"/>
    <w:rsid w:val="002E4F29"/>
    <w:rsid w:val="002E4F47"/>
    <w:rsid w:val="002E4F9D"/>
    <w:rsid w:val="002E4FD5"/>
    <w:rsid w:val="002E51F7"/>
    <w:rsid w:val="002E546A"/>
    <w:rsid w:val="002E5494"/>
    <w:rsid w:val="002E5543"/>
    <w:rsid w:val="002E5552"/>
    <w:rsid w:val="002E5617"/>
    <w:rsid w:val="002E564A"/>
    <w:rsid w:val="002E59B2"/>
    <w:rsid w:val="002E5A5E"/>
    <w:rsid w:val="002E5A81"/>
    <w:rsid w:val="002E5A8A"/>
    <w:rsid w:val="002E5B9F"/>
    <w:rsid w:val="002E5BBB"/>
    <w:rsid w:val="002E5D4E"/>
    <w:rsid w:val="002E6360"/>
    <w:rsid w:val="002E64D1"/>
    <w:rsid w:val="002E65CB"/>
    <w:rsid w:val="002E67B9"/>
    <w:rsid w:val="002E689B"/>
    <w:rsid w:val="002E6927"/>
    <w:rsid w:val="002E6B69"/>
    <w:rsid w:val="002E6C7F"/>
    <w:rsid w:val="002E6CE0"/>
    <w:rsid w:val="002E6D96"/>
    <w:rsid w:val="002E6DD1"/>
    <w:rsid w:val="002E6FB4"/>
    <w:rsid w:val="002E700F"/>
    <w:rsid w:val="002E717A"/>
    <w:rsid w:val="002E7233"/>
    <w:rsid w:val="002E7397"/>
    <w:rsid w:val="002E73ED"/>
    <w:rsid w:val="002E74F9"/>
    <w:rsid w:val="002E7667"/>
    <w:rsid w:val="002E76FA"/>
    <w:rsid w:val="002E773E"/>
    <w:rsid w:val="002E78F9"/>
    <w:rsid w:val="002E7A67"/>
    <w:rsid w:val="002E7B87"/>
    <w:rsid w:val="002E7DB9"/>
    <w:rsid w:val="002F01BC"/>
    <w:rsid w:val="002F041F"/>
    <w:rsid w:val="002F05A2"/>
    <w:rsid w:val="002F0709"/>
    <w:rsid w:val="002F0818"/>
    <w:rsid w:val="002F0880"/>
    <w:rsid w:val="002F0B16"/>
    <w:rsid w:val="002F0BA5"/>
    <w:rsid w:val="002F0CC3"/>
    <w:rsid w:val="002F0E7B"/>
    <w:rsid w:val="002F102D"/>
    <w:rsid w:val="002F1069"/>
    <w:rsid w:val="002F11E9"/>
    <w:rsid w:val="002F1285"/>
    <w:rsid w:val="002F131F"/>
    <w:rsid w:val="002F1683"/>
    <w:rsid w:val="002F16C3"/>
    <w:rsid w:val="002F17CB"/>
    <w:rsid w:val="002F1826"/>
    <w:rsid w:val="002F1900"/>
    <w:rsid w:val="002F1A55"/>
    <w:rsid w:val="002F1AB4"/>
    <w:rsid w:val="002F1FD2"/>
    <w:rsid w:val="002F204F"/>
    <w:rsid w:val="002F21E8"/>
    <w:rsid w:val="002F22FA"/>
    <w:rsid w:val="002F23BB"/>
    <w:rsid w:val="002F25A3"/>
    <w:rsid w:val="002F25C4"/>
    <w:rsid w:val="002F2657"/>
    <w:rsid w:val="002F2899"/>
    <w:rsid w:val="002F2907"/>
    <w:rsid w:val="002F29A0"/>
    <w:rsid w:val="002F2AD1"/>
    <w:rsid w:val="002F2C2F"/>
    <w:rsid w:val="002F2E15"/>
    <w:rsid w:val="002F2F0E"/>
    <w:rsid w:val="002F2FEF"/>
    <w:rsid w:val="002F3137"/>
    <w:rsid w:val="002F344C"/>
    <w:rsid w:val="002F344E"/>
    <w:rsid w:val="002F347B"/>
    <w:rsid w:val="002F359D"/>
    <w:rsid w:val="002F382E"/>
    <w:rsid w:val="002F3C9A"/>
    <w:rsid w:val="002F3E6C"/>
    <w:rsid w:val="002F3EE2"/>
    <w:rsid w:val="002F40B9"/>
    <w:rsid w:val="002F41E8"/>
    <w:rsid w:val="002F4393"/>
    <w:rsid w:val="002F43E9"/>
    <w:rsid w:val="002F4574"/>
    <w:rsid w:val="002F4680"/>
    <w:rsid w:val="002F471C"/>
    <w:rsid w:val="002F498B"/>
    <w:rsid w:val="002F49B5"/>
    <w:rsid w:val="002F49F9"/>
    <w:rsid w:val="002F4C77"/>
    <w:rsid w:val="002F4C8B"/>
    <w:rsid w:val="002F4D5B"/>
    <w:rsid w:val="002F4D78"/>
    <w:rsid w:val="002F4F1A"/>
    <w:rsid w:val="002F4F5E"/>
    <w:rsid w:val="002F4F93"/>
    <w:rsid w:val="002F4FF0"/>
    <w:rsid w:val="002F5136"/>
    <w:rsid w:val="002F513A"/>
    <w:rsid w:val="002F57F8"/>
    <w:rsid w:val="002F589A"/>
    <w:rsid w:val="002F5934"/>
    <w:rsid w:val="002F5AE3"/>
    <w:rsid w:val="002F5F0C"/>
    <w:rsid w:val="002F5FEA"/>
    <w:rsid w:val="002F617F"/>
    <w:rsid w:val="002F63FE"/>
    <w:rsid w:val="002F641D"/>
    <w:rsid w:val="002F6595"/>
    <w:rsid w:val="002F667B"/>
    <w:rsid w:val="002F6694"/>
    <w:rsid w:val="002F66E8"/>
    <w:rsid w:val="002F6780"/>
    <w:rsid w:val="002F687D"/>
    <w:rsid w:val="002F68A6"/>
    <w:rsid w:val="002F68E8"/>
    <w:rsid w:val="002F6917"/>
    <w:rsid w:val="002F6919"/>
    <w:rsid w:val="002F6A20"/>
    <w:rsid w:val="002F6A51"/>
    <w:rsid w:val="002F6AE3"/>
    <w:rsid w:val="002F6F4C"/>
    <w:rsid w:val="002F7020"/>
    <w:rsid w:val="002F7220"/>
    <w:rsid w:val="002F72E5"/>
    <w:rsid w:val="002F74C5"/>
    <w:rsid w:val="002F76E6"/>
    <w:rsid w:val="002F7859"/>
    <w:rsid w:val="002F78BC"/>
    <w:rsid w:val="002F79A7"/>
    <w:rsid w:val="002F79C0"/>
    <w:rsid w:val="002F7A85"/>
    <w:rsid w:val="002F7A9F"/>
    <w:rsid w:val="002F7B4A"/>
    <w:rsid w:val="002F7D6F"/>
    <w:rsid w:val="002F7EE2"/>
    <w:rsid w:val="002F7F4D"/>
    <w:rsid w:val="002F7F8E"/>
    <w:rsid w:val="002F7FF2"/>
    <w:rsid w:val="003000A6"/>
    <w:rsid w:val="00300133"/>
    <w:rsid w:val="00300432"/>
    <w:rsid w:val="003004E9"/>
    <w:rsid w:val="0030060C"/>
    <w:rsid w:val="003008B8"/>
    <w:rsid w:val="003009D5"/>
    <w:rsid w:val="003009DE"/>
    <w:rsid w:val="003011AE"/>
    <w:rsid w:val="00301286"/>
    <w:rsid w:val="0030134D"/>
    <w:rsid w:val="0030156C"/>
    <w:rsid w:val="003015B4"/>
    <w:rsid w:val="003017FD"/>
    <w:rsid w:val="00301829"/>
    <w:rsid w:val="0030184B"/>
    <w:rsid w:val="0030187B"/>
    <w:rsid w:val="003019C0"/>
    <w:rsid w:val="00301CCF"/>
    <w:rsid w:val="00302213"/>
    <w:rsid w:val="00302517"/>
    <w:rsid w:val="0030252A"/>
    <w:rsid w:val="0030284E"/>
    <w:rsid w:val="0030285B"/>
    <w:rsid w:val="003029FD"/>
    <w:rsid w:val="00302DE0"/>
    <w:rsid w:val="00302F54"/>
    <w:rsid w:val="00302F76"/>
    <w:rsid w:val="00302FA3"/>
    <w:rsid w:val="003032B4"/>
    <w:rsid w:val="00303605"/>
    <w:rsid w:val="00303641"/>
    <w:rsid w:val="00303714"/>
    <w:rsid w:val="0030381B"/>
    <w:rsid w:val="00303847"/>
    <w:rsid w:val="00303868"/>
    <w:rsid w:val="00303A1F"/>
    <w:rsid w:val="00303A90"/>
    <w:rsid w:val="00303C2E"/>
    <w:rsid w:val="00303C3C"/>
    <w:rsid w:val="00303D6B"/>
    <w:rsid w:val="00303E2E"/>
    <w:rsid w:val="00303FD2"/>
    <w:rsid w:val="00304154"/>
    <w:rsid w:val="003041E0"/>
    <w:rsid w:val="00304239"/>
    <w:rsid w:val="0030428D"/>
    <w:rsid w:val="003043BC"/>
    <w:rsid w:val="0030447E"/>
    <w:rsid w:val="003044CE"/>
    <w:rsid w:val="003044F5"/>
    <w:rsid w:val="003044FB"/>
    <w:rsid w:val="00304562"/>
    <w:rsid w:val="0030467A"/>
    <w:rsid w:val="003046D3"/>
    <w:rsid w:val="0030474A"/>
    <w:rsid w:val="00304807"/>
    <w:rsid w:val="003048E4"/>
    <w:rsid w:val="00304B6F"/>
    <w:rsid w:val="00304C51"/>
    <w:rsid w:val="00304F36"/>
    <w:rsid w:val="00304F6D"/>
    <w:rsid w:val="003050B8"/>
    <w:rsid w:val="00305110"/>
    <w:rsid w:val="00305195"/>
    <w:rsid w:val="00305319"/>
    <w:rsid w:val="003053ED"/>
    <w:rsid w:val="0030551B"/>
    <w:rsid w:val="00305679"/>
    <w:rsid w:val="00305778"/>
    <w:rsid w:val="0030590A"/>
    <w:rsid w:val="00305963"/>
    <w:rsid w:val="003059E9"/>
    <w:rsid w:val="00305A9B"/>
    <w:rsid w:val="00305AA3"/>
    <w:rsid w:val="00305DF5"/>
    <w:rsid w:val="00305E55"/>
    <w:rsid w:val="00305FE1"/>
    <w:rsid w:val="00305FF7"/>
    <w:rsid w:val="0030608B"/>
    <w:rsid w:val="00306181"/>
    <w:rsid w:val="00306194"/>
    <w:rsid w:val="00306736"/>
    <w:rsid w:val="00306841"/>
    <w:rsid w:val="00306A1E"/>
    <w:rsid w:val="00306A94"/>
    <w:rsid w:val="00306BB4"/>
    <w:rsid w:val="00306C12"/>
    <w:rsid w:val="00306C6F"/>
    <w:rsid w:val="003070EE"/>
    <w:rsid w:val="00307150"/>
    <w:rsid w:val="00307158"/>
    <w:rsid w:val="0030724C"/>
    <w:rsid w:val="00307320"/>
    <w:rsid w:val="00307547"/>
    <w:rsid w:val="00307661"/>
    <w:rsid w:val="0030780C"/>
    <w:rsid w:val="00307A65"/>
    <w:rsid w:val="00307B74"/>
    <w:rsid w:val="00307C1D"/>
    <w:rsid w:val="00307C1F"/>
    <w:rsid w:val="00307C87"/>
    <w:rsid w:val="00307D85"/>
    <w:rsid w:val="00307DFD"/>
    <w:rsid w:val="00307E46"/>
    <w:rsid w:val="00307EA6"/>
    <w:rsid w:val="00307EBB"/>
    <w:rsid w:val="0031000D"/>
    <w:rsid w:val="003101EA"/>
    <w:rsid w:val="003102F1"/>
    <w:rsid w:val="0031054D"/>
    <w:rsid w:val="0031060E"/>
    <w:rsid w:val="003106D0"/>
    <w:rsid w:val="003109B1"/>
    <w:rsid w:val="00310D87"/>
    <w:rsid w:val="003110D3"/>
    <w:rsid w:val="003110E9"/>
    <w:rsid w:val="0031153C"/>
    <w:rsid w:val="00311599"/>
    <w:rsid w:val="0031181C"/>
    <w:rsid w:val="00311926"/>
    <w:rsid w:val="00311988"/>
    <w:rsid w:val="00311A6A"/>
    <w:rsid w:val="00311D67"/>
    <w:rsid w:val="00311E42"/>
    <w:rsid w:val="00311E43"/>
    <w:rsid w:val="00311E97"/>
    <w:rsid w:val="00311ECB"/>
    <w:rsid w:val="00311FB1"/>
    <w:rsid w:val="00312046"/>
    <w:rsid w:val="003120BE"/>
    <w:rsid w:val="003120CA"/>
    <w:rsid w:val="00312112"/>
    <w:rsid w:val="003121FD"/>
    <w:rsid w:val="003122E2"/>
    <w:rsid w:val="003122F0"/>
    <w:rsid w:val="003122F4"/>
    <w:rsid w:val="0031276E"/>
    <w:rsid w:val="0031285C"/>
    <w:rsid w:val="00312A4B"/>
    <w:rsid w:val="00312AC5"/>
    <w:rsid w:val="00312B9C"/>
    <w:rsid w:val="00312BA7"/>
    <w:rsid w:val="00312CE8"/>
    <w:rsid w:val="00312EB8"/>
    <w:rsid w:val="003130BC"/>
    <w:rsid w:val="00313154"/>
    <w:rsid w:val="003131AC"/>
    <w:rsid w:val="00313216"/>
    <w:rsid w:val="0031327F"/>
    <w:rsid w:val="003133E5"/>
    <w:rsid w:val="00313660"/>
    <w:rsid w:val="003139BB"/>
    <w:rsid w:val="00313AD3"/>
    <w:rsid w:val="00313BCE"/>
    <w:rsid w:val="00313D74"/>
    <w:rsid w:val="00313E2D"/>
    <w:rsid w:val="00313E7B"/>
    <w:rsid w:val="0031409E"/>
    <w:rsid w:val="00314183"/>
    <w:rsid w:val="00314412"/>
    <w:rsid w:val="00314437"/>
    <w:rsid w:val="003144B5"/>
    <w:rsid w:val="0031485D"/>
    <w:rsid w:val="0031488B"/>
    <w:rsid w:val="00314932"/>
    <w:rsid w:val="00314BED"/>
    <w:rsid w:val="00314CC1"/>
    <w:rsid w:val="00314E66"/>
    <w:rsid w:val="00314E83"/>
    <w:rsid w:val="00314F61"/>
    <w:rsid w:val="00314F97"/>
    <w:rsid w:val="00315048"/>
    <w:rsid w:val="003151B8"/>
    <w:rsid w:val="003152AE"/>
    <w:rsid w:val="003152F5"/>
    <w:rsid w:val="003153AB"/>
    <w:rsid w:val="00315670"/>
    <w:rsid w:val="00315673"/>
    <w:rsid w:val="00315735"/>
    <w:rsid w:val="00315B74"/>
    <w:rsid w:val="00315B75"/>
    <w:rsid w:val="00315EBD"/>
    <w:rsid w:val="00315ED1"/>
    <w:rsid w:val="0031631C"/>
    <w:rsid w:val="00316384"/>
    <w:rsid w:val="0031651B"/>
    <w:rsid w:val="00316567"/>
    <w:rsid w:val="003166B8"/>
    <w:rsid w:val="0031682D"/>
    <w:rsid w:val="00316895"/>
    <w:rsid w:val="00316BD9"/>
    <w:rsid w:val="00316CF1"/>
    <w:rsid w:val="00316E12"/>
    <w:rsid w:val="00316E41"/>
    <w:rsid w:val="00316EC4"/>
    <w:rsid w:val="003171D8"/>
    <w:rsid w:val="003171D9"/>
    <w:rsid w:val="003171E1"/>
    <w:rsid w:val="00317302"/>
    <w:rsid w:val="003173A0"/>
    <w:rsid w:val="0031753F"/>
    <w:rsid w:val="00317646"/>
    <w:rsid w:val="00317855"/>
    <w:rsid w:val="003178D1"/>
    <w:rsid w:val="003179B7"/>
    <w:rsid w:val="00317BC7"/>
    <w:rsid w:val="00317C54"/>
    <w:rsid w:val="00317C64"/>
    <w:rsid w:val="00317DBA"/>
    <w:rsid w:val="00317E4A"/>
    <w:rsid w:val="0032005E"/>
    <w:rsid w:val="003200BA"/>
    <w:rsid w:val="00320273"/>
    <w:rsid w:val="0032047C"/>
    <w:rsid w:val="003204EF"/>
    <w:rsid w:val="00320707"/>
    <w:rsid w:val="00320946"/>
    <w:rsid w:val="00320947"/>
    <w:rsid w:val="00320A18"/>
    <w:rsid w:val="00320C38"/>
    <w:rsid w:val="00320D0B"/>
    <w:rsid w:val="003212BB"/>
    <w:rsid w:val="00321428"/>
    <w:rsid w:val="003216E9"/>
    <w:rsid w:val="0032175B"/>
    <w:rsid w:val="00321813"/>
    <w:rsid w:val="00321916"/>
    <w:rsid w:val="00321958"/>
    <w:rsid w:val="003219C0"/>
    <w:rsid w:val="00321CF6"/>
    <w:rsid w:val="00321E48"/>
    <w:rsid w:val="00321F0E"/>
    <w:rsid w:val="00322014"/>
    <w:rsid w:val="00322259"/>
    <w:rsid w:val="00322471"/>
    <w:rsid w:val="0032266E"/>
    <w:rsid w:val="003229A2"/>
    <w:rsid w:val="00322AEA"/>
    <w:rsid w:val="00322B6A"/>
    <w:rsid w:val="00322B7F"/>
    <w:rsid w:val="00322BE5"/>
    <w:rsid w:val="00322C7D"/>
    <w:rsid w:val="00322CC3"/>
    <w:rsid w:val="00322CCA"/>
    <w:rsid w:val="00322D46"/>
    <w:rsid w:val="00322DB4"/>
    <w:rsid w:val="00323049"/>
    <w:rsid w:val="00323147"/>
    <w:rsid w:val="00323287"/>
    <w:rsid w:val="0032341A"/>
    <w:rsid w:val="00323522"/>
    <w:rsid w:val="00323725"/>
    <w:rsid w:val="00323740"/>
    <w:rsid w:val="0032388E"/>
    <w:rsid w:val="0032396A"/>
    <w:rsid w:val="003239EC"/>
    <w:rsid w:val="00323CC4"/>
    <w:rsid w:val="00323DFD"/>
    <w:rsid w:val="00323E69"/>
    <w:rsid w:val="0032400C"/>
    <w:rsid w:val="003240A5"/>
    <w:rsid w:val="003242C7"/>
    <w:rsid w:val="00324398"/>
    <w:rsid w:val="0032461E"/>
    <w:rsid w:val="00324980"/>
    <w:rsid w:val="0032498A"/>
    <w:rsid w:val="00324A86"/>
    <w:rsid w:val="00324EDA"/>
    <w:rsid w:val="00324EEB"/>
    <w:rsid w:val="0032502F"/>
    <w:rsid w:val="00325045"/>
    <w:rsid w:val="003250F3"/>
    <w:rsid w:val="003253F2"/>
    <w:rsid w:val="003255C5"/>
    <w:rsid w:val="00325777"/>
    <w:rsid w:val="0032578D"/>
    <w:rsid w:val="00325968"/>
    <w:rsid w:val="00325A43"/>
    <w:rsid w:val="00325A52"/>
    <w:rsid w:val="00325B68"/>
    <w:rsid w:val="00325F78"/>
    <w:rsid w:val="00326044"/>
    <w:rsid w:val="0032605F"/>
    <w:rsid w:val="0032610A"/>
    <w:rsid w:val="003262EF"/>
    <w:rsid w:val="00326356"/>
    <w:rsid w:val="003264A0"/>
    <w:rsid w:val="0032680F"/>
    <w:rsid w:val="00326866"/>
    <w:rsid w:val="003268D5"/>
    <w:rsid w:val="003269DD"/>
    <w:rsid w:val="00326ABC"/>
    <w:rsid w:val="00326CD3"/>
    <w:rsid w:val="00326DD3"/>
    <w:rsid w:val="00326E8D"/>
    <w:rsid w:val="00326E94"/>
    <w:rsid w:val="00326EAE"/>
    <w:rsid w:val="00327103"/>
    <w:rsid w:val="00327134"/>
    <w:rsid w:val="00327230"/>
    <w:rsid w:val="0032725A"/>
    <w:rsid w:val="0032755B"/>
    <w:rsid w:val="00327714"/>
    <w:rsid w:val="0032786C"/>
    <w:rsid w:val="00327914"/>
    <w:rsid w:val="00327AB1"/>
    <w:rsid w:val="00327CBF"/>
    <w:rsid w:val="00330093"/>
    <w:rsid w:val="003301E7"/>
    <w:rsid w:val="003302C6"/>
    <w:rsid w:val="003305CD"/>
    <w:rsid w:val="003306B5"/>
    <w:rsid w:val="0033077A"/>
    <w:rsid w:val="00330789"/>
    <w:rsid w:val="00330835"/>
    <w:rsid w:val="00330840"/>
    <w:rsid w:val="00330962"/>
    <w:rsid w:val="00330CC5"/>
    <w:rsid w:val="00330D8E"/>
    <w:rsid w:val="003310A7"/>
    <w:rsid w:val="0033124E"/>
    <w:rsid w:val="003312DB"/>
    <w:rsid w:val="00331407"/>
    <w:rsid w:val="0033150D"/>
    <w:rsid w:val="00331560"/>
    <w:rsid w:val="00331638"/>
    <w:rsid w:val="0033193D"/>
    <w:rsid w:val="00331BAB"/>
    <w:rsid w:val="00331CA5"/>
    <w:rsid w:val="00331CBF"/>
    <w:rsid w:val="00331D33"/>
    <w:rsid w:val="00331E09"/>
    <w:rsid w:val="00331EFB"/>
    <w:rsid w:val="0033221E"/>
    <w:rsid w:val="00332596"/>
    <w:rsid w:val="0033262F"/>
    <w:rsid w:val="00332646"/>
    <w:rsid w:val="0033268C"/>
    <w:rsid w:val="00332A38"/>
    <w:rsid w:val="00332B55"/>
    <w:rsid w:val="00332C6A"/>
    <w:rsid w:val="00332CDB"/>
    <w:rsid w:val="00332E5C"/>
    <w:rsid w:val="00333001"/>
    <w:rsid w:val="0033300F"/>
    <w:rsid w:val="00333183"/>
    <w:rsid w:val="0033320D"/>
    <w:rsid w:val="00333423"/>
    <w:rsid w:val="00333598"/>
    <w:rsid w:val="00333639"/>
    <w:rsid w:val="0033375A"/>
    <w:rsid w:val="00333804"/>
    <w:rsid w:val="0033381E"/>
    <w:rsid w:val="00333906"/>
    <w:rsid w:val="0033395B"/>
    <w:rsid w:val="003339AE"/>
    <w:rsid w:val="003339BC"/>
    <w:rsid w:val="00333B80"/>
    <w:rsid w:val="00333CF3"/>
    <w:rsid w:val="00333E55"/>
    <w:rsid w:val="00333FB3"/>
    <w:rsid w:val="00334099"/>
    <w:rsid w:val="00334132"/>
    <w:rsid w:val="003341C6"/>
    <w:rsid w:val="0033425F"/>
    <w:rsid w:val="00334340"/>
    <w:rsid w:val="003344F4"/>
    <w:rsid w:val="00334525"/>
    <w:rsid w:val="00334622"/>
    <w:rsid w:val="00334BE3"/>
    <w:rsid w:val="00334C54"/>
    <w:rsid w:val="00334F51"/>
    <w:rsid w:val="00335029"/>
    <w:rsid w:val="003350BB"/>
    <w:rsid w:val="00335121"/>
    <w:rsid w:val="0033532E"/>
    <w:rsid w:val="00335537"/>
    <w:rsid w:val="003358E8"/>
    <w:rsid w:val="00335911"/>
    <w:rsid w:val="00335980"/>
    <w:rsid w:val="00335A29"/>
    <w:rsid w:val="00335AE8"/>
    <w:rsid w:val="00335D19"/>
    <w:rsid w:val="00335EFB"/>
    <w:rsid w:val="00336122"/>
    <w:rsid w:val="003361E8"/>
    <w:rsid w:val="0033628C"/>
    <w:rsid w:val="00336351"/>
    <w:rsid w:val="003363CE"/>
    <w:rsid w:val="003364F3"/>
    <w:rsid w:val="003365C2"/>
    <w:rsid w:val="00336C86"/>
    <w:rsid w:val="00336E05"/>
    <w:rsid w:val="00336E26"/>
    <w:rsid w:val="00336E86"/>
    <w:rsid w:val="00336EC0"/>
    <w:rsid w:val="00336F2A"/>
    <w:rsid w:val="00337010"/>
    <w:rsid w:val="003370AD"/>
    <w:rsid w:val="00337170"/>
    <w:rsid w:val="00337503"/>
    <w:rsid w:val="00337644"/>
    <w:rsid w:val="00337661"/>
    <w:rsid w:val="00337888"/>
    <w:rsid w:val="003378E1"/>
    <w:rsid w:val="00337B99"/>
    <w:rsid w:val="00337BCA"/>
    <w:rsid w:val="00337C72"/>
    <w:rsid w:val="0034006B"/>
    <w:rsid w:val="00340073"/>
    <w:rsid w:val="00340290"/>
    <w:rsid w:val="00340328"/>
    <w:rsid w:val="0034035E"/>
    <w:rsid w:val="003403FC"/>
    <w:rsid w:val="003404FB"/>
    <w:rsid w:val="003407A5"/>
    <w:rsid w:val="0034090A"/>
    <w:rsid w:val="0034098E"/>
    <w:rsid w:val="003409A0"/>
    <w:rsid w:val="00340CDF"/>
    <w:rsid w:val="00340CFB"/>
    <w:rsid w:val="00340D99"/>
    <w:rsid w:val="00340E34"/>
    <w:rsid w:val="00340F71"/>
    <w:rsid w:val="003410AA"/>
    <w:rsid w:val="003410EB"/>
    <w:rsid w:val="0034130B"/>
    <w:rsid w:val="003417BE"/>
    <w:rsid w:val="00341CB1"/>
    <w:rsid w:val="00341D47"/>
    <w:rsid w:val="00342284"/>
    <w:rsid w:val="003423FD"/>
    <w:rsid w:val="003426D4"/>
    <w:rsid w:val="003428BD"/>
    <w:rsid w:val="003428C0"/>
    <w:rsid w:val="003429CF"/>
    <w:rsid w:val="00342B9D"/>
    <w:rsid w:val="00342CB2"/>
    <w:rsid w:val="00342D14"/>
    <w:rsid w:val="00342F15"/>
    <w:rsid w:val="0034310E"/>
    <w:rsid w:val="00343173"/>
    <w:rsid w:val="003433A9"/>
    <w:rsid w:val="0034342B"/>
    <w:rsid w:val="00343548"/>
    <w:rsid w:val="00343612"/>
    <w:rsid w:val="003438A3"/>
    <w:rsid w:val="00343A9A"/>
    <w:rsid w:val="00343AAF"/>
    <w:rsid w:val="00343AED"/>
    <w:rsid w:val="00343AEF"/>
    <w:rsid w:val="00343B07"/>
    <w:rsid w:val="00343CCA"/>
    <w:rsid w:val="00343DCD"/>
    <w:rsid w:val="00343E26"/>
    <w:rsid w:val="00343E44"/>
    <w:rsid w:val="00343FF9"/>
    <w:rsid w:val="0034409C"/>
    <w:rsid w:val="003440D3"/>
    <w:rsid w:val="0034412B"/>
    <w:rsid w:val="0034417B"/>
    <w:rsid w:val="0034418E"/>
    <w:rsid w:val="00344697"/>
    <w:rsid w:val="003446AB"/>
    <w:rsid w:val="00344779"/>
    <w:rsid w:val="00344996"/>
    <w:rsid w:val="003449E8"/>
    <w:rsid w:val="00344A1B"/>
    <w:rsid w:val="00344D60"/>
    <w:rsid w:val="00344D74"/>
    <w:rsid w:val="00344E33"/>
    <w:rsid w:val="00344F7B"/>
    <w:rsid w:val="00345444"/>
    <w:rsid w:val="0034548A"/>
    <w:rsid w:val="003457EA"/>
    <w:rsid w:val="003459F3"/>
    <w:rsid w:val="00345A9E"/>
    <w:rsid w:val="00345BC7"/>
    <w:rsid w:val="00345BCF"/>
    <w:rsid w:val="00345CA6"/>
    <w:rsid w:val="00345DBA"/>
    <w:rsid w:val="00345F7C"/>
    <w:rsid w:val="00345F8D"/>
    <w:rsid w:val="00346036"/>
    <w:rsid w:val="003460DC"/>
    <w:rsid w:val="003462FD"/>
    <w:rsid w:val="00346373"/>
    <w:rsid w:val="003463D1"/>
    <w:rsid w:val="003463D5"/>
    <w:rsid w:val="00346701"/>
    <w:rsid w:val="0034677F"/>
    <w:rsid w:val="0034682A"/>
    <w:rsid w:val="00346864"/>
    <w:rsid w:val="00346957"/>
    <w:rsid w:val="00346AD6"/>
    <w:rsid w:val="00346C13"/>
    <w:rsid w:val="00346ECB"/>
    <w:rsid w:val="00346FDA"/>
    <w:rsid w:val="00347094"/>
    <w:rsid w:val="0034710B"/>
    <w:rsid w:val="00347189"/>
    <w:rsid w:val="0034731F"/>
    <w:rsid w:val="00347455"/>
    <w:rsid w:val="00347790"/>
    <w:rsid w:val="00347818"/>
    <w:rsid w:val="003478F9"/>
    <w:rsid w:val="00347905"/>
    <w:rsid w:val="00347A10"/>
    <w:rsid w:val="00347B77"/>
    <w:rsid w:val="00347C69"/>
    <w:rsid w:val="00347ECE"/>
    <w:rsid w:val="00350084"/>
    <w:rsid w:val="003501DB"/>
    <w:rsid w:val="003501F6"/>
    <w:rsid w:val="00350453"/>
    <w:rsid w:val="00350555"/>
    <w:rsid w:val="00350569"/>
    <w:rsid w:val="00350578"/>
    <w:rsid w:val="0035059F"/>
    <w:rsid w:val="003505BA"/>
    <w:rsid w:val="00350854"/>
    <w:rsid w:val="00350A1B"/>
    <w:rsid w:val="00350B5A"/>
    <w:rsid w:val="00350D58"/>
    <w:rsid w:val="00351243"/>
    <w:rsid w:val="0035126A"/>
    <w:rsid w:val="003516EA"/>
    <w:rsid w:val="003517E0"/>
    <w:rsid w:val="00351B16"/>
    <w:rsid w:val="00351C30"/>
    <w:rsid w:val="00351DA9"/>
    <w:rsid w:val="0035205A"/>
    <w:rsid w:val="00352150"/>
    <w:rsid w:val="003522CD"/>
    <w:rsid w:val="00352490"/>
    <w:rsid w:val="00352668"/>
    <w:rsid w:val="003527FE"/>
    <w:rsid w:val="0035289D"/>
    <w:rsid w:val="003529EF"/>
    <w:rsid w:val="00352A05"/>
    <w:rsid w:val="00352ADC"/>
    <w:rsid w:val="00352D1B"/>
    <w:rsid w:val="00352E47"/>
    <w:rsid w:val="00352E7A"/>
    <w:rsid w:val="00353195"/>
    <w:rsid w:val="00353200"/>
    <w:rsid w:val="0035331F"/>
    <w:rsid w:val="0035358D"/>
    <w:rsid w:val="0035367A"/>
    <w:rsid w:val="003536AB"/>
    <w:rsid w:val="0035378B"/>
    <w:rsid w:val="00353918"/>
    <w:rsid w:val="00353B43"/>
    <w:rsid w:val="00353C19"/>
    <w:rsid w:val="00353EA4"/>
    <w:rsid w:val="00353F8C"/>
    <w:rsid w:val="0035403F"/>
    <w:rsid w:val="00354277"/>
    <w:rsid w:val="0035435B"/>
    <w:rsid w:val="00354439"/>
    <w:rsid w:val="00354652"/>
    <w:rsid w:val="00354697"/>
    <w:rsid w:val="003546EC"/>
    <w:rsid w:val="0035493D"/>
    <w:rsid w:val="00354A06"/>
    <w:rsid w:val="00354B82"/>
    <w:rsid w:val="00354BEC"/>
    <w:rsid w:val="00354BF2"/>
    <w:rsid w:val="00354D27"/>
    <w:rsid w:val="00354DD9"/>
    <w:rsid w:val="00354E28"/>
    <w:rsid w:val="00354EB5"/>
    <w:rsid w:val="00354F93"/>
    <w:rsid w:val="00354FBB"/>
    <w:rsid w:val="00355457"/>
    <w:rsid w:val="00355541"/>
    <w:rsid w:val="003556A6"/>
    <w:rsid w:val="00355763"/>
    <w:rsid w:val="00355B47"/>
    <w:rsid w:val="00355BDE"/>
    <w:rsid w:val="00355C43"/>
    <w:rsid w:val="00355D01"/>
    <w:rsid w:val="00355E1C"/>
    <w:rsid w:val="003560EE"/>
    <w:rsid w:val="003563A1"/>
    <w:rsid w:val="00356413"/>
    <w:rsid w:val="0035660C"/>
    <w:rsid w:val="0035679A"/>
    <w:rsid w:val="003568E1"/>
    <w:rsid w:val="00356A7C"/>
    <w:rsid w:val="00356A85"/>
    <w:rsid w:val="00356ADB"/>
    <w:rsid w:val="00356AE0"/>
    <w:rsid w:val="00356C70"/>
    <w:rsid w:val="00356C96"/>
    <w:rsid w:val="00356EDF"/>
    <w:rsid w:val="00357078"/>
    <w:rsid w:val="00357176"/>
    <w:rsid w:val="00357362"/>
    <w:rsid w:val="00357402"/>
    <w:rsid w:val="0035742F"/>
    <w:rsid w:val="003574A0"/>
    <w:rsid w:val="00357559"/>
    <w:rsid w:val="0035759C"/>
    <w:rsid w:val="003575C1"/>
    <w:rsid w:val="00357ADA"/>
    <w:rsid w:val="00357C84"/>
    <w:rsid w:val="00360083"/>
    <w:rsid w:val="00360221"/>
    <w:rsid w:val="00360228"/>
    <w:rsid w:val="003602B9"/>
    <w:rsid w:val="003603CC"/>
    <w:rsid w:val="003604B5"/>
    <w:rsid w:val="003606C6"/>
    <w:rsid w:val="0036071E"/>
    <w:rsid w:val="00360727"/>
    <w:rsid w:val="00360AC7"/>
    <w:rsid w:val="00360B10"/>
    <w:rsid w:val="00360C14"/>
    <w:rsid w:val="00360F60"/>
    <w:rsid w:val="00361046"/>
    <w:rsid w:val="003615E1"/>
    <w:rsid w:val="0036163B"/>
    <w:rsid w:val="00361746"/>
    <w:rsid w:val="00361754"/>
    <w:rsid w:val="003619D8"/>
    <w:rsid w:val="00361A0F"/>
    <w:rsid w:val="00361A25"/>
    <w:rsid w:val="00361BDE"/>
    <w:rsid w:val="0036217D"/>
    <w:rsid w:val="003622E7"/>
    <w:rsid w:val="0036231A"/>
    <w:rsid w:val="00362341"/>
    <w:rsid w:val="00362458"/>
    <w:rsid w:val="0036265F"/>
    <w:rsid w:val="00362800"/>
    <w:rsid w:val="00362E47"/>
    <w:rsid w:val="00363210"/>
    <w:rsid w:val="00363321"/>
    <w:rsid w:val="00363770"/>
    <w:rsid w:val="00363780"/>
    <w:rsid w:val="00363A34"/>
    <w:rsid w:val="00363AFD"/>
    <w:rsid w:val="00363C5E"/>
    <w:rsid w:val="00363DA0"/>
    <w:rsid w:val="00363ECD"/>
    <w:rsid w:val="00363ED6"/>
    <w:rsid w:val="00363F19"/>
    <w:rsid w:val="00363FC4"/>
    <w:rsid w:val="0036406B"/>
    <w:rsid w:val="00364194"/>
    <w:rsid w:val="003641CB"/>
    <w:rsid w:val="003643C5"/>
    <w:rsid w:val="00364498"/>
    <w:rsid w:val="003645FD"/>
    <w:rsid w:val="0036465B"/>
    <w:rsid w:val="00364951"/>
    <w:rsid w:val="003649E5"/>
    <w:rsid w:val="00364A1E"/>
    <w:rsid w:val="00364AD4"/>
    <w:rsid w:val="00364C04"/>
    <w:rsid w:val="00364C78"/>
    <w:rsid w:val="00364D1C"/>
    <w:rsid w:val="00364F07"/>
    <w:rsid w:val="00364F5D"/>
    <w:rsid w:val="0036511B"/>
    <w:rsid w:val="0036532D"/>
    <w:rsid w:val="003655FC"/>
    <w:rsid w:val="0036572A"/>
    <w:rsid w:val="0036598C"/>
    <w:rsid w:val="00365B47"/>
    <w:rsid w:val="00365C16"/>
    <w:rsid w:val="00365F51"/>
    <w:rsid w:val="00365F81"/>
    <w:rsid w:val="00365F82"/>
    <w:rsid w:val="00366035"/>
    <w:rsid w:val="0036605E"/>
    <w:rsid w:val="003660D7"/>
    <w:rsid w:val="00366171"/>
    <w:rsid w:val="00366386"/>
    <w:rsid w:val="0036649D"/>
    <w:rsid w:val="003665B8"/>
    <w:rsid w:val="003668E6"/>
    <w:rsid w:val="00366F95"/>
    <w:rsid w:val="003670B8"/>
    <w:rsid w:val="0036712B"/>
    <w:rsid w:val="0036729F"/>
    <w:rsid w:val="003672BB"/>
    <w:rsid w:val="003674F3"/>
    <w:rsid w:val="00367715"/>
    <w:rsid w:val="003678A6"/>
    <w:rsid w:val="003679D9"/>
    <w:rsid w:val="00367A9F"/>
    <w:rsid w:val="00367AB0"/>
    <w:rsid w:val="00367B80"/>
    <w:rsid w:val="00367C54"/>
    <w:rsid w:val="00367E1C"/>
    <w:rsid w:val="00370140"/>
    <w:rsid w:val="0037014B"/>
    <w:rsid w:val="00370210"/>
    <w:rsid w:val="00370212"/>
    <w:rsid w:val="0037028D"/>
    <w:rsid w:val="00370506"/>
    <w:rsid w:val="003705E8"/>
    <w:rsid w:val="003707C5"/>
    <w:rsid w:val="00370850"/>
    <w:rsid w:val="00370AF9"/>
    <w:rsid w:val="00370BB2"/>
    <w:rsid w:val="00370C2B"/>
    <w:rsid w:val="00370D5F"/>
    <w:rsid w:val="00370F82"/>
    <w:rsid w:val="00370FB4"/>
    <w:rsid w:val="0037100F"/>
    <w:rsid w:val="00371065"/>
    <w:rsid w:val="00371139"/>
    <w:rsid w:val="00371147"/>
    <w:rsid w:val="00371265"/>
    <w:rsid w:val="003714FC"/>
    <w:rsid w:val="00371583"/>
    <w:rsid w:val="00371748"/>
    <w:rsid w:val="003717CE"/>
    <w:rsid w:val="003718D5"/>
    <w:rsid w:val="003718E9"/>
    <w:rsid w:val="00371BDB"/>
    <w:rsid w:val="00371C20"/>
    <w:rsid w:val="00371DB0"/>
    <w:rsid w:val="00371E6F"/>
    <w:rsid w:val="00371FDE"/>
    <w:rsid w:val="00372097"/>
    <w:rsid w:val="003720A2"/>
    <w:rsid w:val="00372375"/>
    <w:rsid w:val="003723E7"/>
    <w:rsid w:val="0037292E"/>
    <w:rsid w:val="003729F0"/>
    <w:rsid w:val="00372B34"/>
    <w:rsid w:val="00372BA6"/>
    <w:rsid w:val="00372BCD"/>
    <w:rsid w:val="00372BFC"/>
    <w:rsid w:val="0037302D"/>
    <w:rsid w:val="00373417"/>
    <w:rsid w:val="00373454"/>
    <w:rsid w:val="00373572"/>
    <w:rsid w:val="00373642"/>
    <w:rsid w:val="00373657"/>
    <w:rsid w:val="003736E9"/>
    <w:rsid w:val="0037370D"/>
    <w:rsid w:val="00373719"/>
    <w:rsid w:val="00373723"/>
    <w:rsid w:val="003737BC"/>
    <w:rsid w:val="003739B6"/>
    <w:rsid w:val="00373BFF"/>
    <w:rsid w:val="00373C5E"/>
    <w:rsid w:val="00373DCA"/>
    <w:rsid w:val="00373E02"/>
    <w:rsid w:val="00373E57"/>
    <w:rsid w:val="0037405F"/>
    <w:rsid w:val="00374239"/>
    <w:rsid w:val="00374578"/>
    <w:rsid w:val="003747E5"/>
    <w:rsid w:val="0037482B"/>
    <w:rsid w:val="003748C1"/>
    <w:rsid w:val="003748DB"/>
    <w:rsid w:val="00374B78"/>
    <w:rsid w:val="00374CBE"/>
    <w:rsid w:val="00374EF9"/>
    <w:rsid w:val="00374FC7"/>
    <w:rsid w:val="0037518B"/>
    <w:rsid w:val="0037525B"/>
    <w:rsid w:val="003752CA"/>
    <w:rsid w:val="003753D9"/>
    <w:rsid w:val="00375540"/>
    <w:rsid w:val="0037568F"/>
    <w:rsid w:val="003756A5"/>
    <w:rsid w:val="003756BE"/>
    <w:rsid w:val="0037572E"/>
    <w:rsid w:val="003759B3"/>
    <w:rsid w:val="003759FA"/>
    <w:rsid w:val="00375B08"/>
    <w:rsid w:val="00375BC2"/>
    <w:rsid w:val="00375F17"/>
    <w:rsid w:val="00375F2D"/>
    <w:rsid w:val="00376059"/>
    <w:rsid w:val="00376547"/>
    <w:rsid w:val="00376782"/>
    <w:rsid w:val="003767D2"/>
    <w:rsid w:val="003769DF"/>
    <w:rsid w:val="00376A6D"/>
    <w:rsid w:val="00376D47"/>
    <w:rsid w:val="00376D69"/>
    <w:rsid w:val="00376D7E"/>
    <w:rsid w:val="00376FB0"/>
    <w:rsid w:val="0037708C"/>
    <w:rsid w:val="0037734C"/>
    <w:rsid w:val="003773E9"/>
    <w:rsid w:val="003779D7"/>
    <w:rsid w:val="00377CA8"/>
    <w:rsid w:val="00377D6B"/>
    <w:rsid w:val="00377DBA"/>
    <w:rsid w:val="00377DF7"/>
    <w:rsid w:val="00377E20"/>
    <w:rsid w:val="00377E52"/>
    <w:rsid w:val="00377FBD"/>
    <w:rsid w:val="00380093"/>
    <w:rsid w:val="003800C3"/>
    <w:rsid w:val="00380200"/>
    <w:rsid w:val="0038052E"/>
    <w:rsid w:val="00380555"/>
    <w:rsid w:val="0038056E"/>
    <w:rsid w:val="0038075D"/>
    <w:rsid w:val="00380773"/>
    <w:rsid w:val="00380856"/>
    <w:rsid w:val="00380956"/>
    <w:rsid w:val="00380D10"/>
    <w:rsid w:val="00380D81"/>
    <w:rsid w:val="00380DDA"/>
    <w:rsid w:val="00380EA6"/>
    <w:rsid w:val="00380F62"/>
    <w:rsid w:val="00380F6F"/>
    <w:rsid w:val="003810A9"/>
    <w:rsid w:val="003810C0"/>
    <w:rsid w:val="00381249"/>
    <w:rsid w:val="003814C2"/>
    <w:rsid w:val="0038185C"/>
    <w:rsid w:val="003818B4"/>
    <w:rsid w:val="003818B8"/>
    <w:rsid w:val="003818F2"/>
    <w:rsid w:val="003819D3"/>
    <w:rsid w:val="00381CE5"/>
    <w:rsid w:val="00381E73"/>
    <w:rsid w:val="00381F3C"/>
    <w:rsid w:val="00381FBE"/>
    <w:rsid w:val="003820BD"/>
    <w:rsid w:val="00382166"/>
    <w:rsid w:val="003821DA"/>
    <w:rsid w:val="00382272"/>
    <w:rsid w:val="003822F0"/>
    <w:rsid w:val="00382318"/>
    <w:rsid w:val="003823C9"/>
    <w:rsid w:val="00382407"/>
    <w:rsid w:val="00382484"/>
    <w:rsid w:val="00382706"/>
    <w:rsid w:val="003827E2"/>
    <w:rsid w:val="003828A7"/>
    <w:rsid w:val="0038297F"/>
    <w:rsid w:val="00382CBE"/>
    <w:rsid w:val="00382DC0"/>
    <w:rsid w:val="00382FC5"/>
    <w:rsid w:val="00382FD5"/>
    <w:rsid w:val="003833C5"/>
    <w:rsid w:val="003833FD"/>
    <w:rsid w:val="003834F3"/>
    <w:rsid w:val="003835B7"/>
    <w:rsid w:val="003835EE"/>
    <w:rsid w:val="00383712"/>
    <w:rsid w:val="00383789"/>
    <w:rsid w:val="003839F0"/>
    <w:rsid w:val="00383B9A"/>
    <w:rsid w:val="00383C7D"/>
    <w:rsid w:val="00383D70"/>
    <w:rsid w:val="00383DB3"/>
    <w:rsid w:val="00383E4E"/>
    <w:rsid w:val="00383F71"/>
    <w:rsid w:val="00383F99"/>
    <w:rsid w:val="003843C6"/>
    <w:rsid w:val="003844BE"/>
    <w:rsid w:val="003844DD"/>
    <w:rsid w:val="00384523"/>
    <w:rsid w:val="003847CE"/>
    <w:rsid w:val="00384889"/>
    <w:rsid w:val="003848C8"/>
    <w:rsid w:val="003848DC"/>
    <w:rsid w:val="003848FB"/>
    <w:rsid w:val="00384ABF"/>
    <w:rsid w:val="00384CCB"/>
    <w:rsid w:val="00384F70"/>
    <w:rsid w:val="00384F8B"/>
    <w:rsid w:val="00385069"/>
    <w:rsid w:val="003850D4"/>
    <w:rsid w:val="003851AA"/>
    <w:rsid w:val="0038529A"/>
    <w:rsid w:val="0038543F"/>
    <w:rsid w:val="00385481"/>
    <w:rsid w:val="00385511"/>
    <w:rsid w:val="00385616"/>
    <w:rsid w:val="003858A6"/>
    <w:rsid w:val="00385911"/>
    <w:rsid w:val="00385941"/>
    <w:rsid w:val="0038598F"/>
    <w:rsid w:val="00385BD3"/>
    <w:rsid w:val="00385EA6"/>
    <w:rsid w:val="00385ECB"/>
    <w:rsid w:val="00385F16"/>
    <w:rsid w:val="00386037"/>
    <w:rsid w:val="003861D0"/>
    <w:rsid w:val="00386385"/>
    <w:rsid w:val="0038649C"/>
    <w:rsid w:val="00386907"/>
    <w:rsid w:val="00386960"/>
    <w:rsid w:val="00386A3F"/>
    <w:rsid w:val="00386B6A"/>
    <w:rsid w:val="00386D35"/>
    <w:rsid w:val="00386E70"/>
    <w:rsid w:val="00386F8F"/>
    <w:rsid w:val="00387116"/>
    <w:rsid w:val="0038749B"/>
    <w:rsid w:val="003875CF"/>
    <w:rsid w:val="003875D5"/>
    <w:rsid w:val="00387658"/>
    <w:rsid w:val="00387790"/>
    <w:rsid w:val="003879C8"/>
    <w:rsid w:val="00387BFA"/>
    <w:rsid w:val="00387CE4"/>
    <w:rsid w:val="00387D35"/>
    <w:rsid w:val="00387D8D"/>
    <w:rsid w:val="00387EDE"/>
    <w:rsid w:val="00387FC1"/>
    <w:rsid w:val="0039011B"/>
    <w:rsid w:val="003902CD"/>
    <w:rsid w:val="003902D2"/>
    <w:rsid w:val="00390348"/>
    <w:rsid w:val="0039043B"/>
    <w:rsid w:val="00390461"/>
    <w:rsid w:val="003905E1"/>
    <w:rsid w:val="00390931"/>
    <w:rsid w:val="00390A39"/>
    <w:rsid w:val="00390CE2"/>
    <w:rsid w:val="00390CE6"/>
    <w:rsid w:val="00390DC1"/>
    <w:rsid w:val="00390F20"/>
    <w:rsid w:val="003911EB"/>
    <w:rsid w:val="003911F3"/>
    <w:rsid w:val="0039143C"/>
    <w:rsid w:val="00391798"/>
    <w:rsid w:val="003917A0"/>
    <w:rsid w:val="003917BE"/>
    <w:rsid w:val="00391914"/>
    <w:rsid w:val="003919A0"/>
    <w:rsid w:val="003919AA"/>
    <w:rsid w:val="00391EDB"/>
    <w:rsid w:val="0039209F"/>
    <w:rsid w:val="0039224B"/>
    <w:rsid w:val="003922D1"/>
    <w:rsid w:val="00392434"/>
    <w:rsid w:val="0039263C"/>
    <w:rsid w:val="00392665"/>
    <w:rsid w:val="00392982"/>
    <w:rsid w:val="00392A1B"/>
    <w:rsid w:val="00392A8B"/>
    <w:rsid w:val="00392B8E"/>
    <w:rsid w:val="00392D18"/>
    <w:rsid w:val="00392D59"/>
    <w:rsid w:val="00392D68"/>
    <w:rsid w:val="00392DCC"/>
    <w:rsid w:val="00392EFC"/>
    <w:rsid w:val="00392F91"/>
    <w:rsid w:val="003930B0"/>
    <w:rsid w:val="003930CE"/>
    <w:rsid w:val="00393142"/>
    <w:rsid w:val="0039324B"/>
    <w:rsid w:val="003933DA"/>
    <w:rsid w:val="003933FB"/>
    <w:rsid w:val="0039342E"/>
    <w:rsid w:val="00393527"/>
    <w:rsid w:val="003936B4"/>
    <w:rsid w:val="0039386C"/>
    <w:rsid w:val="00393A86"/>
    <w:rsid w:val="00393BD2"/>
    <w:rsid w:val="00393C43"/>
    <w:rsid w:val="00393EDC"/>
    <w:rsid w:val="00394019"/>
    <w:rsid w:val="003942F6"/>
    <w:rsid w:val="00394424"/>
    <w:rsid w:val="00394928"/>
    <w:rsid w:val="003949AF"/>
    <w:rsid w:val="003949D3"/>
    <w:rsid w:val="00394AF3"/>
    <w:rsid w:val="00394B2D"/>
    <w:rsid w:val="00394C46"/>
    <w:rsid w:val="00394CF4"/>
    <w:rsid w:val="00395007"/>
    <w:rsid w:val="003952E6"/>
    <w:rsid w:val="00395363"/>
    <w:rsid w:val="003953FB"/>
    <w:rsid w:val="003956B7"/>
    <w:rsid w:val="003958E7"/>
    <w:rsid w:val="00395937"/>
    <w:rsid w:val="00395955"/>
    <w:rsid w:val="00395BF0"/>
    <w:rsid w:val="00395C92"/>
    <w:rsid w:val="00395C99"/>
    <w:rsid w:val="00395D26"/>
    <w:rsid w:val="00395D6B"/>
    <w:rsid w:val="00395EEE"/>
    <w:rsid w:val="00395FC6"/>
    <w:rsid w:val="00396227"/>
    <w:rsid w:val="00396298"/>
    <w:rsid w:val="00396350"/>
    <w:rsid w:val="00396365"/>
    <w:rsid w:val="0039636F"/>
    <w:rsid w:val="0039661F"/>
    <w:rsid w:val="00396651"/>
    <w:rsid w:val="003968B5"/>
    <w:rsid w:val="003968DB"/>
    <w:rsid w:val="003968F0"/>
    <w:rsid w:val="00396937"/>
    <w:rsid w:val="00396D87"/>
    <w:rsid w:val="00396DE0"/>
    <w:rsid w:val="00397086"/>
    <w:rsid w:val="0039718E"/>
    <w:rsid w:val="003971FD"/>
    <w:rsid w:val="0039732A"/>
    <w:rsid w:val="00397367"/>
    <w:rsid w:val="00397381"/>
    <w:rsid w:val="003974C4"/>
    <w:rsid w:val="003976CC"/>
    <w:rsid w:val="00397939"/>
    <w:rsid w:val="00397C38"/>
    <w:rsid w:val="00397D79"/>
    <w:rsid w:val="00397DB3"/>
    <w:rsid w:val="00397DD7"/>
    <w:rsid w:val="00397DFC"/>
    <w:rsid w:val="003A0177"/>
    <w:rsid w:val="003A02C4"/>
    <w:rsid w:val="003A04A1"/>
    <w:rsid w:val="003A0565"/>
    <w:rsid w:val="003A077E"/>
    <w:rsid w:val="003A0847"/>
    <w:rsid w:val="003A097C"/>
    <w:rsid w:val="003A0A31"/>
    <w:rsid w:val="003A0C15"/>
    <w:rsid w:val="003A0C5F"/>
    <w:rsid w:val="003A1116"/>
    <w:rsid w:val="003A1135"/>
    <w:rsid w:val="003A12FE"/>
    <w:rsid w:val="003A1365"/>
    <w:rsid w:val="003A1415"/>
    <w:rsid w:val="003A147D"/>
    <w:rsid w:val="003A1611"/>
    <w:rsid w:val="003A164E"/>
    <w:rsid w:val="003A180E"/>
    <w:rsid w:val="003A18B0"/>
    <w:rsid w:val="003A199F"/>
    <w:rsid w:val="003A1B4D"/>
    <w:rsid w:val="003A1B84"/>
    <w:rsid w:val="003A1BBD"/>
    <w:rsid w:val="003A1D81"/>
    <w:rsid w:val="003A1E44"/>
    <w:rsid w:val="003A1EA5"/>
    <w:rsid w:val="003A1F28"/>
    <w:rsid w:val="003A212C"/>
    <w:rsid w:val="003A253E"/>
    <w:rsid w:val="003A27DE"/>
    <w:rsid w:val="003A2898"/>
    <w:rsid w:val="003A28AB"/>
    <w:rsid w:val="003A298B"/>
    <w:rsid w:val="003A2BCB"/>
    <w:rsid w:val="003A2CED"/>
    <w:rsid w:val="003A2D14"/>
    <w:rsid w:val="003A2DF8"/>
    <w:rsid w:val="003A2E5C"/>
    <w:rsid w:val="003A2FCD"/>
    <w:rsid w:val="003A3085"/>
    <w:rsid w:val="003A3126"/>
    <w:rsid w:val="003A3256"/>
    <w:rsid w:val="003A337F"/>
    <w:rsid w:val="003A3576"/>
    <w:rsid w:val="003A35A0"/>
    <w:rsid w:val="003A361B"/>
    <w:rsid w:val="003A39C4"/>
    <w:rsid w:val="003A3B2D"/>
    <w:rsid w:val="003A3BDA"/>
    <w:rsid w:val="003A3C75"/>
    <w:rsid w:val="003A3CB6"/>
    <w:rsid w:val="003A3D74"/>
    <w:rsid w:val="003A4165"/>
    <w:rsid w:val="003A423B"/>
    <w:rsid w:val="003A43F4"/>
    <w:rsid w:val="003A48BA"/>
    <w:rsid w:val="003A4991"/>
    <w:rsid w:val="003A4AB9"/>
    <w:rsid w:val="003A4C02"/>
    <w:rsid w:val="003A4CF5"/>
    <w:rsid w:val="003A4D02"/>
    <w:rsid w:val="003A4E75"/>
    <w:rsid w:val="003A4EE0"/>
    <w:rsid w:val="003A50AC"/>
    <w:rsid w:val="003A516E"/>
    <w:rsid w:val="003A51EE"/>
    <w:rsid w:val="003A53E4"/>
    <w:rsid w:val="003A5472"/>
    <w:rsid w:val="003A55D9"/>
    <w:rsid w:val="003A5723"/>
    <w:rsid w:val="003A5775"/>
    <w:rsid w:val="003A57D4"/>
    <w:rsid w:val="003A5828"/>
    <w:rsid w:val="003A58CE"/>
    <w:rsid w:val="003A5EA5"/>
    <w:rsid w:val="003A6340"/>
    <w:rsid w:val="003A63EC"/>
    <w:rsid w:val="003A64D7"/>
    <w:rsid w:val="003A6518"/>
    <w:rsid w:val="003A6530"/>
    <w:rsid w:val="003A65BD"/>
    <w:rsid w:val="003A67F9"/>
    <w:rsid w:val="003A689B"/>
    <w:rsid w:val="003A6A84"/>
    <w:rsid w:val="003A6C00"/>
    <w:rsid w:val="003A6D25"/>
    <w:rsid w:val="003A6E10"/>
    <w:rsid w:val="003A6E63"/>
    <w:rsid w:val="003A6EA2"/>
    <w:rsid w:val="003A719C"/>
    <w:rsid w:val="003A71DF"/>
    <w:rsid w:val="003A7347"/>
    <w:rsid w:val="003A7512"/>
    <w:rsid w:val="003A7C10"/>
    <w:rsid w:val="003A7C5B"/>
    <w:rsid w:val="003A7D78"/>
    <w:rsid w:val="003A7E02"/>
    <w:rsid w:val="003A7E32"/>
    <w:rsid w:val="003A7EEB"/>
    <w:rsid w:val="003A7FC9"/>
    <w:rsid w:val="003A7FCB"/>
    <w:rsid w:val="003B0049"/>
    <w:rsid w:val="003B0053"/>
    <w:rsid w:val="003B0237"/>
    <w:rsid w:val="003B04C2"/>
    <w:rsid w:val="003B065E"/>
    <w:rsid w:val="003B0737"/>
    <w:rsid w:val="003B0767"/>
    <w:rsid w:val="003B07ED"/>
    <w:rsid w:val="003B0842"/>
    <w:rsid w:val="003B0855"/>
    <w:rsid w:val="003B0962"/>
    <w:rsid w:val="003B0C00"/>
    <w:rsid w:val="003B0D71"/>
    <w:rsid w:val="003B0DF9"/>
    <w:rsid w:val="003B0E57"/>
    <w:rsid w:val="003B107F"/>
    <w:rsid w:val="003B1367"/>
    <w:rsid w:val="003B1467"/>
    <w:rsid w:val="003B1618"/>
    <w:rsid w:val="003B1827"/>
    <w:rsid w:val="003B1B75"/>
    <w:rsid w:val="003B1C4A"/>
    <w:rsid w:val="003B1CBE"/>
    <w:rsid w:val="003B1D90"/>
    <w:rsid w:val="003B1F0F"/>
    <w:rsid w:val="003B1F8F"/>
    <w:rsid w:val="003B2295"/>
    <w:rsid w:val="003B236E"/>
    <w:rsid w:val="003B23C4"/>
    <w:rsid w:val="003B23E6"/>
    <w:rsid w:val="003B24BB"/>
    <w:rsid w:val="003B24D1"/>
    <w:rsid w:val="003B253C"/>
    <w:rsid w:val="003B2588"/>
    <w:rsid w:val="003B25B9"/>
    <w:rsid w:val="003B2668"/>
    <w:rsid w:val="003B299D"/>
    <w:rsid w:val="003B2A90"/>
    <w:rsid w:val="003B2C19"/>
    <w:rsid w:val="003B2C4E"/>
    <w:rsid w:val="003B2F27"/>
    <w:rsid w:val="003B3025"/>
    <w:rsid w:val="003B322E"/>
    <w:rsid w:val="003B3411"/>
    <w:rsid w:val="003B343E"/>
    <w:rsid w:val="003B3515"/>
    <w:rsid w:val="003B352E"/>
    <w:rsid w:val="003B356C"/>
    <w:rsid w:val="003B3783"/>
    <w:rsid w:val="003B387E"/>
    <w:rsid w:val="003B3C27"/>
    <w:rsid w:val="003B3C93"/>
    <w:rsid w:val="003B3EF5"/>
    <w:rsid w:val="003B4051"/>
    <w:rsid w:val="003B43A3"/>
    <w:rsid w:val="003B44BC"/>
    <w:rsid w:val="003B4645"/>
    <w:rsid w:val="003B4A79"/>
    <w:rsid w:val="003B4B63"/>
    <w:rsid w:val="003B4EEA"/>
    <w:rsid w:val="003B4F06"/>
    <w:rsid w:val="003B50EF"/>
    <w:rsid w:val="003B53BA"/>
    <w:rsid w:val="003B548F"/>
    <w:rsid w:val="003B557A"/>
    <w:rsid w:val="003B5693"/>
    <w:rsid w:val="003B56B7"/>
    <w:rsid w:val="003B56F2"/>
    <w:rsid w:val="003B5902"/>
    <w:rsid w:val="003B5BAD"/>
    <w:rsid w:val="003B5BDF"/>
    <w:rsid w:val="003B5BFA"/>
    <w:rsid w:val="003B611D"/>
    <w:rsid w:val="003B641E"/>
    <w:rsid w:val="003B643E"/>
    <w:rsid w:val="003B67EF"/>
    <w:rsid w:val="003B6879"/>
    <w:rsid w:val="003B689E"/>
    <w:rsid w:val="003B6A26"/>
    <w:rsid w:val="003B6B0D"/>
    <w:rsid w:val="003B6BB6"/>
    <w:rsid w:val="003B6C43"/>
    <w:rsid w:val="003B704A"/>
    <w:rsid w:val="003B7074"/>
    <w:rsid w:val="003B7198"/>
    <w:rsid w:val="003B71D4"/>
    <w:rsid w:val="003B757A"/>
    <w:rsid w:val="003B7990"/>
    <w:rsid w:val="003B7B89"/>
    <w:rsid w:val="003B7D13"/>
    <w:rsid w:val="003B7D17"/>
    <w:rsid w:val="003B7D62"/>
    <w:rsid w:val="003B7DB5"/>
    <w:rsid w:val="003B7DBB"/>
    <w:rsid w:val="003B7DE3"/>
    <w:rsid w:val="003B7E39"/>
    <w:rsid w:val="003C00D1"/>
    <w:rsid w:val="003C0187"/>
    <w:rsid w:val="003C0240"/>
    <w:rsid w:val="003C0276"/>
    <w:rsid w:val="003C0467"/>
    <w:rsid w:val="003C04AA"/>
    <w:rsid w:val="003C055C"/>
    <w:rsid w:val="003C0647"/>
    <w:rsid w:val="003C082C"/>
    <w:rsid w:val="003C08C8"/>
    <w:rsid w:val="003C0938"/>
    <w:rsid w:val="003C09A0"/>
    <w:rsid w:val="003C0AAD"/>
    <w:rsid w:val="003C0B7F"/>
    <w:rsid w:val="003C0BCE"/>
    <w:rsid w:val="003C0C1C"/>
    <w:rsid w:val="003C0C6D"/>
    <w:rsid w:val="003C0D37"/>
    <w:rsid w:val="003C0E67"/>
    <w:rsid w:val="003C0FC0"/>
    <w:rsid w:val="003C0FC9"/>
    <w:rsid w:val="003C10EC"/>
    <w:rsid w:val="003C1127"/>
    <w:rsid w:val="003C1229"/>
    <w:rsid w:val="003C126F"/>
    <w:rsid w:val="003C12BE"/>
    <w:rsid w:val="003C133F"/>
    <w:rsid w:val="003C13C2"/>
    <w:rsid w:val="003C14F0"/>
    <w:rsid w:val="003C150C"/>
    <w:rsid w:val="003C1734"/>
    <w:rsid w:val="003C1889"/>
    <w:rsid w:val="003C188B"/>
    <w:rsid w:val="003C18FA"/>
    <w:rsid w:val="003C19C3"/>
    <w:rsid w:val="003C1B4E"/>
    <w:rsid w:val="003C1C03"/>
    <w:rsid w:val="003C1CF0"/>
    <w:rsid w:val="003C1D83"/>
    <w:rsid w:val="003C1F28"/>
    <w:rsid w:val="003C21E9"/>
    <w:rsid w:val="003C2222"/>
    <w:rsid w:val="003C2636"/>
    <w:rsid w:val="003C26F8"/>
    <w:rsid w:val="003C27EF"/>
    <w:rsid w:val="003C28E8"/>
    <w:rsid w:val="003C2A1E"/>
    <w:rsid w:val="003C2AF0"/>
    <w:rsid w:val="003C2B9C"/>
    <w:rsid w:val="003C2D2E"/>
    <w:rsid w:val="003C2F01"/>
    <w:rsid w:val="003C2F7D"/>
    <w:rsid w:val="003C2F92"/>
    <w:rsid w:val="003C3020"/>
    <w:rsid w:val="003C31C2"/>
    <w:rsid w:val="003C332D"/>
    <w:rsid w:val="003C3449"/>
    <w:rsid w:val="003C35FF"/>
    <w:rsid w:val="003C36E8"/>
    <w:rsid w:val="003C38B0"/>
    <w:rsid w:val="003C3909"/>
    <w:rsid w:val="003C39BE"/>
    <w:rsid w:val="003C39D1"/>
    <w:rsid w:val="003C3A44"/>
    <w:rsid w:val="003C3AB3"/>
    <w:rsid w:val="003C3AFB"/>
    <w:rsid w:val="003C3E00"/>
    <w:rsid w:val="003C3E79"/>
    <w:rsid w:val="003C40AB"/>
    <w:rsid w:val="003C418B"/>
    <w:rsid w:val="003C42EE"/>
    <w:rsid w:val="003C435F"/>
    <w:rsid w:val="003C48C5"/>
    <w:rsid w:val="003C4AE3"/>
    <w:rsid w:val="003C4D98"/>
    <w:rsid w:val="003C5229"/>
    <w:rsid w:val="003C526C"/>
    <w:rsid w:val="003C528A"/>
    <w:rsid w:val="003C54DD"/>
    <w:rsid w:val="003C5538"/>
    <w:rsid w:val="003C5633"/>
    <w:rsid w:val="003C5660"/>
    <w:rsid w:val="003C5674"/>
    <w:rsid w:val="003C569F"/>
    <w:rsid w:val="003C56B2"/>
    <w:rsid w:val="003C5931"/>
    <w:rsid w:val="003C59A6"/>
    <w:rsid w:val="003C5A93"/>
    <w:rsid w:val="003C5A97"/>
    <w:rsid w:val="003C5F73"/>
    <w:rsid w:val="003C61E7"/>
    <w:rsid w:val="003C62D3"/>
    <w:rsid w:val="003C649D"/>
    <w:rsid w:val="003C64D3"/>
    <w:rsid w:val="003C65B2"/>
    <w:rsid w:val="003C65BA"/>
    <w:rsid w:val="003C66D6"/>
    <w:rsid w:val="003C6780"/>
    <w:rsid w:val="003C678F"/>
    <w:rsid w:val="003C692C"/>
    <w:rsid w:val="003C69F3"/>
    <w:rsid w:val="003C6A3B"/>
    <w:rsid w:val="003C6A64"/>
    <w:rsid w:val="003C6AA2"/>
    <w:rsid w:val="003C6B65"/>
    <w:rsid w:val="003C6C31"/>
    <w:rsid w:val="003C6F4D"/>
    <w:rsid w:val="003C712B"/>
    <w:rsid w:val="003C7216"/>
    <w:rsid w:val="003C73E1"/>
    <w:rsid w:val="003C753A"/>
    <w:rsid w:val="003C7722"/>
    <w:rsid w:val="003C78C6"/>
    <w:rsid w:val="003C79D2"/>
    <w:rsid w:val="003C7C6A"/>
    <w:rsid w:val="003C7CD8"/>
    <w:rsid w:val="003D0578"/>
    <w:rsid w:val="003D06E2"/>
    <w:rsid w:val="003D08C3"/>
    <w:rsid w:val="003D0970"/>
    <w:rsid w:val="003D0BE2"/>
    <w:rsid w:val="003D0FBB"/>
    <w:rsid w:val="003D0FE8"/>
    <w:rsid w:val="003D1090"/>
    <w:rsid w:val="003D1426"/>
    <w:rsid w:val="003D1439"/>
    <w:rsid w:val="003D1477"/>
    <w:rsid w:val="003D1491"/>
    <w:rsid w:val="003D14ED"/>
    <w:rsid w:val="003D14F7"/>
    <w:rsid w:val="003D15DA"/>
    <w:rsid w:val="003D1843"/>
    <w:rsid w:val="003D1925"/>
    <w:rsid w:val="003D1B70"/>
    <w:rsid w:val="003D1BC4"/>
    <w:rsid w:val="003D1BF0"/>
    <w:rsid w:val="003D1DCF"/>
    <w:rsid w:val="003D1E12"/>
    <w:rsid w:val="003D1E8C"/>
    <w:rsid w:val="003D1EBA"/>
    <w:rsid w:val="003D1FE8"/>
    <w:rsid w:val="003D2018"/>
    <w:rsid w:val="003D251D"/>
    <w:rsid w:val="003D26F9"/>
    <w:rsid w:val="003D26FE"/>
    <w:rsid w:val="003D2BB8"/>
    <w:rsid w:val="003D2C9C"/>
    <w:rsid w:val="003D2E6B"/>
    <w:rsid w:val="003D3062"/>
    <w:rsid w:val="003D3232"/>
    <w:rsid w:val="003D335E"/>
    <w:rsid w:val="003D33AD"/>
    <w:rsid w:val="003D34FA"/>
    <w:rsid w:val="003D35C3"/>
    <w:rsid w:val="003D36D8"/>
    <w:rsid w:val="003D373C"/>
    <w:rsid w:val="003D3931"/>
    <w:rsid w:val="003D3AB3"/>
    <w:rsid w:val="003D3B46"/>
    <w:rsid w:val="003D3B4C"/>
    <w:rsid w:val="003D3BFC"/>
    <w:rsid w:val="003D3C8B"/>
    <w:rsid w:val="003D3F26"/>
    <w:rsid w:val="003D3F74"/>
    <w:rsid w:val="003D40F1"/>
    <w:rsid w:val="003D42A3"/>
    <w:rsid w:val="003D44B7"/>
    <w:rsid w:val="003D494D"/>
    <w:rsid w:val="003D49C2"/>
    <w:rsid w:val="003D49EA"/>
    <w:rsid w:val="003D4D3C"/>
    <w:rsid w:val="003D4DE0"/>
    <w:rsid w:val="003D504B"/>
    <w:rsid w:val="003D533C"/>
    <w:rsid w:val="003D533E"/>
    <w:rsid w:val="003D53E5"/>
    <w:rsid w:val="003D5675"/>
    <w:rsid w:val="003D5951"/>
    <w:rsid w:val="003D59E3"/>
    <w:rsid w:val="003D5C51"/>
    <w:rsid w:val="003D5EE4"/>
    <w:rsid w:val="003D641A"/>
    <w:rsid w:val="003D64F4"/>
    <w:rsid w:val="003D65BB"/>
    <w:rsid w:val="003D67C1"/>
    <w:rsid w:val="003D6A38"/>
    <w:rsid w:val="003D6A92"/>
    <w:rsid w:val="003D6E57"/>
    <w:rsid w:val="003D6EF0"/>
    <w:rsid w:val="003D70B9"/>
    <w:rsid w:val="003D710E"/>
    <w:rsid w:val="003D7189"/>
    <w:rsid w:val="003D74DC"/>
    <w:rsid w:val="003D74ED"/>
    <w:rsid w:val="003D760E"/>
    <w:rsid w:val="003D767C"/>
    <w:rsid w:val="003D7842"/>
    <w:rsid w:val="003D785D"/>
    <w:rsid w:val="003D78E4"/>
    <w:rsid w:val="003D7959"/>
    <w:rsid w:val="003D79A5"/>
    <w:rsid w:val="003D7B20"/>
    <w:rsid w:val="003D7B52"/>
    <w:rsid w:val="003D7BD5"/>
    <w:rsid w:val="003E0239"/>
    <w:rsid w:val="003E038F"/>
    <w:rsid w:val="003E042C"/>
    <w:rsid w:val="003E044F"/>
    <w:rsid w:val="003E09FF"/>
    <w:rsid w:val="003E0AE5"/>
    <w:rsid w:val="003E0B9F"/>
    <w:rsid w:val="003E0C19"/>
    <w:rsid w:val="003E117F"/>
    <w:rsid w:val="003E1204"/>
    <w:rsid w:val="003E1432"/>
    <w:rsid w:val="003E14A6"/>
    <w:rsid w:val="003E1557"/>
    <w:rsid w:val="003E1642"/>
    <w:rsid w:val="003E1792"/>
    <w:rsid w:val="003E1D36"/>
    <w:rsid w:val="003E1EC8"/>
    <w:rsid w:val="003E1ECA"/>
    <w:rsid w:val="003E21B4"/>
    <w:rsid w:val="003E226C"/>
    <w:rsid w:val="003E22D8"/>
    <w:rsid w:val="003E22E6"/>
    <w:rsid w:val="003E23D2"/>
    <w:rsid w:val="003E240B"/>
    <w:rsid w:val="003E2458"/>
    <w:rsid w:val="003E24B8"/>
    <w:rsid w:val="003E256E"/>
    <w:rsid w:val="003E2630"/>
    <w:rsid w:val="003E283E"/>
    <w:rsid w:val="003E2B34"/>
    <w:rsid w:val="003E2C6C"/>
    <w:rsid w:val="003E2D1C"/>
    <w:rsid w:val="003E2F6E"/>
    <w:rsid w:val="003E304B"/>
    <w:rsid w:val="003E330F"/>
    <w:rsid w:val="003E3448"/>
    <w:rsid w:val="003E3520"/>
    <w:rsid w:val="003E371F"/>
    <w:rsid w:val="003E38B0"/>
    <w:rsid w:val="003E3960"/>
    <w:rsid w:val="003E3E17"/>
    <w:rsid w:val="003E3E44"/>
    <w:rsid w:val="003E3E49"/>
    <w:rsid w:val="003E4132"/>
    <w:rsid w:val="003E42E2"/>
    <w:rsid w:val="003E4319"/>
    <w:rsid w:val="003E4333"/>
    <w:rsid w:val="003E45EE"/>
    <w:rsid w:val="003E4666"/>
    <w:rsid w:val="003E469B"/>
    <w:rsid w:val="003E4873"/>
    <w:rsid w:val="003E4C2B"/>
    <w:rsid w:val="003E4D87"/>
    <w:rsid w:val="003E4E25"/>
    <w:rsid w:val="003E4E3A"/>
    <w:rsid w:val="003E4EAA"/>
    <w:rsid w:val="003E4EE2"/>
    <w:rsid w:val="003E4FA8"/>
    <w:rsid w:val="003E4FDE"/>
    <w:rsid w:val="003E4FE8"/>
    <w:rsid w:val="003E5080"/>
    <w:rsid w:val="003E53B5"/>
    <w:rsid w:val="003E5400"/>
    <w:rsid w:val="003E5457"/>
    <w:rsid w:val="003E56CC"/>
    <w:rsid w:val="003E56E4"/>
    <w:rsid w:val="003E5720"/>
    <w:rsid w:val="003E59A5"/>
    <w:rsid w:val="003E59AF"/>
    <w:rsid w:val="003E5B70"/>
    <w:rsid w:val="003E5CB4"/>
    <w:rsid w:val="003E5E98"/>
    <w:rsid w:val="003E5F52"/>
    <w:rsid w:val="003E5FF2"/>
    <w:rsid w:val="003E63CB"/>
    <w:rsid w:val="003E67B3"/>
    <w:rsid w:val="003E67EB"/>
    <w:rsid w:val="003E68B5"/>
    <w:rsid w:val="003E69DC"/>
    <w:rsid w:val="003E6B19"/>
    <w:rsid w:val="003E6DE7"/>
    <w:rsid w:val="003E6E35"/>
    <w:rsid w:val="003E7320"/>
    <w:rsid w:val="003E736F"/>
    <w:rsid w:val="003E73B2"/>
    <w:rsid w:val="003E75F6"/>
    <w:rsid w:val="003E760D"/>
    <w:rsid w:val="003E7632"/>
    <w:rsid w:val="003E76E5"/>
    <w:rsid w:val="003E7730"/>
    <w:rsid w:val="003E7788"/>
    <w:rsid w:val="003E782B"/>
    <w:rsid w:val="003E78B7"/>
    <w:rsid w:val="003E7A20"/>
    <w:rsid w:val="003E7AF1"/>
    <w:rsid w:val="003E7B93"/>
    <w:rsid w:val="003E7BE1"/>
    <w:rsid w:val="003E7BF2"/>
    <w:rsid w:val="003E7C6D"/>
    <w:rsid w:val="003E7D83"/>
    <w:rsid w:val="003E7ED0"/>
    <w:rsid w:val="003E7F9E"/>
    <w:rsid w:val="003F00A5"/>
    <w:rsid w:val="003F0297"/>
    <w:rsid w:val="003F02F5"/>
    <w:rsid w:val="003F04DB"/>
    <w:rsid w:val="003F050E"/>
    <w:rsid w:val="003F0772"/>
    <w:rsid w:val="003F0956"/>
    <w:rsid w:val="003F09E5"/>
    <w:rsid w:val="003F0A7F"/>
    <w:rsid w:val="003F0EED"/>
    <w:rsid w:val="003F10BC"/>
    <w:rsid w:val="003F128C"/>
    <w:rsid w:val="003F1313"/>
    <w:rsid w:val="003F1487"/>
    <w:rsid w:val="003F1638"/>
    <w:rsid w:val="003F1692"/>
    <w:rsid w:val="003F17A5"/>
    <w:rsid w:val="003F1970"/>
    <w:rsid w:val="003F1C00"/>
    <w:rsid w:val="003F1D1C"/>
    <w:rsid w:val="003F1E6B"/>
    <w:rsid w:val="003F1E87"/>
    <w:rsid w:val="003F20AB"/>
    <w:rsid w:val="003F25C8"/>
    <w:rsid w:val="003F2820"/>
    <w:rsid w:val="003F2830"/>
    <w:rsid w:val="003F2876"/>
    <w:rsid w:val="003F28B3"/>
    <w:rsid w:val="003F28FB"/>
    <w:rsid w:val="003F29C8"/>
    <w:rsid w:val="003F29CD"/>
    <w:rsid w:val="003F2AB7"/>
    <w:rsid w:val="003F2ABD"/>
    <w:rsid w:val="003F2AF0"/>
    <w:rsid w:val="003F2CF9"/>
    <w:rsid w:val="003F2F2F"/>
    <w:rsid w:val="003F3081"/>
    <w:rsid w:val="003F30AD"/>
    <w:rsid w:val="003F30E1"/>
    <w:rsid w:val="003F30EB"/>
    <w:rsid w:val="003F33D4"/>
    <w:rsid w:val="003F3442"/>
    <w:rsid w:val="003F398E"/>
    <w:rsid w:val="003F3A0E"/>
    <w:rsid w:val="003F3CFF"/>
    <w:rsid w:val="003F3D48"/>
    <w:rsid w:val="003F3D6B"/>
    <w:rsid w:val="003F3D7A"/>
    <w:rsid w:val="003F3D91"/>
    <w:rsid w:val="003F3E24"/>
    <w:rsid w:val="003F3EE0"/>
    <w:rsid w:val="003F3FE0"/>
    <w:rsid w:val="003F4010"/>
    <w:rsid w:val="003F4188"/>
    <w:rsid w:val="003F41C7"/>
    <w:rsid w:val="003F4617"/>
    <w:rsid w:val="003F4656"/>
    <w:rsid w:val="003F46C7"/>
    <w:rsid w:val="003F481F"/>
    <w:rsid w:val="003F48AF"/>
    <w:rsid w:val="003F4A73"/>
    <w:rsid w:val="003F4D16"/>
    <w:rsid w:val="003F4E8B"/>
    <w:rsid w:val="003F51D7"/>
    <w:rsid w:val="003F523E"/>
    <w:rsid w:val="003F5411"/>
    <w:rsid w:val="003F5500"/>
    <w:rsid w:val="003F55AF"/>
    <w:rsid w:val="003F55E3"/>
    <w:rsid w:val="003F55ED"/>
    <w:rsid w:val="003F58F5"/>
    <w:rsid w:val="003F596F"/>
    <w:rsid w:val="003F5BD9"/>
    <w:rsid w:val="003F5D07"/>
    <w:rsid w:val="003F5D8D"/>
    <w:rsid w:val="003F6140"/>
    <w:rsid w:val="003F6202"/>
    <w:rsid w:val="003F62EF"/>
    <w:rsid w:val="003F6861"/>
    <w:rsid w:val="003F686D"/>
    <w:rsid w:val="003F6E6D"/>
    <w:rsid w:val="003F6FF8"/>
    <w:rsid w:val="003F7039"/>
    <w:rsid w:val="003F70BD"/>
    <w:rsid w:val="003F71F2"/>
    <w:rsid w:val="003F768C"/>
    <w:rsid w:val="003F76D7"/>
    <w:rsid w:val="003F788C"/>
    <w:rsid w:val="003F7B60"/>
    <w:rsid w:val="003F7E08"/>
    <w:rsid w:val="003F7EB2"/>
    <w:rsid w:val="003F7F81"/>
    <w:rsid w:val="004000FF"/>
    <w:rsid w:val="00400353"/>
    <w:rsid w:val="004003F9"/>
    <w:rsid w:val="004003FE"/>
    <w:rsid w:val="00400619"/>
    <w:rsid w:val="004007B6"/>
    <w:rsid w:val="00400893"/>
    <w:rsid w:val="00400960"/>
    <w:rsid w:val="00400BA2"/>
    <w:rsid w:val="00400EEB"/>
    <w:rsid w:val="00400FAD"/>
    <w:rsid w:val="00401025"/>
    <w:rsid w:val="00401032"/>
    <w:rsid w:val="004010C6"/>
    <w:rsid w:val="00401156"/>
    <w:rsid w:val="0040141F"/>
    <w:rsid w:val="00401456"/>
    <w:rsid w:val="0040157C"/>
    <w:rsid w:val="00401662"/>
    <w:rsid w:val="0040175C"/>
    <w:rsid w:val="004017BC"/>
    <w:rsid w:val="00401AF6"/>
    <w:rsid w:val="00401BAC"/>
    <w:rsid w:val="00401BEE"/>
    <w:rsid w:val="00401C04"/>
    <w:rsid w:val="00401FF0"/>
    <w:rsid w:val="0040214A"/>
    <w:rsid w:val="00402158"/>
    <w:rsid w:val="004021C3"/>
    <w:rsid w:val="00402302"/>
    <w:rsid w:val="0040269D"/>
    <w:rsid w:val="00402B14"/>
    <w:rsid w:val="00402DC7"/>
    <w:rsid w:val="00402DE5"/>
    <w:rsid w:val="00403147"/>
    <w:rsid w:val="00403296"/>
    <w:rsid w:val="00403357"/>
    <w:rsid w:val="00403638"/>
    <w:rsid w:val="004037F5"/>
    <w:rsid w:val="004038B2"/>
    <w:rsid w:val="00403927"/>
    <w:rsid w:val="00403A82"/>
    <w:rsid w:val="00403E07"/>
    <w:rsid w:val="00403E34"/>
    <w:rsid w:val="0040412B"/>
    <w:rsid w:val="00404353"/>
    <w:rsid w:val="00404725"/>
    <w:rsid w:val="00404D11"/>
    <w:rsid w:val="00404F0F"/>
    <w:rsid w:val="00404FA0"/>
    <w:rsid w:val="004050D3"/>
    <w:rsid w:val="0040512B"/>
    <w:rsid w:val="004051AB"/>
    <w:rsid w:val="00405516"/>
    <w:rsid w:val="0040553B"/>
    <w:rsid w:val="00405584"/>
    <w:rsid w:val="0040574E"/>
    <w:rsid w:val="004057DC"/>
    <w:rsid w:val="004058F2"/>
    <w:rsid w:val="004059C9"/>
    <w:rsid w:val="00405A1F"/>
    <w:rsid w:val="00405A47"/>
    <w:rsid w:val="00405AE5"/>
    <w:rsid w:val="00405B57"/>
    <w:rsid w:val="00405E13"/>
    <w:rsid w:val="00406097"/>
    <w:rsid w:val="0040614D"/>
    <w:rsid w:val="004062FE"/>
    <w:rsid w:val="0040646C"/>
    <w:rsid w:val="00406527"/>
    <w:rsid w:val="004068C6"/>
    <w:rsid w:val="0040692D"/>
    <w:rsid w:val="00406BB1"/>
    <w:rsid w:val="00406CCF"/>
    <w:rsid w:val="00406D27"/>
    <w:rsid w:val="00407060"/>
    <w:rsid w:val="00407090"/>
    <w:rsid w:val="00407093"/>
    <w:rsid w:val="004070A5"/>
    <w:rsid w:val="00407104"/>
    <w:rsid w:val="0040718E"/>
    <w:rsid w:val="004071A1"/>
    <w:rsid w:val="00407238"/>
    <w:rsid w:val="004072B8"/>
    <w:rsid w:val="004072BB"/>
    <w:rsid w:val="0040730D"/>
    <w:rsid w:val="00407311"/>
    <w:rsid w:val="0040739C"/>
    <w:rsid w:val="0040740A"/>
    <w:rsid w:val="00407410"/>
    <w:rsid w:val="004075B8"/>
    <w:rsid w:val="004075E9"/>
    <w:rsid w:val="0041017A"/>
    <w:rsid w:val="0041037C"/>
    <w:rsid w:val="00410441"/>
    <w:rsid w:val="00410524"/>
    <w:rsid w:val="0041053F"/>
    <w:rsid w:val="004105D9"/>
    <w:rsid w:val="004107D0"/>
    <w:rsid w:val="00410998"/>
    <w:rsid w:val="00410A20"/>
    <w:rsid w:val="00410D43"/>
    <w:rsid w:val="00410EB2"/>
    <w:rsid w:val="00411127"/>
    <w:rsid w:val="0041138E"/>
    <w:rsid w:val="00411530"/>
    <w:rsid w:val="00411568"/>
    <w:rsid w:val="0041170E"/>
    <w:rsid w:val="0041173D"/>
    <w:rsid w:val="004117E3"/>
    <w:rsid w:val="0041194D"/>
    <w:rsid w:val="00411A29"/>
    <w:rsid w:val="00411B57"/>
    <w:rsid w:val="00411BEB"/>
    <w:rsid w:val="00411C1F"/>
    <w:rsid w:val="00411D6C"/>
    <w:rsid w:val="00411E47"/>
    <w:rsid w:val="00411E95"/>
    <w:rsid w:val="00411F18"/>
    <w:rsid w:val="00411FFD"/>
    <w:rsid w:val="00412415"/>
    <w:rsid w:val="0041243D"/>
    <w:rsid w:val="00412702"/>
    <w:rsid w:val="004127C3"/>
    <w:rsid w:val="00412A33"/>
    <w:rsid w:val="00412B2E"/>
    <w:rsid w:val="00412B52"/>
    <w:rsid w:val="00412B78"/>
    <w:rsid w:val="00412F3A"/>
    <w:rsid w:val="00412FCB"/>
    <w:rsid w:val="004130EB"/>
    <w:rsid w:val="00413175"/>
    <w:rsid w:val="00413346"/>
    <w:rsid w:val="00413512"/>
    <w:rsid w:val="00413632"/>
    <w:rsid w:val="004138F8"/>
    <w:rsid w:val="00413C12"/>
    <w:rsid w:val="00413C19"/>
    <w:rsid w:val="00413C35"/>
    <w:rsid w:val="00413DA5"/>
    <w:rsid w:val="00413DD7"/>
    <w:rsid w:val="00413F38"/>
    <w:rsid w:val="0041426A"/>
    <w:rsid w:val="00414274"/>
    <w:rsid w:val="00414275"/>
    <w:rsid w:val="004142D0"/>
    <w:rsid w:val="00414457"/>
    <w:rsid w:val="00414622"/>
    <w:rsid w:val="004146D6"/>
    <w:rsid w:val="0041474F"/>
    <w:rsid w:val="004149F8"/>
    <w:rsid w:val="00414A00"/>
    <w:rsid w:val="00414A9E"/>
    <w:rsid w:val="00414D72"/>
    <w:rsid w:val="00414D8C"/>
    <w:rsid w:val="00414E00"/>
    <w:rsid w:val="00414E0A"/>
    <w:rsid w:val="00414F04"/>
    <w:rsid w:val="00414FD6"/>
    <w:rsid w:val="00415066"/>
    <w:rsid w:val="00415184"/>
    <w:rsid w:val="00415577"/>
    <w:rsid w:val="004155B4"/>
    <w:rsid w:val="004155E6"/>
    <w:rsid w:val="0041569B"/>
    <w:rsid w:val="00415A39"/>
    <w:rsid w:val="00415B3D"/>
    <w:rsid w:val="00415C6A"/>
    <w:rsid w:val="00415EE7"/>
    <w:rsid w:val="00416207"/>
    <w:rsid w:val="00416483"/>
    <w:rsid w:val="0041658B"/>
    <w:rsid w:val="004165D6"/>
    <w:rsid w:val="00416690"/>
    <w:rsid w:val="0041669B"/>
    <w:rsid w:val="004166A0"/>
    <w:rsid w:val="00416762"/>
    <w:rsid w:val="004168C5"/>
    <w:rsid w:val="004168E4"/>
    <w:rsid w:val="0041699B"/>
    <w:rsid w:val="00416D31"/>
    <w:rsid w:val="00416F27"/>
    <w:rsid w:val="0041718D"/>
    <w:rsid w:val="004171F2"/>
    <w:rsid w:val="0041751E"/>
    <w:rsid w:val="004178AD"/>
    <w:rsid w:val="00417AFC"/>
    <w:rsid w:val="00417C0C"/>
    <w:rsid w:val="00417E6B"/>
    <w:rsid w:val="00417F3E"/>
    <w:rsid w:val="00417F55"/>
    <w:rsid w:val="00420243"/>
    <w:rsid w:val="004202F7"/>
    <w:rsid w:val="004203AD"/>
    <w:rsid w:val="0042046D"/>
    <w:rsid w:val="004205F0"/>
    <w:rsid w:val="004206C1"/>
    <w:rsid w:val="00420761"/>
    <w:rsid w:val="0042078C"/>
    <w:rsid w:val="00420BCE"/>
    <w:rsid w:val="00420DB4"/>
    <w:rsid w:val="00420DEB"/>
    <w:rsid w:val="00420E20"/>
    <w:rsid w:val="00420E67"/>
    <w:rsid w:val="00421068"/>
    <w:rsid w:val="00421250"/>
    <w:rsid w:val="00421351"/>
    <w:rsid w:val="0042136C"/>
    <w:rsid w:val="0042144B"/>
    <w:rsid w:val="00421450"/>
    <w:rsid w:val="004214AF"/>
    <w:rsid w:val="0042155E"/>
    <w:rsid w:val="004216DE"/>
    <w:rsid w:val="00421A03"/>
    <w:rsid w:val="00421B7E"/>
    <w:rsid w:val="00421CF2"/>
    <w:rsid w:val="00421E1B"/>
    <w:rsid w:val="004221CA"/>
    <w:rsid w:val="00422212"/>
    <w:rsid w:val="004224B2"/>
    <w:rsid w:val="004225B5"/>
    <w:rsid w:val="00422807"/>
    <w:rsid w:val="004228A2"/>
    <w:rsid w:val="00422AB4"/>
    <w:rsid w:val="00422B48"/>
    <w:rsid w:val="00422B97"/>
    <w:rsid w:val="00422E7C"/>
    <w:rsid w:val="00423059"/>
    <w:rsid w:val="00423114"/>
    <w:rsid w:val="004231CC"/>
    <w:rsid w:val="0042329E"/>
    <w:rsid w:val="0042330F"/>
    <w:rsid w:val="004234AC"/>
    <w:rsid w:val="004234E9"/>
    <w:rsid w:val="00423949"/>
    <w:rsid w:val="00423BA6"/>
    <w:rsid w:val="00423DB7"/>
    <w:rsid w:val="00423DD9"/>
    <w:rsid w:val="004240DD"/>
    <w:rsid w:val="00424225"/>
    <w:rsid w:val="0042432A"/>
    <w:rsid w:val="00424613"/>
    <w:rsid w:val="004249D4"/>
    <w:rsid w:val="00424BD1"/>
    <w:rsid w:val="00424C12"/>
    <w:rsid w:val="00424D9F"/>
    <w:rsid w:val="00424F32"/>
    <w:rsid w:val="00424F4F"/>
    <w:rsid w:val="004252FF"/>
    <w:rsid w:val="00425346"/>
    <w:rsid w:val="00425390"/>
    <w:rsid w:val="004255C3"/>
    <w:rsid w:val="004256B9"/>
    <w:rsid w:val="004259B0"/>
    <w:rsid w:val="00425BB7"/>
    <w:rsid w:val="00425F11"/>
    <w:rsid w:val="00426199"/>
    <w:rsid w:val="00426467"/>
    <w:rsid w:val="004265EC"/>
    <w:rsid w:val="004266C9"/>
    <w:rsid w:val="00426847"/>
    <w:rsid w:val="00426AE4"/>
    <w:rsid w:val="00426BA9"/>
    <w:rsid w:val="00426C2E"/>
    <w:rsid w:val="00426D5B"/>
    <w:rsid w:val="00426D97"/>
    <w:rsid w:val="004274DE"/>
    <w:rsid w:val="004278AB"/>
    <w:rsid w:val="00427C05"/>
    <w:rsid w:val="00427CB7"/>
    <w:rsid w:val="00427E9D"/>
    <w:rsid w:val="00427EBC"/>
    <w:rsid w:val="00427F33"/>
    <w:rsid w:val="0043006B"/>
    <w:rsid w:val="0043013D"/>
    <w:rsid w:val="004301BD"/>
    <w:rsid w:val="004302A6"/>
    <w:rsid w:val="00430353"/>
    <w:rsid w:val="00430495"/>
    <w:rsid w:val="00430662"/>
    <w:rsid w:val="004306D7"/>
    <w:rsid w:val="0043095A"/>
    <w:rsid w:val="00430A2B"/>
    <w:rsid w:val="00430A86"/>
    <w:rsid w:val="00430AB7"/>
    <w:rsid w:val="00430B8F"/>
    <w:rsid w:val="00430BDA"/>
    <w:rsid w:val="00430EE9"/>
    <w:rsid w:val="004310FC"/>
    <w:rsid w:val="0043111B"/>
    <w:rsid w:val="00431193"/>
    <w:rsid w:val="0043119F"/>
    <w:rsid w:val="00431336"/>
    <w:rsid w:val="00431352"/>
    <w:rsid w:val="004313B0"/>
    <w:rsid w:val="0043142D"/>
    <w:rsid w:val="00431514"/>
    <w:rsid w:val="004317AD"/>
    <w:rsid w:val="0043182A"/>
    <w:rsid w:val="0043193F"/>
    <w:rsid w:val="0043196E"/>
    <w:rsid w:val="00431A90"/>
    <w:rsid w:val="00431ADA"/>
    <w:rsid w:val="00431D28"/>
    <w:rsid w:val="00431E02"/>
    <w:rsid w:val="00431E62"/>
    <w:rsid w:val="00431ED5"/>
    <w:rsid w:val="00431FC2"/>
    <w:rsid w:val="004321EA"/>
    <w:rsid w:val="0043263F"/>
    <w:rsid w:val="0043279C"/>
    <w:rsid w:val="004327B2"/>
    <w:rsid w:val="004327D0"/>
    <w:rsid w:val="0043298A"/>
    <w:rsid w:val="00432D06"/>
    <w:rsid w:val="00432D72"/>
    <w:rsid w:val="00432EC6"/>
    <w:rsid w:val="00432EDF"/>
    <w:rsid w:val="0043321D"/>
    <w:rsid w:val="00433243"/>
    <w:rsid w:val="004334BF"/>
    <w:rsid w:val="004335B6"/>
    <w:rsid w:val="00433621"/>
    <w:rsid w:val="00433637"/>
    <w:rsid w:val="004336FA"/>
    <w:rsid w:val="00433745"/>
    <w:rsid w:val="004338C4"/>
    <w:rsid w:val="0043395F"/>
    <w:rsid w:val="00433963"/>
    <w:rsid w:val="00433AA0"/>
    <w:rsid w:val="00433C26"/>
    <w:rsid w:val="00433E8B"/>
    <w:rsid w:val="00433F05"/>
    <w:rsid w:val="00433FCD"/>
    <w:rsid w:val="00434188"/>
    <w:rsid w:val="00434241"/>
    <w:rsid w:val="00434456"/>
    <w:rsid w:val="00434748"/>
    <w:rsid w:val="00434824"/>
    <w:rsid w:val="00434ACE"/>
    <w:rsid w:val="00434CAE"/>
    <w:rsid w:val="0043538B"/>
    <w:rsid w:val="0043546F"/>
    <w:rsid w:val="00435587"/>
    <w:rsid w:val="004356B8"/>
    <w:rsid w:val="00435AE6"/>
    <w:rsid w:val="00435B47"/>
    <w:rsid w:val="004360CE"/>
    <w:rsid w:val="004361EE"/>
    <w:rsid w:val="004364EF"/>
    <w:rsid w:val="004364F7"/>
    <w:rsid w:val="00436C8D"/>
    <w:rsid w:val="00436D02"/>
    <w:rsid w:val="00436F43"/>
    <w:rsid w:val="00436F53"/>
    <w:rsid w:val="004370E2"/>
    <w:rsid w:val="004374C7"/>
    <w:rsid w:val="004374F1"/>
    <w:rsid w:val="00437576"/>
    <w:rsid w:val="0043774D"/>
    <w:rsid w:val="00437AD0"/>
    <w:rsid w:val="00437D91"/>
    <w:rsid w:val="00437DD3"/>
    <w:rsid w:val="00437F7A"/>
    <w:rsid w:val="004400C7"/>
    <w:rsid w:val="004401F0"/>
    <w:rsid w:val="0044048F"/>
    <w:rsid w:val="004407A6"/>
    <w:rsid w:val="00440830"/>
    <w:rsid w:val="00440A5E"/>
    <w:rsid w:val="00440AEC"/>
    <w:rsid w:val="00440C04"/>
    <w:rsid w:val="00440F63"/>
    <w:rsid w:val="004411E8"/>
    <w:rsid w:val="00441236"/>
    <w:rsid w:val="004412C9"/>
    <w:rsid w:val="0044130A"/>
    <w:rsid w:val="00441357"/>
    <w:rsid w:val="004414B9"/>
    <w:rsid w:val="00441545"/>
    <w:rsid w:val="00441703"/>
    <w:rsid w:val="00441757"/>
    <w:rsid w:val="00441AC2"/>
    <w:rsid w:val="00441E87"/>
    <w:rsid w:val="00441FA4"/>
    <w:rsid w:val="00442399"/>
    <w:rsid w:val="00442785"/>
    <w:rsid w:val="00442917"/>
    <w:rsid w:val="00442A80"/>
    <w:rsid w:val="00442DAF"/>
    <w:rsid w:val="00442E11"/>
    <w:rsid w:val="00442FDA"/>
    <w:rsid w:val="004430B1"/>
    <w:rsid w:val="00443109"/>
    <w:rsid w:val="0044315E"/>
    <w:rsid w:val="00443289"/>
    <w:rsid w:val="004432B1"/>
    <w:rsid w:val="0044334A"/>
    <w:rsid w:val="00443682"/>
    <w:rsid w:val="0044399D"/>
    <w:rsid w:val="004439F6"/>
    <w:rsid w:val="00443B36"/>
    <w:rsid w:val="00443D38"/>
    <w:rsid w:val="00443E86"/>
    <w:rsid w:val="004441F7"/>
    <w:rsid w:val="00444262"/>
    <w:rsid w:val="004442E4"/>
    <w:rsid w:val="004446D9"/>
    <w:rsid w:val="00444914"/>
    <w:rsid w:val="00444948"/>
    <w:rsid w:val="0044497F"/>
    <w:rsid w:val="004449FB"/>
    <w:rsid w:val="00444A81"/>
    <w:rsid w:val="00444C3F"/>
    <w:rsid w:val="00444E4F"/>
    <w:rsid w:val="00444EF6"/>
    <w:rsid w:val="004450EB"/>
    <w:rsid w:val="00445265"/>
    <w:rsid w:val="004453E2"/>
    <w:rsid w:val="00445432"/>
    <w:rsid w:val="00445669"/>
    <w:rsid w:val="00445706"/>
    <w:rsid w:val="00445729"/>
    <w:rsid w:val="004457ED"/>
    <w:rsid w:val="00445946"/>
    <w:rsid w:val="004459BA"/>
    <w:rsid w:val="00445D7D"/>
    <w:rsid w:val="00445E4C"/>
    <w:rsid w:val="00445ED3"/>
    <w:rsid w:val="00445EDA"/>
    <w:rsid w:val="00445F0C"/>
    <w:rsid w:val="00445F8F"/>
    <w:rsid w:val="00445FA5"/>
    <w:rsid w:val="00445FBE"/>
    <w:rsid w:val="00446085"/>
    <w:rsid w:val="00446163"/>
    <w:rsid w:val="004464AC"/>
    <w:rsid w:val="00446657"/>
    <w:rsid w:val="00446753"/>
    <w:rsid w:val="00446A14"/>
    <w:rsid w:val="00446A59"/>
    <w:rsid w:val="00446C16"/>
    <w:rsid w:val="00446D24"/>
    <w:rsid w:val="00447023"/>
    <w:rsid w:val="004470FC"/>
    <w:rsid w:val="0044716F"/>
    <w:rsid w:val="00447249"/>
    <w:rsid w:val="00447698"/>
    <w:rsid w:val="004478A5"/>
    <w:rsid w:val="00447B6D"/>
    <w:rsid w:val="00447BF6"/>
    <w:rsid w:val="00447BF9"/>
    <w:rsid w:val="00447C47"/>
    <w:rsid w:val="00447DDE"/>
    <w:rsid w:val="00447EC8"/>
    <w:rsid w:val="00447EEA"/>
    <w:rsid w:val="00447EF4"/>
    <w:rsid w:val="00450038"/>
    <w:rsid w:val="004504B2"/>
    <w:rsid w:val="0045068C"/>
    <w:rsid w:val="00450970"/>
    <w:rsid w:val="00450A03"/>
    <w:rsid w:val="00450A29"/>
    <w:rsid w:val="00450A52"/>
    <w:rsid w:val="00450ADC"/>
    <w:rsid w:val="00450C86"/>
    <w:rsid w:val="00450E31"/>
    <w:rsid w:val="00450E82"/>
    <w:rsid w:val="00450EE9"/>
    <w:rsid w:val="00451106"/>
    <w:rsid w:val="004511CA"/>
    <w:rsid w:val="004511FE"/>
    <w:rsid w:val="0045121E"/>
    <w:rsid w:val="0045124D"/>
    <w:rsid w:val="004513E5"/>
    <w:rsid w:val="004514A2"/>
    <w:rsid w:val="0045166A"/>
    <w:rsid w:val="0045169E"/>
    <w:rsid w:val="0045186F"/>
    <w:rsid w:val="004518FD"/>
    <w:rsid w:val="004519E5"/>
    <w:rsid w:val="00451D2D"/>
    <w:rsid w:val="0045201A"/>
    <w:rsid w:val="00452070"/>
    <w:rsid w:val="0045274E"/>
    <w:rsid w:val="00452C2C"/>
    <w:rsid w:val="00452DC9"/>
    <w:rsid w:val="00452EA2"/>
    <w:rsid w:val="00452F96"/>
    <w:rsid w:val="00452FB1"/>
    <w:rsid w:val="00453040"/>
    <w:rsid w:val="0045305E"/>
    <w:rsid w:val="00453095"/>
    <w:rsid w:val="00453346"/>
    <w:rsid w:val="004533C8"/>
    <w:rsid w:val="00453428"/>
    <w:rsid w:val="004534BE"/>
    <w:rsid w:val="004536E4"/>
    <w:rsid w:val="0045375F"/>
    <w:rsid w:val="004537DD"/>
    <w:rsid w:val="004538A8"/>
    <w:rsid w:val="00453A3C"/>
    <w:rsid w:val="00453A61"/>
    <w:rsid w:val="00453B72"/>
    <w:rsid w:val="00453C18"/>
    <w:rsid w:val="00453C4E"/>
    <w:rsid w:val="00453C81"/>
    <w:rsid w:val="00453CB0"/>
    <w:rsid w:val="00453DE4"/>
    <w:rsid w:val="00453E08"/>
    <w:rsid w:val="004541BF"/>
    <w:rsid w:val="0045436A"/>
    <w:rsid w:val="004543F8"/>
    <w:rsid w:val="004544B7"/>
    <w:rsid w:val="0045454C"/>
    <w:rsid w:val="004545C5"/>
    <w:rsid w:val="00454617"/>
    <w:rsid w:val="00454681"/>
    <w:rsid w:val="004546DA"/>
    <w:rsid w:val="004547DD"/>
    <w:rsid w:val="004547E5"/>
    <w:rsid w:val="004548D2"/>
    <w:rsid w:val="004549CF"/>
    <w:rsid w:val="004549D1"/>
    <w:rsid w:val="00454C26"/>
    <w:rsid w:val="00454F20"/>
    <w:rsid w:val="00454F2A"/>
    <w:rsid w:val="00454FBF"/>
    <w:rsid w:val="0045506D"/>
    <w:rsid w:val="004552AA"/>
    <w:rsid w:val="0045530B"/>
    <w:rsid w:val="0045532C"/>
    <w:rsid w:val="004555D7"/>
    <w:rsid w:val="00455618"/>
    <w:rsid w:val="00455639"/>
    <w:rsid w:val="004557CE"/>
    <w:rsid w:val="00455882"/>
    <w:rsid w:val="00455993"/>
    <w:rsid w:val="004559CE"/>
    <w:rsid w:val="00455B76"/>
    <w:rsid w:val="00455C70"/>
    <w:rsid w:val="00455F42"/>
    <w:rsid w:val="00456115"/>
    <w:rsid w:val="00456377"/>
    <w:rsid w:val="004563F0"/>
    <w:rsid w:val="0045678E"/>
    <w:rsid w:val="00456CD3"/>
    <w:rsid w:val="00456D1A"/>
    <w:rsid w:val="00456E5E"/>
    <w:rsid w:val="00456ECE"/>
    <w:rsid w:val="0045703C"/>
    <w:rsid w:val="00457158"/>
    <w:rsid w:val="00457162"/>
    <w:rsid w:val="0045720B"/>
    <w:rsid w:val="00457456"/>
    <w:rsid w:val="0045748D"/>
    <w:rsid w:val="00457506"/>
    <w:rsid w:val="00457557"/>
    <w:rsid w:val="00457580"/>
    <w:rsid w:val="00457837"/>
    <w:rsid w:val="00457897"/>
    <w:rsid w:val="00457909"/>
    <w:rsid w:val="004601D5"/>
    <w:rsid w:val="00460248"/>
    <w:rsid w:val="00460380"/>
    <w:rsid w:val="004603A1"/>
    <w:rsid w:val="004603B2"/>
    <w:rsid w:val="0046084D"/>
    <w:rsid w:val="00460866"/>
    <w:rsid w:val="00460936"/>
    <w:rsid w:val="00460BE7"/>
    <w:rsid w:val="00460CD5"/>
    <w:rsid w:val="00460DD1"/>
    <w:rsid w:val="00460DDD"/>
    <w:rsid w:val="00460E1A"/>
    <w:rsid w:val="00460E21"/>
    <w:rsid w:val="00460E89"/>
    <w:rsid w:val="00460EDB"/>
    <w:rsid w:val="00460FF5"/>
    <w:rsid w:val="00461095"/>
    <w:rsid w:val="00461146"/>
    <w:rsid w:val="0046121B"/>
    <w:rsid w:val="00461365"/>
    <w:rsid w:val="00461596"/>
    <w:rsid w:val="00461627"/>
    <w:rsid w:val="00461738"/>
    <w:rsid w:val="004617C0"/>
    <w:rsid w:val="00461942"/>
    <w:rsid w:val="00461A4F"/>
    <w:rsid w:val="00461AC5"/>
    <w:rsid w:val="00461C56"/>
    <w:rsid w:val="00461C61"/>
    <w:rsid w:val="00461D3C"/>
    <w:rsid w:val="00461E32"/>
    <w:rsid w:val="00461E4D"/>
    <w:rsid w:val="00461F39"/>
    <w:rsid w:val="004621BC"/>
    <w:rsid w:val="004623FB"/>
    <w:rsid w:val="004624B2"/>
    <w:rsid w:val="00462597"/>
    <w:rsid w:val="004625BA"/>
    <w:rsid w:val="00462697"/>
    <w:rsid w:val="004626C9"/>
    <w:rsid w:val="00462712"/>
    <w:rsid w:val="0046284D"/>
    <w:rsid w:val="00462915"/>
    <w:rsid w:val="00462DA4"/>
    <w:rsid w:val="00462E70"/>
    <w:rsid w:val="00463066"/>
    <w:rsid w:val="004630A4"/>
    <w:rsid w:val="00463163"/>
    <w:rsid w:val="00463253"/>
    <w:rsid w:val="0046330B"/>
    <w:rsid w:val="00463326"/>
    <w:rsid w:val="0046355B"/>
    <w:rsid w:val="0046366D"/>
    <w:rsid w:val="00463695"/>
    <w:rsid w:val="004636BC"/>
    <w:rsid w:val="00463C2B"/>
    <w:rsid w:val="00463D75"/>
    <w:rsid w:val="00463E53"/>
    <w:rsid w:val="00463F12"/>
    <w:rsid w:val="00463F66"/>
    <w:rsid w:val="00463F8D"/>
    <w:rsid w:val="00463FEB"/>
    <w:rsid w:val="004641A2"/>
    <w:rsid w:val="0046422D"/>
    <w:rsid w:val="00464277"/>
    <w:rsid w:val="00464333"/>
    <w:rsid w:val="004643D4"/>
    <w:rsid w:val="004644AB"/>
    <w:rsid w:val="00464522"/>
    <w:rsid w:val="00464579"/>
    <w:rsid w:val="004646DF"/>
    <w:rsid w:val="004648DE"/>
    <w:rsid w:val="00464A14"/>
    <w:rsid w:val="00464A50"/>
    <w:rsid w:val="00464A59"/>
    <w:rsid w:val="00464CDA"/>
    <w:rsid w:val="00464D90"/>
    <w:rsid w:val="00464E43"/>
    <w:rsid w:val="00464FEB"/>
    <w:rsid w:val="004650AA"/>
    <w:rsid w:val="0046525A"/>
    <w:rsid w:val="0046534C"/>
    <w:rsid w:val="00465379"/>
    <w:rsid w:val="00465436"/>
    <w:rsid w:val="00465599"/>
    <w:rsid w:val="0046578A"/>
    <w:rsid w:val="004657B5"/>
    <w:rsid w:val="00465946"/>
    <w:rsid w:val="00465997"/>
    <w:rsid w:val="00465C14"/>
    <w:rsid w:val="00465E13"/>
    <w:rsid w:val="00465F2A"/>
    <w:rsid w:val="00465F74"/>
    <w:rsid w:val="004660BE"/>
    <w:rsid w:val="004661EF"/>
    <w:rsid w:val="004662CD"/>
    <w:rsid w:val="00466579"/>
    <w:rsid w:val="00466733"/>
    <w:rsid w:val="0046674D"/>
    <w:rsid w:val="004668AB"/>
    <w:rsid w:val="00466B44"/>
    <w:rsid w:val="00466BC0"/>
    <w:rsid w:val="00466CD5"/>
    <w:rsid w:val="00466D66"/>
    <w:rsid w:val="00466DD8"/>
    <w:rsid w:val="00466F28"/>
    <w:rsid w:val="0046725E"/>
    <w:rsid w:val="004673E3"/>
    <w:rsid w:val="00467482"/>
    <w:rsid w:val="00467658"/>
    <w:rsid w:val="004676BF"/>
    <w:rsid w:val="00467717"/>
    <w:rsid w:val="00467732"/>
    <w:rsid w:val="00467815"/>
    <w:rsid w:val="00467B4E"/>
    <w:rsid w:val="00467C4A"/>
    <w:rsid w:val="00467DD7"/>
    <w:rsid w:val="00467E2E"/>
    <w:rsid w:val="0047018D"/>
    <w:rsid w:val="0047019C"/>
    <w:rsid w:val="00470443"/>
    <w:rsid w:val="004704D0"/>
    <w:rsid w:val="00470550"/>
    <w:rsid w:val="00470576"/>
    <w:rsid w:val="0047069F"/>
    <w:rsid w:val="00470A28"/>
    <w:rsid w:val="00470A36"/>
    <w:rsid w:val="00470A4F"/>
    <w:rsid w:val="00470A59"/>
    <w:rsid w:val="00470CC6"/>
    <w:rsid w:val="00470DE8"/>
    <w:rsid w:val="00470E7B"/>
    <w:rsid w:val="00470EB3"/>
    <w:rsid w:val="00470FC6"/>
    <w:rsid w:val="0047111F"/>
    <w:rsid w:val="00471187"/>
    <w:rsid w:val="00471217"/>
    <w:rsid w:val="00471298"/>
    <w:rsid w:val="004712E4"/>
    <w:rsid w:val="00471335"/>
    <w:rsid w:val="0047168B"/>
    <w:rsid w:val="004716F0"/>
    <w:rsid w:val="00471973"/>
    <w:rsid w:val="00471BCB"/>
    <w:rsid w:val="00471D7D"/>
    <w:rsid w:val="00471E13"/>
    <w:rsid w:val="0047201A"/>
    <w:rsid w:val="004721AE"/>
    <w:rsid w:val="00472253"/>
    <w:rsid w:val="004722DC"/>
    <w:rsid w:val="004722FE"/>
    <w:rsid w:val="00472420"/>
    <w:rsid w:val="004726F9"/>
    <w:rsid w:val="00472880"/>
    <w:rsid w:val="004728CE"/>
    <w:rsid w:val="004729C9"/>
    <w:rsid w:val="00472C3A"/>
    <w:rsid w:val="00472DCF"/>
    <w:rsid w:val="00472DEA"/>
    <w:rsid w:val="00472E8D"/>
    <w:rsid w:val="00472EA4"/>
    <w:rsid w:val="00472F58"/>
    <w:rsid w:val="00472FA3"/>
    <w:rsid w:val="00473536"/>
    <w:rsid w:val="004735C3"/>
    <w:rsid w:val="004735FF"/>
    <w:rsid w:val="00473617"/>
    <w:rsid w:val="00473A2C"/>
    <w:rsid w:val="00473C47"/>
    <w:rsid w:val="00473D97"/>
    <w:rsid w:val="004741C7"/>
    <w:rsid w:val="00474217"/>
    <w:rsid w:val="0047422A"/>
    <w:rsid w:val="0047426D"/>
    <w:rsid w:val="0047433C"/>
    <w:rsid w:val="00474342"/>
    <w:rsid w:val="00474684"/>
    <w:rsid w:val="00474693"/>
    <w:rsid w:val="0047480D"/>
    <w:rsid w:val="00474850"/>
    <w:rsid w:val="004748BD"/>
    <w:rsid w:val="00474957"/>
    <w:rsid w:val="00474BA1"/>
    <w:rsid w:val="00474BC6"/>
    <w:rsid w:val="00474CF2"/>
    <w:rsid w:val="00474D0E"/>
    <w:rsid w:val="00474D5A"/>
    <w:rsid w:val="00474E94"/>
    <w:rsid w:val="00474F6C"/>
    <w:rsid w:val="00475084"/>
    <w:rsid w:val="004750D6"/>
    <w:rsid w:val="00475144"/>
    <w:rsid w:val="004751A5"/>
    <w:rsid w:val="004752EF"/>
    <w:rsid w:val="0047564A"/>
    <w:rsid w:val="0047569A"/>
    <w:rsid w:val="00475775"/>
    <w:rsid w:val="00475904"/>
    <w:rsid w:val="00475AA2"/>
    <w:rsid w:val="00475B7B"/>
    <w:rsid w:val="00475CCA"/>
    <w:rsid w:val="00475D2B"/>
    <w:rsid w:val="00475E15"/>
    <w:rsid w:val="00475EA2"/>
    <w:rsid w:val="00475ECF"/>
    <w:rsid w:val="00475F4D"/>
    <w:rsid w:val="00476032"/>
    <w:rsid w:val="004763D9"/>
    <w:rsid w:val="00476489"/>
    <w:rsid w:val="0047664D"/>
    <w:rsid w:val="0047666F"/>
    <w:rsid w:val="004767DE"/>
    <w:rsid w:val="00476A73"/>
    <w:rsid w:val="00476B01"/>
    <w:rsid w:val="00476C1D"/>
    <w:rsid w:val="00476C44"/>
    <w:rsid w:val="00477057"/>
    <w:rsid w:val="004771AF"/>
    <w:rsid w:val="004771F8"/>
    <w:rsid w:val="00477370"/>
    <w:rsid w:val="004773D1"/>
    <w:rsid w:val="004773DE"/>
    <w:rsid w:val="00477533"/>
    <w:rsid w:val="00477596"/>
    <w:rsid w:val="00477618"/>
    <w:rsid w:val="004776AA"/>
    <w:rsid w:val="004778DE"/>
    <w:rsid w:val="00477B88"/>
    <w:rsid w:val="00477BAC"/>
    <w:rsid w:val="00477BDE"/>
    <w:rsid w:val="00477D5E"/>
    <w:rsid w:val="00477FBD"/>
    <w:rsid w:val="004803C2"/>
    <w:rsid w:val="004805FD"/>
    <w:rsid w:val="0048064D"/>
    <w:rsid w:val="004808D5"/>
    <w:rsid w:val="00480960"/>
    <w:rsid w:val="00480998"/>
    <w:rsid w:val="00480A0B"/>
    <w:rsid w:val="00480A78"/>
    <w:rsid w:val="00480AC6"/>
    <w:rsid w:val="00480C69"/>
    <w:rsid w:val="00480CF3"/>
    <w:rsid w:val="00480D4C"/>
    <w:rsid w:val="00480E18"/>
    <w:rsid w:val="00480ECE"/>
    <w:rsid w:val="00480FFB"/>
    <w:rsid w:val="00481216"/>
    <w:rsid w:val="0048154D"/>
    <w:rsid w:val="00481551"/>
    <w:rsid w:val="004815E2"/>
    <w:rsid w:val="00481631"/>
    <w:rsid w:val="004816DE"/>
    <w:rsid w:val="004816F3"/>
    <w:rsid w:val="00481838"/>
    <w:rsid w:val="00481AF8"/>
    <w:rsid w:val="00481BAF"/>
    <w:rsid w:val="00481BC2"/>
    <w:rsid w:val="00481BE7"/>
    <w:rsid w:val="00481ED5"/>
    <w:rsid w:val="0048209B"/>
    <w:rsid w:val="0048217C"/>
    <w:rsid w:val="0048254E"/>
    <w:rsid w:val="004826EF"/>
    <w:rsid w:val="0048287F"/>
    <w:rsid w:val="00482AD1"/>
    <w:rsid w:val="00482B38"/>
    <w:rsid w:val="00483049"/>
    <w:rsid w:val="00483275"/>
    <w:rsid w:val="004832DB"/>
    <w:rsid w:val="0048334C"/>
    <w:rsid w:val="004834ED"/>
    <w:rsid w:val="00483638"/>
    <w:rsid w:val="00483664"/>
    <w:rsid w:val="00483847"/>
    <w:rsid w:val="0048390E"/>
    <w:rsid w:val="00483AA6"/>
    <w:rsid w:val="00483C4C"/>
    <w:rsid w:val="00483FD6"/>
    <w:rsid w:val="00484182"/>
    <w:rsid w:val="004842A0"/>
    <w:rsid w:val="00484324"/>
    <w:rsid w:val="00484422"/>
    <w:rsid w:val="004845E9"/>
    <w:rsid w:val="00484611"/>
    <w:rsid w:val="0048469E"/>
    <w:rsid w:val="004846D1"/>
    <w:rsid w:val="004846FD"/>
    <w:rsid w:val="0048479E"/>
    <w:rsid w:val="00484834"/>
    <w:rsid w:val="0048492A"/>
    <w:rsid w:val="00484A82"/>
    <w:rsid w:val="00484C01"/>
    <w:rsid w:val="00484D9C"/>
    <w:rsid w:val="00484DF2"/>
    <w:rsid w:val="004851E8"/>
    <w:rsid w:val="0048542F"/>
    <w:rsid w:val="0048545B"/>
    <w:rsid w:val="004856B4"/>
    <w:rsid w:val="004858F8"/>
    <w:rsid w:val="004859DD"/>
    <w:rsid w:val="00485B1B"/>
    <w:rsid w:val="00485B42"/>
    <w:rsid w:val="00485BD5"/>
    <w:rsid w:val="00485D1C"/>
    <w:rsid w:val="00485D90"/>
    <w:rsid w:val="00485EEC"/>
    <w:rsid w:val="0048605C"/>
    <w:rsid w:val="00486216"/>
    <w:rsid w:val="004862E7"/>
    <w:rsid w:val="0048669C"/>
    <w:rsid w:val="004866E5"/>
    <w:rsid w:val="004867D2"/>
    <w:rsid w:val="00486DFD"/>
    <w:rsid w:val="00486E64"/>
    <w:rsid w:val="00486E8D"/>
    <w:rsid w:val="00486EF2"/>
    <w:rsid w:val="00486F7E"/>
    <w:rsid w:val="00487025"/>
    <w:rsid w:val="0048745A"/>
    <w:rsid w:val="00487513"/>
    <w:rsid w:val="0048762E"/>
    <w:rsid w:val="00487694"/>
    <w:rsid w:val="00487948"/>
    <w:rsid w:val="00487A2A"/>
    <w:rsid w:val="00487ABF"/>
    <w:rsid w:val="00487B34"/>
    <w:rsid w:val="00487B58"/>
    <w:rsid w:val="00487BDB"/>
    <w:rsid w:val="00487C7E"/>
    <w:rsid w:val="00487D3D"/>
    <w:rsid w:val="00487DD2"/>
    <w:rsid w:val="00487E3D"/>
    <w:rsid w:val="0049015B"/>
    <w:rsid w:val="00490225"/>
    <w:rsid w:val="004903DE"/>
    <w:rsid w:val="004904B2"/>
    <w:rsid w:val="004906A2"/>
    <w:rsid w:val="00490810"/>
    <w:rsid w:val="00490934"/>
    <w:rsid w:val="00490C33"/>
    <w:rsid w:val="00490DDD"/>
    <w:rsid w:val="00490F36"/>
    <w:rsid w:val="00490FCD"/>
    <w:rsid w:val="0049112D"/>
    <w:rsid w:val="0049137C"/>
    <w:rsid w:val="00491424"/>
    <w:rsid w:val="00491572"/>
    <w:rsid w:val="004916C0"/>
    <w:rsid w:val="0049172B"/>
    <w:rsid w:val="00491779"/>
    <w:rsid w:val="0049182E"/>
    <w:rsid w:val="00491A92"/>
    <w:rsid w:val="00491B84"/>
    <w:rsid w:val="00491CE6"/>
    <w:rsid w:val="00491E25"/>
    <w:rsid w:val="00491E7F"/>
    <w:rsid w:val="00491F16"/>
    <w:rsid w:val="00491F5E"/>
    <w:rsid w:val="0049205A"/>
    <w:rsid w:val="004921DB"/>
    <w:rsid w:val="00492390"/>
    <w:rsid w:val="004923CB"/>
    <w:rsid w:val="00492438"/>
    <w:rsid w:val="00492728"/>
    <w:rsid w:val="00492FCB"/>
    <w:rsid w:val="0049307A"/>
    <w:rsid w:val="00493102"/>
    <w:rsid w:val="00493292"/>
    <w:rsid w:val="0049330B"/>
    <w:rsid w:val="0049346D"/>
    <w:rsid w:val="0049363D"/>
    <w:rsid w:val="004936C7"/>
    <w:rsid w:val="004938D1"/>
    <w:rsid w:val="00493919"/>
    <w:rsid w:val="00493BC8"/>
    <w:rsid w:val="00493DF2"/>
    <w:rsid w:val="00493FFC"/>
    <w:rsid w:val="00494092"/>
    <w:rsid w:val="00494175"/>
    <w:rsid w:val="004942F6"/>
    <w:rsid w:val="00494356"/>
    <w:rsid w:val="0049437D"/>
    <w:rsid w:val="00494441"/>
    <w:rsid w:val="004944A7"/>
    <w:rsid w:val="00494585"/>
    <w:rsid w:val="00494737"/>
    <w:rsid w:val="004948B5"/>
    <w:rsid w:val="0049490A"/>
    <w:rsid w:val="00494B1B"/>
    <w:rsid w:val="00494C12"/>
    <w:rsid w:val="00494C15"/>
    <w:rsid w:val="00494C21"/>
    <w:rsid w:val="00494D35"/>
    <w:rsid w:val="00494F33"/>
    <w:rsid w:val="00494F3E"/>
    <w:rsid w:val="004951A8"/>
    <w:rsid w:val="00495263"/>
    <w:rsid w:val="0049540C"/>
    <w:rsid w:val="0049549D"/>
    <w:rsid w:val="004954DA"/>
    <w:rsid w:val="00495826"/>
    <w:rsid w:val="00495864"/>
    <w:rsid w:val="004958A9"/>
    <w:rsid w:val="004958E8"/>
    <w:rsid w:val="00495AAE"/>
    <w:rsid w:val="00495ADF"/>
    <w:rsid w:val="00495AE6"/>
    <w:rsid w:val="00495BAE"/>
    <w:rsid w:val="00495CCA"/>
    <w:rsid w:val="00495CE6"/>
    <w:rsid w:val="00495F8D"/>
    <w:rsid w:val="00495FA4"/>
    <w:rsid w:val="00495FD4"/>
    <w:rsid w:val="004960D1"/>
    <w:rsid w:val="0049616D"/>
    <w:rsid w:val="004962E6"/>
    <w:rsid w:val="004963BB"/>
    <w:rsid w:val="00496413"/>
    <w:rsid w:val="0049649A"/>
    <w:rsid w:val="004969BE"/>
    <w:rsid w:val="004969F6"/>
    <w:rsid w:val="00496A5D"/>
    <w:rsid w:val="00496ACC"/>
    <w:rsid w:val="00496B11"/>
    <w:rsid w:val="00496B39"/>
    <w:rsid w:val="00496BF4"/>
    <w:rsid w:val="00496C91"/>
    <w:rsid w:val="00496CE0"/>
    <w:rsid w:val="00496E25"/>
    <w:rsid w:val="00496E91"/>
    <w:rsid w:val="00496EB4"/>
    <w:rsid w:val="00496F36"/>
    <w:rsid w:val="0049738E"/>
    <w:rsid w:val="0049745F"/>
    <w:rsid w:val="0049790A"/>
    <w:rsid w:val="004979D2"/>
    <w:rsid w:val="00497B17"/>
    <w:rsid w:val="00497BE3"/>
    <w:rsid w:val="00497C9A"/>
    <w:rsid w:val="00497D1D"/>
    <w:rsid w:val="00497D6C"/>
    <w:rsid w:val="00497DD4"/>
    <w:rsid w:val="00497EBC"/>
    <w:rsid w:val="004A014C"/>
    <w:rsid w:val="004A053F"/>
    <w:rsid w:val="004A073D"/>
    <w:rsid w:val="004A077D"/>
    <w:rsid w:val="004A07CB"/>
    <w:rsid w:val="004A0873"/>
    <w:rsid w:val="004A098F"/>
    <w:rsid w:val="004A0B03"/>
    <w:rsid w:val="004A11EC"/>
    <w:rsid w:val="004A12B0"/>
    <w:rsid w:val="004A12C0"/>
    <w:rsid w:val="004A1485"/>
    <w:rsid w:val="004A1710"/>
    <w:rsid w:val="004A176A"/>
    <w:rsid w:val="004A1883"/>
    <w:rsid w:val="004A18EB"/>
    <w:rsid w:val="004A1909"/>
    <w:rsid w:val="004A1C4B"/>
    <w:rsid w:val="004A1C97"/>
    <w:rsid w:val="004A1D7D"/>
    <w:rsid w:val="004A1E3C"/>
    <w:rsid w:val="004A1EDD"/>
    <w:rsid w:val="004A1EE4"/>
    <w:rsid w:val="004A1FCC"/>
    <w:rsid w:val="004A2119"/>
    <w:rsid w:val="004A2163"/>
    <w:rsid w:val="004A2194"/>
    <w:rsid w:val="004A230A"/>
    <w:rsid w:val="004A2329"/>
    <w:rsid w:val="004A252F"/>
    <w:rsid w:val="004A256C"/>
    <w:rsid w:val="004A2589"/>
    <w:rsid w:val="004A25A8"/>
    <w:rsid w:val="004A25D9"/>
    <w:rsid w:val="004A2938"/>
    <w:rsid w:val="004A29C5"/>
    <w:rsid w:val="004A2B32"/>
    <w:rsid w:val="004A2D49"/>
    <w:rsid w:val="004A2DAE"/>
    <w:rsid w:val="004A2F3A"/>
    <w:rsid w:val="004A3046"/>
    <w:rsid w:val="004A30A6"/>
    <w:rsid w:val="004A3126"/>
    <w:rsid w:val="004A343D"/>
    <w:rsid w:val="004A345B"/>
    <w:rsid w:val="004A3607"/>
    <w:rsid w:val="004A3755"/>
    <w:rsid w:val="004A37D4"/>
    <w:rsid w:val="004A3876"/>
    <w:rsid w:val="004A3B93"/>
    <w:rsid w:val="004A3CC7"/>
    <w:rsid w:val="004A3F06"/>
    <w:rsid w:val="004A404C"/>
    <w:rsid w:val="004A41CD"/>
    <w:rsid w:val="004A42D9"/>
    <w:rsid w:val="004A4315"/>
    <w:rsid w:val="004A43C3"/>
    <w:rsid w:val="004A4663"/>
    <w:rsid w:val="004A4CB6"/>
    <w:rsid w:val="004A4CC7"/>
    <w:rsid w:val="004A4CE1"/>
    <w:rsid w:val="004A4CEB"/>
    <w:rsid w:val="004A4DE9"/>
    <w:rsid w:val="004A4DFC"/>
    <w:rsid w:val="004A4E4A"/>
    <w:rsid w:val="004A4E66"/>
    <w:rsid w:val="004A4EC1"/>
    <w:rsid w:val="004A5093"/>
    <w:rsid w:val="004A53D3"/>
    <w:rsid w:val="004A5415"/>
    <w:rsid w:val="004A5517"/>
    <w:rsid w:val="004A56B9"/>
    <w:rsid w:val="004A5918"/>
    <w:rsid w:val="004A5DB6"/>
    <w:rsid w:val="004A5DE6"/>
    <w:rsid w:val="004A5EA0"/>
    <w:rsid w:val="004A65B9"/>
    <w:rsid w:val="004A693C"/>
    <w:rsid w:val="004A69A2"/>
    <w:rsid w:val="004A6B47"/>
    <w:rsid w:val="004A6CE4"/>
    <w:rsid w:val="004A6D82"/>
    <w:rsid w:val="004A6DF7"/>
    <w:rsid w:val="004A7156"/>
    <w:rsid w:val="004A7305"/>
    <w:rsid w:val="004A7603"/>
    <w:rsid w:val="004A768D"/>
    <w:rsid w:val="004A7778"/>
    <w:rsid w:val="004A78DE"/>
    <w:rsid w:val="004A79F7"/>
    <w:rsid w:val="004A7A0F"/>
    <w:rsid w:val="004A7A4E"/>
    <w:rsid w:val="004A7A7E"/>
    <w:rsid w:val="004A7BC2"/>
    <w:rsid w:val="004A7CB8"/>
    <w:rsid w:val="004A7D6E"/>
    <w:rsid w:val="004B0015"/>
    <w:rsid w:val="004B004E"/>
    <w:rsid w:val="004B03EF"/>
    <w:rsid w:val="004B041A"/>
    <w:rsid w:val="004B057F"/>
    <w:rsid w:val="004B05C3"/>
    <w:rsid w:val="004B0649"/>
    <w:rsid w:val="004B089C"/>
    <w:rsid w:val="004B08FF"/>
    <w:rsid w:val="004B09C9"/>
    <w:rsid w:val="004B0A67"/>
    <w:rsid w:val="004B0D56"/>
    <w:rsid w:val="004B0DF8"/>
    <w:rsid w:val="004B0EE0"/>
    <w:rsid w:val="004B100F"/>
    <w:rsid w:val="004B1212"/>
    <w:rsid w:val="004B1443"/>
    <w:rsid w:val="004B158D"/>
    <w:rsid w:val="004B189A"/>
    <w:rsid w:val="004B1A15"/>
    <w:rsid w:val="004B1A55"/>
    <w:rsid w:val="004B1C4B"/>
    <w:rsid w:val="004B1CEE"/>
    <w:rsid w:val="004B1E36"/>
    <w:rsid w:val="004B1E9D"/>
    <w:rsid w:val="004B1EE4"/>
    <w:rsid w:val="004B1F54"/>
    <w:rsid w:val="004B1F8D"/>
    <w:rsid w:val="004B200E"/>
    <w:rsid w:val="004B20D8"/>
    <w:rsid w:val="004B2232"/>
    <w:rsid w:val="004B2337"/>
    <w:rsid w:val="004B250A"/>
    <w:rsid w:val="004B26D9"/>
    <w:rsid w:val="004B2766"/>
    <w:rsid w:val="004B2BB2"/>
    <w:rsid w:val="004B2BC3"/>
    <w:rsid w:val="004B2BC5"/>
    <w:rsid w:val="004B2D37"/>
    <w:rsid w:val="004B2E8B"/>
    <w:rsid w:val="004B3122"/>
    <w:rsid w:val="004B3364"/>
    <w:rsid w:val="004B3420"/>
    <w:rsid w:val="004B34C3"/>
    <w:rsid w:val="004B376E"/>
    <w:rsid w:val="004B37B4"/>
    <w:rsid w:val="004B38F2"/>
    <w:rsid w:val="004B39CB"/>
    <w:rsid w:val="004B3FAC"/>
    <w:rsid w:val="004B40E9"/>
    <w:rsid w:val="004B4182"/>
    <w:rsid w:val="004B463B"/>
    <w:rsid w:val="004B4663"/>
    <w:rsid w:val="004B4776"/>
    <w:rsid w:val="004B47F8"/>
    <w:rsid w:val="004B4A45"/>
    <w:rsid w:val="004B4ABA"/>
    <w:rsid w:val="004B4D14"/>
    <w:rsid w:val="004B4E88"/>
    <w:rsid w:val="004B5168"/>
    <w:rsid w:val="004B5234"/>
    <w:rsid w:val="004B523F"/>
    <w:rsid w:val="004B5284"/>
    <w:rsid w:val="004B5795"/>
    <w:rsid w:val="004B5A50"/>
    <w:rsid w:val="004B5A53"/>
    <w:rsid w:val="004B5D89"/>
    <w:rsid w:val="004B5E36"/>
    <w:rsid w:val="004B61F4"/>
    <w:rsid w:val="004B61F5"/>
    <w:rsid w:val="004B626F"/>
    <w:rsid w:val="004B6340"/>
    <w:rsid w:val="004B64D4"/>
    <w:rsid w:val="004B6516"/>
    <w:rsid w:val="004B6579"/>
    <w:rsid w:val="004B657F"/>
    <w:rsid w:val="004B65D2"/>
    <w:rsid w:val="004B6669"/>
    <w:rsid w:val="004B66EA"/>
    <w:rsid w:val="004B6981"/>
    <w:rsid w:val="004B69AB"/>
    <w:rsid w:val="004B6BF9"/>
    <w:rsid w:val="004B6C4D"/>
    <w:rsid w:val="004B6C86"/>
    <w:rsid w:val="004B6CCA"/>
    <w:rsid w:val="004B6D88"/>
    <w:rsid w:val="004B6FF3"/>
    <w:rsid w:val="004B73CE"/>
    <w:rsid w:val="004B778A"/>
    <w:rsid w:val="004B78DF"/>
    <w:rsid w:val="004B7916"/>
    <w:rsid w:val="004B7A0C"/>
    <w:rsid w:val="004B7B08"/>
    <w:rsid w:val="004B7B19"/>
    <w:rsid w:val="004B7BB2"/>
    <w:rsid w:val="004B7C36"/>
    <w:rsid w:val="004B7DCC"/>
    <w:rsid w:val="004B7E10"/>
    <w:rsid w:val="004B7E7A"/>
    <w:rsid w:val="004B7E9F"/>
    <w:rsid w:val="004B7F0A"/>
    <w:rsid w:val="004B7F31"/>
    <w:rsid w:val="004C01D9"/>
    <w:rsid w:val="004C02A2"/>
    <w:rsid w:val="004C02DB"/>
    <w:rsid w:val="004C04CF"/>
    <w:rsid w:val="004C07E4"/>
    <w:rsid w:val="004C0876"/>
    <w:rsid w:val="004C09FA"/>
    <w:rsid w:val="004C0BA6"/>
    <w:rsid w:val="004C0BB3"/>
    <w:rsid w:val="004C0E00"/>
    <w:rsid w:val="004C0F58"/>
    <w:rsid w:val="004C100D"/>
    <w:rsid w:val="004C10D4"/>
    <w:rsid w:val="004C1218"/>
    <w:rsid w:val="004C1273"/>
    <w:rsid w:val="004C127B"/>
    <w:rsid w:val="004C12A7"/>
    <w:rsid w:val="004C14B6"/>
    <w:rsid w:val="004C159E"/>
    <w:rsid w:val="004C1605"/>
    <w:rsid w:val="004C16D4"/>
    <w:rsid w:val="004C1834"/>
    <w:rsid w:val="004C1950"/>
    <w:rsid w:val="004C19DF"/>
    <w:rsid w:val="004C1C87"/>
    <w:rsid w:val="004C1F11"/>
    <w:rsid w:val="004C209A"/>
    <w:rsid w:val="004C2121"/>
    <w:rsid w:val="004C217F"/>
    <w:rsid w:val="004C21B1"/>
    <w:rsid w:val="004C21CC"/>
    <w:rsid w:val="004C2201"/>
    <w:rsid w:val="004C240E"/>
    <w:rsid w:val="004C26CC"/>
    <w:rsid w:val="004C2863"/>
    <w:rsid w:val="004C28E9"/>
    <w:rsid w:val="004C299B"/>
    <w:rsid w:val="004C2A19"/>
    <w:rsid w:val="004C2A72"/>
    <w:rsid w:val="004C2CA2"/>
    <w:rsid w:val="004C2CF8"/>
    <w:rsid w:val="004C2DEE"/>
    <w:rsid w:val="004C2EAD"/>
    <w:rsid w:val="004C33D2"/>
    <w:rsid w:val="004C33EB"/>
    <w:rsid w:val="004C342C"/>
    <w:rsid w:val="004C38D8"/>
    <w:rsid w:val="004C3A01"/>
    <w:rsid w:val="004C3D3B"/>
    <w:rsid w:val="004C408C"/>
    <w:rsid w:val="004C413E"/>
    <w:rsid w:val="004C416F"/>
    <w:rsid w:val="004C418D"/>
    <w:rsid w:val="004C4454"/>
    <w:rsid w:val="004C44AF"/>
    <w:rsid w:val="004C4677"/>
    <w:rsid w:val="004C476D"/>
    <w:rsid w:val="004C4B3E"/>
    <w:rsid w:val="004C4B79"/>
    <w:rsid w:val="004C4CD8"/>
    <w:rsid w:val="004C4CFF"/>
    <w:rsid w:val="004C50CA"/>
    <w:rsid w:val="004C53BD"/>
    <w:rsid w:val="004C53CD"/>
    <w:rsid w:val="004C5400"/>
    <w:rsid w:val="004C5414"/>
    <w:rsid w:val="004C564F"/>
    <w:rsid w:val="004C565F"/>
    <w:rsid w:val="004C57D2"/>
    <w:rsid w:val="004C5829"/>
    <w:rsid w:val="004C5CF8"/>
    <w:rsid w:val="004C5E10"/>
    <w:rsid w:val="004C5FA9"/>
    <w:rsid w:val="004C5FBF"/>
    <w:rsid w:val="004C604F"/>
    <w:rsid w:val="004C65BF"/>
    <w:rsid w:val="004C687D"/>
    <w:rsid w:val="004C68FB"/>
    <w:rsid w:val="004C6CEE"/>
    <w:rsid w:val="004C6EE1"/>
    <w:rsid w:val="004C6F89"/>
    <w:rsid w:val="004C705C"/>
    <w:rsid w:val="004C71BE"/>
    <w:rsid w:val="004C736C"/>
    <w:rsid w:val="004C73E6"/>
    <w:rsid w:val="004C751A"/>
    <w:rsid w:val="004C7602"/>
    <w:rsid w:val="004C760B"/>
    <w:rsid w:val="004C7683"/>
    <w:rsid w:val="004C76C6"/>
    <w:rsid w:val="004C76E9"/>
    <w:rsid w:val="004C776B"/>
    <w:rsid w:val="004C7A9B"/>
    <w:rsid w:val="004C7B1E"/>
    <w:rsid w:val="004C7B79"/>
    <w:rsid w:val="004C7BD6"/>
    <w:rsid w:val="004C7C18"/>
    <w:rsid w:val="004C7C20"/>
    <w:rsid w:val="004C7D34"/>
    <w:rsid w:val="004C7D4D"/>
    <w:rsid w:val="004C7D89"/>
    <w:rsid w:val="004C7E77"/>
    <w:rsid w:val="004C7EAB"/>
    <w:rsid w:val="004C7F99"/>
    <w:rsid w:val="004C7FA3"/>
    <w:rsid w:val="004D002C"/>
    <w:rsid w:val="004D02AE"/>
    <w:rsid w:val="004D040B"/>
    <w:rsid w:val="004D0429"/>
    <w:rsid w:val="004D0529"/>
    <w:rsid w:val="004D0A16"/>
    <w:rsid w:val="004D0BD0"/>
    <w:rsid w:val="004D0E51"/>
    <w:rsid w:val="004D137B"/>
    <w:rsid w:val="004D13F9"/>
    <w:rsid w:val="004D149A"/>
    <w:rsid w:val="004D177E"/>
    <w:rsid w:val="004D18FF"/>
    <w:rsid w:val="004D1A2A"/>
    <w:rsid w:val="004D1B50"/>
    <w:rsid w:val="004D1BA1"/>
    <w:rsid w:val="004D1CB3"/>
    <w:rsid w:val="004D1F07"/>
    <w:rsid w:val="004D2135"/>
    <w:rsid w:val="004D21AE"/>
    <w:rsid w:val="004D21C5"/>
    <w:rsid w:val="004D25E8"/>
    <w:rsid w:val="004D2747"/>
    <w:rsid w:val="004D2751"/>
    <w:rsid w:val="004D2846"/>
    <w:rsid w:val="004D2A0B"/>
    <w:rsid w:val="004D2AB8"/>
    <w:rsid w:val="004D2B63"/>
    <w:rsid w:val="004D2C93"/>
    <w:rsid w:val="004D2E3C"/>
    <w:rsid w:val="004D2E80"/>
    <w:rsid w:val="004D30AE"/>
    <w:rsid w:val="004D32A9"/>
    <w:rsid w:val="004D3357"/>
    <w:rsid w:val="004D337A"/>
    <w:rsid w:val="004D34C3"/>
    <w:rsid w:val="004D3858"/>
    <w:rsid w:val="004D38A6"/>
    <w:rsid w:val="004D3C0D"/>
    <w:rsid w:val="004D3C3A"/>
    <w:rsid w:val="004D3D64"/>
    <w:rsid w:val="004D3F09"/>
    <w:rsid w:val="004D4000"/>
    <w:rsid w:val="004D40CD"/>
    <w:rsid w:val="004D4139"/>
    <w:rsid w:val="004D41D6"/>
    <w:rsid w:val="004D42D3"/>
    <w:rsid w:val="004D42E8"/>
    <w:rsid w:val="004D440A"/>
    <w:rsid w:val="004D4481"/>
    <w:rsid w:val="004D4536"/>
    <w:rsid w:val="004D45FD"/>
    <w:rsid w:val="004D4B17"/>
    <w:rsid w:val="004D4DF6"/>
    <w:rsid w:val="004D4EF9"/>
    <w:rsid w:val="004D4F9E"/>
    <w:rsid w:val="004D5095"/>
    <w:rsid w:val="004D531D"/>
    <w:rsid w:val="004D55D5"/>
    <w:rsid w:val="004D567B"/>
    <w:rsid w:val="004D56CC"/>
    <w:rsid w:val="004D576B"/>
    <w:rsid w:val="004D57A3"/>
    <w:rsid w:val="004D5B6E"/>
    <w:rsid w:val="004D5BD0"/>
    <w:rsid w:val="004D5D3A"/>
    <w:rsid w:val="004D5F61"/>
    <w:rsid w:val="004D62F8"/>
    <w:rsid w:val="004D6495"/>
    <w:rsid w:val="004D6653"/>
    <w:rsid w:val="004D6667"/>
    <w:rsid w:val="004D66E9"/>
    <w:rsid w:val="004D69EF"/>
    <w:rsid w:val="004D6B0C"/>
    <w:rsid w:val="004D6BFD"/>
    <w:rsid w:val="004D6C13"/>
    <w:rsid w:val="004D6DF3"/>
    <w:rsid w:val="004D6EC3"/>
    <w:rsid w:val="004D7055"/>
    <w:rsid w:val="004D705D"/>
    <w:rsid w:val="004D721C"/>
    <w:rsid w:val="004D7583"/>
    <w:rsid w:val="004D75BB"/>
    <w:rsid w:val="004D76BC"/>
    <w:rsid w:val="004D7858"/>
    <w:rsid w:val="004D797E"/>
    <w:rsid w:val="004D7A5B"/>
    <w:rsid w:val="004D7CED"/>
    <w:rsid w:val="004D7CF9"/>
    <w:rsid w:val="004D7D95"/>
    <w:rsid w:val="004D7DB6"/>
    <w:rsid w:val="004D7DF9"/>
    <w:rsid w:val="004D7E6B"/>
    <w:rsid w:val="004E0036"/>
    <w:rsid w:val="004E003D"/>
    <w:rsid w:val="004E00CE"/>
    <w:rsid w:val="004E01AB"/>
    <w:rsid w:val="004E0363"/>
    <w:rsid w:val="004E03FD"/>
    <w:rsid w:val="004E064D"/>
    <w:rsid w:val="004E068C"/>
    <w:rsid w:val="004E0841"/>
    <w:rsid w:val="004E08D1"/>
    <w:rsid w:val="004E09E4"/>
    <w:rsid w:val="004E0AD6"/>
    <w:rsid w:val="004E0AED"/>
    <w:rsid w:val="004E0B3F"/>
    <w:rsid w:val="004E0C19"/>
    <w:rsid w:val="004E0C74"/>
    <w:rsid w:val="004E0E6F"/>
    <w:rsid w:val="004E0F76"/>
    <w:rsid w:val="004E0F84"/>
    <w:rsid w:val="004E0FB5"/>
    <w:rsid w:val="004E0FD2"/>
    <w:rsid w:val="004E1058"/>
    <w:rsid w:val="004E1074"/>
    <w:rsid w:val="004E11AC"/>
    <w:rsid w:val="004E120D"/>
    <w:rsid w:val="004E127E"/>
    <w:rsid w:val="004E14A6"/>
    <w:rsid w:val="004E154D"/>
    <w:rsid w:val="004E186A"/>
    <w:rsid w:val="004E18DE"/>
    <w:rsid w:val="004E19D9"/>
    <w:rsid w:val="004E1A53"/>
    <w:rsid w:val="004E1A76"/>
    <w:rsid w:val="004E1A8C"/>
    <w:rsid w:val="004E1C48"/>
    <w:rsid w:val="004E1CD8"/>
    <w:rsid w:val="004E1D6B"/>
    <w:rsid w:val="004E1E99"/>
    <w:rsid w:val="004E1EC7"/>
    <w:rsid w:val="004E1FDF"/>
    <w:rsid w:val="004E203C"/>
    <w:rsid w:val="004E2046"/>
    <w:rsid w:val="004E2058"/>
    <w:rsid w:val="004E20AF"/>
    <w:rsid w:val="004E22F7"/>
    <w:rsid w:val="004E238E"/>
    <w:rsid w:val="004E288D"/>
    <w:rsid w:val="004E28B0"/>
    <w:rsid w:val="004E28B5"/>
    <w:rsid w:val="004E28C7"/>
    <w:rsid w:val="004E2936"/>
    <w:rsid w:val="004E29FB"/>
    <w:rsid w:val="004E2A61"/>
    <w:rsid w:val="004E2BA1"/>
    <w:rsid w:val="004E2C06"/>
    <w:rsid w:val="004E2EDA"/>
    <w:rsid w:val="004E2F61"/>
    <w:rsid w:val="004E2FA4"/>
    <w:rsid w:val="004E314D"/>
    <w:rsid w:val="004E3505"/>
    <w:rsid w:val="004E3540"/>
    <w:rsid w:val="004E3548"/>
    <w:rsid w:val="004E3768"/>
    <w:rsid w:val="004E3921"/>
    <w:rsid w:val="004E3A53"/>
    <w:rsid w:val="004E3A85"/>
    <w:rsid w:val="004E3AD5"/>
    <w:rsid w:val="004E3B8E"/>
    <w:rsid w:val="004E3B90"/>
    <w:rsid w:val="004E3BCF"/>
    <w:rsid w:val="004E3C17"/>
    <w:rsid w:val="004E3C44"/>
    <w:rsid w:val="004E3CC9"/>
    <w:rsid w:val="004E3D7D"/>
    <w:rsid w:val="004E410F"/>
    <w:rsid w:val="004E4458"/>
    <w:rsid w:val="004E4497"/>
    <w:rsid w:val="004E467D"/>
    <w:rsid w:val="004E46E1"/>
    <w:rsid w:val="004E4874"/>
    <w:rsid w:val="004E48E8"/>
    <w:rsid w:val="004E49DA"/>
    <w:rsid w:val="004E4B1B"/>
    <w:rsid w:val="004E4C97"/>
    <w:rsid w:val="004E4CED"/>
    <w:rsid w:val="004E4EB7"/>
    <w:rsid w:val="004E510D"/>
    <w:rsid w:val="004E51FD"/>
    <w:rsid w:val="004E52B4"/>
    <w:rsid w:val="004E533F"/>
    <w:rsid w:val="004E5343"/>
    <w:rsid w:val="004E5677"/>
    <w:rsid w:val="004E56E2"/>
    <w:rsid w:val="004E5773"/>
    <w:rsid w:val="004E5850"/>
    <w:rsid w:val="004E587B"/>
    <w:rsid w:val="004E5D9F"/>
    <w:rsid w:val="004E6027"/>
    <w:rsid w:val="004E6123"/>
    <w:rsid w:val="004E621B"/>
    <w:rsid w:val="004E62CC"/>
    <w:rsid w:val="004E62F2"/>
    <w:rsid w:val="004E63B2"/>
    <w:rsid w:val="004E63CE"/>
    <w:rsid w:val="004E6497"/>
    <w:rsid w:val="004E65FD"/>
    <w:rsid w:val="004E6627"/>
    <w:rsid w:val="004E6725"/>
    <w:rsid w:val="004E6839"/>
    <w:rsid w:val="004E69C6"/>
    <w:rsid w:val="004E69F6"/>
    <w:rsid w:val="004E6A5F"/>
    <w:rsid w:val="004E6B40"/>
    <w:rsid w:val="004E6BF3"/>
    <w:rsid w:val="004E6BF7"/>
    <w:rsid w:val="004E6CCC"/>
    <w:rsid w:val="004E6D1D"/>
    <w:rsid w:val="004E6D7B"/>
    <w:rsid w:val="004E6DC8"/>
    <w:rsid w:val="004E6FCB"/>
    <w:rsid w:val="004E717C"/>
    <w:rsid w:val="004E72E2"/>
    <w:rsid w:val="004E7392"/>
    <w:rsid w:val="004E765C"/>
    <w:rsid w:val="004E7834"/>
    <w:rsid w:val="004E7920"/>
    <w:rsid w:val="004E7CFE"/>
    <w:rsid w:val="004E7E3A"/>
    <w:rsid w:val="004E7E98"/>
    <w:rsid w:val="004E7EB7"/>
    <w:rsid w:val="004F01D4"/>
    <w:rsid w:val="004F023E"/>
    <w:rsid w:val="004F047E"/>
    <w:rsid w:val="004F0616"/>
    <w:rsid w:val="004F09F8"/>
    <w:rsid w:val="004F0A20"/>
    <w:rsid w:val="004F0A97"/>
    <w:rsid w:val="004F0AB8"/>
    <w:rsid w:val="004F0B43"/>
    <w:rsid w:val="004F0C0D"/>
    <w:rsid w:val="004F0C3B"/>
    <w:rsid w:val="004F0C6D"/>
    <w:rsid w:val="004F0CA0"/>
    <w:rsid w:val="004F0CBC"/>
    <w:rsid w:val="004F0D73"/>
    <w:rsid w:val="004F0F16"/>
    <w:rsid w:val="004F0F76"/>
    <w:rsid w:val="004F1164"/>
    <w:rsid w:val="004F13C9"/>
    <w:rsid w:val="004F141B"/>
    <w:rsid w:val="004F17F0"/>
    <w:rsid w:val="004F1A76"/>
    <w:rsid w:val="004F1AEA"/>
    <w:rsid w:val="004F1DD8"/>
    <w:rsid w:val="004F1DEF"/>
    <w:rsid w:val="004F1E3D"/>
    <w:rsid w:val="004F2019"/>
    <w:rsid w:val="004F201B"/>
    <w:rsid w:val="004F2158"/>
    <w:rsid w:val="004F21BE"/>
    <w:rsid w:val="004F2454"/>
    <w:rsid w:val="004F2624"/>
    <w:rsid w:val="004F265F"/>
    <w:rsid w:val="004F2673"/>
    <w:rsid w:val="004F271C"/>
    <w:rsid w:val="004F2B95"/>
    <w:rsid w:val="004F2BC8"/>
    <w:rsid w:val="004F2CEA"/>
    <w:rsid w:val="004F2D21"/>
    <w:rsid w:val="004F2F29"/>
    <w:rsid w:val="004F30BD"/>
    <w:rsid w:val="004F3625"/>
    <w:rsid w:val="004F36DC"/>
    <w:rsid w:val="004F3781"/>
    <w:rsid w:val="004F3887"/>
    <w:rsid w:val="004F3CB3"/>
    <w:rsid w:val="004F3D79"/>
    <w:rsid w:val="004F3E05"/>
    <w:rsid w:val="004F3EB9"/>
    <w:rsid w:val="004F4137"/>
    <w:rsid w:val="004F4247"/>
    <w:rsid w:val="004F42EE"/>
    <w:rsid w:val="004F4303"/>
    <w:rsid w:val="004F43F9"/>
    <w:rsid w:val="004F461D"/>
    <w:rsid w:val="004F47AA"/>
    <w:rsid w:val="004F4AC5"/>
    <w:rsid w:val="004F4C5B"/>
    <w:rsid w:val="004F4C90"/>
    <w:rsid w:val="004F4CEF"/>
    <w:rsid w:val="004F4E9A"/>
    <w:rsid w:val="004F4F6E"/>
    <w:rsid w:val="004F50C8"/>
    <w:rsid w:val="004F5433"/>
    <w:rsid w:val="004F54F0"/>
    <w:rsid w:val="004F5566"/>
    <w:rsid w:val="004F5751"/>
    <w:rsid w:val="004F5804"/>
    <w:rsid w:val="004F5A9D"/>
    <w:rsid w:val="004F5B66"/>
    <w:rsid w:val="004F5C22"/>
    <w:rsid w:val="004F5CD5"/>
    <w:rsid w:val="004F5E6B"/>
    <w:rsid w:val="004F5E91"/>
    <w:rsid w:val="004F5E9A"/>
    <w:rsid w:val="004F6095"/>
    <w:rsid w:val="004F60E4"/>
    <w:rsid w:val="004F61BF"/>
    <w:rsid w:val="004F6445"/>
    <w:rsid w:val="004F649D"/>
    <w:rsid w:val="004F65B2"/>
    <w:rsid w:val="004F67E5"/>
    <w:rsid w:val="004F6872"/>
    <w:rsid w:val="004F68E6"/>
    <w:rsid w:val="004F6946"/>
    <w:rsid w:val="004F6C0A"/>
    <w:rsid w:val="004F6D24"/>
    <w:rsid w:val="004F6F19"/>
    <w:rsid w:val="004F6F29"/>
    <w:rsid w:val="004F6F2D"/>
    <w:rsid w:val="004F701D"/>
    <w:rsid w:val="004F7262"/>
    <w:rsid w:val="004F7504"/>
    <w:rsid w:val="004F7638"/>
    <w:rsid w:val="004F79B2"/>
    <w:rsid w:val="004F79C7"/>
    <w:rsid w:val="004F7AA0"/>
    <w:rsid w:val="004F7AFA"/>
    <w:rsid w:val="004F7CBC"/>
    <w:rsid w:val="004F7D0A"/>
    <w:rsid w:val="004F7D33"/>
    <w:rsid w:val="004F7E51"/>
    <w:rsid w:val="004F7E7E"/>
    <w:rsid w:val="004F7E92"/>
    <w:rsid w:val="0050003D"/>
    <w:rsid w:val="0050006A"/>
    <w:rsid w:val="005002EB"/>
    <w:rsid w:val="00500327"/>
    <w:rsid w:val="00500399"/>
    <w:rsid w:val="00500589"/>
    <w:rsid w:val="005006CA"/>
    <w:rsid w:val="00500855"/>
    <w:rsid w:val="00500A4B"/>
    <w:rsid w:val="00500C80"/>
    <w:rsid w:val="00500DCD"/>
    <w:rsid w:val="00500F88"/>
    <w:rsid w:val="005010CD"/>
    <w:rsid w:val="005010DB"/>
    <w:rsid w:val="005011BB"/>
    <w:rsid w:val="00501277"/>
    <w:rsid w:val="00501536"/>
    <w:rsid w:val="00501540"/>
    <w:rsid w:val="0050158F"/>
    <w:rsid w:val="00501687"/>
    <w:rsid w:val="005017DC"/>
    <w:rsid w:val="005017F8"/>
    <w:rsid w:val="005018D2"/>
    <w:rsid w:val="00501953"/>
    <w:rsid w:val="00501AC8"/>
    <w:rsid w:val="00501B8B"/>
    <w:rsid w:val="00501BCF"/>
    <w:rsid w:val="00501EFF"/>
    <w:rsid w:val="00501F00"/>
    <w:rsid w:val="00501F28"/>
    <w:rsid w:val="0050276E"/>
    <w:rsid w:val="00502904"/>
    <w:rsid w:val="00502A03"/>
    <w:rsid w:val="00502A6E"/>
    <w:rsid w:val="00502A9B"/>
    <w:rsid w:val="00502FDA"/>
    <w:rsid w:val="005031A8"/>
    <w:rsid w:val="00503342"/>
    <w:rsid w:val="005033C7"/>
    <w:rsid w:val="005034E7"/>
    <w:rsid w:val="00503522"/>
    <w:rsid w:val="00503574"/>
    <w:rsid w:val="005035F4"/>
    <w:rsid w:val="005035F6"/>
    <w:rsid w:val="00503724"/>
    <w:rsid w:val="0050372F"/>
    <w:rsid w:val="0050380C"/>
    <w:rsid w:val="005038BA"/>
    <w:rsid w:val="00503D6A"/>
    <w:rsid w:val="00503D90"/>
    <w:rsid w:val="00503DC8"/>
    <w:rsid w:val="00503DF9"/>
    <w:rsid w:val="00503E99"/>
    <w:rsid w:val="00503F40"/>
    <w:rsid w:val="00504148"/>
    <w:rsid w:val="0050478B"/>
    <w:rsid w:val="0050498D"/>
    <w:rsid w:val="00504D04"/>
    <w:rsid w:val="00504D25"/>
    <w:rsid w:val="00504E28"/>
    <w:rsid w:val="0050500E"/>
    <w:rsid w:val="00505117"/>
    <w:rsid w:val="0050517C"/>
    <w:rsid w:val="0050525F"/>
    <w:rsid w:val="00505343"/>
    <w:rsid w:val="005053FE"/>
    <w:rsid w:val="00505468"/>
    <w:rsid w:val="0050547F"/>
    <w:rsid w:val="005054F3"/>
    <w:rsid w:val="0050560D"/>
    <w:rsid w:val="00505CEF"/>
    <w:rsid w:val="00505EC8"/>
    <w:rsid w:val="00505ED6"/>
    <w:rsid w:val="00506072"/>
    <w:rsid w:val="00506191"/>
    <w:rsid w:val="0050640E"/>
    <w:rsid w:val="005064A8"/>
    <w:rsid w:val="0050660E"/>
    <w:rsid w:val="00506697"/>
    <w:rsid w:val="005068A9"/>
    <w:rsid w:val="00506AEE"/>
    <w:rsid w:val="00506D43"/>
    <w:rsid w:val="00506EF6"/>
    <w:rsid w:val="005070F3"/>
    <w:rsid w:val="005071BE"/>
    <w:rsid w:val="0050732F"/>
    <w:rsid w:val="005073A2"/>
    <w:rsid w:val="005074DC"/>
    <w:rsid w:val="00507519"/>
    <w:rsid w:val="00507577"/>
    <w:rsid w:val="00507668"/>
    <w:rsid w:val="005078B5"/>
    <w:rsid w:val="005078DF"/>
    <w:rsid w:val="00507952"/>
    <w:rsid w:val="00507CD6"/>
    <w:rsid w:val="00507D3B"/>
    <w:rsid w:val="00507DE8"/>
    <w:rsid w:val="00507F4C"/>
    <w:rsid w:val="00507F57"/>
    <w:rsid w:val="0051002E"/>
    <w:rsid w:val="005101AE"/>
    <w:rsid w:val="0051049A"/>
    <w:rsid w:val="00510641"/>
    <w:rsid w:val="0051064A"/>
    <w:rsid w:val="005106F8"/>
    <w:rsid w:val="00510985"/>
    <w:rsid w:val="005109D3"/>
    <w:rsid w:val="00510A96"/>
    <w:rsid w:val="00510B6A"/>
    <w:rsid w:val="00510B86"/>
    <w:rsid w:val="00510C09"/>
    <w:rsid w:val="00510D3C"/>
    <w:rsid w:val="00510EEF"/>
    <w:rsid w:val="00511000"/>
    <w:rsid w:val="00511480"/>
    <w:rsid w:val="00511490"/>
    <w:rsid w:val="0051155A"/>
    <w:rsid w:val="00511574"/>
    <w:rsid w:val="0051166C"/>
    <w:rsid w:val="00511ADF"/>
    <w:rsid w:val="00511DDF"/>
    <w:rsid w:val="00512055"/>
    <w:rsid w:val="00512068"/>
    <w:rsid w:val="0051208A"/>
    <w:rsid w:val="00512092"/>
    <w:rsid w:val="00512115"/>
    <w:rsid w:val="00512197"/>
    <w:rsid w:val="005121A0"/>
    <w:rsid w:val="00512208"/>
    <w:rsid w:val="0051220D"/>
    <w:rsid w:val="005124FD"/>
    <w:rsid w:val="005125EB"/>
    <w:rsid w:val="00512641"/>
    <w:rsid w:val="00512674"/>
    <w:rsid w:val="005127DE"/>
    <w:rsid w:val="00512A5B"/>
    <w:rsid w:val="00512CBA"/>
    <w:rsid w:val="00512D3D"/>
    <w:rsid w:val="00512E25"/>
    <w:rsid w:val="00512EDF"/>
    <w:rsid w:val="0051330B"/>
    <w:rsid w:val="00513435"/>
    <w:rsid w:val="00513445"/>
    <w:rsid w:val="0051353E"/>
    <w:rsid w:val="00513911"/>
    <w:rsid w:val="00513960"/>
    <w:rsid w:val="00513967"/>
    <w:rsid w:val="00513A5C"/>
    <w:rsid w:val="00513A60"/>
    <w:rsid w:val="00513CD2"/>
    <w:rsid w:val="005140F9"/>
    <w:rsid w:val="00514195"/>
    <w:rsid w:val="005141FF"/>
    <w:rsid w:val="0051427E"/>
    <w:rsid w:val="00514373"/>
    <w:rsid w:val="0051439D"/>
    <w:rsid w:val="0051441D"/>
    <w:rsid w:val="005144DD"/>
    <w:rsid w:val="00514505"/>
    <w:rsid w:val="0051475D"/>
    <w:rsid w:val="005148A3"/>
    <w:rsid w:val="0051493C"/>
    <w:rsid w:val="00514ACD"/>
    <w:rsid w:val="00514D06"/>
    <w:rsid w:val="00514D8B"/>
    <w:rsid w:val="00515248"/>
    <w:rsid w:val="00515364"/>
    <w:rsid w:val="0051542D"/>
    <w:rsid w:val="00515465"/>
    <w:rsid w:val="005156FB"/>
    <w:rsid w:val="0051582B"/>
    <w:rsid w:val="0051586A"/>
    <w:rsid w:val="0051599C"/>
    <w:rsid w:val="00515A1C"/>
    <w:rsid w:val="00515B56"/>
    <w:rsid w:val="00515B79"/>
    <w:rsid w:val="00515F90"/>
    <w:rsid w:val="00516108"/>
    <w:rsid w:val="0051647C"/>
    <w:rsid w:val="00516785"/>
    <w:rsid w:val="00516A57"/>
    <w:rsid w:val="00516CA7"/>
    <w:rsid w:val="00516CC6"/>
    <w:rsid w:val="00516D39"/>
    <w:rsid w:val="00516EA0"/>
    <w:rsid w:val="0051708A"/>
    <w:rsid w:val="00517156"/>
    <w:rsid w:val="00517257"/>
    <w:rsid w:val="0051729D"/>
    <w:rsid w:val="00517898"/>
    <w:rsid w:val="005178F0"/>
    <w:rsid w:val="00517AB6"/>
    <w:rsid w:val="00517B5F"/>
    <w:rsid w:val="00517E86"/>
    <w:rsid w:val="00517EBC"/>
    <w:rsid w:val="00517FF6"/>
    <w:rsid w:val="0052035B"/>
    <w:rsid w:val="00520429"/>
    <w:rsid w:val="00520646"/>
    <w:rsid w:val="005207F4"/>
    <w:rsid w:val="005208F2"/>
    <w:rsid w:val="00520A77"/>
    <w:rsid w:val="00520B7B"/>
    <w:rsid w:val="00520BA7"/>
    <w:rsid w:val="00520CDC"/>
    <w:rsid w:val="00520E47"/>
    <w:rsid w:val="00520F66"/>
    <w:rsid w:val="005210D8"/>
    <w:rsid w:val="005211D6"/>
    <w:rsid w:val="0052134D"/>
    <w:rsid w:val="00521389"/>
    <w:rsid w:val="005215CC"/>
    <w:rsid w:val="00521834"/>
    <w:rsid w:val="0052188D"/>
    <w:rsid w:val="0052195E"/>
    <w:rsid w:val="00521975"/>
    <w:rsid w:val="005219C6"/>
    <w:rsid w:val="00521A76"/>
    <w:rsid w:val="00521C41"/>
    <w:rsid w:val="00521DAB"/>
    <w:rsid w:val="005220A8"/>
    <w:rsid w:val="005220F0"/>
    <w:rsid w:val="0052218E"/>
    <w:rsid w:val="005222E3"/>
    <w:rsid w:val="00522546"/>
    <w:rsid w:val="00522675"/>
    <w:rsid w:val="00522691"/>
    <w:rsid w:val="005226C7"/>
    <w:rsid w:val="005227EF"/>
    <w:rsid w:val="00522A10"/>
    <w:rsid w:val="00522A9B"/>
    <w:rsid w:val="00522F9B"/>
    <w:rsid w:val="00522FE4"/>
    <w:rsid w:val="00523145"/>
    <w:rsid w:val="0052316F"/>
    <w:rsid w:val="0052317E"/>
    <w:rsid w:val="005231AE"/>
    <w:rsid w:val="005232FD"/>
    <w:rsid w:val="0052343E"/>
    <w:rsid w:val="0052348F"/>
    <w:rsid w:val="00523522"/>
    <w:rsid w:val="005235B8"/>
    <w:rsid w:val="005235DF"/>
    <w:rsid w:val="005236A8"/>
    <w:rsid w:val="00523757"/>
    <w:rsid w:val="0052379B"/>
    <w:rsid w:val="005237B8"/>
    <w:rsid w:val="0052395D"/>
    <w:rsid w:val="00523969"/>
    <w:rsid w:val="00523B93"/>
    <w:rsid w:val="00523C29"/>
    <w:rsid w:val="00523C32"/>
    <w:rsid w:val="00523C5E"/>
    <w:rsid w:val="00523FC9"/>
    <w:rsid w:val="0052412E"/>
    <w:rsid w:val="00524171"/>
    <w:rsid w:val="0052419D"/>
    <w:rsid w:val="005241DD"/>
    <w:rsid w:val="00524253"/>
    <w:rsid w:val="0052463F"/>
    <w:rsid w:val="0052470E"/>
    <w:rsid w:val="0052484F"/>
    <w:rsid w:val="0052491B"/>
    <w:rsid w:val="00524CF5"/>
    <w:rsid w:val="00524D1F"/>
    <w:rsid w:val="00524D49"/>
    <w:rsid w:val="00524DD5"/>
    <w:rsid w:val="00524EAB"/>
    <w:rsid w:val="00524F6C"/>
    <w:rsid w:val="00524FF8"/>
    <w:rsid w:val="0052502B"/>
    <w:rsid w:val="00525198"/>
    <w:rsid w:val="00525296"/>
    <w:rsid w:val="0052550F"/>
    <w:rsid w:val="00525917"/>
    <w:rsid w:val="00525AC8"/>
    <w:rsid w:val="00525B8D"/>
    <w:rsid w:val="00525C05"/>
    <w:rsid w:val="00525CF4"/>
    <w:rsid w:val="00525CF6"/>
    <w:rsid w:val="00525D50"/>
    <w:rsid w:val="00525F12"/>
    <w:rsid w:val="00525F33"/>
    <w:rsid w:val="00525F61"/>
    <w:rsid w:val="00525FB4"/>
    <w:rsid w:val="00526045"/>
    <w:rsid w:val="0052608F"/>
    <w:rsid w:val="005260E4"/>
    <w:rsid w:val="005261C3"/>
    <w:rsid w:val="005262A0"/>
    <w:rsid w:val="0052633C"/>
    <w:rsid w:val="00526426"/>
    <w:rsid w:val="005265B2"/>
    <w:rsid w:val="0052662C"/>
    <w:rsid w:val="005266A1"/>
    <w:rsid w:val="0052691A"/>
    <w:rsid w:val="00526982"/>
    <w:rsid w:val="00526A54"/>
    <w:rsid w:val="00526BDE"/>
    <w:rsid w:val="00526DFE"/>
    <w:rsid w:val="00526EA9"/>
    <w:rsid w:val="00526EB7"/>
    <w:rsid w:val="00526EC0"/>
    <w:rsid w:val="00526FC8"/>
    <w:rsid w:val="00527044"/>
    <w:rsid w:val="005271E2"/>
    <w:rsid w:val="0052726A"/>
    <w:rsid w:val="005272A6"/>
    <w:rsid w:val="005272AA"/>
    <w:rsid w:val="00527400"/>
    <w:rsid w:val="00527653"/>
    <w:rsid w:val="00527BEF"/>
    <w:rsid w:val="00527C2B"/>
    <w:rsid w:val="00527CDF"/>
    <w:rsid w:val="00527E9B"/>
    <w:rsid w:val="00530011"/>
    <w:rsid w:val="0053011A"/>
    <w:rsid w:val="00530187"/>
    <w:rsid w:val="00530190"/>
    <w:rsid w:val="005301F8"/>
    <w:rsid w:val="005304D6"/>
    <w:rsid w:val="00530500"/>
    <w:rsid w:val="00530520"/>
    <w:rsid w:val="00530555"/>
    <w:rsid w:val="00530C0A"/>
    <w:rsid w:val="00530C39"/>
    <w:rsid w:val="00530E9C"/>
    <w:rsid w:val="0053105A"/>
    <w:rsid w:val="005311E5"/>
    <w:rsid w:val="005311EB"/>
    <w:rsid w:val="005312FC"/>
    <w:rsid w:val="00531317"/>
    <w:rsid w:val="005314B8"/>
    <w:rsid w:val="00531518"/>
    <w:rsid w:val="00531548"/>
    <w:rsid w:val="00531838"/>
    <w:rsid w:val="00531A77"/>
    <w:rsid w:val="00531B44"/>
    <w:rsid w:val="0053256E"/>
    <w:rsid w:val="0053267E"/>
    <w:rsid w:val="00532844"/>
    <w:rsid w:val="00532BBC"/>
    <w:rsid w:val="00532D87"/>
    <w:rsid w:val="00532DE1"/>
    <w:rsid w:val="00532EEE"/>
    <w:rsid w:val="005330D7"/>
    <w:rsid w:val="005330F6"/>
    <w:rsid w:val="00533261"/>
    <w:rsid w:val="005332BF"/>
    <w:rsid w:val="00533328"/>
    <w:rsid w:val="00533390"/>
    <w:rsid w:val="0053351B"/>
    <w:rsid w:val="00533A72"/>
    <w:rsid w:val="00533AF2"/>
    <w:rsid w:val="00533B1F"/>
    <w:rsid w:val="00533BA5"/>
    <w:rsid w:val="00533C2A"/>
    <w:rsid w:val="00533C62"/>
    <w:rsid w:val="00533C90"/>
    <w:rsid w:val="00533D96"/>
    <w:rsid w:val="00533E04"/>
    <w:rsid w:val="00533EB1"/>
    <w:rsid w:val="00533F65"/>
    <w:rsid w:val="00534407"/>
    <w:rsid w:val="005344D7"/>
    <w:rsid w:val="005345EE"/>
    <w:rsid w:val="00534624"/>
    <w:rsid w:val="0053489E"/>
    <w:rsid w:val="005348C5"/>
    <w:rsid w:val="00534DA2"/>
    <w:rsid w:val="00534FF4"/>
    <w:rsid w:val="005350BB"/>
    <w:rsid w:val="0053518D"/>
    <w:rsid w:val="005351E2"/>
    <w:rsid w:val="0053524F"/>
    <w:rsid w:val="005352FD"/>
    <w:rsid w:val="005354A0"/>
    <w:rsid w:val="005357ED"/>
    <w:rsid w:val="00535AC0"/>
    <w:rsid w:val="00535B00"/>
    <w:rsid w:val="00535BB4"/>
    <w:rsid w:val="00535DA7"/>
    <w:rsid w:val="00535F37"/>
    <w:rsid w:val="0053603D"/>
    <w:rsid w:val="005360CC"/>
    <w:rsid w:val="005361AF"/>
    <w:rsid w:val="005364D0"/>
    <w:rsid w:val="00536610"/>
    <w:rsid w:val="0053661B"/>
    <w:rsid w:val="00536714"/>
    <w:rsid w:val="005367B2"/>
    <w:rsid w:val="00536FCF"/>
    <w:rsid w:val="0053709B"/>
    <w:rsid w:val="005370A4"/>
    <w:rsid w:val="0053717D"/>
    <w:rsid w:val="0053744A"/>
    <w:rsid w:val="00537619"/>
    <w:rsid w:val="005376BF"/>
    <w:rsid w:val="005376FD"/>
    <w:rsid w:val="005377EE"/>
    <w:rsid w:val="005404E4"/>
    <w:rsid w:val="0054091A"/>
    <w:rsid w:val="005409DB"/>
    <w:rsid w:val="00540AC8"/>
    <w:rsid w:val="00540BCD"/>
    <w:rsid w:val="00540BDC"/>
    <w:rsid w:val="00540C97"/>
    <w:rsid w:val="00540DE8"/>
    <w:rsid w:val="00540E34"/>
    <w:rsid w:val="00540EB8"/>
    <w:rsid w:val="00540FBE"/>
    <w:rsid w:val="00541096"/>
    <w:rsid w:val="00541145"/>
    <w:rsid w:val="00541237"/>
    <w:rsid w:val="00541260"/>
    <w:rsid w:val="00541430"/>
    <w:rsid w:val="00541453"/>
    <w:rsid w:val="005414B1"/>
    <w:rsid w:val="0054155E"/>
    <w:rsid w:val="005415FE"/>
    <w:rsid w:val="00541726"/>
    <w:rsid w:val="0054178F"/>
    <w:rsid w:val="0054185E"/>
    <w:rsid w:val="0054186F"/>
    <w:rsid w:val="00541AE3"/>
    <w:rsid w:val="00541BE6"/>
    <w:rsid w:val="00541D77"/>
    <w:rsid w:val="00541E14"/>
    <w:rsid w:val="00541FEC"/>
    <w:rsid w:val="00542070"/>
    <w:rsid w:val="00542092"/>
    <w:rsid w:val="005420DB"/>
    <w:rsid w:val="00542127"/>
    <w:rsid w:val="005422A9"/>
    <w:rsid w:val="00542314"/>
    <w:rsid w:val="00542919"/>
    <w:rsid w:val="005429A1"/>
    <w:rsid w:val="005429AF"/>
    <w:rsid w:val="00542A07"/>
    <w:rsid w:val="00542AA6"/>
    <w:rsid w:val="00542D24"/>
    <w:rsid w:val="00542D43"/>
    <w:rsid w:val="00542DF0"/>
    <w:rsid w:val="00542EDD"/>
    <w:rsid w:val="00542FD3"/>
    <w:rsid w:val="00543127"/>
    <w:rsid w:val="005431D3"/>
    <w:rsid w:val="0054353F"/>
    <w:rsid w:val="00543760"/>
    <w:rsid w:val="005437F7"/>
    <w:rsid w:val="00543827"/>
    <w:rsid w:val="005439B6"/>
    <w:rsid w:val="00543B85"/>
    <w:rsid w:val="00543C55"/>
    <w:rsid w:val="00543DBC"/>
    <w:rsid w:val="00543EFC"/>
    <w:rsid w:val="00543FDD"/>
    <w:rsid w:val="0054401F"/>
    <w:rsid w:val="00544209"/>
    <w:rsid w:val="00544344"/>
    <w:rsid w:val="00544517"/>
    <w:rsid w:val="00544575"/>
    <w:rsid w:val="005445C5"/>
    <w:rsid w:val="0054469B"/>
    <w:rsid w:val="005448A7"/>
    <w:rsid w:val="005448C0"/>
    <w:rsid w:val="00544977"/>
    <w:rsid w:val="00544D24"/>
    <w:rsid w:val="00544D5D"/>
    <w:rsid w:val="00544ECF"/>
    <w:rsid w:val="00544F15"/>
    <w:rsid w:val="00544F8C"/>
    <w:rsid w:val="00545015"/>
    <w:rsid w:val="005454A4"/>
    <w:rsid w:val="005455FF"/>
    <w:rsid w:val="00545620"/>
    <w:rsid w:val="00545772"/>
    <w:rsid w:val="005458CA"/>
    <w:rsid w:val="005459D4"/>
    <w:rsid w:val="00545B5B"/>
    <w:rsid w:val="00545B6C"/>
    <w:rsid w:val="00545C6A"/>
    <w:rsid w:val="00545D6D"/>
    <w:rsid w:val="00546106"/>
    <w:rsid w:val="005461EA"/>
    <w:rsid w:val="005467B0"/>
    <w:rsid w:val="0054689A"/>
    <w:rsid w:val="005469C3"/>
    <w:rsid w:val="00546B38"/>
    <w:rsid w:val="00546C05"/>
    <w:rsid w:val="00546CA4"/>
    <w:rsid w:val="0054706D"/>
    <w:rsid w:val="00547296"/>
    <w:rsid w:val="00547432"/>
    <w:rsid w:val="00547824"/>
    <w:rsid w:val="00547B10"/>
    <w:rsid w:val="00547B9D"/>
    <w:rsid w:val="00547F14"/>
    <w:rsid w:val="00547F4A"/>
    <w:rsid w:val="00550053"/>
    <w:rsid w:val="005501A9"/>
    <w:rsid w:val="0055026E"/>
    <w:rsid w:val="00550415"/>
    <w:rsid w:val="0055055D"/>
    <w:rsid w:val="005506EA"/>
    <w:rsid w:val="005508B8"/>
    <w:rsid w:val="00550C80"/>
    <w:rsid w:val="00550D33"/>
    <w:rsid w:val="00550FA1"/>
    <w:rsid w:val="005511CA"/>
    <w:rsid w:val="00551457"/>
    <w:rsid w:val="005516D7"/>
    <w:rsid w:val="00551788"/>
    <w:rsid w:val="005517AE"/>
    <w:rsid w:val="00551856"/>
    <w:rsid w:val="005518F3"/>
    <w:rsid w:val="0055190B"/>
    <w:rsid w:val="00551D23"/>
    <w:rsid w:val="00551EAC"/>
    <w:rsid w:val="00551EBF"/>
    <w:rsid w:val="005522B3"/>
    <w:rsid w:val="005522B4"/>
    <w:rsid w:val="0055255B"/>
    <w:rsid w:val="005526ED"/>
    <w:rsid w:val="00552896"/>
    <w:rsid w:val="005528E4"/>
    <w:rsid w:val="00552A68"/>
    <w:rsid w:val="00552B17"/>
    <w:rsid w:val="00552B47"/>
    <w:rsid w:val="00552D04"/>
    <w:rsid w:val="00552D79"/>
    <w:rsid w:val="00552DAB"/>
    <w:rsid w:val="00552F0C"/>
    <w:rsid w:val="005533BB"/>
    <w:rsid w:val="00553416"/>
    <w:rsid w:val="00553459"/>
    <w:rsid w:val="00553551"/>
    <w:rsid w:val="005535ED"/>
    <w:rsid w:val="005536D5"/>
    <w:rsid w:val="00553817"/>
    <w:rsid w:val="00553862"/>
    <w:rsid w:val="00553B53"/>
    <w:rsid w:val="00553BFC"/>
    <w:rsid w:val="00553D98"/>
    <w:rsid w:val="00553E57"/>
    <w:rsid w:val="00553E85"/>
    <w:rsid w:val="00553F28"/>
    <w:rsid w:val="005541F5"/>
    <w:rsid w:val="00554330"/>
    <w:rsid w:val="005544CF"/>
    <w:rsid w:val="005545FD"/>
    <w:rsid w:val="005548EF"/>
    <w:rsid w:val="005549CB"/>
    <w:rsid w:val="00554A6F"/>
    <w:rsid w:val="00554A71"/>
    <w:rsid w:val="00554E9F"/>
    <w:rsid w:val="00554F3B"/>
    <w:rsid w:val="00554FED"/>
    <w:rsid w:val="00555401"/>
    <w:rsid w:val="005554E5"/>
    <w:rsid w:val="00555588"/>
    <w:rsid w:val="005555BD"/>
    <w:rsid w:val="005555EF"/>
    <w:rsid w:val="0055560C"/>
    <w:rsid w:val="0055566A"/>
    <w:rsid w:val="00555688"/>
    <w:rsid w:val="005559FA"/>
    <w:rsid w:val="00555A56"/>
    <w:rsid w:val="00555D14"/>
    <w:rsid w:val="00555EAE"/>
    <w:rsid w:val="0055610B"/>
    <w:rsid w:val="00556283"/>
    <w:rsid w:val="005562DC"/>
    <w:rsid w:val="00556396"/>
    <w:rsid w:val="005563F0"/>
    <w:rsid w:val="00556489"/>
    <w:rsid w:val="00556556"/>
    <w:rsid w:val="00556980"/>
    <w:rsid w:val="00556981"/>
    <w:rsid w:val="00556A18"/>
    <w:rsid w:val="00556B4E"/>
    <w:rsid w:val="00556BD9"/>
    <w:rsid w:val="00556BEB"/>
    <w:rsid w:val="00556DFC"/>
    <w:rsid w:val="00556F90"/>
    <w:rsid w:val="00556F92"/>
    <w:rsid w:val="00556FE0"/>
    <w:rsid w:val="0055723E"/>
    <w:rsid w:val="005572F5"/>
    <w:rsid w:val="00557330"/>
    <w:rsid w:val="00557355"/>
    <w:rsid w:val="00557A2B"/>
    <w:rsid w:val="00557CEB"/>
    <w:rsid w:val="00557D45"/>
    <w:rsid w:val="00557D8C"/>
    <w:rsid w:val="00557EC1"/>
    <w:rsid w:val="00557FD7"/>
    <w:rsid w:val="005601DE"/>
    <w:rsid w:val="005605CC"/>
    <w:rsid w:val="00560648"/>
    <w:rsid w:val="0056087E"/>
    <w:rsid w:val="00560B60"/>
    <w:rsid w:val="00560D37"/>
    <w:rsid w:val="00560D77"/>
    <w:rsid w:val="0056101D"/>
    <w:rsid w:val="00561111"/>
    <w:rsid w:val="005612CD"/>
    <w:rsid w:val="005612EE"/>
    <w:rsid w:val="005617D0"/>
    <w:rsid w:val="005619A3"/>
    <w:rsid w:val="00561A55"/>
    <w:rsid w:val="00561D77"/>
    <w:rsid w:val="00562005"/>
    <w:rsid w:val="0056213C"/>
    <w:rsid w:val="0056258D"/>
    <w:rsid w:val="005626EA"/>
    <w:rsid w:val="00562749"/>
    <w:rsid w:val="0056281C"/>
    <w:rsid w:val="0056294D"/>
    <w:rsid w:val="00562C4A"/>
    <w:rsid w:val="00562D34"/>
    <w:rsid w:val="00562E03"/>
    <w:rsid w:val="00562EE2"/>
    <w:rsid w:val="00562F73"/>
    <w:rsid w:val="00562F9F"/>
    <w:rsid w:val="00563043"/>
    <w:rsid w:val="00563184"/>
    <w:rsid w:val="00563287"/>
    <w:rsid w:val="00563626"/>
    <w:rsid w:val="00563779"/>
    <w:rsid w:val="005638BB"/>
    <w:rsid w:val="005638CD"/>
    <w:rsid w:val="00563A94"/>
    <w:rsid w:val="00563DD2"/>
    <w:rsid w:val="00564049"/>
    <w:rsid w:val="005640C9"/>
    <w:rsid w:val="0056415F"/>
    <w:rsid w:val="005642C9"/>
    <w:rsid w:val="00564364"/>
    <w:rsid w:val="00564383"/>
    <w:rsid w:val="005643F3"/>
    <w:rsid w:val="00564593"/>
    <w:rsid w:val="005646F3"/>
    <w:rsid w:val="0056470C"/>
    <w:rsid w:val="00564865"/>
    <w:rsid w:val="00564884"/>
    <w:rsid w:val="005649E1"/>
    <w:rsid w:val="00564CBC"/>
    <w:rsid w:val="00564D53"/>
    <w:rsid w:val="00564D94"/>
    <w:rsid w:val="00564DD8"/>
    <w:rsid w:val="00564FF7"/>
    <w:rsid w:val="00564FFC"/>
    <w:rsid w:val="005650B4"/>
    <w:rsid w:val="0056511C"/>
    <w:rsid w:val="005651D6"/>
    <w:rsid w:val="00565350"/>
    <w:rsid w:val="005655D0"/>
    <w:rsid w:val="005657DF"/>
    <w:rsid w:val="005658DA"/>
    <w:rsid w:val="00565940"/>
    <w:rsid w:val="00565B3B"/>
    <w:rsid w:val="00565BA9"/>
    <w:rsid w:val="00565C2C"/>
    <w:rsid w:val="00565E65"/>
    <w:rsid w:val="00565F25"/>
    <w:rsid w:val="00566113"/>
    <w:rsid w:val="005662F4"/>
    <w:rsid w:val="005663EB"/>
    <w:rsid w:val="00566721"/>
    <w:rsid w:val="00566948"/>
    <w:rsid w:val="00566A49"/>
    <w:rsid w:val="00566A4E"/>
    <w:rsid w:val="00566DBD"/>
    <w:rsid w:val="00566E3B"/>
    <w:rsid w:val="00567315"/>
    <w:rsid w:val="005674AE"/>
    <w:rsid w:val="00567586"/>
    <w:rsid w:val="005675D3"/>
    <w:rsid w:val="0056760F"/>
    <w:rsid w:val="00567634"/>
    <w:rsid w:val="00567768"/>
    <w:rsid w:val="00567804"/>
    <w:rsid w:val="00567974"/>
    <w:rsid w:val="00567A04"/>
    <w:rsid w:val="00567AAC"/>
    <w:rsid w:val="00567C1D"/>
    <w:rsid w:val="00567D2B"/>
    <w:rsid w:val="00567E4F"/>
    <w:rsid w:val="00567EAD"/>
    <w:rsid w:val="00567F00"/>
    <w:rsid w:val="00570011"/>
    <w:rsid w:val="0057009E"/>
    <w:rsid w:val="005700EF"/>
    <w:rsid w:val="005702B5"/>
    <w:rsid w:val="005702FE"/>
    <w:rsid w:val="00570487"/>
    <w:rsid w:val="005707CF"/>
    <w:rsid w:val="00570B26"/>
    <w:rsid w:val="00570BE6"/>
    <w:rsid w:val="00570C29"/>
    <w:rsid w:val="00570CEC"/>
    <w:rsid w:val="00570D3A"/>
    <w:rsid w:val="00570D6E"/>
    <w:rsid w:val="005711BF"/>
    <w:rsid w:val="0057121E"/>
    <w:rsid w:val="005717DC"/>
    <w:rsid w:val="00571867"/>
    <w:rsid w:val="00571875"/>
    <w:rsid w:val="00571A7E"/>
    <w:rsid w:val="00571BA1"/>
    <w:rsid w:val="00571BEC"/>
    <w:rsid w:val="00571D07"/>
    <w:rsid w:val="00571DA5"/>
    <w:rsid w:val="00572133"/>
    <w:rsid w:val="005725A2"/>
    <w:rsid w:val="0057267F"/>
    <w:rsid w:val="00572685"/>
    <w:rsid w:val="005727E1"/>
    <w:rsid w:val="0057292D"/>
    <w:rsid w:val="00572994"/>
    <w:rsid w:val="005729F2"/>
    <w:rsid w:val="00572A6C"/>
    <w:rsid w:val="00572AB9"/>
    <w:rsid w:val="00572B94"/>
    <w:rsid w:val="00572C93"/>
    <w:rsid w:val="00572CFC"/>
    <w:rsid w:val="00572D0E"/>
    <w:rsid w:val="00572FE4"/>
    <w:rsid w:val="005731FC"/>
    <w:rsid w:val="0057322E"/>
    <w:rsid w:val="0057325B"/>
    <w:rsid w:val="0057356B"/>
    <w:rsid w:val="0057366B"/>
    <w:rsid w:val="00573783"/>
    <w:rsid w:val="00573838"/>
    <w:rsid w:val="00573849"/>
    <w:rsid w:val="0057391B"/>
    <w:rsid w:val="00573B6F"/>
    <w:rsid w:val="00573BD3"/>
    <w:rsid w:val="00573BDE"/>
    <w:rsid w:val="00573D02"/>
    <w:rsid w:val="00573E98"/>
    <w:rsid w:val="005741C6"/>
    <w:rsid w:val="005742D3"/>
    <w:rsid w:val="005744A1"/>
    <w:rsid w:val="00574580"/>
    <w:rsid w:val="005745C5"/>
    <w:rsid w:val="0057463A"/>
    <w:rsid w:val="00574689"/>
    <w:rsid w:val="0057468E"/>
    <w:rsid w:val="00574710"/>
    <w:rsid w:val="005748A3"/>
    <w:rsid w:val="00574A0A"/>
    <w:rsid w:val="00574ADB"/>
    <w:rsid w:val="00574B06"/>
    <w:rsid w:val="00574B6A"/>
    <w:rsid w:val="00574B86"/>
    <w:rsid w:val="00574BAF"/>
    <w:rsid w:val="00574EFE"/>
    <w:rsid w:val="0057501F"/>
    <w:rsid w:val="00575051"/>
    <w:rsid w:val="00575577"/>
    <w:rsid w:val="005755F0"/>
    <w:rsid w:val="00575669"/>
    <w:rsid w:val="00575795"/>
    <w:rsid w:val="0057588A"/>
    <w:rsid w:val="00575911"/>
    <w:rsid w:val="0057591F"/>
    <w:rsid w:val="00575B62"/>
    <w:rsid w:val="00575B7D"/>
    <w:rsid w:val="00575E28"/>
    <w:rsid w:val="00575E2F"/>
    <w:rsid w:val="00576077"/>
    <w:rsid w:val="00576086"/>
    <w:rsid w:val="0057611D"/>
    <w:rsid w:val="00576172"/>
    <w:rsid w:val="005761F9"/>
    <w:rsid w:val="0057631B"/>
    <w:rsid w:val="0057634A"/>
    <w:rsid w:val="005766A4"/>
    <w:rsid w:val="0057683D"/>
    <w:rsid w:val="00576A3F"/>
    <w:rsid w:val="00576AF5"/>
    <w:rsid w:val="00576BA9"/>
    <w:rsid w:val="00577224"/>
    <w:rsid w:val="00577430"/>
    <w:rsid w:val="00577678"/>
    <w:rsid w:val="005776E9"/>
    <w:rsid w:val="0057771F"/>
    <w:rsid w:val="005777C7"/>
    <w:rsid w:val="00577B46"/>
    <w:rsid w:val="00577B95"/>
    <w:rsid w:val="00577C8F"/>
    <w:rsid w:val="00577CC0"/>
    <w:rsid w:val="00577CC9"/>
    <w:rsid w:val="00577F07"/>
    <w:rsid w:val="00577F21"/>
    <w:rsid w:val="00577FFA"/>
    <w:rsid w:val="005800A4"/>
    <w:rsid w:val="005802C1"/>
    <w:rsid w:val="005802EB"/>
    <w:rsid w:val="0058049B"/>
    <w:rsid w:val="00580B86"/>
    <w:rsid w:val="00580D93"/>
    <w:rsid w:val="00581075"/>
    <w:rsid w:val="005810C0"/>
    <w:rsid w:val="00581297"/>
    <w:rsid w:val="005814C8"/>
    <w:rsid w:val="00581644"/>
    <w:rsid w:val="00581986"/>
    <w:rsid w:val="00581A4F"/>
    <w:rsid w:val="00581C4F"/>
    <w:rsid w:val="00581E83"/>
    <w:rsid w:val="00581F7C"/>
    <w:rsid w:val="00582035"/>
    <w:rsid w:val="0058225C"/>
    <w:rsid w:val="00582456"/>
    <w:rsid w:val="00582514"/>
    <w:rsid w:val="005825FF"/>
    <w:rsid w:val="005828B6"/>
    <w:rsid w:val="0058296D"/>
    <w:rsid w:val="00582C55"/>
    <w:rsid w:val="00582D6F"/>
    <w:rsid w:val="00582DC9"/>
    <w:rsid w:val="00582E73"/>
    <w:rsid w:val="0058302D"/>
    <w:rsid w:val="00583088"/>
    <w:rsid w:val="00583125"/>
    <w:rsid w:val="005832ED"/>
    <w:rsid w:val="005834C8"/>
    <w:rsid w:val="005834CC"/>
    <w:rsid w:val="00583542"/>
    <w:rsid w:val="00583659"/>
    <w:rsid w:val="00583665"/>
    <w:rsid w:val="0058382A"/>
    <w:rsid w:val="0058382D"/>
    <w:rsid w:val="005838B9"/>
    <w:rsid w:val="005839D7"/>
    <w:rsid w:val="00583ADE"/>
    <w:rsid w:val="00583C1D"/>
    <w:rsid w:val="00583D21"/>
    <w:rsid w:val="00583E68"/>
    <w:rsid w:val="00583EA4"/>
    <w:rsid w:val="0058402A"/>
    <w:rsid w:val="0058414D"/>
    <w:rsid w:val="0058478A"/>
    <w:rsid w:val="005847F2"/>
    <w:rsid w:val="0058491C"/>
    <w:rsid w:val="00584B7F"/>
    <w:rsid w:val="00584CE2"/>
    <w:rsid w:val="00584E21"/>
    <w:rsid w:val="00584E71"/>
    <w:rsid w:val="00584EE2"/>
    <w:rsid w:val="00584F24"/>
    <w:rsid w:val="00584F41"/>
    <w:rsid w:val="00584F57"/>
    <w:rsid w:val="00584FC2"/>
    <w:rsid w:val="00584FF0"/>
    <w:rsid w:val="0058502D"/>
    <w:rsid w:val="00585063"/>
    <w:rsid w:val="00585131"/>
    <w:rsid w:val="005852C8"/>
    <w:rsid w:val="0058531C"/>
    <w:rsid w:val="0058533F"/>
    <w:rsid w:val="0058542A"/>
    <w:rsid w:val="00585510"/>
    <w:rsid w:val="00585580"/>
    <w:rsid w:val="005857AD"/>
    <w:rsid w:val="00585A08"/>
    <w:rsid w:val="00585A13"/>
    <w:rsid w:val="00585BF5"/>
    <w:rsid w:val="00585C81"/>
    <w:rsid w:val="00585CC0"/>
    <w:rsid w:val="00585DD6"/>
    <w:rsid w:val="00585E03"/>
    <w:rsid w:val="00585E9B"/>
    <w:rsid w:val="0058615E"/>
    <w:rsid w:val="00586196"/>
    <w:rsid w:val="0058621B"/>
    <w:rsid w:val="00586294"/>
    <w:rsid w:val="0058629D"/>
    <w:rsid w:val="00586333"/>
    <w:rsid w:val="0058683D"/>
    <w:rsid w:val="005868DE"/>
    <w:rsid w:val="00586903"/>
    <w:rsid w:val="00586A30"/>
    <w:rsid w:val="00586AD9"/>
    <w:rsid w:val="00586AEF"/>
    <w:rsid w:val="00586B1F"/>
    <w:rsid w:val="00586CA5"/>
    <w:rsid w:val="00586CCC"/>
    <w:rsid w:val="00586D66"/>
    <w:rsid w:val="00586FB2"/>
    <w:rsid w:val="00587101"/>
    <w:rsid w:val="00587153"/>
    <w:rsid w:val="00587170"/>
    <w:rsid w:val="0058720D"/>
    <w:rsid w:val="00587263"/>
    <w:rsid w:val="005872CD"/>
    <w:rsid w:val="005873AB"/>
    <w:rsid w:val="00587674"/>
    <w:rsid w:val="00587825"/>
    <w:rsid w:val="00587CC2"/>
    <w:rsid w:val="00587D0A"/>
    <w:rsid w:val="00590063"/>
    <w:rsid w:val="00590165"/>
    <w:rsid w:val="005902E8"/>
    <w:rsid w:val="00590306"/>
    <w:rsid w:val="0059044C"/>
    <w:rsid w:val="00590911"/>
    <w:rsid w:val="00590C11"/>
    <w:rsid w:val="00590CD1"/>
    <w:rsid w:val="00590DDF"/>
    <w:rsid w:val="00590E21"/>
    <w:rsid w:val="00590FCA"/>
    <w:rsid w:val="0059109A"/>
    <w:rsid w:val="00591155"/>
    <w:rsid w:val="00591323"/>
    <w:rsid w:val="00591521"/>
    <w:rsid w:val="005915A5"/>
    <w:rsid w:val="005915D8"/>
    <w:rsid w:val="00591607"/>
    <w:rsid w:val="0059161D"/>
    <w:rsid w:val="005918DC"/>
    <w:rsid w:val="00591A20"/>
    <w:rsid w:val="00591B99"/>
    <w:rsid w:val="00591C47"/>
    <w:rsid w:val="00591CFE"/>
    <w:rsid w:val="00591EE6"/>
    <w:rsid w:val="005921EC"/>
    <w:rsid w:val="005925A3"/>
    <w:rsid w:val="00592897"/>
    <w:rsid w:val="005928CE"/>
    <w:rsid w:val="00592A33"/>
    <w:rsid w:val="00592EA1"/>
    <w:rsid w:val="00592F56"/>
    <w:rsid w:val="00592FAF"/>
    <w:rsid w:val="0059325D"/>
    <w:rsid w:val="0059356E"/>
    <w:rsid w:val="005939AE"/>
    <w:rsid w:val="00593AA6"/>
    <w:rsid w:val="00593B89"/>
    <w:rsid w:val="00593EBF"/>
    <w:rsid w:val="00593F09"/>
    <w:rsid w:val="00593F15"/>
    <w:rsid w:val="00593FF9"/>
    <w:rsid w:val="005940F5"/>
    <w:rsid w:val="0059417B"/>
    <w:rsid w:val="00594192"/>
    <w:rsid w:val="005943BF"/>
    <w:rsid w:val="00594512"/>
    <w:rsid w:val="005945AD"/>
    <w:rsid w:val="005947AF"/>
    <w:rsid w:val="005947FD"/>
    <w:rsid w:val="00594813"/>
    <w:rsid w:val="00594830"/>
    <w:rsid w:val="0059488C"/>
    <w:rsid w:val="00594A02"/>
    <w:rsid w:val="00594DCC"/>
    <w:rsid w:val="00594FC0"/>
    <w:rsid w:val="00595052"/>
    <w:rsid w:val="00595181"/>
    <w:rsid w:val="0059520C"/>
    <w:rsid w:val="0059541C"/>
    <w:rsid w:val="0059552E"/>
    <w:rsid w:val="00595683"/>
    <w:rsid w:val="00595814"/>
    <w:rsid w:val="0059586F"/>
    <w:rsid w:val="00595871"/>
    <w:rsid w:val="005958A3"/>
    <w:rsid w:val="0059592B"/>
    <w:rsid w:val="00595A89"/>
    <w:rsid w:val="00595B09"/>
    <w:rsid w:val="00595B41"/>
    <w:rsid w:val="00595C6D"/>
    <w:rsid w:val="00595D28"/>
    <w:rsid w:val="00595FFD"/>
    <w:rsid w:val="005960DB"/>
    <w:rsid w:val="005960E5"/>
    <w:rsid w:val="00596111"/>
    <w:rsid w:val="005961F9"/>
    <w:rsid w:val="005962A8"/>
    <w:rsid w:val="00596638"/>
    <w:rsid w:val="00596694"/>
    <w:rsid w:val="0059669B"/>
    <w:rsid w:val="005966BB"/>
    <w:rsid w:val="005966EC"/>
    <w:rsid w:val="005966F9"/>
    <w:rsid w:val="005967D6"/>
    <w:rsid w:val="00596881"/>
    <w:rsid w:val="00596921"/>
    <w:rsid w:val="00596A5C"/>
    <w:rsid w:val="00596AAD"/>
    <w:rsid w:val="00596B9E"/>
    <w:rsid w:val="00596D8C"/>
    <w:rsid w:val="00596DD6"/>
    <w:rsid w:val="005970FC"/>
    <w:rsid w:val="0059727E"/>
    <w:rsid w:val="0059728F"/>
    <w:rsid w:val="005973A2"/>
    <w:rsid w:val="00597450"/>
    <w:rsid w:val="005974FC"/>
    <w:rsid w:val="005977A7"/>
    <w:rsid w:val="005977D2"/>
    <w:rsid w:val="0059782D"/>
    <w:rsid w:val="00597950"/>
    <w:rsid w:val="0059798C"/>
    <w:rsid w:val="005979AA"/>
    <w:rsid w:val="00597B1B"/>
    <w:rsid w:val="00597DB2"/>
    <w:rsid w:val="00597E88"/>
    <w:rsid w:val="00597EE9"/>
    <w:rsid w:val="00597F9E"/>
    <w:rsid w:val="005A02DE"/>
    <w:rsid w:val="005A04ED"/>
    <w:rsid w:val="005A057B"/>
    <w:rsid w:val="005A06D6"/>
    <w:rsid w:val="005A0A07"/>
    <w:rsid w:val="005A0C4B"/>
    <w:rsid w:val="005A0CD9"/>
    <w:rsid w:val="005A0CE1"/>
    <w:rsid w:val="005A0D4C"/>
    <w:rsid w:val="005A0EBC"/>
    <w:rsid w:val="005A0F14"/>
    <w:rsid w:val="005A1136"/>
    <w:rsid w:val="005A11A6"/>
    <w:rsid w:val="005A11E3"/>
    <w:rsid w:val="005A122A"/>
    <w:rsid w:val="005A13ED"/>
    <w:rsid w:val="005A148A"/>
    <w:rsid w:val="005A180B"/>
    <w:rsid w:val="005A1B30"/>
    <w:rsid w:val="005A1B90"/>
    <w:rsid w:val="005A20BF"/>
    <w:rsid w:val="005A218C"/>
    <w:rsid w:val="005A26CE"/>
    <w:rsid w:val="005A27FB"/>
    <w:rsid w:val="005A28D9"/>
    <w:rsid w:val="005A2917"/>
    <w:rsid w:val="005A29DD"/>
    <w:rsid w:val="005A2AA4"/>
    <w:rsid w:val="005A2F5D"/>
    <w:rsid w:val="005A2F97"/>
    <w:rsid w:val="005A2FA3"/>
    <w:rsid w:val="005A2FF0"/>
    <w:rsid w:val="005A3194"/>
    <w:rsid w:val="005A33DF"/>
    <w:rsid w:val="005A34A9"/>
    <w:rsid w:val="005A372E"/>
    <w:rsid w:val="005A37CE"/>
    <w:rsid w:val="005A37FA"/>
    <w:rsid w:val="005A3944"/>
    <w:rsid w:val="005A3B4C"/>
    <w:rsid w:val="005A3CDF"/>
    <w:rsid w:val="005A3D25"/>
    <w:rsid w:val="005A40F0"/>
    <w:rsid w:val="005A41E2"/>
    <w:rsid w:val="005A436A"/>
    <w:rsid w:val="005A44D2"/>
    <w:rsid w:val="005A4559"/>
    <w:rsid w:val="005A46DA"/>
    <w:rsid w:val="005A473E"/>
    <w:rsid w:val="005A48BB"/>
    <w:rsid w:val="005A4924"/>
    <w:rsid w:val="005A4C03"/>
    <w:rsid w:val="005A500C"/>
    <w:rsid w:val="005A5040"/>
    <w:rsid w:val="005A506C"/>
    <w:rsid w:val="005A5323"/>
    <w:rsid w:val="005A5415"/>
    <w:rsid w:val="005A5423"/>
    <w:rsid w:val="005A550C"/>
    <w:rsid w:val="005A5625"/>
    <w:rsid w:val="005A568B"/>
    <w:rsid w:val="005A58C8"/>
    <w:rsid w:val="005A5A82"/>
    <w:rsid w:val="005A5BEF"/>
    <w:rsid w:val="005A5F0A"/>
    <w:rsid w:val="005A6174"/>
    <w:rsid w:val="005A62C1"/>
    <w:rsid w:val="005A647C"/>
    <w:rsid w:val="005A6586"/>
    <w:rsid w:val="005A65DD"/>
    <w:rsid w:val="005A66CF"/>
    <w:rsid w:val="005A68FA"/>
    <w:rsid w:val="005A6B70"/>
    <w:rsid w:val="005A6BF8"/>
    <w:rsid w:val="005A6E78"/>
    <w:rsid w:val="005A7010"/>
    <w:rsid w:val="005A7110"/>
    <w:rsid w:val="005A71FA"/>
    <w:rsid w:val="005A738A"/>
    <w:rsid w:val="005A73CA"/>
    <w:rsid w:val="005A73E2"/>
    <w:rsid w:val="005A74A8"/>
    <w:rsid w:val="005A74BE"/>
    <w:rsid w:val="005A75E2"/>
    <w:rsid w:val="005A76EB"/>
    <w:rsid w:val="005A77BE"/>
    <w:rsid w:val="005A77C4"/>
    <w:rsid w:val="005A788E"/>
    <w:rsid w:val="005A78A3"/>
    <w:rsid w:val="005A78A5"/>
    <w:rsid w:val="005A796D"/>
    <w:rsid w:val="005A7A8E"/>
    <w:rsid w:val="005A7BB6"/>
    <w:rsid w:val="005A7BF4"/>
    <w:rsid w:val="005A7CD6"/>
    <w:rsid w:val="005A7DE8"/>
    <w:rsid w:val="005A7E4F"/>
    <w:rsid w:val="005A7F3A"/>
    <w:rsid w:val="005B0082"/>
    <w:rsid w:val="005B0195"/>
    <w:rsid w:val="005B05A7"/>
    <w:rsid w:val="005B0760"/>
    <w:rsid w:val="005B0885"/>
    <w:rsid w:val="005B0AB9"/>
    <w:rsid w:val="005B0B8D"/>
    <w:rsid w:val="005B0B96"/>
    <w:rsid w:val="005B0DFE"/>
    <w:rsid w:val="005B1275"/>
    <w:rsid w:val="005B12AE"/>
    <w:rsid w:val="005B1449"/>
    <w:rsid w:val="005B1584"/>
    <w:rsid w:val="005B166E"/>
    <w:rsid w:val="005B18A9"/>
    <w:rsid w:val="005B1AFB"/>
    <w:rsid w:val="005B1BB8"/>
    <w:rsid w:val="005B1CAF"/>
    <w:rsid w:val="005B1CD5"/>
    <w:rsid w:val="005B1D25"/>
    <w:rsid w:val="005B1E2D"/>
    <w:rsid w:val="005B2227"/>
    <w:rsid w:val="005B227B"/>
    <w:rsid w:val="005B23C3"/>
    <w:rsid w:val="005B26E9"/>
    <w:rsid w:val="005B284E"/>
    <w:rsid w:val="005B29D8"/>
    <w:rsid w:val="005B2CD5"/>
    <w:rsid w:val="005B2E55"/>
    <w:rsid w:val="005B2F32"/>
    <w:rsid w:val="005B2F88"/>
    <w:rsid w:val="005B30C9"/>
    <w:rsid w:val="005B30F8"/>
    <w:rsid w:val="005B3119"/>
    <w:rsid w:val="005B313F"/>
    <w:rsid w:val="005B31B4"/>
    <w:rsid w:val="005B32F2"/>
    <w:rsid w:val="005B336D"/>
    <w:rsid w:val="005B3562"/>
    <w:rsid w:val="005B35F7"/>
    <w:rsid w:val="005B377E"/>
    <w:rsid w:val="005B37D6"/>
    <w:rsid w:val="005B39CA"/>
    <w:rsid w:val="005B39CE"/>
    <w:rsid w:val="005B3E3A"/>
    <w:rsid w:val="005B3FB4"/>
    <w:rsid w:val="005B4168"/>
    <w:rsid w:val="005B41C9"/>
    <w:rsid w:val="005B42F0"/>
    <w:rsid w:val="005B4315"/>
    <w:rsid w:val="005B4323"/>
    <w:rsid w:val="005B48E9"/>
    <w:rsid w:val="005B4974"/>
    <w:rsid w:val="005B4FB3"/>
    <w:rsid w:val="005B50B4"/>
    <w:rsid w:val="005B5564"/>
    <w:rsid w:val="005B5630"/>
    <w:rsid w:val="005B5845"/>
    <w:rsid w:val="005B5A5A"/>
    <w:rsid w:val="005B5CD9"/>
    <w:rsid w:val="005B5D23"/>
    <w:rsid w:val="005B5EC2"/>
    <w:rsid w:val="005B5ED8"/>
    <w:rsid w:val="005B60A0"/>
    <w:rsid w:val="005B6158"/>
    <w:rsid w:val="005B6370"/>
    <w:rsid w:val="005B659B"/>
    <w:rsid w:val="005B6881"/>
    <w:rsid w:val="005B6903"/>
    <w:rsid w:val="005B69C7"/>
    <w:rsid w:val="005B6A77"/>
    <w:rsid w:val="005B6C61"/>
    <w:rsid w:val="005B6CCD"/>
    <w:rsid w:val="005B6D5F"/>
    <w:rsid w:val="005B6D79"/>
    <w:rsid w:val="005B6EC0"/>
    <w:rsid w:val="005B6FD1"/>
    <w:rsid w:val="005B7068"/>
    <w:rsid w:val="005B7144"/>
    <w:rsid w:val="005B73BC"/>
    <w:rsid w:val="005B77A7"/>
    <w:rsid w:val="005B77E5"/>
    <w:rsid w:val="005B7B9E"/>
    <w:rsid w:val="005B7C63"/>
    <w:rsid w:val="005B7C88"/>
    <w:rsid w:val="005B7CB4"/>
    <w:rsid w:val="005B7CFE"/>
    <w:rsid w:val="005B7D99"/>
    <w:rsid w:val="005B7DE4"/>
    <w:rsid w:val="005B7E46"/>
    <w:rsid w:val="005C03B8"/>
    <w:rsid w:val="005C03C7"/>
    <w:rsid w:val="005C03C9"/>
    <w:rsid w:val="005C07A6"/>
    <w:rsid w:val="005C08C9"/>
    <w:rsid w:val="005C0928"/>
    <w:rsid w:val="005C098E"/>
    <w:rsid w:val="005C0BEF"/>
    <w:rsid w:val="005C130A"/>
    <w:rsid w:val="005C1364"/>
    <w:rsid w:val="005C13C7"/>
    <w:rsid w:val="005C141D"/>
    <w:rsid w:val="005C14BF"/>
    <w:rsid w:val="005C17C4"/>
    <w:rsid w:val="005C1A1C"/>
    <w:rsid w:val="005C1B0D"/>
    <w:rsid w:val="005C1B48"/>
    <w:rsid w:val="005C1C9E"/>
    <w:rsid w:val="005C1DEA"/>
    <w:rsid w:val="005C1E40"/>
    <w:rsid w:val="005C1F26"/>
    <w:rsid w:val="005C2108"/>
    <w:rsid w:val="005C2447"/>
    <w:rsid w:val="005C2639"/>
    <w:rsid w:val="005C26C1"/>
    <w:rsid w:val="005C26D3"/>
    <w:rsid w:val="005C27A9"/>
    <w:rsid w:val="005C295C"/>
    <w:rsid w:val="005C2B79"/>
    <w:rsid w:val="005C2DC9"/>
    <w:rsid w:val="005C2DE7"/>
    <w:rsid w:val="005C2EEB"/>
    <w:rsid w:val="005C3290"/>
    <w:rsid w:val="005C32F8"/>
    <w:rsid w:val="005C32FF"/>
    <w:rsid w:val="005C34E5"/>
    <w:rsid w:val="005C3593"/>
    <w:rsid w:val="005C3920"/>
    <w:rsid w:val="005C3A82"/>
    <w:rsid w:val="005C3D42"/>
    <w:rsid w:val="005C3EB5"/>
    <w:rsid w:val="005C402A"/>
    <w:rsid w:val="005C40EE"/>
    <w:rsid w:val="005C411A"/>
    <w:rsid w:val="005C42FF"/>
    <w:rsid w:val="005C438B"/>
    <w:rsid w:val="005C46A8"/>
    <w:rsid w:val="005C47A1"/>
    <w:rsid w:val="005C493B"/>
    <w:rsid w:val="005C4F59"/>
    <w:rsid w:val="005C4F9A"/>
    <w:rsid w:val="005C50B0"/>
    <w:rsid w:val="005C524C"/>
    <w:rsid w:val="005C5331"/>
    <w:rsid w:val="005C541F"/>
    <w:rsid w:val="005C54AB"/>
    <w:rsid w:val="005C54EB"/>
    <w:rsid w:val="005C5529"/>
    <w:rsid w:val="005C5665"/>
    <w:rsid w:val="005C5685"/>
    <w:rsid w:val="005C56FF"/>
    <w:rsid w:val="005C5764"/>
    <w:rsid w:val="005C57A3"/>
    <w:rsid w:val="005C5846"/>
    <w:rsid w:val="005C5863"/>
    <w:rsid w:val="005C591C"/>
    <w:rsid w:val="005C59E2"/>
    <w:rsid w:val="005C5C67"/>
    <w:rsid w:val="005C5C9C"/>
    <w:rsid w:val="005C5E61"/>
    <w:rsid w:val="005C5EFB"/>
    <w:rsid w:val="005C6013"/>
    <w:rsid w:val="005C6078"/>
    <w:rsid w:val="005C6086"/>
    <w:rsid w:val="005C622C"/>
    <w:rsid w:val="005C6272"/>
    <w:rsid w:val="005C628C"/>
    <w:rsid w:val="005C64D5"/>
    <w:rsid w:val="005C65D1"/>
    <w:rsid w:val="005C6624"/>
    <w:rsid w:val="005C68B0"/>
    <w:rsid w:val="005C696C"/>
    <w:rsid w:val="005C6B59"/>
    <w:rsid w:val="005C6D80"/>
    <w:rsid w:val="005C6F0E"/>
    <w:rsid w:val="005C6F47"/>
    <w:rsid w:val="005C71D8"/>
    <w:rsid w:val="005C7615"/>
    <w:rsid w:val="005C7849"/>
    <w:rsid w:val="005C78E8"/>
    <w:rsid w:val="005C7A88"/>
    <w:rsid w:val="005C7ACF"/>
    <w:rsid w:val="005C7AD2"/>
    <w:rsid w:val="005C7B40"/>
    <w:rsid w:val="005C7CF5"/>
    <w:rsid w:val="005C7D0A"/>
    <w:rsid w:val="005C7EC2"/>
    <w:rsid w:val="005C7F62"/>
    <w:rsid w:val="005D0325"/>
    <w:rsid w:val="005D03F1"/>
    <w:rsid w:val="005D0523"/>
    <w:rsid w:val="005D068C"/>
    <w:rsid w:val="005D0C53"/>
    <w:rsid w:val="005D0C98"/>
    <w:rsid w:val="005D0E26"/>
    <w:rsid w:val="005D0F11"/>
    <w:rsid w:val="005D1284"/>
    <w:rsid w:val="005D14F8"/>
    <w:rsid w:val="005D175F"/>
    <w:rsid w:val="005D1847"/>
    <w:rsid w:val="005D1889"/>
    <w:rsid w:val="005D18D6"/>
    <w:rsid w:val="005D1923"/>
    <w:rsid w:val="005D1924"/>
    <w:rsid w:val="005D19E1"/>
    <w:rsid w:val="005D1A04"/>
    <w:rsid w:val="005D1B8A"/>
    <w:rsid w:val="005D1F3F"/>
    <w:rsid w:val="005D2058"/>
    <w:rsid w:val="005D2089"/>
    <w:rsid w:val="005D216B"/>
    <w:rsid w:val="005D2197"/>
    <w:rsid w:val="005D2266"/>
    <w:rsid w:val="005D2304"/>
    <w:rsid w:val="005D243A"/>
    <w:rsid w:val="005D249A"/>
    <w:rsid w:val="005D2525"/>
    <w:rsid w:val="005D262F"/>
    <w:rsid w:val="005D2642"/>
    <w:rsid w:val="005D26CD"/>
    <w:rsid w:val="005D26FF"/>
    <w:rsid w:val="005D2858"/>
    <w:rsid w:val="005D2921"/>
    <w:rsid w:val="005D29B5"/>
    <w:rsid w:val="005D2A04"/>
    <w:rsid w:val="005D2A9A"/>
    <w:rsid w:val="005D2BC0"/>
    <w:rsid w:val="005D2E35"/>
    <w:rsid w:val="005D2E78"/>
    <w:rsid w:val="005D2EA4"/>
    <w:rsid w:val="005D2F1C"/>
    <w:rsid w:val="005D3077"/>
    <w:rsid w:val="005D3101"/>
    <w:rsid w:val="005D31D1"/>
    <w:rsid w:val="005D3271"/>
    <w:rsid w:val="005D3551"/>
    <w:rsid w:val="005D35EC"/>
    <w:rsid w:val="005D35FC"/>
    <w:rsid w:val="005D3671"/>
    <w:rsid w:val="005D387B"/>
    <w:rsid w:val="005D3B29"/>
    <w:rsid w:val="005D3C5C"/>
    <w:rsid w:val="005D3D09"/>
    <w:rsid w:val="005D3F38"/>
    <w:rsid w:val="005D3F86"/>
    <w:rsid w:val="005D41E6"/>
    <w:rsid w:val="005D438B"/>
    <w:rsid w:val="005D447C"/>
    <w:rsid w:val="005D4558"/>
    <w:rsid w:val="005D47C3"/>
    <w:rsid w:val="005D4844"/>
    <w:rsid w:val="005D4885"/>
    <w:rsid w:val="005D5018"/>
    <w:rsid w:val="005D502C"/>
    <w:rsid w:val="005D503A"/>
    <w:rsid w:val="005D5126"/>
    <w:rsid w:val="005D516C"/>
    <w:rsid w:val="005D5238"/>
    <w:rsid w:val="005D52E1"/>
    <w:rsid w:val="005D53A5"/>
    <w:rsid w:val="005D56F3"/>
    <w:rsid w:val="005D5740"/>
    <w:rsid w:val="005D5ABC"/>
    <w:rsid w:val="005D5B36"/>
    <w:rsid w:val="005D5DE6"/>
    <w:rsid w:val="005D61E8"/>
    <w:rsid w:val="005D61F3"/>
    <w:rsid w:val="005D63DD"/>
    <w:rsid w:val="005D6484"/>
    <w:rsid w:val="005D65D9"/>
    <w:rsid w:val="005D670E"/>
    <w:rsid w:val="005D67D7"/>
    <w:rsid w:val="005D67E3"/>
    <w:rsid w:val="005D698E"/>
    <w:rsid w:val="005D6A26"/>
    <w:rsid w:val="005D6C44"/>
    <w:rsid w:val="005D6D23"/>
    <w:rsid w:val="005D6DCA"/>
    <w:rsid w:val="005D6DDB"/>
    <w:rsid w:val="005D6E0D"/>
    <w:rsid w:val="005D6E2E"/>
    <w:rsid w:val="005D6ED2"/>
    <w:rsid w:val="005D716E"/>
    <w:rsid w:val="005D726D"/>
    <w:rsid w:val="005D72D8"/>
    <w:rsid w:val="005D737B"/>
    <w:rsid w:val="005D7410"/>
    <w:rsid w:val="005D74E2"/>
    <w:rsid w:val="005D76E2"/>
    <w:rsid w:val="005D776D"/>
    <w:rsid w:val="005D77CC"/>
    <w:rsid w:val="005D7867"/>
    <w:rsid w:val="005D793D"/>
    <w:rsid w:val="005D799A"/>
    <w:rsid w:val="005D7A51"/>
    <w:rsid w:val="005D7F89"/>
    <w:rsid w:val="005E004A"/>
    <w:rsid w:val="005E00C7"/>
    <w:rsid w:val="005E0495"/>
    <w:rsid w:val="005E04A3"/>
    <w:rsid w:val="005E04EB"/>
    <w:rsid w:val="005E057B"/>
    <w:rsid w:val="005E06DB"/>
    <w:rsid w:val="005E0718"/>
    <w:rsid w:val="005E074F"/>
    <w:rsid w:val="005E099F"/>
    <w:rsid w:val="005E0B03"/>
    <w:rsid w:val="005E0C0E"/>
    <w:rsid w:val="005E0E59"/>
    <w:rsid w:val="005E0F02"/>
    <w:rsid w:val="005E0F34"/>
    <w:rsid w:val="005E1236"/>
    <w:rsid w:val="005E1442"/>
    <w:rsid w:val="005E14E1"/>
    <w:rsid w:val="005E1617"/>
    <w:rsid w:val="005E186B"/>
    <w:rsid w:val="005E1A9F"/>
    <w:rsid w:val="005E1BC5"/>
    <w:rsid w:val="005E1BEE"/>
    <w:rsid w:val="005E1E23"/>
    <w:rsid w:val="005E1F50"/>
    <w:rsid w:val="005E1F89"/>
    <w:rsid w:val="005E208E"/>
    <w:rsid w:val="005E20AC"/>
    <w:rsid w:val="005E20F7"/>
    <w:rsid w:val="005E21A0"/>
    <w:rsid w:val="005E22ED"/>
    <w:rsid w:val="005E2569"/>
    <w:rsid w:val="005E258F"/>
    <w:rsid w:val="005E2736"/>
    <w:rsid w:val="005E28EE"/>
    <w:rsid w:val="005E2E17"/>
    <w:rsid w:val="005E2F1F"/>
    <w:rsid w:val="005E306F"/>
    <w:rsid w:val="005E30FD"/>
    <w:rsid w:val="005E319B"/>
    <w:rsid w:val="005E33BE"/>
    <w:rsid w:val="005E366D"/>
    <w:rsid w:val="005E3A09"/>
    <w:rsid w:val="005E3ACA"/>
    <w:rsid w:val="005E3BBB"/>
    <w:rsid w:val="005E3C8F"/>
    <w:rsid w:val="005E3CC5"/>
    <w:rsid w:val="005E3D06"/>
    <w:rsid w:val="005E3D2F"/>
    <w:rsid w:val="005E3E97"/>
    <w:rsid w:val="005E3ED0"/>
    <w:rsid w:val="005E3F9A"/>
    <w:rsid w:val="005E4077"/>
    <w:rsid w:val="005E41D4"/>
    <w:rsid w:val="005E4226"/>
    <w:rsid w:val="005E432C"/>
    <w:rsid w:val="005E4439"/>
    <w:rsid w:val="005E46BE"/>
    <w:rsid w:val="005E476D"/>
    <w:rsid w:val="005E4896"/>
    <w:rsid w:val="005E4C71"/>
    <w:rsid w:val="005E4C8A"/>
    <w:rsid w:val="005E4CB4"/>
    <w:rsid w:val="005E4D37"/>
    <w:rsid w:val="005E4E36"/>
    <w:rsid w:val="005E4EF8"/>
    <w:rsid w:val="005E5287"/>
    <w:rsid w:val="005E52C2"/>
    <w:rsid w:val="005E5315"/>
    <w:rsid w:val="005E5358"/>
    <w:rsid w:val="005E53D4"/>
    <w:rsid w:val="005E5517"/>
    <w:rsid w:val="005E5765"/>
    <w:rsid w:val="005E5A1D"/>
    <w:rsid w:val="005E5ADE"/>
    <w:rsid w:val="005E5C61"/>
    <w:rsid w:val="005E5CB3"/>
    <w:rsid w:val="005E5D73"/>
    <w:rsid w:val="005E5D8E"/>
    <w:rsid w:val="005E602B"/>
    <w:rsid w:val="005E6107"/>
    <w:rsid w:val="005E6172"/>
    <w:rsid w:val="005E634D"/>
    <w:rsid w:val="005E656C"/>
    <w:rsid w:val="005E687F"/>
    <w:rsid w:val="005E688B"/>
    <w:rsid w:val="005E69D4"/>
    <w:rsid w:val="005E69F5"/>
    <w:rsid w:val="005E6AB2"/>
    <w:rsid w:val="005E6BAD"/>
    <w:rsid w:val="005E6C56"/>
    <w:rsid w:val="005E6D02"/>
    <w:rsid w:val="005E6E06"/>
    <w:rsid w:val="005E6E1B"/>
    <w:rsid w:val="005E6E5C"/>
    <w:rsid w:val="005E6ED3"/>
    <w:rsid w:val="005E71E7"/>
    <w:rsid w:val="005E731F"/>
    <w:rsid w:val="005E77E5"/>
    <w:rsid w:val="005E7867"/>
    <w:rsid w:val="005E7A0D"/>
    <w:rsid w:val="005E7B27"/>
    <w:rsid w:val="005E7B56"/>
    <w:rsid w:val="005E7D77"/>
    <w:rsid w:val="005E7D9F"/>
    <w:rsid w:val="005E7FDD"/>
    <w:rsid w:val="005F0149"/>
    <w:rsid w:val="005F03D1"/>
    <w:rsid w:val="005F046E"/>
    <w:rsid w:val="005F04F1"/>
    <w:rsid w:val="005F0608"/>
    <w:rsid w:val="005F060B"/>
    <w:rsid w:val="005F0929"/>
    <w:rsid w:val="005F0A87"/>
    <w:rsid w:val="005F0A9D"/>
    <w:rsid w:val="005F0AC1"/>
    <w:rsid w:val="005F0B2E"/>
    <w:rsid w:val="005F118B"/>
    <w:rsid w:val="005F11A1"/>
    <w:rsid w:val="005F137E"/>
    <w:rsid w:val="005F139D"/>
    <w:rsid w:val="005F153B"/>
    <w:rsid w:val="005F18A3"/>
    <w:rsid w:val="005F1933"/>
    <w:rsid w:val="005F1A0C"/>
    <w:rsid w:val="005F1B54"/>
    <w:rsid w:val="005F1C1E"/>
    <w:rsid w:val="005F1C5C"/>
    <w:rsid w:val="005F1CB7"/>
    <w:rsid w:val="005F1F25"/>
    <w:rsid w:val="005F1FEB"/>
    <w:rsid w:val="005F2028"/>
    <w:rsid w:val="005F2050"/>
    <w:rsid w:val="005F2156"/>
    <w:rsid w:val="005F23CD"/>
    <w:rsid w:val="005F2688"/>
    <w:rsid w:val="005F275E"/>
    <w:rsid w:val="005F2921"/>
    <w:rsid w:val="005F2AEC"/>
    <w:rsid w:val="005F2B1D"/>
    <w:rsid w:val="005F2B68"/>
    <w:rsid w:val="005F2C19"/>
    <w:rsid w:val="005F2E8D"/>
    <w:rsid w:val="005F2F4E"/>
    <w:rsid w:val="005F3111"/>
    <w:rsid w:val="005F338C"/>
    <w:rsid w:val="005F343D"/>
    <w:rsid w:val="005F356C"/>
    <w:rsid w:val="005F3597"/>
    <w:rsid w:val="005F38D9"/>
    <w:rsid w:val="005F3916"/>
    <w:rsid w:val="005F3B9D"/>
    <w:rsid w:val="005F3BAA"/>
    <w:rsid w:val="005F3C29"/>
    <w:rsid w:val="005F3E11"/>
    <w:rsid w:val="005F3EFE"/>
    <w:rsid w:val="005F3F4C"/>
    <w:rsid w:val="005F3FC1"/>
    <w:rsid w:val="005F407F"/>
    <w:rsid w:val="005F4119"/>
    <w:rsid w:val="005F4227"/>
    <w:rsid w:val="005F426D"/>
    <w:rsid w:val="005F43BB"/>
    <w:rsid w:val="005F4443"/>
    <w:rsid w:val="005F4547"/>
    <w:rsid w:val="005F46A1"/>
    <w:rsid w:val="005F4AC2"/>
    <w:rsid w:val="005F4B6E"/>
    <w:rsid w:val="005F4D67"/>
    <w:rsid w:val="005F4F4E"/>
    <w:rsid w:val="005F559F"/>
    <w:rsid w:val="005F5681"/>
    <w:rsid w:val="005F57C6"/>
    <w:rsid w:val="005F587C"/>
    <w:rsid w:val="005F5A2B"/>
    <w:rsid w:val="005F5B7E"/>
    <w:rsid w:val="005F5D9F"/>
    <w:rsid w:val="005F5DAB"/>
    <w:rsid w:val="005F5ED7"/>
    <w:rsid w:val="005F60B5"/>
    <w:rsid w:val="005F60EA"/>
    <w:rsid w:val="005F6236"/>
    <w:rsid w:val="005F6290"/>
    <w:rsid w:val="005F630B"/>
    <w:rsid w:val="005F632A"/>
    <w:rsid w:val="005F6368"/>
    <w:rsid w:val="005F63B8"/>
    <w:rsid w:val="005F6806"/>
    <w:rsid w:val="005F68B6"/>
    <w:rsid w:val="005F6945"/>
    <w:rsid w:val="005F69BF"/>
    <w:rsid w:val="005F6A0B"/>
    <w:rsid w:val="005F6A4A"/>
    <w:rsid w:val="005F6B1A"/>
    <w:rsid w:val="005F6B39"/>
    <w:rsid w:val="005F6B65"/>
    <w:rsid w:val="005F6B91"/>
    <w:rsid w:val="005F6C73"/>
    <w:rsid w:val="005F6CFB"/>
    <w:rsid w:val="005F7038"/>
    <w:rsid w:val="005F703E"/>
    <w:rsid w:val="005F7072"/>
    <w:rsid w:val="005F70B3"/>
    <w:rsid w:val="005F70BF"/>
    <w:rsid w:val="005F70DC"/>
    <w:rsid w:val="005F727B"/>
    <w:rsid w:val="005F7367"/>
    <w:rsid w:val="005F73F1"/>
    <w:rsid w:val="005F743E"/>
    <w:rsid w:val="005F74B7"/>
    <w:rsid w:val="005F74EA"/>
    <w:rsid w:val="005F78B3"/>
    <w:rsid w:val="005F79AE"/>
    <w:rsid w:val="005F7B52"/>
    <w:rsid w:val="005F7E63"/>
    <w:rsid w:val="005F7EE6"/>
    <w:rsid w:val="005F7EEE"/>
    <w:rsid w:val="005F7FA6"/>
    <w:rsid w:val="006002EF"/>
    <w:rsid w:val="006002FC"/>
    <w:rsid w:val="00600519"/>
    <w:rsid w:val="006005DC"/>
    <w:rsid w:val="00600638"/>
    <w:rsid w:val="006006BF"/>
    <w:rsid w:val="006009C5"/>
    <w:rsid w:val="00600B00"/>
    <w:rsid w:val="00600CA8"/>
    <w:rsid w:val="00600EC2"/>
    <w:rsid w:val="006010B4"/>
    <w:rsid w:val="006012F3"/>
    <w:rsid w:val="006012FF"/>
    <w:rsid w:val="006015C1"/>
    <w:rsid w:val="0060162E"/>
    <w:rsid w:val="006016A6"/>
    <w:rsid w:val="00601952"/>
    <w:rsid w:val="006019E4"/>
    <w:rsid w:val="00601A08"/>
    <w:rsid w:val="00601C02"/>
    <w:rsid w:val="00601C54"/>
    <w:rsid w:val="00601D36"/>
    <w:rsid w:val="00601DD9"/>
    <w:rsid w:val="00601DDF"/>
    <w:rsid w:val="00601FBB"/>
    <w:rsid w:val="00602051"/>
    <w:rsid w:val="006021C4"/>
    <w:rsid w:val="0060223D"/>
    <w:rsid w:val="006022CC"/>
    <w:rsid w:val="006024A7"/>
    <w:rsid w:val="0060263C"/>
    <w:rsid w:val="0060266B"/>
    <w:rsid w:val="0060269B"/>
    <w:rsid w:val="006026F5"/>
    <w:rsid w:val="006027B1"/>
    <w:rsid w:val="00602809"/>
    <w:rsid w:val="0060282F"/>
    <w:rsid w:val="0060293E"/>
    <w:rsid w:val="0060295A"/>
    <w:rsid w:val="00602ABA"/>
    <w:rsid w:val="00602C30"/>
    <w:rsid w:val="00602C5F"/>
    <w:rsid w:val="00602DAA"/>
    <w:rsid w:val="00602DE6"/>
    <w:rsid w:val="00602E1E"/>
    <w:rsid w:val="00602FEF"/>
    <w:rsid w:val="006031B0"/>
    <w:rsid w:val="006031E1"/>
    <w:rsid w:val="00603234"/>
    <w:rsid w:val="0060326C"/>
    <w:rsid w:val="00603275"/>
    <w:rsid w:val="00603322"/>
    <w:rsid w:val="006035BD"/>
    <w:rsid w:val="00603970"/>
    <w:rsid w:val="006039D5"/>
    <w:rsid w:val="006039D6"/>
    <w:rsid w:val="00603C62"/>
    <w:rsid w:val="00603E30"/>
    <w:rsid w:val="00603EAF"/>
    <w:rsid w:val="006041E8"/>
    <w:rsid w:val="00604243"/>
    <w:rsid w:val="006042AC"/>
    <w:rsid w:val="006043CB"/>
    <w:rsid w:val="006043E7"/>
    <w:rsid w:val="006045C9"/>
    <w:rsid w:val="00604670"/>
    <w:rsid w:val="00604724"/>
    <w:rsid w:val="0060473A"/>
    <w:rsid w:val="00604798"/>
    <w:rsid w:val="00604805"/>
    <w:rsid w:val="006048AC"/>
    <w:rsid w:val="00604A91"/>
    <w:rsid w:val="00604E89"/>
    <w:rsid w:val="00604ED0"/>
    <w:rsid w:val="00604F20"/>
    <w:rsid w:val="00604F6D"/>
    <w:rsid w:val="006050B9"/>
    <w:rsid w:val="00605142"/>
    <w:rsid w:val="00605179"/>
    <w:rsid w:val="00605183"/>
    <w:rsid w:val="006053BB"/>
    <w:rsid w:val="0060540F"/>
    <w:rsid w:val="00605415"/>
    <w:rsid w:val="0060543C"/>
    <w:rsid w:val="006054E4"/>
    <w:rsid w:val="006054F5"/>
    <w:rsid w:val="006055C1"/>
    <w:rsid w:val="0060564E"/>
    <w:rsid w:val="0060577C"/>
    <w:rsid w:val="00605916"/>
    <w:rsid w:val="0060595B"/>
    <w:rsid w:val="0060597D"/>
    <w:rsid w:val="00605A8A"/>
    <w:rsid w:val="00605AFD"/>
    <w:rsid w:val="00605E98"/>
    <w:rsid w:val="00605F0B"/>
    <w:rsid w:val="00605F4C"/>
    <w:rsid w:val="0060617A"/>
    <w:rsid w:val="0060619F"/>
    <w:rsid w:val="0060624E"/>
    <w:rsid w:val="00606368"/>
    <w:rsid w:val="006064DA"/>
    <w:rsid w:val="006065AE"/>
    <w:rsid w:val="0060693C"/>
    <w:rsid w:val="00606C11"/>
    <w:rsid w:val="00606C70"/>
    <w:rsid w:val="00606CBD"/>
    <w:rsid w:val="00606E48"/>
    <w:rsid w:val="00606E58"/>
    <w:rsid w:val="00606E5E"/>
    <w:rsid w:val="00606F53"/>
    <w:rsid w:val="006071D0"/>
    <w:rsid w:val="00607337"/>
    <w:rsid w:val="0060747E"/>
    <w:rsid w:val="00607550"/>
    <w:rsid w:val="006075C2"/>
    <w:rsid w:val="0060774C"/>
    <w:rsid w:val="0060774F"/>
    <w:rsid w:val="00607787"/>
    <w:rsid w:val="00607889"/>
    <w:rsid w:val="006078E1"/>
    <w:rsid w:val="006079BB"/>
    <w:rsid w:val="006079DA"/>
    <w:rsid w:val="00607ABF"/>
    <w:rsid w:val="00607B2F"/>
    <w:rsid w:val="00607C6A"/>
    <w:rsid w:val="00607C7C"/>
    <w:rsid w:val="00607D4B"/>
    <w:rsid w:val="00607D91"/>
    <w:rsid w:val="00607DD2"/>
    <w:rsid w:val="00610257"/>
    <w:rsid w:val="0061036D"/>
    <w:rsid w:val="006103DF"/>
    <w:rsid w:val="00610570"/>
    <w:rsid w:val="006105BF"/>
    <w:rsid w:val="0061060B"/>
    <w:rsid w:val="00610656"/>
    <w:rsid w:val="0061098F"/>
    <w:rsid w:val="00610AF4"/>
    <w:rsid w:val="00610B27"/>
    <w:rsid w:val="00610C08"/>
    <w:rsid w:val="00610C2B"/>
    <w:rsid w:val="00610C7E"/>
    <w:rsid w:val="00610C80"/>
    <w:rsid w:val="00610F1B"/>
    <w:rsid w:val="00610FCD"/>
    <w:rsid w:val="00611076"/>
    <w:rsid w:val="00611423"/>
    <w:rsid w:val="00611495"/>
    <w:rsid w:val="0061157F"/>
    <w:rsid w:val="00611591"/>
    <w:rsid w:val="0061161F"/>
    <w:rsid w:val="00611A99"/>
    <w:rsid w:val="00611AD0"/>
    <w:rsid w:val="00611B18"/>
    <w:rsid w:val="00611D99"/>
    <w:rsid w:val="006120D1"/>
    <w:rsid w:val="0061226B"/>
    <w:rsid w:val="006123D4"/>
    <w:rsid w:val="0061242C"/>
    <w:rsid w:val="00612561"/>
    <w:rsid w:val="006126FE"/>
    <w:rsid w:val="0061295D"/>
    <w:rsid w:val="006129F4"/>
    <w:rsid w:val="00612B6B"/>
    <w:rsid w:val="00612C39"/>
    <w:rsid w:val="00612CC6"/>
    <w:rsid w:val="00612DC2"/>
    <w:rsid w:val="00612E90"/>
    <w:rsid w:val="00612EE5"/>
    <w:rsid w:val="0061311A"/>
    <w:rsid w:val="00613202"/>
    <w:rsid w:val="006133E1"/>
    <w:rsid w:val="006135A0"/>
    <w:rsid w:val="006136DE"/>
    <w:rsid w:val="006137CF"/>
    <w:rsid w:val="00613858"/>
    <w:rsid w:val="00613972"/>
    <w:rsid w:val="00613ADF"/>
    <w:rsid w:val="00613B82"/>
    <w:rsid w:val="00613B8B"/>
    <w:rsid w:val="00613C2B"/>
    <w:rsid w:val="00613C8C"/>
    <w:rsid w:val="00613CB9"/>
    <w:rsid w:val="00614015"/>
    <w:rsid w:val="00614202"/>
    <w:rsid w:val="00614619"/>
    <w:rsid w:val="006147B5"/>
    <w:rsid w:val="006147C2"/>
    <w:rsid w:val="006147F0"/>
    <w:rsid w:val="00614AA6"/>
    <w:rsid w:val="00614B8A"/>
    <w:rsid w:val="00614BDB"/>
    <w:rsid w:val="00614CB1"/>
    <w:rsid w:val="00614FFC"/>
    <w:rsid w:val="006151F4"/>
    <w:rsid w:val="0061520D"/>
    <w:rsid w:val="00615429"/>
    <w:rsid w:val="0061548F"/>
    <w:rsid w:val="00615585"/>
    <w:rsid w:val="0061582A"/>
    <w:rsid w:val="0061594E"/>
    <w:rsid w:val="00615AB1"/>
    <w:rsid w:val="00615BB4"/>
    <w:rsid w:val="00615BEE"/>
    <w:rsid w:val="00615C8B"/>
    <w:rsid w:val="00616170"/>
    <w:rsid w:val="0061622C"/>
    <w:rsid w:val="00616689"/>
    <w:rsid w:val="006167D9"/>
    <w:rsid w:val="00616A19"/>
    <w:rsid w:val="00616B8A"/>
    <w:rsid w:val="00616D14"/>
    <w:rsid w:val="00616DB6"/>
    <w:rsid w:val="00616F25"/>
    <w:rsid w:val="00616F4D"/>
    <w:rsid w:val="00617027"/>
    <w:rsid w:val="006172CF"/>
    <w:rsid w:val="006175C4"/>
    <w:rsid w:val="006176AB"/>
    <w:rsid w:val="006176CA"/>
    <w:rsid w:val="00617701"/>
    <w:rsid w:val="00617788"/>
    <w:rsid w:val="006179DF"/>
    <w:rsid w:val="00617B28"/>
    <w:rsid w:val="00617B62"/>
    <w:rsid w:val="00617CBC"/>
    <w:rsid w:val="00617D3D"/>
    <w:rsid w:val="00617D98"/>
    <w:rsid w:val="00620160"/>
    <w:rsid w:val="006201B5"/>
    <w:rsid w:val="0062031B"/>
    <w:rsid w:val="00620379"/>
    <w:rsid w:val="00620384"/>
    <w:rsid w:val="0062043F"/>
    <w:rsid w:val="006206E7"/>
    <w:rsid w:val="006207A6"/>
    <w:rsid w:val="00620A37"/>
    <w:rsid w:val="00620B17"/>
    <w:rsid w:val="00620B97"/>
    <w:rsid w:val="00620CB5"/>
    <w:rsid w:val="00620D08"/>
    <w:rsid w:val="0062151B"/>
    <w:rsid w:val="0062163B"/>
    <w:rsid w:val="006216F1"/>
    <w:rsid w:val="006216FB"/>
    <w:rsid w:val="00621720"/>
    <w:rsid w:val="00621940"/>
    <w:rsid w:val="00621CAA"/>
    <w:rsid w:val="00621DDD"/>
    <w:rsid w:val="00622074"/>
    <w:rsid w:val="006220C4"/>
    <w:rsid w:val="006220DB"/>
    <w:rsid w:val="0062218B"/>
    <w:rsid w:val="006222CE"/>
    <w:rsid w:val="00622926"/>
    <w:rsid w:val="00622A11"/>
    <w:rsid w:val="00622B8A"/>
    <w:rsid w:val="00622CBF"/>
    <w:rsid w:val="00622DE2"/>
    <w:rsid w:val="00623429"/>
    <w:rsid w:val="006234F7"/>
    <w:rsid w:val="006235B1"/>
    <w:rsid w:val="00623656"/>
    <w:rsid w:val="006237D8"/>
    <w:rsid w:val="00623857"/>
    <w:rsid w:val="00623A31"/>
    <w:rsid w:val="00623C46"/>
    <w:rsid w:val="00623C62"/>
    <w:rsid w:val="00623D22"/>
    <w:rsid w:val="00623E2F"/>
    <w:rsid w:val="00623EFE"/>
    <w:rsid w:val="00624047"/>
    <w:rsid w:val="00624100"/>
    <w:rsid w:val="006243DF"/>
    <w:rsid w:val="00624433"/>
    <w:rsid w:val="006248DB"/>
    <w:rsid w:val="00624979"/>
    <w:rsid w:val="0062499C"/>
    <w:rsid w:val="00624A16"/>
    <w:rsid w:val="00624A26"/>
    <w:rsid w:val="00624A63"/>
    <w:rsid w:val="00624AA5"/>
    <w:rsid w:val="00624B54"/>
    <w:rsid w:val="00624CC2"/>
    <w:rsid w:val="00624CED"/>
    <w:rsid w:val="00624D9C"/>
    <w:rsid w:val="00624E56"/>
    <w:rsid w:val="00625010"/>
    <w:rsid w:val="0062501F"/>
    <w:rsid w:val="006251F1"/>
    <w:rsid w:val="0062539E"/>
    <w:rsid w:val="006253D7"/>
    <w:rsid w:val="006254BC"/>
    <w:rsid w:val="006255ED"/>
    <w:rsid w:val="006256B5"/>
    <w:rsid w:val="0062571E"/>
    <w:rsid w:val="00625922"/>
    <w:rsid w:val="00625986"/>
    <w:rsid w:val="00625DBF"/>
    <w:rsid w:val="00625F26"/>
    <w:rsid w:val="00625FE0"/>
    <w:rsid w:val="0062600B"/>
    <w:rsid w:val="00626023"/>
    <w:rsid w:val="00626498"/>
    <w:rsid w:val="00626598"/>
    <w:rsid w:val="00626630"/>
    <w:rsid w:val="00626690"/>
    <w:rsid w:val="00626754"/>
    <w:rsid w:val="00626771"/>
    <w:rsid w:val="00626937"/>
    <w:rsid w:val="00626AC5"/>
    <w:rsid w:val="00626ACA"/>
    <w:rsid w:val="00626C30"/>
    <w:rsid w:val="00626D83"/>
    <w:rsid w:val="00626F61"/>
    <w:rsid w:val="00627184"/>
    <w:rsid w:val="006274D7"/>
    <w:rsid w:val="00627628"/>
    <w:rsid w:val="00627853"/>
    <w:rsid w:val="00627977"/>
    <w:rsid w:val="00627B8C"/>
    <w:rsid w:val="00627BA8"/>
    <w:rsid w:val="00627DC5"/>
    <w:rsid w:val="00627EA0"/>
    <w:rsid w:val="00630283"/>
    <w:rsid w:val="006303A9"/>
    <w:rsid w:val="00630464"/>
    <w:rsid w:val="0063052C"/>
    <w:rsid w:val="0063079E"/>
    <w:rsid w:val="0063082D"/>
    <w:rsid w:val="00630978"/>
    <w:rsid w:val="00630A68"/>
    <w:rsid w:val="00630A8C"/>
    <w:rsid w:val="00631111"/>
    <w:rsid w:val="0063113C"/>
    <w:rsid w:val="00631459"/>
    <w:rsid w:val="00631596"/>
    <w:rsid w:val="0063172F"/>
    <w:rsid w:val="0063178F"/>
    <w:rsid w:val="006318FB"/>
    <w:rsid w:val="00631906"/>
    <w:rsid w:val="006319C3"/>
    <w:rsid w:val="006319E0"/>
    <w:rsid w:val="00631BD9"/>
    <w:rsid w:val="00631C44"/>
    <w:rsid w:val="00631DEB"/>
    <w:rsid w:val="00631E76"/>
    <w:rsid w:val="00632065"/>
    <w:rsid w:val="006321EE"/>
    <w:rsid w:val="0063238C"/>
    <w:rsid w:val="006324B3"/>
    <w:rsid w:val="00632547"/>
    <w:rsid w:val="006326F0"/>
    <w:rsid w:val="00632796"/>
    <w:rsid w:val="0063288B"/>
    <w:rsid w:val="00632A3A"/>
    <w:rsid w:val="00632B11"/>
    <w:rsid w:val="00632B17"/>
    <w:rsid w:val="00632BE0"/>
    <w:rsid w:val="00632D12"/>
    <w:rsid w:val="0063301B"/>
    <w:rsid w:val="00633105"/>
    <w:rsid w:val="006331D6"/>
    <w:rsid w:val="006335BC"/>
    <w:rsid w:val="006335FC"/>
    <w:rsid w:val="0063377B"/>
    <w:rsid w:val="0063381E"/>
    <w:rsid w:val="00633A91"/>
    <w:rsid w:val="00633AE5"/>
    <w:rsid w:val="00633B0E"/>
    <w:rsid w:val="00633B4E"/>
    <w:rsid w:val="00633BF4"/>
    <w:rsid w:val="00633CFA"/>
    <w:rsid w:val="00633E5E"/>
    <w:rsid w:val="00633F89"/>
    <w:rsid w:val="00633FFD"/>
    <w:rsid w:val="0063445C"/>
    <w:rsid w:val="006344A6"/>
    <w:rsid w:val="006344AA"/>
    <w:rsid w:val="0063481F"/>
    <w:rsid w:val="00634920"/>
    <w:rsid w:val="0063492F"/>
    <w:rsid w:val="00634931"/>
    <w:rsid w:val="00634999"/>
    <w:rsid w:val="00634A17"/>
    <w:rsid w:val="00634A80"/>
    <w:rsid w:val="00634C33"/>
    <w:rsid w:val="00634CD9"/>
    <w:rsid w:val="00634E44"/>
    <w:rsid w:val="00634F5D"/>
    <w:rsid w:val="00634F9C"/>
    <w:rsid w:val="006351DD"/>
    <w:rsid w:val="00635276"/>
    <w:rsid w:val="00635339"/>
    <w:rsid w:val="0063534C"/>
    <w:rsid w:val="00635398"/>
    <w:rsid w:val="00635439"/>
    <w:rsid w:val="00635474"/>
    <w:rsid w:val="00635514"/>
    <w:rsid w:val="0063562A"/>
    <w:rsid w:val="006356EB"/>
    <w:rsid w:val="0063582F"/>
    <w:rsid w:val="00635847"/>
    <w:rsid w:val="0063587C"/>
    <w:rsid w:val="00635A4D"/>
    <w:rsid w:val="00635DA5"/>
    <w:rsid w:val="00635E9E"/>
    <w:rsid w:val="00635F50"/>
    <w:rsid w:val="00635FBE"/>
    <w:rsid w:val="006360CA"/>
    <w:rsid w:val="006361E6"/>
    <w:rsid w:val="00636242"/>
    <w:rsid w:val="006362E4"/>
    <w:rsid w:val="006363A7"/>
    <w:rsid w:val="00636510"/>
    <w:rsid w:val="00636698"/>
    <w:rsid w:val="006367A7"/>
    <w:rsid w:val="00636834"/>
    <w:rsid w:val="006368B6"/>
    <w:rsid w:val="00636A1E"/>
    <w:rsid w:val="00636D25"/>
    <w:rsid w:val="00636D6A"/>
    <w:rsid w:val="00636DF5"/>
    <w:rsid w:val="00636EFE"/>
    <w:rsid w:val="0063703A"/>
    <w:rsid w:val="0063707E"/>
    <w:rsid w:val="006371C8"/>
    <w:rsid w:val="00637338"/>
    <w:rsid w:val="0063768C"/>
    <w:rsid w:val="006376DF"/>
    <w:rsid w:val="006379CB"/>
    <w:rsid w:val="00637A58"/>
    <w:rsid w:val="00637BAB"/>
    <w:rsid w:val="00637C14"/>
    <w:rsid w:val="00637E06"/>
    <w:rsid w:val="00640021"/>
    <w:rsid w:val="00640199"/>
    <w:rsid w:val="006401CB"/>
    <w:rsid w:val="0064022C"/>
    <w:rsid w:val="0064047E"/>
    <w:rsid w:val="00640597"/>
    <w:rsid w:val="006406AD"/>
    <w:rsid w:val="006407D8"/>
    <w:rsid w:val="006408F0"/>
    <w:rsid w:val="00640911"/>
    <w:rsid w:val="00640B41"/>
    <w:rsid w:val="00640BA0"/>
    <w:rsid w:val="00640BD5"/>
    <w:rsid w:val="00640D26"/>
    <w:rsid w:val="00640F6E"/>
    <w:rsid w:val="00641079"/>
    <w:rsid w:val="0064124B"/>
    <w:rsid w:val="00641425"/>
    <w:rsid w:val="006416AA"/>
    <w:rsid w:val="00641782"/>
    <w:rsid w:val="0064180E"/>
    <w:rsid w:val="00641D1A"/>
    <w:rsid w:val="00642025"/>
    <w:rsid w:val="006421B5"/>
    <w:rsid w:val="006423D6"/>
    <w:rsid w:val="00642401"/>
    <w:rsid w:val="00642478"/>
    <w:rsid w:val="00642602"/>
    <w:rsid w:val="0064277A"/>
    <w:rsid w:val="006427E2"/>
    <w:rsid w:val="006427FF"/>
    <w:rsid w:val="006428D7"/>
    <w:rsid w:val="0064291C"/>
    <w:rsid w:val="00642BF5"/>
    <w:rsid w:val="00642D43"/>
    <w:rsid w:val="00642E2D"/>
    <w:rsid w:val="0064303C"/>
    <w:rsid w:val="0064338F"/>
    <w:rsid w:val="006433CE"/>
    <w:rsid w:val="006434B5"/>
    <w:rsid w:val="00643811"/>
    <w:rsid w:val="00643B07"/>
    <w:rsid w:val="00643C84"/>
    <w:rsid w:val="00643DEA"/>
    <w:rsid w:val="00643DF8"/>
    <w:rsid w:val="00643E4F"/>
    <w:rsid w:val="00643FFC"/>
    <w:rsid w:val="006441E9"/>
    <w:rsid w:val="00644369"/>
    <w:rsid w:val="00644731"/>
    <w:rsid w:val="006448EB"/>
    <w:rsid w:val="00644AE6"/>
    <w:rsid w:val="00644C8F"/>
    <w:rsid w:val="00644FF7"/>
    <w:rsid w:val="006450DC"/>
    <w:rsid w:val="006450E1"/>
    <w:rsid w:val="006451CA"/>
    <w:rsid w:val="0064526E"/>
    <w:rsid w:val="006452EA"/>
    <w:rsid w:val="00645578"/>
    <w:rsid w:val="006456A8"/>
    <w:rsid w:val="00645886"/>
    <w:rsid w:val="00645937"/>
    <w:rsid w:val="0064593F"/>
    <w:rsid w:val="006459AB"/>
    <w:rsid w:val="00645AA6"/>
    <w:rsid w:val="00645E5A"/>
    <w:rsid w:val="00645E65"/>
    <w:rsid w:val="00645EB5"/>
    <w:rsid w:val="00646084"/>
    <w:rsid w:val="0064620A"/>
    <w:rsid w:val="006462D8"/>
    <w:rsid w:val="0064646D"/>
    <w:rsid w:val="00646794"/>
    <w:rsid w:val="006467A7"/>
    <w:rsid w:val="00646A3E"/>
    <w:rsid w:val="00646B27"/>
    <w:rsid w:val="00646C9E"/>
    <w:rsid w:val="00646D22"/>
    <w:rsid w:val="00646E36"/>
    <w:rsid w:val="00646F9A"/>
    <w:rsid w:val="00647391"/>
    <w:rsid w:val="0064743C"/>
    <w:rsid w:val="006474CA"/>
    <w:rsid w:val="00647567"/>
    <w:rsid w:val="006475E6"/>
    <w:rsid w:val="00647748"/>
    <w:rsid w:val="00647D34"/>
    <w:rsid w:val="00647D69"/>
    <w:rsid w:val="00647E79"/>
    <w:rsid w:val="00647F74"/>
    <w:rsid w:val="00647F80"/>
    <w:rsid w:val="00647FD0"/>
    <w:rsid w:val="00650135"/>
    <w:rsid w:val="006501B2"/>
    <w:rsid w:val="00650270"/>
    <w:rsid w:val="006503E3"/>
    <w:rsid w:val="0065067D"/>
    <w:rsid w:val="006506D0"/>
    <w:rsid w:val="00650764"/>
    <w:rsid w:val="006509A9"/>
    <w:rsid w:val="00650A05"/>
    <w:rsid w:val="00650A43"/>
    <w:rsid w:val="00650A74"/>
    <w:rsid w:val="00650AB0"/>
    <w:rsid w:val="00650BC1"/>
    <w:rsid w:val="00650DA6"/>
    <w:rsid w:val="00650DE0"/>
    <w:rsid w:val="00650FA6"/>
    <w:rsid w:val="00650FE4"/>
    <w:rsid w:val="0065120A"/>
    <w:rsid w:val="00651236"/>
    <w:rsid w:val="00651277"/>
    <w:rsid w:val="006512B3"/>
    <w:rsid w:val="00651429"/>
    <w:rsid w:val="0065153F"/>
    <w:rsid w:val="0065155D"/>
    <w:rsid w:val="006516ED"/>
    <w:rsid w:val="0065171B"/>
    <w:rsid w:val="00651957"/>
    <w:rsid w:val="006519BA"/>
    <w:rsid w:val="00651A25"/>
    <w:rsid w:val="00651A26"/>
    <w:rsid w:val="00651BA8"/>
    <w:rsid w:val="00651C26"/>
    <w:rsid w:val="00651DF2"/>
    <w:rsid w:val="00651E1A"/>
    <w:rsid w:val="0065204C"/>
    <w:rsid w:val="00652114"/>
    <w:rsid w:val="00652131"/>
    <w:rsid w:val="006523DC"/>
    <w:rsid w:val="00652558"/>
    <w:rsid w:val="00652917"/>
    <w:rsid w:val="0065298F"/>
    <w:rsid w:val="00652AF3"/>
    <w:rsid w:val="00652B0A"/>
    <w:rsid w:val="00652BA3"/>
    <w:rsid w:val="00652C66"/>
    <w:rsid w:val="00652D06"/>
    <w:rsid w:val="00652E2E"/>
    <w:rsid w:val="00652E56"/>
    <w:rsid w:val="0065304A"/>
    <w:rsid w:val="0065312F"/>
    <w:rsid w:val="006531B2"/>
    <w:rsid w:val="00653233"/>
    <w:rsid w:val="006532C8"/>
    <w:rsid w:val="006532E6"/>
    <w:rsid w:val="006534D1"/>
    <w:rsid w:val="00653690"/>
    <w:rsid w:val="006536BD"/>
    <w:rsid w:val="0065380E"/>
    <w:rsid w:val="00653DB4"/>
    <w:rsid w:val="00653EB4"/>
    <w:rsid w:val="0065405E"/>
    <w:rsid w:val="0065412C"/>
    <w:rsid w:val="00654262"/>
    <w:rsid w:val="00654265"/>
    <w:rsid w:val="006542D0"/>
    <w:rsid w:val="00654382"/>
    <w:rsid w:val="00654463"/>
    <w:rsid w:val="006544AD"/>
    <w:rsid w:val="00654725"/>
    <w:rsid w:val="0065479A"/>
    <w:rsid w:val="00654A98"/>
    <w:rsid w:val="00654AEE"/>
    <w:rsid w:val="00654B3D"/>
    <w:rsid w:val="00654BF5"/>
    <w:rsid w:val="00654BFA"/>
    <w:rsid w:val="00654C64"/>
    <w:rsid w:val="00654CCA"/>
    <w:rsid w:val="00654D4B"/>
    <w:rsid w:val="00654D4C"/>
    <w:rsid w:val="00654D6D"/>
    <w:rsid w:val="00654D95"/>
    <w:rsid w:val="00654EDA"/>
    <w:rsid w:val="00654F1C"/>
    <w:rsid w:val="00655290"/>
    <w:rsid w:val="006554BE"/>
    <w:rsid w:val="0065574A"/>
    <w:rsid w:val="00655920"/>
    <w:rsid w:val="00655926"/>
    <w:rsid w:val="00655AE5"/>
    <w:rsid w:val="00655AF8"/>
    <w:rsid w:val="00655AFF"/>
    <w:rsid w:val="00655BA6"/>
    <w:rsid w:val="00655BF7"/>
    <w:rsid w:val="00655C49"/>
    <w:rsid w:val="00655C62"/>
    <w:rsid w:val="00655D67"/>
    <w:rsid w:val="00655DCD"/>
    <w:rsid w:val="00655F6C"/>
    <w:rsid w:val="00655FCF"/>
    <w:rsid w:val="00656013"/>
    <w:rsid w:val="0065609A"/>
    <w:rsid w:val="006560BA"/>
    <w:rsid w:val="006560D9"/>
    <w:rsid w:val="0065611E"/>
    <w:rsid w:val="0065617C"/>
    <w:rsid w:val="006561CB"/>
    <w:rsid w:val="00656356"/>
    <w:rsid w:val="0065636D"/>
    <w:rsid w:val="006563C0"/>
    <w:rsid w:val="006565D1"/>
    <w:rsid w:val="00656690"/>
    <w:rsid w:val="00656695"/>
    <w:rsid w:val="00656729"/>
    <w:rsid w:val="00656D1A"/>
    <w:rsid w:val="00656FFC"/>
    <w:rsid w:val="00656FFD"/>
    <w:rsid w:val="00657033"/>
    <w:rsid w:val="00657069"/>
    <w:rsid w:val="006570EA"/>
    <w:rsid w:val="006570EF"/>
    <w:rsid w:val="00657135"/>
    <w:rsid w:val="0065713B"/>
    <w:rsid w:val="0065714F"/>
    <w:rsid w:val="00657292"/>
    <w:rsid w:val="006572F6"/>
    <w:rsid w:val="00657474"/>
    <w:rsid w:val="006574AE"/>
    <w:rsid w:val="00657634"/>
    <w:rsid w:val="006577CD"/>
    <w:rsid w:val="006578B9"/>
    <w:rsid w:val="00657A16"/>
    <w:rsid w:val="00657B8B"/>
    <w:rsid w:val="00657C74"/>
    <w:rsid w:val="00660059"/>
    <w:rsid w:val="00660194"/>
    <w:rsid w:val="006601C2"/>
    <w:rsid w:val="006603C0"/>
    <w:rsid w:val="006604ED"/>
    <w:rsid w:val="006604F4"/>
    <w:rsid w:val="00660AD7"/>
    <w:rsid w:val="00660B0B"/>
    <w:rsid w:val="00660E63"/>
    <w:rsid w:val="00660E83"/>
    <w:rsid w:val="00661388"/>
    <w:rsid w:val="006614D4"/>
    <w:rsid w:val="006614E7"/>
    <w:rsid w:val="00661503"/>
    <w:rsid w:val="00661525"/>
    <w:rsid w:val="00661598"/>
    <w:rsid w:val="006619FD"/>
    <w:rsid w:val="00661AA0"/>
    <w:rsid w:val="00661AD5"/>
    <w:rsid w:val="00661B6A"/>
    <w:rsid w:val="00661C09"/>
    <w:rsid w:val="00661C5D"/>
    <w:rsid w:val="00661CC4"/>
    <w:rsid w:val="00661DAC"/>
    <w:rsid w:val="00661EDC"/>
    <w:rsid w:val="00661FE3"/>
    <w:rsid w:val="00662040"/>
    <w:rsid w:val="006621DD"/>
    <w:rsid w:val="00662221"/>
    <w:rsid w:val="006624EA"/>
    <w:rsid w:val="006626EF"/>
    <w:rsid w:val="00662B00"/>
    <w:rsid w:val="00662D04"/>
    <w:rsid w:val="00662D62"/>
    <w:rsid w:val="00662DE0"/>
    <w:rsid w:val="00662E68"/>
    <w:rsid w:val="00663060"/>
    <w:rsid w:val="00663234"/>
    <w:rsid w:val="006632AD"/>
    <w:rsid w:val="00663383"/>
    <w:rsid w:val="006633A4"/>
    <w:rsid w:val="006636E2"/>
    <w:rsid w:val="006637C2"/>
    <w:rsid w:val="006638BA"/>
    <w:rsid w:val="00663DF7"/>
    <w:rsid w:val="0066408D"/>
    <w:rsid w:val="006640CF"/>
    <w:rsid w:val="006640FC"/>
    <w:rsid w:val="0066427F"/>
    <w:rsid w:val="00664369"/>
    <w:rsid w:val="006643B7"/>
    <w:rsid w:val="00664836"/>
    <w:rsid w:val="00664925"/>
    <w:rsid w:val="00664960"/>
    <w:rsid w:val="00664973"/>
    <w:rsid w:val="00664A32"/>
    <w:rsid w:val="00664B20"/>
    <w:rsid w:val="00664C1D"/>
    <w:rsid w:val="00664DE8"/>
    <w:rsid w:val="006652AD"/>
    <w:rsid w:val="006653C7"/>
    <w:rsid w:val="00665590"/>
    <w:rsid w:val="0066573D"/>
    <w:rsid w:val="00665870"/>
    <w:rsid w:val="006658AD"/>
    <w:rsid w:val="00665A17"/>
    <w:rsid w:val="00665BB0"/>
    <w:rsid w:val="00665BBE"/>
    <w:rsid w:val="0066600F"/>
    <w:rsid w:val="00666219"/>
    <w:rsid w:val="00666344"/>
    <w:rsid w:val="0066642F"/>
    <w:rsid w:val="00666493"/>
    <w:rsid w:val="006665AD"/>
    <w:rsid w:val="00666747"/>
    <w:rsid w:val="006667CC"/>
    <w:rsid w:val="0066697A"/>
    <w:rsid w:val="00666A2E"/>
    <w:rsid w:val="00666B37"/>
    <w:rsid w:val="00666B9B"/>
    <w:rsid w:val="00666C28"/>
    <w:rsid w:val="00666CBC"/>
    <w:rsid w:val="00666D56"/>
    <w:rsid w:val="00666DF7"/>
    <w:rsid w:val="00666ECA"/>
    <w:rsid w:val="00666F23"/>
    <w:rsid w:val="00666FF3"/>
    <w:rsid w:val="00667028"/>
    <w:rsid w:val="0066716D"/>
    <w:rsid w:val="006671CE"/>
    <w:rsid w:val="006671FE"/>
    <w:rsid w:val="00667390"/>
    <w:rsid w:val="00667427"/>
    <w:rsid w:val="00667439"/>
    <w:rsid w:val="006674FA"/>
    <w:rsid w:val="006675A0"/>
    <w:rsid w:val="00667B67"/>
    <w:rsid w:val="00667B7D"/>
    <w:rsid w:val="00667CEE"/>
    <w:rsid w:val="00667D01"/>
    <w:rsid w:val="00667DC0"/>
    <w:rsid w:val="00670029"/>
    <w:rsid w:val="00670092"/>
    <w:rsid w:val="00670116"/>
    <w:rsid w:val="0067016C"/>
    <w:rsid w:val="0067038F"/>
    <w:rsid w:val="006703B1"/>
    <w:rsid w:val="006703D6"/>
    <w:rsid w:val="00670436"/>
    <w:rsid w:val="00670461"/>
    <w:rsid w:val="00670649"/>
    <w:rsid w:val="006706AE"/>
    <w:rsid w:val="00670703"/>
    <w:rsid w:val="006707F7"/>
    <w:rsid w:val="00670A3C"/>
    <w:rsid w:val="00670BB6"/>
    <w:rsid w:val="00670BE3"/>
    <w:rsid w:val="00670D1F"/>
    <w:rsid w:val="00670DDA"/>
    <w:rsid w:val="00670E0A"/>
    <w:rsid w:val="00670E36"/>
    <w:rsid w:val="00670EAE"/>
    <w:rsid w:val="006711D5"/>
    <w:rsid w:val="006714F7"/>
    <w:rsid w:val="00671514"/>
    <w:rsid w:val="0067160D"/>
    <w:rsid w:val="0067163D"/>
    <w:rsid w:val="006716FA"/>
    <w:rsid w:val="00671A4A"/>
    <w:rsid w:val="00671A52"/>
    <w:rsid w:val="00671BB3"/>
    <w:rsid w:val="00671CB7"/>
    <w:rsid w:val="00671E11"/>
    <w:rsid w:val="00672032"/>
    <w:rsid w:val="006720B2"/>
    <w:rsid w:val="00672142"/>
    <w:rsid w:val="00672171"/>
    <w:rsid w:val="00672340"/>
    <w:rsid w:val="00672989"/>
    <w:rsid w:val="006729B7"/>
    <w:rsid w:val="00672B2D"/>
    <w:rsid w:val="00672C28"/>
    <w:rsid w:val="00672CA0"/>
    <w:rsid w:val="00672DFF"/>
    <w:rsid w:val="006730F9"/>
    <w:rsid w:val="0067313B"/>
    <w:rsid w:val="00673149"/>
    <w:rsid w:val="00673233"/>
    <w:rsid w:val="00673250"/>
    <w:rsid w:val="00673282"/>
    <w:rsid w:val="0067394C"/>
    <w:rsid w:val="00673950"/>
    <w:rsid w:val="00673E0A"/>
    <w:rsid w:val="006741DA"/>
    <w:rsid w:val="006741F0"/>
    <w:rsid w:val="006747A5"/>
    <w:rsid w:val="00674902"/>
    <w:rsid w:val="00674AAF"/>
    <w:rsid w:val="00674D3D"/>
    <w:rsid w:val="00674E00"/>
    <w:rsid w:val="00675208"/>
    <w:rsid w:val="0067537D"/>
    <w:rsid w:val="006755BC"/>
    <w:rsid w:val="006755BF"/>
    <w:rsid w:val="0067569F"/>
    <w:rsid w:val="006756CD"/>
    <w:rsid w:val="006758BC"/>
    <w:rsid w:val="00675A4C"/>
    <w:rsid w:val="00675AC0"/>
    <w:rsid w:val="00675B84"/>
    <w:rsid w:val="00675C6A"/>
    <w:rsid w:val="00675E2C"/>
    <w:rsid w:val="00675E52"/>
    <w:rsid w:val="00675FF8"/>
    <w:rsid w:val="00676151"/>
    <w:rsid w:val="0067634C"/>
    <w:rsid w:val="0067644C"/>
    <w:rsid w:val="00676571"/>
    <w:rsid w:val="006766E4"/>
    <w:rsid w:val="00676805"/>
    <w:rsid w:val="00676D7A"/>
    <w:rsid w:val="00676EE3"/>
    <w:rsid w:val="00677022"/>
    <w:rsid w:val="0067711D"/>
    <w:rsid w:val="00677126"/>
    <w:rsid w:val="0067715D"/>
    <w:rsid w:val="0067725C"/>
    <w:rsid w:val="00677272"/>
    <w:rsid w:val="006772EA"/>
    <w:rsid w:val="00677383"/>
    <w:rsid w:val="006773AA"/>
    <w:rsid w:val="006773FE"/>
    <w:rsid w:val="0067770D"/>
    <w:rsid w:val="00677989"/>
    <w:rsid w:val="00677B2F"/>
    <w:rsid w:val="00677B62"/>
    <w:rsid w:val="00677CA3"/>
    <w:rsid w:val="00677EAC"/>
    <w:rsid w:val="00677F6A"/>
    <w:rsid w:val="006802F2"/>
    <w:rsid w:val="006802F3"/>
    <w:rsid w:val="00680315"/>
    <w:rsid w:val="0068031A"/>
    <w:rsid w:val="00680421"/>
    <w:rsid w:val="006806FE"/>
    <w:rsid w:val="00680A23"/>
    <w:rsid w:val="00680AB5"/>
    <w:rsid w:val="00680AE8"/>
    <w:rsid w:val="00680EB4"/>
    <w:rsid w:val="00680ED8"/>
    <w:rsid w:val="0068120E"/>
    <w:rsid w:val="00681292"/>
    <w:rsid w:val="00681378"/>
    <w:rsid w:val="0068156C"/>
    <w:rsid w:val="00681582"/>
    <w:rsid w:val="006817C7"/>
    <w:rsid w:val="00681898"/>
    <w:rsid w:val="006819CB"/>
    <w:rsid w:val="006819F5"/>
    <w:rsid w:val="00681A36"/>
    <w:rsid w:val="00681B1F"/>
    <w:rsid w:val="006820AF"/>
    <w:rsid w:val="006820D4"/>
    <w:rsid w:val="00682119"/>
    <w:rsid w:val="006821DE"/>
    <w:rsid w:val="0068244F"/>
    <w:rsid w:val="006824FE"/>
    <w:rsid w:val="006826B1"/>
    <w:rsid w:val="0068283F"/>
    <w:rsid w:val="006828E0"/>
    <w:rsid w:val="006828F2"/>
    <w:rsid w:val="00682BAD"/>
    <w:rsid w:val="00682C01"/>
    <w:rsid w:val="00682C91"/>
    <w:rsid w:val="00682D3D"/>
    <w:rsid w:val="00682D4F"/>
    <w:rsid w:val="00683105"/>
    <w:rsid w:val="0068320E"/>
    <w:rsid w:val="00683352"/>
    <w:rsid w:val="00683400"/>
    <w:rsid w:val="006835AF"/>
    <w:rsid w:val="0068364C"/>
    <w:rsid w:val="006836C8"/>
    <w:rsid w:val="00683723"/>
    <w:rsid w:val="00683878"/>
    <w:rsid w:val="00683951"/>
    <w:rsid w:val="00683A66"/>
    <w:rsid w:val="00683C70"/>
    <w:rsid w:val="00683EFE"/>
    <w:rsid w:val="00683F5C"/>
    <w:rsid w:val="00683FB9"/>
    <w:rsid w:val="00683FD3"/>
    <w:rsid w:val="00684092"/>
    <w:rsid w:val="006843B1"/>
    <w:rsid w:val="0068449B"/>
    <w:rsid w:val="006845B9"/>
    <w:rsid w:val="006845CA"/>
    <w:rsid w:val="006845FB"/>
    <w:rsid w:val="006847CC"/>
    <w:rsid w:val="006847D2"/>
    <w:rsid w:val="00684AA5"/>
    <w:rsid w:val="00684BA3"/>
    <w:rsid w:val="00684C00"/>
    <w:rsid w:val="00684C60"/>
    <w:rsid w:val="00684CF1"/>
    <w:rsid w:val="00684F54"/>
    <w:rsid w:val="0068510B"/>
    <w:rsid w:val="006851AA"/>
    <w:rsid w:val="006851BD"/>
    <w:rsid w:val="006851E0"/>
    <w:rsid w:val="00685270"/>
    <w:rsid w:val="006853A4"/>
    <w:rsid w:val="00685730"/>
    <w:rsid w:val="006858F5"/>
    <w:rsid w:val="006859DD"/>
    <w:rsid w:val="00685BF8"/>
    <w:rsid w:val="00685CA9"/>
    <w:rsid w:val="006860E3"/>
    <w:rsid w:val="00686165"/>
    <w:rsid w:val="0068634F"/>
    <w:rsid w:val="006863DE"/>
    <w:rsid w:val="0068649F"/>
    <w:rsid w:val="006864F3"/>
    <w:rsid w:val="006867CA"/>
    <w:rsid w:val="00686AB1"/>
    <w:rsid w:val="00686B52"/>
    <w:rsid w:val="00686CD7"/>
    <w:rsid w:val="00686E4B"/>
    <w:rsid w:val="00686FC1"/>
    <w:rsid w:val="0068710C"/>
    <w:rsid w:val="00687298"/>
    <w:rsid w:val="006872AB"/>
    <w:rsid w:val="0068732C"/>
    <w:rsid w:val="006874EA"/>
    <w:rsid w:val="00687691"/>
    <w:rsid w:val="006877C1"/>
    <w:rsid w:val="00687880"/>
    <w:rsid w:val="00687CFD"/>
    <w:rsid w:val="00687DA9"/>
    <w:rsid w:val="00687EEC"/>
    <w:rsid w:val="00690007"/>
    <w:rsid w:val="00690053"/>
    <w:rsid w:val="006900C7"/>
    <w:rsid w:val="00690143"/>
    <w:rsid w:val="0069016C"/>
    <w:rsid w:val="00690467"/>
    <w:rsid w:val="0069046A"/>
    <w:rsid w:val="006905AB"/>
    <w:rsid w:val="0069068E"/>
    <w:rsid w:val="006906E9"/>
    <w:rsid w:val="0069077B"/>
    <w:rsid w:val="006907F6"/>
    <w:rsid w:val="00690AE9"/>
    <w:rsid w:val="00690C19"/>
    <w:rsid w:val="00690C36"/>
    <w:rsid w:val="00690CA2"/>
    <w:rsid w:val="00690CE9"/>
    <w:rsid w:val="00690DF0"/>
    <w:rsid w:val="0069101D"/>
    <w:rsid w:val="0069109F"/>
    <w:rsid w:val="00691609"/>
    <w:rsid w:val="00691A82"/>
    <w:rsid w:val="00691CB5"/>
    <w:rsid w:val="00691CF6"/>
    <w:rsid w:val="00691F8D"/>
    <w:rsid w:val="006920DF"/>
    <w:rsid w:val="006922BB"/>
    <w:rsid w:val="006922D7"/>
    <w:rsid w:val="00692316"/>
    <w:rsid w:val="006923CF"/>
    <w:rsid w:val="0069257F"/>
    <w:rsid w:val="006925BD"/>
    <w:rsid w:val="006926DC"/>
    <w:rsid w:val="006927CF"/>
    <w:rsid w:val="0069284E"/>
    <w:rsid w:val="006928E0"/>
    <w:rsid w:val="006929EC"/>
    <w:rsid w:val="00692B37"/>
    <w:rsid w:val="00692B52"/>
    <w:rsid w:val="00692BB2"/>
    <w:rsid w:val="00692E2E"/>
    <w:rsid w:val="00692E90"/>
    <w:rsid w:val="00692EC5"/>
    <w:rsid w:val="00692F1D"/>
    <w:rsid w:val="00693097"/>
    <w:rsid w:val="0069325F"/>
    <w:rsid w:val="0069349C"/>
    <w:rsid w:val="006935AB"/>
    <w:rsid w:val="0069365D"/>
    <w:rsid w:val="00693A7C"/>
    <w:rsid w:val="00693AB7"/>
    <w:rsid w:val="00693AC9"/>
    <w:rsid w:val="00693B9A"/>
    <w:rsid w:val="00693D52"/>
    <w:rsid w:val="00693F70"/>
    <w:rsid w:val="00693FC4"/>
    <w:rsid w:val="006941F2"/>
    <w:rsid w:val="00694224"/>
    <w:rsid w:val="0069423C"/>
    <w:rsid w:val="00694242"/>
    <w:rsid w:val="0069454C"/>
    <w:rsid w:val="00694743"/>
    <w:rsid w:val="00694807"/>
    <w:rsid w:val="006949C9"/>
    <w:rsid w:val="00694C60"/>
    <w:rsid w:val="00694D02"/>
    <w:rsid w:val="00694E38"/>
    <w:rsid w:val="00694F73"/>
    <w:rsid w:val="0069508D"/>
    <w:rsid w:val="006950AB"/>
    <w:rsid w:val="0069515C"/>
    <w:rsid w:val="00695228"/>
    <w:rsid w:val="006953EE"/>
    <w:rsid w:val="00695404"/>
    <w:rsid w:val="006954F1"/>
    <w:rsid w:val="00695512"/>
    <w:rsid w:val="0069555E"/>
    <w:rsid w:val="00695624"/>
    <w:rsid w:val="006957ED"/>
    <w:rsid w:val="00695807"/>
    <w:rsid w:val="006959FF"/>
    <w:rsid w:val="00695B43"/>
    <w:rsid w:val="00695B5D"/>
    <w:rsid w:val="00695E1C"/>
    <w:rsid w:val="00695F55"/>
    <w:rsid w:val="00696096"/>
    <w:rsid w:val="00696105"/>
    <w:rsid w:val="0069613B"/>
    <w:rsid w:val="006961C2"/>
    <w:rsid w:val="006961E1"/>
    <w:rsid w:val="00696678"/>
    <w:rsid w:val="00696796"/>
    <w:rsid w:val="006967EE"/>
    <w:rsid w:val="00696803"/>
    <w:rsid w:val="006968FE"/>
    <w:rsid w:val="00696D5D"/>
    <w:rsid w:val="006970C9"/>
    <w:rsid w:val="006970F2"/>
    <w:rsid w:val="00697200"/>
    <w:rsid w:val="00697253"/>
    <w:rsid w:val="0069725C"/>
    <w:rsid w:val="006972E6"/>
    <w:rsid w:val="006974C7"/>
    <w:rsid w:val="006974EC"/>
    <w:rsid w:val="006977ED"/>
    <w:rsid w:val="006978E6"/>
    <w:rsid w:val="00697B5B"/>
    <w:rsid w:val="00697C52"/>
    <w:rsid w:val="00697C8C"/>
    <w:rsid w:val="00697E06"/>
    <w:rsid w:val="00697FA5"/>
    <w:rsid w:val="006A006F"/>
    <w:rsid w:val="006A011F"/>
    <w:rsid w:val="006A04F6"/>
    <w:rsid w:val="006A06EF"/>
    <w:rsid w:val="006A0727"/>
    <w:rsid w:val="006A0873"/>
    <w:rsid w:val="006A09AA"/>
    <w:rsid w:val="006A0B22"/>
    <w:rsid w:val="006A0CB7"/>
    <w:rsid w:val="006A0E13"/>
    <w:rsid w:val="006A0EDF"/>
    <w:rsid w:val="006A114F"/>
    <w:rsid w:val="006A129C"/>
    <w:rsid w:val="006A1416"/>
    <w:rsid w:val="006A14ED"/>
    <w:rsid w:val="006A1512"/>
    <w:rsid w:val="006A1604"/>
    <w:rsid w:val="006A18E2"/>
    <w:rsid w:val="006A1975"/>
    <w:rsid w:val="006A19C6"/>
    <w:rsid w:val="006A1A47"/>
    <w:rsid w:val="006A1AE4"/>
    <w:rsid w:val="006A1B8C"/>
    <w:rsid w:val="006A1CC8"/>
    <w:rsid w:val="006A1E74"/>
    <w:rsid w:val="006A1F72"/>
    <w:rsid w:val="006A2031"/>
    <w:rsid w:val="006A21AD"/>
    <w:rsid w:val="006A22D7"/>
    <w:rsid w:val="006A22E5"/>
    <w:rsid w:val="006A24B6"/>
    <w:rsid w:val="006A25A7"/>
    <w:rsid w:val="006A26D3"/>
    <w:rsid w:val="006A286A"/>
    <w:rsid w:val="006A2BEE"/>
    <w:rsid w:val="006A2DE5"/>
    <w:rsid w:val="006A2DE7"/>
    <w:rsid w:val="006A2E7E"/>
    <w:rsid w:val="006A3086"/>
    <w:rsid w:val="006A3123"/>
    <w:rsid w:val="006A3205"/>
    <w:rsid w:val="006A3266"/>
    <w:rsid w:val="006A3350"/>
    <w:rsid w:val="006A3390"/>
    <w:rsid w:val="006A33FD"/>
    <w:rsid w:val="006A34B5"/>
    <w:rsid w:val="006A35AB"/>
    <w:rsid w:val="006A3609"/>
    <w:rsid w:val="006A3767"/>
    <w:rsid w:val="006A390C"/>
    <w:rsid w:val="006A392B"/>
    <w:rsid w:val="006A39C4"/>
    <w:rsid w:val="006A3A3F"/>
    <w:rsid w:val="006A3F45"/>
    <w:rsid w:val="006A4031"/>
    <w:rsid w:val="006A412B"/>
    <w:rsid w:val="006A424B"/>
    <w:rsid w:val="006A427D"/>
    <w:rsid w:val="006A4297"/>
    <w:rsid w:val="006A42D7"/>
    <w:rsid w:val="006A4437"/>
    <w:rsid w:val="006A4506"/>
    <w:rsid w:val="006A4690"/>
    <w:rsid w:val="006A489C"/>
    <w:rsid w:val="006A49B3"/>
    <w:rsid w:val="006A4DAA"/>
    <w:rsid w:val="006A4E24"/>
    <w:rsid w:val="006A4EC2"/>
    <w:rsid w:val="006A504B"/>
    <w:rsid w:val="006A52E4"/>
    <w:rsid w:val="006A53C2"/>
    <w:rsid w:val="006A5609"/>
    <w:rsid w:val="006A562C"/>
    <w:rsid w:val="006A567E"/>
    <w:rsid w:val="006A59EE"/>
    <w:rsid w:val="006A5A19"/>
    <w:rsid w:val="006A5AD2"/>
    <w:rsid w:val="006A5E17"/>
    <w:rsid w:val="006A5E9A"/>
    <w:rsid w:val="006A5FF6"/>
    <w:rsid w:val="006A6259"/>
    <w:rsid w:val="006A6426"/>
    <w:rsid w:val="006A642E"/>
    <w:rsid w:val="006A6808"/>
    <w:rsid w:val="006A684F"/>
    <w:rsid w:val="006A6952"/>
    <w:rsid w:val="006A6A6D"/>
    <w:rsid w:val="006A6B9D"/>
    <w:rsid w:val="006A6CA8"/>
    <w:rsid w:val="006A6CE8"/>
    <w:rsid w:val="006A6D25"/>
    <w:rsid w:val="006A6E6F"/>
    <w:rsid w:val="006A6EE1"/>
    <w:rsid w:val="006A6EEC"/>
    <w:rsid w:val="006A725E"/>
    <w:rsid w:val="006A75F7"/>
    <w:rsid w:val="006A7798"/>
    <w:rsid w:val="006A795C"/>
    <w:rsid w:val="006A7B5A"/>
    <w:rsid w:val="006A7C77"/>
    <w:rsid w:val="006A7D1D"/>
    <w:rsid w:val="006A7E89"/>
    <w:rsid w:val="006B01BF"/>
    <w:rsid w:val="006B0334"/>
    <w:rsid w:val="006B0396"/>
    <w:rsid w:val="006B0625"/>
    <w:rsid w:val="006B0649"/>
    <w:rsid w:val="006B0678"/>
    <w:rsid w:val="006B06B4"/>
    <w:rsid w:val="006B0799"/>
    <w:rsid w:val="006B084A"/>
    <w:rsid w:val="006B0B90"/>
    <w:rsid w:val="006B0D68"/>
    <w:rsid w:val="006B127E"/>
    <w:rsid w:val="006B14CA"/>
    <w:rsid w:val="006B14FF"/>
    <w:rsid w:val="006B154B"/>
    <w:rsid w:val="006B1580"/>
    <w:rsid w:val="006B1DBD"/>
    <w:rsid w:val="006B1F00"/>
    <w:rsid w:val="006B1F09"/>
    <w:rsid w:val="006B1F79"/>
    <w:rsid w:val="006B2205"/>
    <w:rsid w:val="006B22A6"/>
    <w:rsid w:val="006B2432"/>
    <w:rsid w:val="006B24FB"/>
    <w:rsid w:val="006B2547"/>
    <w:rsid w:val="006B26C9"/>
    <w:rsid w:val="006B2706"/>
    <w:rsid w:val="006B2796"/>
    <w:rsid w:val="006B28D2"/>
    <w:rsid w:val="006B2BD5"/>
    <w:rsid w:val="006B2C23"/>
    <w:rsid w:val="006B306B"/>
    <w:rsid w:val="006B32EB"/>
    <w:rsid w:val="006B3319"/>
    <w:rsid w:val="006B3339"/>
    <w:rsid w:val="006B361F"/>
    <w:rsid w:val="006B376F"/>
    <w:rsid w:val="006B3884"/>
    <w:rsid w:val="006B3904"/>
    <w:rsid w:val="006B3AAE"/>
    <w:rsid w:val="006B3E07"/>
    <w:rsid w:val="006B3E7A"/>
    <w:rsid w:val="006B43F4"/>
    <w:rsid w:val="006B4540"/>
    <w:rsid w:val="006B46E0"/>
    <w:rsid w:val="006B47F8"/>
    <w:rsid w:val="006B48B4"/>
    <w:rsid w:val="006B4924"/>
    <w:rsid w:val="006B49E1"/>
    <w:rsid w:val="006B4B33"/>
    <w:rsid w:val="006B4B75"/>
    <w:rsid w:val="006B4C43"/>
    <w:rsid w:val="006B4C45"/>
    <w:rsid w:val="006B4DB3"/>
    <w:rsid w:val="006B4E0D"/>
    <w:rsid w:val="006B4E77"/>
    <w:rsid w:val="006B4F6B"/>
    <w:rsid w:val="006B4F86"/>
    <w:rsid w:val="006B5097"/>
    <w:rsid w:val="006B518C"/>
    <w:rsid w:val="006B51E0"/>
    <w:rsid w:val="006B5224"/>
    <w:rsid w:val="006B5392"/>
    <w:rsid w:val="006B544A"/>
    <w:rsid w:val="006B5BA2"/>
    <w:rsid w:val="006B5DE9"/>
    <w:rsid w:val="006B5E72"/>
    <w:rsid w:val="006B5E7C"/>
    <w:rsid w:val="006B610C"/>
    <w:rsid w:val="006B613A"/>
    <w:rsid w:val="006B64E5"/>
    <w:rsid w:val="006B6575"/>
    <w:rsid w:val="006B672C"/>
    <w:rsid w:val="006B67ED"/>
    <w:rsid w:val="006B6B99"/>
    <w:rsid w:val="006B6F53"/>
    <w:rsid w:val="006B70B2"/>
    <w:rsid w:val="006B721D"/>
    <w:rsid w:val="006B7238"/>
    <w:rsid w:val="006B7254"/>
    <w:rsid w:val="006B7411"/>
    <w:rsid w:val="006B75B4"/>
    <w:rsid w:val="006B76AF"/>
    <w:rsid w:val="006B7789"/>
    <w:rsid w:val="006B77B9"/>
    <w:rsid w:val="006B789D"/>
    <w:rsid w:val="006B7AC9"/>
    <w:rsid w:val="006B7B82"/>
    <w:rsid w:val="006B7C32"/>
    <w:rsid w:val="006B7D28"/>
    <w:rsid w:val="006C0219"/>
    <w:rsid w:val="006C02FD"/>
    <w:rsid w:val="006C0305"/>
    <w:rsid w:val="006C0338"/>
    <w:rsid w:val="006C0691"/>
    <w:rsid w:val="006C078F"/>
    <w:rsid w:val="006C09B0"/>
    <w:rsid w:val="006C0A8E"/>
    <w:rsid w:val="006C0D5C"/>
    <w:rsid w:val="006C0D62"/>
    <w:rsid w:val="006C0E27"/>
    <w:rsid w:val="006C0E52"/>
    <w:rsid w:val="006C0E85"/>
    <w:rsid w:val="006C107F"/>
    <w:rsid w:val="006C1134"/>
    <w:rsid w:val="006C1285"/>
    <w:rsid w:val="006C13BB"/>
    <w:rsid w:val="006C14BE"/>
    <w:rsid w:val="006C1A33"/>
    <w:rsid w:val="006C1B58"/>
    <w:rsid w:val="006C1E73"/>
    <w:rsid w:val="006C1ED5"/>
    <w:rsid w:val="006C204B"/>
    <w:rsid w:val="006C22CF"/>
    <w:rsid w:val="006C22F6"/>
    <w:rsid w:val="006C252C"/>
    <w:rsid w:val="006C292A"/>
    <w:rsid w:val="006C29A0"/>
    <w:rsid w:val="006C2B39"/>
    <w:rsid w:val="006C2E78"/>
    <w:rsid w:val="006C2EAD"/>
    <w:rsid w:val="006C2EB7"/>
    <w:rsid w:val="006C308A"/>
    <w:rsid w:val="006C3353"/>
    <w:rsid w:val="006C338F"/>
    <w:rsid w:val="006C34FB"/>
    <w:rsid w:val="006C3666"/>
    <w:rsid w:val="006C36B7"/>
    <w:rsid w:val="006C37EB"/>
    <w:rsid w:val="006C3A15"/>
    <w:rsid w:val="006C3A6F"/>
    <w:rsid w:val="006C3AFB"/>
    <w:rsid w:val="006C3C7E"/>
    <w:rsid w:val="006C3EF5"/>
    <w:rsid w:val="006C3F82"/>
    <w:rsid w:val="006C40E5"/>
    <w:rsid w:val="006C416F"/>
    <w:rsid w:val="006C444A"/>
    <w:rsid w:val="006C458E"/>
    <w:rsid w:val="006C4680"/>
    <w:rsid w:val="006C476C"/>
    <w:rsid w:val="006C487B"/>
    <w:rsid w:val="006C490A"/>
    <w:rsid w:val="006C4B87"/>
    <w:rsid w:val="006C4C61"/>
    <w:rsid w:val="006C4DE7"/>
    <w:rsid w:val="006C4E09"/>
    <w:rsid w:val="006C4E15"/>
    <w:rsid w:val="006C4E75"/>
    <w:rsid w:val="006C5105"/>
    <w:rsid w:val="006C5483"/>
    <w:rsid w:val="006C54FF"/>
    <w:rsid w:val="006C560D"/>
    <w:rsid w:val="006C5A47"/>
    <w:rsid w:val="006C5D53"/>
    <w:rsid w:val="006C6020"/>
    <w:rsid w:val="006C6030"/>
    <w:rsid w:val="006C626B"/>
    <w:rsid w:val="006C62E6"/>
    <w:rsid w:val="006C645D"/>
    <w:rsid w:val="006C646C"/>
    <w:rsid w:val="006C6548"/>
    <w:rsid w:val="006C655B"/>
    <w:rsid w:val="006C659A"/>
    <w:rsid w:val="006C6873"/>
    <w:rsid w:val="006C6AA8"/>
    <w:rsid w:val="006C6CA1"/>
    <w:rsid w:val="006C6F63"/>
    <w:rsid w:val="006C6FBB"/>
    <w:rsid w:val="006C71B8"/>
    <w:rsid w:val="006C74AE"/>
    <w:rsid w:val="006C752C"/>
    <w:rsid w:val="006C777D"/>
    <w:rsid w:val="006C78AE"/>
    <w:rsid w:val="006C790E"/>
    <w:rsid w:val="006C79F0"/>
    <w:rsid w:val="006C7CBC"/>
    <w:rsid w:val="006C7D6D"/>
    <w:rsid w:val="006C7E05"/>
    <w:rsid w:val="006D00AB"/>
    <w:rsid w:val="006D0430"/>
    <w:rsid w:val="006D0438"/>
    <w:rsid w:val="006D060D"/>
    <w:rsid w:val="006D08EE"/>
    <w:rsid w:val="006D0B45"/>
    <w:rsid w:val="006D0E9D"/>
    <w:rsid w:val="006D0EE8"/>
    <w:rsid w:val="006D1425"/>
    <w:rsid w:val="006D14E5"/>
    <w:rsid w:val="006D1670"/>
    <w:rsid w:val="006D16F9"/>
    <w:rsid w:val="006D1747"/>
    <w:rsid w:val="006D17E3"/>
    <w:rsid w:val="006D1812"/>
    <w:rsid w:val="006D1A8B"/>
    <w:rsid w:val="006D1ABF"/>
    <w:rsid w:val="006D1CC1"/>
    <w:rsid w:val="006D1D1E"/>
    <w:rsid w:val="006D1D3A"/>
    <w:rsid w:val="006D1D4D"/>
    <w:rsid w:val="006D1D80"/>
    <w:rsid w:val="006D1DDB"/>
    <w:rsid w:val="006D22BD"/>
    <w:rsid w:val="006D22EE"/>
    <w:rsid w:val="006D237E"/>
    <w:rsid w:val="006D23B1"/>
    <w:rsid w:val="006D23ED"/>
    <w:rsid w:val="006D245B"/>
    <w:rsid w:val="006D2521"/>
    <w:rsid w:val="006D2711"/>
    <w:rsid w:val="006D2757"/>
    <w:rsid w:val="006D27BC"/>
    <w:rsid w:val="006D2827"/>
    <w:rsid w:val="006D28DC"/>
    <w:rsid w:val="006D293B"/>
    <w:rsid w:val="006D29D6"/>
    <w:rsid w:val="006D29EE"/>
    <w:rsid w:val="006D2A74"/>
    <w:rsid w:val="006D2B5C"/>
    <w:rsid w:val="006D2D4F"/>
    <w:rsid w:val="006D2D69"/>
    <w:rsid w:val="006D2D92"/>
    <w:rsid w:val="006D2DC7"/>
    <w:rsid w:val="006D3121"/>
    <w:rsid w:val="006D3132"/>
    <w:rsid w:val="006D31DD"/>
    <w:rsid w:val="006D31F0"/>
    <w:rsid w:val="006D3467"/>
    <w:rsid w:val="006D34C9"/>
    <w:rsid w:val="006D3580"/>
    <w:rsid w:val="006D363F"/>
    <w:rsid w:val="006D387B"/>
    <w:rsid w:val="006D38C1"/>
    <w:rsid w:val="006D390F"/>
    <w:rsid w:val="006D3922"/>
    <w:rsid w:val="006D3B84"/>
    <w:rsid w:val="006D3DB2"/>
    <w:rsid w:val="006D3FE1"/>
    <w:rsid w:val="006D4069"/>
    <w:rsid w:val="006D41DD"/>
    <w:rsid w:val="006D4201"/>
    <w:rsid w:val="006D42C7"/>
    <w:rsid w:val="006D43A7"/>
    <w:rsid w:val="006D44AC"/>
    <w:rsid w:val="006D473C"/>
    <w:rsid w:val="006D4944"/>
    <w:rsid w:val="006D49D6"/>
    <w:rsid w:val="006D4AD8"/>
    <w:rsid w:val="006D4C57"/>
    <w:rsid w:val="006D512B"/>
    <w:rsid w:val="006D539C"/>
    <w:rsid w:val="006D53D7"/>
    <w:rsid w:val="006D562D"/>
    <w:rsid w:val="006D563D"/>
    <w:rsid w:val="006D57FC"/>
    <w:rsid w:val="006D5967"/>
    <w:rsid w:val="006D59E8"/>
    <w:rsid w:val="006D5AE3"/>
    <w:rsid w:val="006D5B97"/>
    <w:rsid w:val="006D5BA8"/>
    <w:rsid w:val="006D5CB0"/>
    <w:rsid w:val="006D5D7F"/>
    <w:rsid w:val="006D5EF7"/>
    <w:rsid w:val="006D6119"/>
    <w:rsid w:val="006D61C9"/>
    <w:rsid w:val="006D61E8"/>
    <w:rsid w:val="006D6225"/>
    <w:rsid w:val="006D62AA"/>
    <w:rsid w:val="006D62E6"/>
    <w:rsid w:val="006D62ED"/>
    <w:rsid w:val="006D6643"/>
    <w:rsid w:val="006D6766"/>
    <w:rsid w:val="006D6795"/>
    <w:rsid w:val="006D699C"/>
    <w:rsid w:val="006D6AB0"/>
    <w:rsid w:val="006D6AE5"/>
    <w:rsid w:val="006D6B26"/>
    <w:rsid w:val="006D6E1E"/>
    <w:rsid w:val="006D6FD4"/>
    <w:rsid w:val="006D701A"/>
    <w:rsid w:val="006D7025"/>
    <w:rsid w:val="006D7241"/>
    <w:rsid w:val="006D7259"/>
    <w:rsid w:val="006D72A2"/>
    <w:rsid w:val="006D72AA"/>
    <w:rsid w:val="006D7439"/>
    <w:rsid w:val="006D74F5"/>
    <w:rsid w:val="006D7530"/>
    <w:rsid w:val="006D7532"/>
    <w:rsid w:val="006D75A9"/>
    <w:rsid w:val="006D7699"/>
    <w:rsid w:val="006D7787"/>
    <w:rsid w:val="006D77DA"/>
    <w:rsid w:val="006D7AB9"/>
    <w:rsid w:val="006D7BCC"/>
    <w:rsid w:val="006D7E59"/>
    <w:rsid w:val="006D7FCE"/>
    <w:rsid w:val="006E0140"/>
    <w:rsid w:val="006E01F5"/>
    <w:rsid w:val="006E03EB"/>
    <w:rsid w:val="006E0648"/>
    <w:rsid w:val="006E0946"/>
    <w:rsid w:val="006E095D"/>
    <w:rsid w:val="006E0961"/>
    <w:rsid w:val="006E0A53"/>
    <w:rsid w:val="006E0B5C"/>
    <w:rsid w:val="006E0BC4"/>
    <w:rsid w:val="006E0D1B"/>
    <w:rsid w:val="006E0DB2"/>
    <w:rsid w:val="006E0E3C"/>
    <w:rsid w:val="006E0F17"/>
    <w:rsid w:val="006E103C"/>
    <w:rsid w:val="006E1057"/>
    <w:rsid w:val="006E10E5"/>
    <w:rsid w:val="006E16F7"/>
    <w:rsid w:val="006E177F"/>
    <w:rsid w:val="006E1A77"/>
    <w:rsid w:val="006E1B48"/>
    <w:rsid w:val="006E1B82"/>
    <w:rsid w:val="006E1C5B"/>
    <w:rsid w:val="006E1C76"/>
    <w:rsid w:val="006E1CE2"/>
    <w:rsid w:val="006E1DE9"/>
    <w:rsid w:val="006E1DFB"/>
    <w:rsid w:val="006E1E07"/>
    <w:rsid w:val="006E1FA3"/>
    <w:rsid w:val="006E2076"/>
    <w:rsid w:val="006E23DD"/>
    <w:rsid w:val="006E2404"/>
    <w:rsid w:val="006E25AC"/>
    <w:rsid w:val="006E260B"/>
    <w:rsid w:val="006E275A"/>
    <w:rsid w:val="006E2796"/>
    <w:rsid w:val="006E29A7"/>
    <w:rsid w:val="006E2AB9"/>
    <w:rsid w:val="006E2BCE"/>
    <w:rsid w:val="006E2C22"/>
    <w:rsid w:val="006E2C4D"/>
    <w:rsid w:val="006E2C59"/>
    <w:rsid w:val="006E2FB2"/>
    <w:rsid w:val="006E2FEB"/>
    <w:rsid w:val="006E2FF2"/>
    <w:rsid w:val="006E2FFD"/>
    <w:rsid w:val="006E303B"/>
    <w:rsid w:val="006E3252"/>
    <w:rsid w:val="006E3371"/>
    <w:rsid w:val="006E33BE"/>
    <w:rsid w:val="006E3412"/>
    <w:rsid w:val="006E349C"/>
    <w:rsid w:val="006E35F3"/>
    <w:rsid w:val="006E371A"/>
    <w:rsid w:val="006E3977"/>
    <w:rsid w:val="006E39FD"/>
    <w:rsid w:val="006E3A04"/>
    <w:rsid w:val="006E3BAB"/>
    <w:rsid w:val="006E3BBD"/>
    <w:rsid w:val="006E3C8F"/>
    <w:rsid w:val="006E3CC3"/>
    <w:rsid w:val="006E3E26"/>
    <w:rsid w:val="006E3EEE"/>
    <w:rsid w:val="006E3F09"/>
    <w:rsid w:val="006E413C"/>
    <w:rsid w:val="006E4237"/>
    <w:rsid w:val="006E42F4"/>
    <w:rsid w:val="006E435A"/>
    <w:rsid w:val="006E44EC"/>
    <w:rsid w:val="006E464E"/>
    <w:rsid w:val="006E498A"/>
    <w:rsid w:val="006E4DAE"/>
    <w:rsid w:val="006E4E67"/>
    <w:rsid w:val="006E4E96"/>
    <w:rsid w:val="006E5059"/>
    <w:rsid w:val="006E50BA"/>
    <w:rsid w:val="006E50E1"/>
    <w:rsid w:val="006E51F3"/>
    <w:rsid w:val="006E527B"/>
    <w:rsid w:val="006E5307"/>
    <w:rsid w:val="006E53C7"/>
    <w:rsid w:val="006E5464"/>
    <w:rsid w:val="006E5687"/>
    <w:rsid w:val="006E56C5"/>
    <w:rsid w:val="006E5825"/>
    <w:rsid w:val="006E58DD"/>
    <w:rsid w:val="006E5920"/>
    <w:rsid w:val="006E59FD"/>
    <w:rsid w:val="006E5A26"/>
    <w:rsid w:val="006E5B3E"/>
    <w:rsid w:val="006E5B6B"/>
    <w:rsid w:val="006E5BEF"/>
    <w:rsid w:val="006E5CF0"/>
    <w:rsid w:val="006E5EF1"/>
    <w:rsid w:val="006E5FFE"/>
    <w:rsid w:val="006E6072"/>
    <w:rsid w:val="006E60B4"/>
    <w:rsid w:val="006E6121"/>
    <w:rsid w:val="006E637F"/>
    <w:rsid w:val="006E64B9"/>
    <w:rsid w:val="006E6669"/>
    <w:rsid w:val="006E677D"/>
    <w:rsid w:val="006E6D4A"/>
    <w:rsid w:val="006E6E5E"/>
    <w:rsid w:val="006E6FA6"/>
    <w:rsid w:val="006E719A"/>
    <w:rsid w:val="006E71D2"/>
    <w:rsid w:val="006E72E1"/>
    <w:rsid w:val="006E7453"/>
    <w:rsid w:val="006E74A5"/>
    <w:rsid w:val="006E7588"/>
    <w:rsid w:val="006E758E"/>
    <w:rsid w:val="006E7949"/>
    <w:rsid w:val="006F0158"/>
    <w:rsid w:val="006F026B"/>
    <w:rsid w:val="006F03AC"/>
    <w:rsid w:val="006F03C8"/>
    <w:rsid w:val="006F04CE"/>
    <w:rsid w:val="006F0741"/>
    <w:rsid w:val="006F07E1"/>
    <w:rsid w:val="006F07E3"/>
    <w:rsid w:val="006F0C5E"/>
    <w:rsid w:val="006F0C67"/>
    <w:rsid w:val="006F1198"/>
    <w:rsid w:val="006F1679"/>
    <w:rsid w:val="006F1719"/>
    <w:rsid w:val="006F19AC"/>
    <w:rsid w:val="006F1A11"/>
    <w:rsid w:val="006F1C2D"/>
    <w:rsid w:val="006F1CC1"/>
    <w:rsid w:val="006F1FC9"/>
    <w:rsid w:val="006F21EC"/>
    <w:rsid w:val="006F224F"/>
    <w:rsid w:val="006F229B"/>
    <w:rsid w:val="006F233E"/>
    <w:rsid w:val="006F2517"/>
    <w:rsid w:val="006F2616"/>
    <w:rsid w:val="006F2630"/>
    <w:rsid w:val="006F2821"/>
    <w:rsid w:val="006F292E"/>
    <w:rsid w:val="006F2A6A"/>
    <w:rsid w:val="006F2BF1"/>
    <w:rsid w:val="006F2C1D"/>
    <w:rsid w:val="006F2C65"/>
    <w:rsid w:val="006F2CE9"/>
    <w:rsid w:val="006F2EAE"/>
    <w:rsid w:val="006F2EF4"/>
    <w:rsid w:val="006F3312"/>
    <w:rsid w:val="006F3494"/>
    <w:rsid w:val="006F3537"/>
    <w:rsid w:val="006F366A"/>
    <w:rsid w:val="006F369C"/>
    <w:rsid w:val="006F3CDD"/>
    <w:rsid w:val="006F3E8A"/>
    <w:rsid w:val="006F3EB1"/>
    <w:rsid w:val="006F4122"/>
    <w:rsid w:val="006F4141"/>
    <w:rsid w:val="006F430E"/>
    <w:rsid w:val="006F43EC"/>
    <w:rsid w:val="006F458C"/>
    <w:rsid w:val="006F4704"/>
    <w:rsid w:val="006F486E"/>
    <w:rsid w:val="006F4958"/>
    <w:rsid w:val="006F4A16"/>
    <w:rsid w:val="006F4F71"/>
    <w:rsid w:val="006F52F7"/>
    <w:rsid w:val="006F5302"/>
    <w:rsid w:val="006F53C9"/>
    <w:rsid w:val="006F5400"/>
    <w:rsid w:val="006F55CE"/>
    <w:rsid w:val="006F56D9"/>
    <w:rsid w:val="006F580E"/>
    <w:rsid w:val="006F59E9"/>
    <w:rsid w:val="006F5A09"/>
    <w:rsid w:val="006F5C39"/>
    <w:rsid w:val="006F5DBD"/>
    <w:rsid w:val="006F5E1B"/>
    <w:rsid w:val="006F611B"/>
    <w:rsid w:val="006F618D"/>
    <w:rsid w:val="006F61B3"/>
    <w:rsid w:val="006F656C"/>
    <w:rsid w:val="006F65F5"/>
    <w:rsid w:val="006F6A2D"/>
    <w:rsid w:val="006F6A46"/>
    <w:rsid w:val="006F6C19"/>
    <w:rsid w:val="006F6D61"/>
    <w:rsid w:val="006F6E18"/>
    <w:rsid w:val="006F701F"/>
    <w:rsid w:val="006F7023"/>
    <w:rsid w:val="006F7202"/>
    <w:rsid w:val="006F721E"/>
    <w:rsid w:val="006F723A"/>
    <w:rsid w:val="006F73C9"/>
    <w:rsid w:val="006F750F"/>
    <w:rsid w:val="006F75DA"/>
    <w:rsid w:val="006F768C"/>
    <w:rsid w:val="006F7937"/>
    <w:rsid w:val="006F796D"/>
    <w:rsid w:val="006F7AF2"/>
    <w:rsid w:val="006F7B6B"/>
    <w:rsid w:val="006F7D22"/>
    <w:rsid w:val="006F7DCB"/>
    <w:rsid w:val="006F7E1F"/>
    <w:rsid w:val="006F7E3A"/>
    <w:rsid w:val="006F7EDE"/>
    <w:rsid w:val="0070011A"/>
    <w:rsid w:val="007001E4"/>
    <w:rsid w:val="0070029D"/>
    <w:rsid w:val="007002D1"/>
    <w:rsid w:val="00700661"/>
    <w:rsid w:val="0070069A"/>
    <w:rsid w:val="007006F2"/>
    <w:rsid w:val="0070070A"/>
    <w:rsid w:val="00700817"/>
    <w:rsid w:val="0070089F"/>
    <w:rsid w:val="007009EF"/>
    <w:rsid w:val="00700CE2"/>
    <w:rsid w:val="00700FD5"/>
    <w:rsid w:val="0070126C"/>
    <w:rsid w:val="00701453"/>
    <w:rsid w:val="0070166C"/>
    <w:rsid w:val="00701AE4"/>
    <w:rsid w:val="00701CBB"/>
    <w:rsid w:val="00701D75"/>
    <w:rsid w:val="007020EE"/>
    <w:rsid w:val="0070210C"/>
    <w:rsid w:val="00702368"/>
    <w:rsid w:val="007023F2"/>
    <w:rsid w:val="007024F0"/>
    <w:rsid w:val="00702580"/>
    <w:rsid w:val="0070260F"/>
    <w:rsid w:val="0070269C"/>
    <w:rsid w:val="007026AF"/>
    <w:rsid w:val="0070276B"/>
    <w:rsid w:val="007028E2"/>
    <w:rsid w:val="00702997"/>
    <w:rsid w:val="00702A60"/>
    <w:rsid w:val="00702A68"/>
    <w:rsid w:val="00702D33"/>
    <w:rsid w:val="00702E40"/>
    <w:rsid w:val="00702EB9"/>
    <w:rsid w:val="00702FB0"/>
    <w:rsid w:val="00702FFB"/>
    <w:rsid w:val="007033AE"/>
    <w:rsid w:val="00703555"/>
    <w:rsid w:val="007036E2"/>
    <w:rsid w:val="007038BA"/>
    <w:rsid w:val="00703948"/>
    <w:rsid w:val="00703A4E"/>
    <w:rsid w:val="00703B35"/>
    <w:rsid w:val="00703E2E"/>
    <w:rsid w:val="0070400D"/>
    <w:rsid w:val="007040C1"/>
    <w:rsid w:val="00704208"/>
    <w:rsid w:val="007044AA"/>
    <w:rsid w:val="0070458C"/>
    <w:rsid w:val="007046C7"/>
    <w:rsid w:val="007046E8"/>
    <w:rsid w:val="00704746"/>
    <w:rsid w:val="00704903"/>
    <w:rsid w:val="00704A11"/>
    <w:rsid w:val="00704A6B"/>
    <w:rsid w:val="00704EEA"/>
    <w:rsid w:val="00704F61"/>
    <w:rsid w:val="00705159"/>
    <w:rsid w:val="007054DD"/>
    <w:rsid w:val="00705819"/>
    <w:rsid w:val="00705A27"/>
    <w:rsid w:val="00705A70"/>
    <w:rsid w:val="00705AF1"/>
    <w:rsid w:val="0070606D"/>
    <w:rsid w:val="00706083"/>
    <w:rsid w:val="007060D3"/>
    <w:rsid w:val="0070613C"/>
    <w:rsid w:val="007061FE"/>
    <w:rsid w:val="00706242"/>
    <w:rsid w:val="00706257"/>
    <w:rsid w:val="00706265"/>
    <w:rsid w:val="007062F9"/>
    <w:rsid w:val="0070639C"/>
    <w:rsid w:val="007063D2"/>
    <w:rsid w:val="007063F6"/>
    <w:rsid w:val="007064B2"/>
    <w:rsid w:val="00706D01"/>
    <w:rsid w:val="00706D65"/>
    <w:rsid w:val="00706DBD"/>
    <w:rsid w:val="00706DDF"/>
    <w:rsid w:val="00706ECF"/>
    <w:rsid w:val="00707014"/>
    <w:rsid w:val="00707052"/>
    <w:rsid w:val="00707256"/>
    <w:rsid w:val="0070738F"/>
    <w:rsid w:val="007073FB"/>
    <w:rsid w:val="00707504"/>
    <w:rsid w:val="00707523"/>
    <w:rsid w:val="00707847"/>
    <w:rsid w:val="00707A76"/>
    <w:rsid w:val="00707BED"/>
    <w:rsid w:val="00707E04"/>
    <w:rsid w:val="00707E77"/>
    <w:rsid w:val="00707F86"/>
    <w:rsid w:val="0071017A"/>
    <w:rsid w:val="007102A1"/>
    <w:rsid w:val="007103B1"/>
    <w:rsid w:val="00710637"/>
    <w:rsid w:val="007107C6"/>
    <w:rsid w:val="00710A28"/>
    <w:rsid w:val="00710CE8"/>
    <w:rsid w:val="00710D1C"/>
    <w:rsid w:val="00710D73"/>
    <w:rsid w:val="00710E11"/>
    <w:rsid w:val="00710E13"/>
    <w:rsid w:val="00710F82"/>
    <w:rsid w:val="0071103F"/>
    <w:rsid w:val="007110F7"/>
    <w:rsid w:val="00711494"/>
    <w:rsid w:val="00711623"/>
    <w:rsid w:val="0071177A"/>
    <w:rsid w:val="00711925"/>
    <w:rsid w:val="00711AA7"/>
    <w:rsid w:val="00711AED"/>
    <w:rsid w:val="00711AF2"/>
    <w:rsid w:val="00711B5E"/>
    <w:rsid w:val="00711BA1"/>
    <w:rsid w:val="00711CB1"/>
    <w:rsid w:val="00711D7F"/>
    <w:rsid w:val="00711F95"/>
    <w:rsid w:val="00712159"/>
    <w:rsid w:val="00712264"/>
    <w:rsid w:val="007124DD"/>
    <w:rsid w:val="0071266A"/>
    <w:rsid w:val="007126EE"/>
    <w:rsid w:val="007128F4"/>
    <w:rsid w:val="0071297D"/>
    <w:rsid w:val="0071298F"/>
    <w:rsid w:val="00712AF5"/>
    <w:rsid w:val="00712E94"/>
    <w:rsid w:val="00712FA3"/>
    <w:rsid w:val="007132BF"/>
    <w:rsid w:val="00713364"/>
    <w:rsid w:val="0071339A"/>
    <w:rsid w:val="0071347D"/>
    <w:rsid w:val="00713656"/>
    <w:rsid w:val="00713938"/>
    <w:rsid w:val="00713F19"/>
    <w:rsid w:val="00713FD4"/>
    <w:rsid w:val="0071404D"/>
    <w:rsid w:val="00714054"/>
    <w:rsid w:val="00714286"/>
    <w:rsid w:val="00714319"/>
    <w:rsid w:val="0071438E"/>
    <w:rsid w:val="007144D4"/>
    <w:rsid w:val="00714645"/>
    <w:rsid w:val="00714705"/>
    <w:rsid w:val="0071478C"/>
    <w:rsid w:val="00714A45"/>
    <w:rsid w:val="00714A95"/>
    <w:rsid w:val="00714BD4"/>
    <w:rsid w:val="00714C2C"/>
    <w:rsid w:val="00714C51"/>
    <w:rsid w:val="00714CA8"/>
    <w:rsid w:val="00714CFF"/>
    <w:rsid w:val="00714F77"/>
    <w:rsid w:val="00714F90"/>
    <w:rsid w:val="0071517E"/>
    <w:rsid w:val="00715190"/>
    <w:rsid w:val="00715507"/>
    <w:rsid w:val="0071582E"/>
    <w:rsid w:val="0071590D"/>
    <w:rsid w:val="0071590E"/>
    <w:rsid w:val="007159B7"/>
    <w:rsid w:val="00715C11"/>
    <w:rsid w:val="00715C1D"/>
    <w:rsid w:val="00715E4A"/>
    <w:rsid w:val="00715E8E"/>
    <w:rsid w:val="00715EF5"/>
    <w:rsid w:val="00715F78"/>
    <w:rsid w:val="0071603F"/>
    <w:rsid w:val="0071608B"/>
    <w:rsid w:val="0071611F"/>
    <w:rsid w:val="007161F1"/>
    <w:rsid w:val="00716370"/>
    <w:rsid w:val="007163B5"/>
    <w:rsid w:val="007163CE"/>
    <w:rsid w:val="00716532"/>
    <w:rsid w:val="0071658B"/>
    <w:rsid w:val="00716682"/>
    <w:rsid w:val="007166D7"/>
    <w:rsid w:val="0071677E"/>
    <w:rsid w:val="00716877"/>
    <w:rsid w:val="007168E6"/>
    <w:rsid w:val="00716A3B"/>
    <w:rsid w:val="00716A52"/>
    <w:rsid w:val="00716A66"/>
    <w:rsid w:val="00716B57"/>
    <w:rsid w:val="00716BCA"/>
    <w:rsid w:val="00716C39"/>
    <w:rsid w:val="00716CC6"/>
    <w:rsid w:val="00716FEE"/>
    <w:rsid w:val="007171C2"/>
    <w:rsid w:val="007171CF"/>
    <w:rsid w:val="007172ED"/>
    <w:rsid w:val="00717415"/>
    <w:rsid w:val="00717423"/>
    <w:rsid w:val="0071750E"/>
    <w:rsid w:val="007175ED"/>
    <w:rsid w:val="007177D6"/>
    <w:rsid w:val="007178A0"/>
    <w:rsid w:val="00717DAC"/>
    <w:rsid w:val="00717E62"/>
    <w:rsid w:val="00717EF5"/>
    <w:rsid w:val="007200AC"/>
    <w:rsid w:val="00720813"/>
    <w:rsid w:val="00720AF0"/>
    <w:rsid w:val="00720BC0"/>
    <w:rsid w:val="00720BF2"/>
    <w:rsid w:val="00720F47"/>
    <w:rsid w:val="0072108F"/>
    <w:rsid w:val="007210D0"/>
    <w:rsid w:val="00721198"/>
    <w:rsid w:val="007214A8"/>
    <w:rsid w:val="007214E6"/>
    <w:rsid w:val="00721660"/>
    <w:rsid w:val="007217AD"/>
    <w:rsid w:val="0072189D"/>
    <w:rsid w:val="00721AE6"/>
    <w:rsid w:val="00721BE3"/>
    <w:rsid w:val="00721C8C"/>
    <w:rsid w:val="00721CFE"/>
    <w:rsid w:val="00721D38"/>
    <w:rsid w:val="00721D4E"/>
    <w:rsid w:val="00721D61"/>
    <w:rsid w:val="00721DC5"/>
    <w:rsid w:val="007220D8"/>
    <w:rsid w:val="0072214D"/>
    <w:rsid w:val="00722261"/>
    <w:rsid w:val="007227F2"/>
    <w:rsid w:val="007229D4"/>
    <w:rsid w:val="00722A7E"/>
    <w:rsid w:val="00722C3C"/>
    <w:rsid w:val="00722D8A"/>
    <w:rsid w:val="00722F39"/>
    <w:rsid w:val="0072321E"/>
    <w:rsid w:val="007232D5"/>
    <w:rsid w:val="007233A4"/>
    <w:rsid w:val="0072340F"/>
    <w:rsid w:val="007234D0"/>
    <w:rsid w:val="007237AF"/>
    <w:rsid w:val="007237F9"/>
    <w:rsid w:val="00723901"/>
    <w:rsid w:val="0072393E"/>
    <w:rsid w:val="00723954"/>
    <w:rsid w:val="0072399D"/>
    <w:rsid w:val="00723C53"/>
    <w:rsid w:val="00724072"/>
    <w:rsid w:val="00724276"/>
    <w:rsid w:val="007242EB"/>
    <w:rsid w:val="007243DB"/>
    <w:rsid w:val="0072440C"/>
    <w:rsid w:val="00724495"/>
    <w:rsid w:val="00724588"/>
    <w:rsid w:val="0072459D"/>
    <w:rsid w:val="007245EA"/>
    <w:rsid w:val="00724845"/>
    <w:rsid w:val="00724908"/>
    <w:rsid w:val="00724F7E"/>
    <w:rsid w:val="00724FD1"/>
    <w:rsid w:val="007250FF"/>
    <w:rsid w:val="00725167"/>
    <w:rsid w:val="00725202"/>
    <w:rsid w:val="0072551E"/>
    <w:rsid w:val="00725659"/>
    <w:rsid w:val="0072588F"/>
    <w:rsid w:val="007258D4"/>
    <w:rsid w:val="00725904"/>
    <w:rsid w:val="0072595E"/>
    <w:rsid w:val="00725E79"/>
    <w:rsid w:val="00725EA2"/>
    <w:rsid w:val="0072615A"/>
    <w:rsid w:val="0072626F"/>
    <w:rsid w:val="00726296"/>
    <w:rsid w:val="00726476"/>
    <w:rsid w:val="007265BA"/>
    <w:rsid w:val="00726737"/>
    <w:rsid w:val="00726D2D"/>
    <w:rsid w:val="00726D35"/>
    <w:rsid w:val="00726EEC"/>
    <w:rsid w:val="00726F86"/>
    <w:rsid w:val="007271D4"/>
    <w:rsid w:val="00727300"/>
    <w:rsid w:val="007275BB"/>
    <w:rsid w:val="007276B7"/>
    <w:rsid w:val="00727883"/>
    <w:rsid w:val="00727A8A"/>
    <w:rsid w:val="00727AAC"/>
    <w:rsid w:val="00727B67"/>
    <w:rsid w:val="00727BCB"/>
    <w:rsid w:val="00727D7F"/>
    <w:rsid w:val="00730029"/>
    <w:rsid w:val="0073013D"/>
    <w:rsid w:val="0073051B"/>
    <w:rsid w:val="0073067F"/>
    <w:rsid w:val="007307D9"/>
    <w:rsid w:val="0073089F"/>
    <w:rsid w:val="007308C5"/>
    <w:rsid w:val="00730970"/>
    <w:rsid w:val="00730B6A"/>
    <w:rsid w:val="00730C11"/>
    <w:rsid w:val="00730CA0"/>
    <w:rsid w:val="00730E0B"/>
    <w:rsid w:val="00730E7F"/>
    <w:rsid w:val="00730F04"/>
    <w:rsid w:val="00730FA0"/>
    <w:rsid w:val="0073119E"/>
    <w:rsid w:val="007311CB"/>
    <w:rsid w:val="007311EC"/>
    <w:rsid w:val="00731430"/>
    <w:rsid w:val="00731456"/>
    <w:rsid w:val="007314B2"/>
    <w:rsid w:val="007314FD"/>
    <w:rsid w:val="0073153E"/>
    <w:rsid w:val="0073167D"/>
    <w:rsid w:val="007316E4"/>
    <w:rsid w:val="00731715"/>
    <w:rsid w:val="00731752"/>
    <w:rsid w:val="00731872"/>
    <w:rsid w:val="007318AA"/>
    <w:rsid w:val="007318C8"/>
    <w:rsid w:val="00731952"/>
    <w:rsid w:val="0073197C"/>
    <w:rsid w:val="00731AC5"/>
    <w:rsid w:val="00731CE0"/>
    <w:rsid w:val="00731DAD"/>
    <w:rsid w:val="00731DE6"/>
    <w:rsid w:val="00731E3C"/>
    <w:rsid w:val="00731EA1"/>
    <w:rsid w:val="00731FAB"/>
    <w:rsid w:val="00732021"/>
    <w:rsid w:val="00732076"/>
    <w:rsid w:val="00732191"/>
    <w:rsid w:val="0073220A"/>
    <w:rsid w:val="00732230"/>
    <w:rsid w:val="007322A8"/>
    <w:rsid w:val="007322E0"/>
    <w:rsid w:val="007323D9"/>
    <w:rsid w:val="00732406"/>
    <w:rsid w:val="0073253B"/>
    <w:rsid w:val="007326D5"/>
    <w:rsid w:val="00732841"/>
    <w:rsid w:val="00732C00"/>
    <w:rsid w:val="00732C71"/>
    <w:rsid w:val="00732EA3"/>
    <w:rsid w:val="00732F72"/>
    <w:rsid w:val="00732FB0"/>
    <w:rsid w:val="00733019"/>
    <w:rsid w:val="00733064"/>
    <w:rsid w:val="00733087"/>
    <w:rsid w:val="007331B9"/>
    <w:rsid w:val="007331F3"/>
    <w:rsid w:val="0073321C"/>
    <w:rsid w:val="007335DC"/>
    <w:rsid w:val="007336BF"/>
    <w:rsid w:val="007337B7"/>
    <w:rsid w:val="00733B89"/>
    <w:rsid w:val="00733BE7"/>
    <w:rsid w:val="00733C08"/>
    <w:rsid w:val="00733C0A"/>
    <w:rsid w:val="00733C44"/>
    <w:rsid w:val="00733CC1"/>
    <w:rsid w:val="00733F00"/>
    <w:rsid w:val="00733F5E"/>
    <w:rsid w:val="00733FF3"/>
    <w:rsid w:val="007342AC"/>
    <w:rsid w:val="007342D8"/>
    <w:rsid w:val="00734321"/>
    <w:rsid w:val="0073434E"/>
    <w:rsid w:val="007343F9"/>
    <w:rsid w:val="0073459A"/>
    <w:rsid w:val="007345A8"/>
    <w:rsid w:val="007346B5"/>
    <w:rsid w:val="00734719"/>
    <w:rsid w:val="007347C0"/>
    <w:rsid w:val="00734924"/>
    <w:rsid w:val="0073497C"/>
    <w:rsid w:val="00734AC1"/>
    <w:rsid w:val="00734B53"/>
    <w:rsid w:val="00734B70"/>
    <w:rsid w:val="00734B7D"/>
    <w:rsid w:val="00734C06"/>
    <w:rsid w:val="00734C89"/>
    <w:rsid w:val="00734E1D"/>
    <w:rsid w:val="00735443"/>
    <w:rsid w:val="00735454"/>
    <w:rsid w:val="00735531"/>
    <w:rsid w:val="00735614"/>
    <w:rsid w:val="00735749"/>
    <w:rsid w:val="007357A4"/>
    <w:rsid w:val="007357FD"/>
    <w:rsid w:val="007358C3"/>
    <w:rsid w:val="00735958"/>
    <w:rsid w:val="007359FE"/>
    <w:rsid w:val="00735B45"/>
    <w:rsid w:val="00735BAC"/>
    <w:rsid w:val="00735BD6"/>
    <w:rsid w:val="00735C17"/>
    <w:rsid w:val="00735C62"/>
    <w:rsid w:val="00735C7D"/>
    <w:rsid w:val="00735DE1"/>
    <w:rsid w:val="00735EF1"/>
    <w:rsid w:val="00735F24"/>
    <w:rsid w:val="00735F5F"/>
    <w:rsid w:val="00735FA3"/>
    <w:rsid w:val="00736013"/>
    <w:rsid w:val="00736091"/>
    <w:rsid w:val="0073611B"/>
    <w:rsid w:val="0073617C"/>
    <w:rsid w:val="007361FA"/>
    <w:rsid w:val="00736220"/>
    <w:rsid w:val="00736439"/>
    <w:rsid w:val="00736531"/>
    <w:rsid w:val="00736685"/>
    <w:rsid w:val="00736697"/>
    <w:rsid w:val="00736753"/>
    <w:rsid w:val="00736797"/>
    <w:rsid w:val="0073682B"/>
    <w:rsid w:val="007369AC"/>
    <w:rsid w:val="00736AA7"/>
    <w:rsid w:val="00736B7E"/>
    <w:rsid w:val="00736C25"/>
    <w:rsid w:val="00736D06"/>
    <w:rsid w:val="00736D1F"/>
    <w:rsid w:val="00736FB9"/>
    <w:rsid w:val="00737004"/>
    <w:rsid w:val="007374A3"/>
    <w:rsid w:val="007376BC"/>
    <w:rsid w:val="00737A58"/>
    <w:rsid w:val="00737B4A"/>
    <w:rsid w:val="00737C79"/>
    <w:rsid w:val="007401D9"/>
    <w:rsid w:val="0074024F"/>
    <w:rsid w:val="007403E8"/>
    <w:rsid w:val="007405F9"/>
    <w:rsid w:val="00740649"/>
    <w:rsid w:val="007406A4"/>
    <w:rsid w:val="00740712"/>
    <w:rsid w:val="00740757"/>
    <w:rsid w:val="0074077D"/>
    <w:rsid w:val="007409A5"/>
    <w:rsid w:val="00740B1E"/>
    <w:rsid w:val="00740B3E"/>
    <w:rsid w:val="00740CC2"/>
    <w:rsid w:val="00740FC8"/>
    <w:rsid w:val="007411AC"/>
    <w:rsid w:val="007414F4"/>
    <w:rsid w:val="0074166A"/>
    <w:rsid w:val="0074170D"/>
    <w:rsid w:val="00741795"/>
    <w:rsid w:val="0074179F"/>
    <w:rsid w:val="007417F4"/>
    <w:rsid w:val="007417F9"/>
    <w:rsid w:val="00741963"/>
    <w:rsid w:val="007419F2"/>
    <w:rsid w:val="00741B52"/>
    <w:rsid w:val="00741F88"/>
    <w:rsid w:val="00742122"/>
    <w:rsid w:val="007423EB"/>
    <w:rsid w:val="0074260E"/>
    <w:rsid w:val="007428FD"/>
    <w:rsid w:val="00742966"/>
    <w:rsid w:val="00742A32"/>
    <w:rsid w:val="00742AC1"/>
    <w:rsid w:val="00742BAF"/>
    <w:rsid w:val="00742D00"/>
    <w:rsid w:val="00742D68"/>
    <w:rsid w:val="00742D7B"/>
    <w:rsid w:val="00742DA7"/>
    <w:rsid w:val="00742F2B"/>
    <w:rsid w:val="007431DB"/>
    <w:rsid w:val="007433CF"/>
    <w:rsid w:val="00743534"/>
    <w:rsid w:val="00743543"/>
    <w:rsid w:val="00743551"/>
    <w:rsid w:val="0074369B"/>
    <w:rsid w:val="007437FE"/>
    <w:rsid w:val="007438B4"/>
    <w:rsid w:val="007439D7"/>
    <w:rsid w:val="00743B55"/>
    <w:rsid w:val="00743B64"/>
    <w:rsid w:val="00743BA2"/>
    <w:rsid w:val="00743D69"/>
    <w:rsid w:val="00743F47"/>
    <w:rsid w:val="00744183"/>
    <w:rsid w:val="0074432D"/>
    <w:rsid w:val="007443B7"/>
    <w:rsid w:val="00744427"/>
    <w:rsid w:val="0074450C"/>
    <w:rsid w:val="00744689"/>
    <w:rsid w:val="0074485B"/>
    <w:rsid w:val="00744964"/>
    <w:rsid w:val="007449B3"/>
    <w:rsid w:val="00744BA8"/>
    <w:rsid w:val="00744CAB"/>
    <w:rsid w:val="00744D4A"/>
    <w:rsid w:val="00744D75"/>
    <w:rsid w:val="00744E92"/>
    <w:rsid w:val="0074501C"/>
    <w:rsid w:val="00745599"/>
    <w:rsid w:val="00745A87"/>
    <w:rsid w:val="00745BA4"/>
    <w:rsid w:val="00745C86"/>
    <w:rsid w:val="00745C92"/>
    <w:rsid w:val="00745D95"/>
    <w:rsid w:val="00746093"/>
    <w:rsid w:val="00746111"/>
    <w:rsid w:val="00746203"/>
    <w:rsid w:val="007463BE"/>
    <w:rsid w:val="00746408"/>
    <w:rsid w:val="007464A0"/>
    <w:rsid w:val="00746787"/>
    <w:rsid w:val="00746866"/>
    <w:rsid w:val="007468B2"/>
    <w:rsid w:val="007469ED"/>
    <w:rsid w:val="00746BE5"/>
    <w:rsid w:val="00746DA0"/>
    <w:rsid w:val="00746E76"/>
    <w:rsid w:val="0074730E"/>
    <w:rsid w:val="00747397"/>
    <w:rsid w:val="0074750B"/>
    <w:rsid w:val="00747521"/>
    <w:rsid w:val="007475EA"/>
    <w:rsid w:val="0074766F"/>
    <w:rsid w:val="00747768"/>
    <w:rsid w:val="007477F9"/>
    <w:rsid w:val="007478EB"/>
    <w:rsid w:val="00747964"/>
    <w:rsid w:val="00747C50"/>
    <w:rsid w:val="00747CBD"/>
    <w:rsid w:val="00747CE6"/>
    <w:rsid w:val="00747EC9"/>
    <w:rsid w:val="00747FDD"/>
    <w:rsid w:val="007500B2"/>
    <w:rsid w:val="007500DD"/>
    <w:rsid w:val="0075025F"/>
    <w:rsid w:val="007505FC"/>
    <w:rsid w:val="0075061F"/>
    <w:rsid w:val="007507E9"/>
    <w:rsid w:val="007507EA"/>
    <w:rsid w:val="007508A7"/>
    <w:rsid w:val="007509F2"/>
    <w:rsid w:val="007509F8"/>
    <w:rsid w:val="00750C0A"/>
    <w:rsid w:val="00750D89"/>
    <w:rsid w:val="00750FCC"/>
    <w:rsid w:val="00751172"/>
    <w:rsid w:val="007511DD"/>
    <w:rsid w:val="007512A9"/>
    <w:rsid w:val="007519DB"/>
    <w:rsid w:val="00751A1C"/>
    <w:rsid w:val="00751A4D"/>
    <w:rsid w:val="00751B5F"/>
    <w:rsid w:val="00751BD1"/>
    <w:rsid w:val="00751C8A"/>
    <w:rsid w:val="00751CA9"/>
    <w:rsid w:val="00751DAD"/>
    <w:rsid w:val="00751E8D"/>
    <w:rsid w:val="00751F6D"/>
    <w:rsid w:val="00752069"/>
    <w:rsid w:val="00752149"/>
    <w:rsid w:val="007522DF"/>
    <w:rsid w:val="00752641"/>
    <w:rsid w:val="007526FA"/>
    <w:rsid w:val="007527E5"/>
    <w:rsid w:val="00752843"/>
    <w:rsid w:val="00752D7B"/>
    <w:rsid w:val="00752DA5"/>
    <w:rsid w:val="00752E1B"/>
    <w:rsid w:val="00752EF5"/>
    <w:rsid w:val="00753045"/>
    <w:rsid w:val="007532EF"/>
    <w:rsid w:val="00753321"/>
    <w:rsid w:val="00753326"/>
    <w:rsid w:val="00753486"/>
    <w:rsid w:val="00753614"/>
    <w:rsid w:val="00753A36"/>
    <w:rsid w:val="00753A46"/>
    <w:rsid w:val="00753C24"/>
    <w:rsid w:val="00753D17"/>
    <w:rsid w:val="00753D74"/>
    <w:rsid w:val="00753EF7"/>
    <w:rsid w:val="00753FC3"/>
    <w:rsid w:val="0075411C"/>
    <w:rsid w:val="007543BA"/>
    <w:rsid w:val="007544E2"/>
    <w:rsid w:val="007548E8"/>
    <w:rsid w:val="00754C59"/>
    <w:rsid w:val="00755097"/>
    <w:rsid w:val="00755168"/>
    <w:rsid w:val="00755271"/>
    <w:rsid w:val="00755282"/>
    <w:rsid w:val="00755323"/>
    <w:rsid w:val="00755349"/>
    <w:rsid w:val="00755373"/>
    <w:rsid w:val="007554C9"/>
    <w:rsid w:val="00755E95"/>
    <w:rsid w:val="00755EE9"/>
    <w:rsid w:val="00755F96"/>
    <w:rsid w:val="00755FD3"/>
    <w:rsid w:val="00756028"/>
    <w:rsid w:val="007560C3"/>
    <w:rsid w:val="0075613D"/>
    <w:rsid w:val="00756193"/>
    <w:rsid w:val="00756364"/>
    <w:rsid w:val="007564A9"/>
    <w:rsid w:val="007564B8"/>
    <w:rsid w:val="0075661A"/>
    <w:rsid w:val="007569D2"/>
    <w:rsid w:val="00756CA8"/>
    <w:rsid w:val="00756D4B"/>
    <w:rsid w:val="00756DA7"/>
    <w:rsid w:val="00756DBE"/>
    <w:rsid w:val="00756F8E"/>
    <w:rsid w:val="007571AE"/>
    <w:rsid w:val="007571B2"/>
    <w:rsid w:val="00757272"/>
    <w:rsid w:val="00757298"/>
    <w:rsid w:val="007572AC"/>
    <w:rsid w:val="007573D6"/>
    <w:rsid w:val="007574A1"/>
    <w:rsid w:val="0075751A"/>
    <w:rsid w:val="007576A0"/>
    <w:rsid w:val="007576CC"/>
    <w:rsid w:val="00757816"/>
    <w:rsid w:val="007578A7"/>
    <w:rsid w:val="00757939"/>
    <w:rsid w:val="00757963"/>
    <w:rsid w:val="007579A4"/>
    <w:rsid w:val="00757CF0"/>
    <w:rsid w:val="00757EB6"/>
    <w:rsid w:val="00757EC9"/>
    <w:rsid w:val="00757EDA"/>
    <w:rsid w:val="00757F7A"/>
    <w:rsid w:val="0076008A"/>
    <w:rsid w:val="007600FC"/>
    <w:rsid w:val="007601C3"/>
    <w:rsid w:val="0076025C"/>
    <w:rsid w:val="00760626"/>
    <w:rsid w:val="0076067B"/>
    <w:rsid w:val="0076067C"/>
    <w:rsid w:val="007606BB"/>
    <w:rsid w:val="00760937"/>
    <w:rsid w:val="00760CC5"/>
    <w:rsid w:val="00760DF4"/>
    <w:rsid w:val="00760E3F"/>
    <w:rsid w:val="00760E47"/>
    <w:rsid w:val="00760E73"/>
    <w:rsid w:val="007610EE"/>
    <w:rsid w:val="007612A0"/>
    <w:rsid w:val="007612A9"/>
    <w:rsid w:val="0076136D"/>
    <w:rsid w:val="00761530"/>
    <w:rsid w:val="0076160C"/>
    <w:rsid w:val="00761666"/>
    <w:rsid w:val="00761943"/>
    <w:rsid w:val="00761A7C"/>
    <w:rsid w:val="00761B45"/>
    <w:rsid w:val="00761BF0"/>
    <w:rsid w:val="00761CDD"/>
    <w:rsid w:val="00761D8B"/>
    <w:rsid w:val="00761EA3"/>
    <w:rsid w:val="00761F05"/>
    <w:rsid w:val="00761F78"/>
    <w:rsid w:val="00761F7A"/>
    <w:rsid w:val="00762074"/>
    <w:rsid w:val="007621CB"/>
    <w:rsid w:val="007622A9"/>
    <w:rsid w:val="007623DA"/>
    <w:rsid w:val="00762436"/>
    <w:rsid w:val="007625D4"/>
    <w:rsid w:val="00762829"/>
    <w:rsid w:val="00762A19"/>
    <w:rsid w:val="00762A36"/>
    <w:rsid w:val="00762A5C"/>
    <w:rsid w:val="00762B1D"/>
    <w:rsid w:val="00762CF6"/>
    <w:rsid w:val="00762D2E"/>
    <w:rsid w:val="00762D45"/>
    <w:rsid w:val="00762D7A"/>
    <w:rsid w:val="00762DBE"/>
    <w:rsid w:val="00762F9A"/>
    <w:rsid w:val="007630BB"/>
    <w:rsid w:val="00763191"/>
    <w:rsid w:val="00763242"/>
    <w:rsid w:val="00763569"/>
    <w:rsid w:val="00763699"/>
    <w:rsid w:val="00763764"/>
    <w:rsid w:val="007637E3"/>
    <w:rsid w:val="007638C1"/>
    <w:rsid w:val="00763A13"/>
    <w:rsid w:val="00763A2E"/>
    <w:rsid w:val="00763B81"/>
    <w:rsid w:val="00763BF2"/>
    <w:rsid w:val="00763C11"/>
    <w:rsid w:val="00763C91"/>
    <w:rsid w:val="00763D19"/>
    <w:rsid w:val="00763D7C"/>
    <w:rsid w:val="00763E5F"/>
    <w:rsid w:val="00763F7E"/>
    <w:rsid w:val="0076417B"/>
    <w:rsid w:val="0076439A"/>
    <w:rsid w:val="007643D8"/>
    <w:rsid w:val="007645E2"/>
    <w:rsid w:val="007646AE"/>
    <w:rsid w:val="007648FA"/>
    <w:rsid w:val="00764906"/>
    <w:rsid w:val="00764914"/>
    <w:rsid w:val="00764A4D"/>
    <w:rsid w:val="00764AAA"/>
    <w:rsid w:val="00764CEB"/>
    <w:rsid w:val="00764D64"/>
    <w:rsid w:val="00764FE8"/>
    <w:rsid w:val="007655C6"/>
    <w:rsid w:val="007655E9"/>
    <w:rsid w:val="0076569E"/>
    <w:rsid w:val="007657DB"/>
    <w:rsid w:val="007657DE"/>
    <w:rsid w:val="00765821"/>
    <w:rsid w:val="00765E22"/>
    <w:rsid w:val="00765E82"/>
    <w:rsid w:val="00765E9F"/>
    <w:rsid w:val="00765EFD"/>
    <w:rsid w:val="007662B1"/>
    <w:rsid w:val="007663A9"/>
    <w:rsid w:val="007664AD"/>
    <w:rsid w:val="007664BD"/>
    <w:rsid w:val="0076680D"/>
    <w:rsid w:val="00766869"/>
    <w:rsid w:val="00766915"/>
    <w:rsid w:val="00766B75"/>
    <w:rsid w:val="00766CE9"/>
    <w:rsid w:val="00766E15"/>
    <w:rsid w:val="00766F70"/>
    <w:rsid w:val="007671E8"/>
    <w:rsid w:val="00767247"/>
    <w:rsid w:val="00767390"/>
    <w:rsid w:val="0076739F"/>
    <w:rsid w:val="007673E9"/>
    <w:rsid w:val="00767516"/>
    <w:rsid w:val="00767583"/>
    <w:rsid w:val="007675FA"/>
    <w:rsid w:val="00767649"/>
    <w:rsid w:val="00767A9E"/>
    <w:rsid w:val="00767C18"/>
    <w:rsid w:val="00767CD6"/>
    <w:rsid w:val="00767CF0"/>
    <w:rsid w:val="00767D21"/>
    <w:rsid w:val="00767F3D"/>
    <w:rsid w:val="00770408"/>
    <w:rsid w:val="007704AE"/>
    <w:rsid w:val="007704D0"/>
    <w:rsid w:val="0077076B"/>
    <w:rsid w:val="007707DD"/>
    <w:rsid w:val="00770849"/>
    <w:rsid w:val="0077090B"/>
    <w:rsid w:val="00770A1F"/>
    <w:rsid w:val="00770B0E"/>
    <w:rsid w:val="00770D5F"/>
    <w:rsid w:val="00770DD2"/>
    <w:rsid w:val="00770F1E"/>
    <w:rsid w:val="00770FCA"/>
    <w:rsid w:val="007711C5"/>
    <w:rsid w:val="00771279"/>
    <w:rsid w:val="0077143E"/>
    <w:rsid w:val="00771766"/>
    <w:rsid w:val="00771814"/>
    <w:rsid w:val="00771829"/>
    <w:rsid w:val="007718AA"/>
    <w:rsid w:val="00771988"/>
    <w:rsid w:val="007719B1"/>
    <w:rsid w:val="00771A84"/>
    <w:rsid w:val="00771B3E"/>
    <w:rsid w:val="00771DD5"/>
    <w:rsid w:val="00771EC1"/>
    <w:rsid w:val="00772041"/>
    <w:rsid w:val="00772239"/>
    <w:rsid w:val="007723CA"/>
    <w:rsid w:val="00772511"/>
    <w:rsid w:val="007726D2"/>
    <w:rsid w:val="00772794"/>
    <w:rsid w:val="00772B37"/>
    <w:rsid w:val="00772DFF"/>
    <w:rsid w:val="0077314F"/>
    <w:rsid w:val="00773151"/>
    <w:rsid w:val="00773237"/>
    <w:rsid w:val="00773254"/>
    <w:rsid w:val="007733FF"/>
    <w:rsid w:val="007735C5"/>
    <w:rsid w:val="00773783"/>
    <w:rsid w:val="007738B0"/>
    <w:rsid w:val="007739DC"/>
    <w:rsid w:val="00773A46"/>
    <w:rsid w:val="00773C6B"/>
    <w:rsid w:val="00773D10"/>
    <w:rsid w:val="00773D14"/>
    <w:rsid w:val="00773F16"/>
    <w:rsid w:val="00773F9E"/>
    <w:rsid w:val="0077423F"/>
    <w:rsid w:val="0077450E"/>
    <w:rsid w:val="00774515"/>
    <w:rsid w:val="0077487F"/>
    <w:rsid w:val="007749A8"/>
    <w:rsid w:val="007749B6"/>
    <w:rsid w:val="00774A02"/>
    <w:rsid w:val="00774B15"/>
    <w:rsid w:val="00774BDB"/>
    <w:rsid w:val="00774BE4"/>
    <w:rsid w:val="00774CE2"/>
    <w:rsid w:val="00774FAD"/>
    <w:rsid w:val="00775005"/>
    <w:rsid w:val="00775221"/>
    <w:rsid w:val="0077536F"/>
    <w:rsid w:val="00775418"/>
    <w:rsid w:val="007754C4"/>
    <w:rsid w:val="0077568E"/>
    <w:rsid w:val="007756E0"/>
    <w:rsid w:val="00775702"/>
    <w:rsid w:val="0077586F"/>
    <w:rsid w:val="0077599F"/>
    <w:rsid w:val="00775DF4"/>
    <w:rsid w:val="00776081"/>
    <w:rsid w:val="007760BC"/>
    <w:rsid w:val="007760E8"/>
    <w:rsid w:val="007766BB"/>
    <w:rsid w:val="007767C2"/>
    <w:rsid w:val="007768F1"/>
    <w:rsid w:val="00776930"/>
    <w:rsid w:val="0077694F"/>
    <w:rsid w:val="007769CC"/>
    <w:rsid w:val="00776A2F"/>
    <w:rsid w:val="00776A7C"/>
    <w:rsid w:val="00776BC7"/>
    <w:rsid w:val="00776C86"/>
    <w:rsid w:val="00776D24"/>
    <w:rsid w:val="00776D37"/>
    <w:rsid w:val="00776DBA"/>
    <w:rsid w:val="00776F8E"/>
    <w:rsid w:val="0077716D"/>
    <w:rsid w:val="00777230"/>
    <w:rsid w:val="00777392"/>
    <w:rsid w:val="0077767C"/>
    <w:rsid w:val="00777803"/>
    <w:rsid w:val="00777822"/>
    <w:rsid w:val="0077798F"/>
    <w:rsid w:val="00777B7D"/>
    <w:rsid w:val="00777C0B"/>
    <w:rsid w:val="00777DBE"/>
    <w:rsid w:val="00777DE6"/>
    <w:rsid w:val="00780319"/>
    <w:rsid w:val="00780401"/>
    <w:rsid w:val="007807C3"/>
    <w:rsid w:val="007809E6"/>
    <w:rsid w:val="00780ADD"/>
    <w:rsid w:val="00780B07"/>
    <w:rsid w:val="00780CC9"/>
    <w:rsid w:val="00780F56"/>
    <w:rsid w:val="00780F8A"/>
    <w:rsid w:val="007811FA"/>
    <w:rsid w:val="0078178D"/>
    <w:rsid w:val="0078186B"/>
    <w:rsid w:val="0078187B"/>
    <w:rsid w:val="007818A0"/>
    <w:rsid w:val="00781956"/>
    <w:rsid w:val="007819FA"/>
    <w:rsid w:val="00781A4A"/>
    <w:rsid w:val="00781B1C"/>
    <w:rsid w:val="00781B21"/>
    <w:rsid w:val="00781C44"/>
    <w:rsid w:val="00781D00"/>
    <w:rsid w:val="00781D8B"/>
    <w:rsid w:val="00781D9A"/>
    <w:rsid w:val="00781E25"/>
    <w:rsid w:val="00781E3B"/>
    <w:rsid w:val="007820C4"/>
    <w:rsid w:val="007820FA"/>
    <w:rsid w:val="0078217A"/>
    <w:rsid w:val="007821C0"/>
    <w:rsid w:val="00782220"/>
    <w:rsid w:val="007822BC"/>
    <w:rsid w:val="0078246B"/>
    <w:rsid w:val="007824C4"/>
    <w:rsid w:val="00782728"/>
    <w:rsid w:val="00782842"/>
    <w:rsid w:val="00782C85"/>
    <w:rsid w:val="00782C9B"/>
    <w:rsid w:val="00782F2B"/>
    <w:rsid w:val="00783A0E"/>
    <w:rsid w:val="00783AF5"/>
    <w:rsid w:val="00783BA6"/>
    <w:rsid w:val="00783C57"/>
    <w:rsid w:val="00783D89"/>
    <w:rsid w:val="00783E7F"/>
    <w:rsid w:val="00783F10"/>
    <w:rsid w:val="00783F49"/>
    <w:rsid w:val="007840D4"/>
    <w:rsid w:val="00784260"/>
    <w:rsid w:val="0078430A"/>
    <w:rsid w:val="007847A8"/>
    <w:rsid w:val="0078497D"/>
    <w:rsid w:val="00784A24"/>
    <w:rsid w:val="00784B5B"/>
    <w:rsid w:val="00784BF3"/>
    <w:rsid w:val="00784C84"/>
    <w:rsid w:val="00784DC1"/>
    <w:rsid w:val="00784F32"/>
    <w:rsid w:val="0078509F"/>
    <w:rsid w:val="00785204"/>
    <w:rsid w:val="0078524A"/>
    <w:rsid w:val="007853CF"/>
    <w:rsid w:val="00785583"/>
    <w:rsid w:val="0078558D"/>
    <w:rsid w:val="007858E2"/>
    <w:rsid w:val="00785C35"/>
    <w:rsid w:val="00785D57"/>
    <w:rsid w:val="00785EDE"/>
    <w:rsid w:val="00785EDF"/>
    <w:rsid w:val="0078609C"/>
    <w:rsid w:val="007861EF"/>
    <w:rsid w:val="00786688"/>
    <w:rsid w:val="00786763"/>
    <w:rsid w:val="007867F1"/>
    <w:rsid w:val="007869BC"/>
    <w:rsid w:val="00786AC6"/>
    <w:rsid w:val="00786B84"/>
    <w:rsid w:val="00786C2F"/>
    <w:rsid w:val="00786DD5"/>
    <w:rsid w:val="00786FAB"/>
    <w:rsid w:val="007871D6"/>
    <w:rsid w:val="00787304"/>
    <w:rsid w:val="007874BF"/>
    <w:rsid w:val="0078758E"/>
    <w:rsid w:val="0078767A"/>
    <w:rsid w:val="0078768F"/>
    <w:rsid w:val="007876C7"/>
    <w:rsid w:val="0078777E"/>
    <w:rsid w:val="00787866"/>
    <w:rsid w:val="007878EB"/>
    <w:rsid w:val="007879F9"/>
    <w:rsid w:val="00787B23"/>
    <w:rsid w:val="00787C31"/>
    <w:rsid w:val="00787D12"/>
    <w:rsid w:val="00787E49"/>
    <w:rsid w:val="00787EAF"/>
    <w:rsid w:val="00787F05"/>
    <w:rsid w:val="00790019"/>
    <w:rsid w:val="0079047B"/>
    <w:rsid w:val="007907A9"/>
    <w:rsid w:val="00790BCE"/>
    <w:rsid w:val="00790C31"/>
    <w:rsid w:val="00790CA6"/>
    <w:rsid w:val="00790D84"/>
    <w:rsid w:val="0079116A"/>
    <w:rsid w:val="00791297"/>
    <w:rsid w:val="007914C4"/>
    <w:rsid w:val="007915D8"/>
    <w:rsid w:val="007916EA"/>
    <w:rsid w:val="00791A16"/>
    <w:rsid w:val="00791B77"/>
    <w:rsid w:val="00791D8F"/>
    <w:rsid w:val="007920F7"/>
    <w:rsid w:val="00792135"/>
    <w:rsid w:val="0079223F"/>
    <w:rsid w:val="00792258"/>
    <w:rsid w:val="0079245D"/>
    <w:rsid w:val="00792482"/>
    <w:rsid w:val="007924FC"/>
    <w:rsid w:val="0079262A"/>
    <w:rsid w:val="007928E7"/>
    <w:rsid w:val="00792BC6"/>
    <w:rsid w:val="00792BF2"/>
    <w:rsid w:val="00792C0D"/>
    <w:rsid w:val="00792C49"/>
    <w:rsid w:val="00792DE6"/>
    <w:rsid w:val="00793250"/>
    <w:rsid w:val="0079325A"/>
    <w:rsid w:val="0079330E"/>
    <w:rsid w:val="00793320"/>
    <w:rsid w:val="007933DE"/>
    <w:rsid w:val="007934DD"/>
    <w:rsid w:val="0079376D"/>
    <w:rsid w:val="00793A07"/>
    <w:rsid w:val="00793AEA"/>
    <w:rsid w:val="00793BC8"/>
    <w:rsid w:val="00793DDB"/>
    <w:rsid w:val="00793E39"/>
    <w:rsid w:val="00793E7F"/>
    <w:rsid w:val="00793FFA"/>
    <w:rsid w:val="007940A2"/>
    <w:rsid w:val="007940BD"/>
    <w:rsid w:val="0079436E"/>
    <w:rsid w:val="00794417"/>
    <w:rsid w:val="00794499"/>
    <w:rsid w:val="007944D4"/>
    <w:rsid w:val="00794572"/>
    <w:rsid w:val="00794828"/>
    <w:rsid w:val="0079483E"/>
    <w:rsid w:val="00794D2C"/>
    <w:rsid w:val="00794DE1"/>
    <w:rsid w:val="00794E73"/>
    <w:rsid w:val="00794FB9"/>
    <w:rsid w:val="00794FBB"/>
    <w:rsid w:val="00795120"/>
    <w:rsid w:val="0079535B"/>
    <w:rsid w:val="007953A4"/>
    <w:rsid w:val="007953A5"/>
    <w:rsid w:val="00795485"/>
    <w:rsid w:val="0079548D"/>
    <w:rsid w:val="0079558A"/>
    <w:rsid w:val="007958C2"/>
    <w:rsid w:val="007958DF"/>
    <w:rsid w:val="00795ACC"/>
    <w:rsid w:val="00795AFE"/>
    <w:rsid w:val="00795CBB"/>
    <w:rsid w:val="00795EBF"/>
    <w:rsid w:val="00795F0B"/>
    <w:rsid w:val="00795F7A"/>
    <w:rsid w:val="0079604A"/>
    <w:rsid w:val="0079625E"/>
    <w:rsid w:val="007963AA"/>
    <w:rsid w:val="007963CA"/>
    <w:rsid w:val="00796454"/>
    <w:rsid w:val="0079651A"/>
    <w:rsid w:val="007965B7"/>
    <w:rsid w:val="0079661A"/>
    <w:rsid w:val="007966C1"/>
    <w:rsid w:val="007966E4"/>
    <w:rsid w:val="0079676B"/>
    <w:rsid w:val="007967F5"/>
    <w:rsid w:val="00796A19"/>
    <w:rsid w:val="00796D5E"/>
    <w:rsid w:val="00796E82"/>
    <w:rsid w:val="00796F42"/>
    <w:rsid w:val="007973D3"/>
    <w:rsid w:val="0079759B"/>
    <w:rsid w:val="007975EE"/>
    <w:rsid w:val="0079761E"/>
    <w:rsid w:val="0079765E"/>
    <w:rsid w:val="007977C8"/>
    <w:rsid w:val="00797A0A"/>
    <w:rsid w:val="007A01DC"/>
    <w:rsid w:val="007A02DD"/>
    <w:rsid w:val="007A03F4"/>
    <w:rsid w:val="007A0467"/>
    <w:rsid w:val="007A047E"/>
    <w:rsid w:val="007A04B2"/>
    <w:rsid w:val="007A0558"/>
    <w:rsid w:val="007A0563"/>
    <w:rsid w:val="007A0630"/>
    <w:rsid w:val="007A07F7"/>
    <w:rsid w:val="007A08D0"/>
    <w:rsid w:val="007A0936"/>
    <w:rsid w:val="007A0B2F"/>
    <w:rsid w:val="007A0D0D"/>
    <w:rsid w:val="007A0D42"/>
    <w:rsid w:val="007A0EAC"/>
    <w:rsid w:val="007A0F09"/>
    <w:rsid w:val="007A1150"/>
    <w:rsid w:val="007A116D"/>
    <w:rsid w:val="007A142B"/>
    <w:rsid w:val="007A18C6"/>
    <w:rsid w:val="007A194D"/>
    <w:rsid w:val="007A1A9B"/>
    <w:rsid w:val="007A1AB9"/>
    <w:rsid w:val="007A1BE7"/>
    <w:rsid w:val="007A1CF2"/>
    <w:rsid w:val="007A1E32"/>
    <w:rsid w:val="007A1EBC"/>
    <w:rsid w:val="007A1FA1"/>
    <w:rsid w:val="007A20DE"/>
    <w:rsid w:val="007A2108"/>
    <w:rsid w:val="007A219E"/>
    <w:rsid w:val="007A24D1"/>
    <w:rsid w:val="007A260B"/>
    <w:rsid w:val="007A2614"/>
    <w:rsid w:val="007A2622"/>
    <w:rsid w:val="007A2637"/>
    <w:rsid w:val="007A2820"/>
    <w:rsid w:val="007A2925"/>
    <w:rsid w:val="007A2A66"/>
    <w:rsid w:val="007A2DFC"/>
    <w:rsid w:val="007A3017"/>
    <w:rsid w:val="007A32C0"/>
    <w:rsid w:val="007A335B"/>
    <w:rsid w:val="007A3461"/>
    <w:rsid w:val="007A362D"/>
    <w:rsid w:val="007A3816"/>
    <w:rsid w:val="007A3849"/>
    <w:rsid w:val="007A3ADA"/>
    <w:rsid w:val="007A3B9C"/>
    <w:rsid w:val="007A3BF5"/>
    <w:rsid w:val="007A3DD2"/>
    <w:rsid w:val="007A3F54"/>
    <w:rsid w:val="007A4013"/>
    <w:rsid w:val="007A42E3"/>
    <w:rsid w:val="007A459E"/>
    <w:rsid w:val="007A45F3"/>
    <w:rsid w:val="007A462B"/>
    <w:rsid w:val="007A4753"/>
    <w:rsid w:val="007A47E4"/>
    <w:rsid w:val="007A483F"/>
    <w:rsid w:val="007A484D"/>
    <w:rsid w:val="007A4872"/>
    <w:rsid w:val="007A48A8"/>
    <w:rsid w:val="007A4957"/>
    <w:rsid w:val="007A4A2D"/>
    <w:rsid w:val="007A4B7F"/>
    <w:rsid w:val="007A4C87"/>
    <w:rsid w:val="007A4E2D"/>
    <w:rsid w:val="007A4F00"/>
    <w:rsid w:val="007A505E"/>
    <w:rsid w:val="007A5249"/>
    <w:rsid w:val="007A5424"/>
    <w:rsid w:val="007A5439"/>
    <w:rsid w:val="007A55CE"/>
    <w:rsid w:val="007A55EC"/>
    <w:rsid w:val="007A560D"/>
    <w:rsid w:val="007A5812"/>
    <w:rsid w:val="007A5ACF"/>
    <w:rsid w:val="007A5CEA"/>
    <w:rsid w:val="007A5EC9"/>
    <w:rsid w:val="007A5FAC"/>
    <w:rsid w:val="007A61AC"/>
    <w:rsid w:val="007A6203"/>
    <w:rsid w:val="007A643C"/>
    <w:rsid w:val="007A6514"/>
    <w:rsid w:val="007A6658"/>
    <w:rsid w:val="007A6725"/>
    <w:rsid w:val="007A69A0"/>
    <w:rsid w:val="007A69C5"/>
    <w:rsid w:val="007A6DFE"/>
    <w:rsid w:val="007A7261"/>
    <w:rsid w:val="007A740F"/>
    <w:rsid w:val="007A782B"/>
    <w:rsid w:val="007A791F"/>
    <w:rsid w:val="007A79F8"/>
    <w:rsid w:val="007A7A5E"/>
    <w:rsid w:val="007A7A92"/>
    <w:rsid w:val="007A7BBF"/>
    <w:rsid w:val="007A7BE6"/>
    <w:rsid w:val="007A7EB0"/>
    <w:rsid w:val="007B027F"/>
    <w:rsid w:val="007B04DA"/>
    <w:rsid w:val="007B0529"/>
    <w:rsid w:val="007B0928"/>
    <w:rsid w:val="007B0AFA"/>
    <w:rsid w:val="007B0B1E"/>
    <w:rsid w:val="007B0B29"/>
    <w:rsid w:val="007B0C8C"/>
    <w:rsid w:val="007B0CE9"/>
    <w:rsid w:val="007B1022"/>
    <w:rsid w:val="007B1111"/>
    <w:rsid w:val="007B1340"/>
    <w:rsid w:val="007B13D1"/>
    <w:rsid w:val="007B143F"/>
    <w:rsid w:val="007B1586"/>
    <w:rsid w:val="007B1A31"/>
    <w:rsid w:val="007B1C2D"/>
    <w:rsid w:val="007B1C7F"/>
    <w:rsid w:val="007B1D97"/>
    <w:rsid w:val="007B1E46"/>
    <w:rsid w:val="007B208A"/>
    <w:rsid w:val="007B2099"/>
    <w:rsid w:val="007B20AF"/>
    <w:rsid w:val="007B221A"/>
    <w:rsid w:val="007B24D6"/>
    <w:rsid w:val="007B25B8"/>
    <w:rsid w:val="007B25F1"/>
    <w:rsid w:val="007B25FF"/>
    <w:rsid w:val="007B26D4"/>
    <w:rsid w:val="007B272F"/>
    <w:rsid w:val="007B2CCB"/>
    <w:rsid w:val="007B2D2E"/>
    <w:rsid w:val="007B2E2F"/>
    <w:rsid w:val="007B309E"/>
    <w:rsid w:val="007B33B0"/>
    <w:rsid w:val="007B33F6"/>
    <w:rsid w:val="007B3441"/>
    <w:rsid w:val="007B3927"/>
    <w:rsid w:val="007B392A"/>
    <w:rsid w:val="007B396D"/>
    <w:rsid w:val="007B3A1E"/>
    <w:rsid w:val="007B3B47"/>
    <w:rsid w:val="007B3BC6"/>
    <w:rsid w:val="007B3C58"/>
    <w:rsid w:val="007B3D7E"/>
    <w:rsid w:val="007B3EE3"/>
    <w:rsid w:val="007B3F69"/>
    <w:rsid w:val="007B3F72"/>
    <w:rsid w:val="007B4007"/>
    <w:rsid w:val="007B4096"/>
    <w:rsid w:val="007B417F"/>
    <w:rsid w:val="007B4470"/>
    <w:rsid w:val="007B4488"/>
    <w:rsid w:val="007B456C"/>
    <w:rsid w:val="007B458B"/>
    <w:rsid w:val="007B4843"/>
    <w:rsid w:val="007B4A5C"/>
    <w:rsid w:val="007B4D6B"/>
    <w:rsid w:val="007B4E80"/>
    <w:rsid w:val="007B50CF"/>
    <w:rsid w:val="007B510A"/>
    <w:rsid w:val="007B54F5"/>
    <w:rsid w:val="007B5659"/>
    <w:rsid w:val="007B5983"/>
    <w:rsid w:val="007B59AB"/>
    <w:rsid w:val="007B5B9F"/>
    <w:rsid w:val="007B5D5B"/>
    <w:rsid w:val="007B5F0B"/>
    <w:rsid w:val="007B5F6E"/>
    <w:rsid w:val="007B5FA7"/>
    <w:rsid w:val="007B61F2"/>
    <w:rsid w:val="007B6202"/>
    <w:rsid w:val="007B6205"/>
    <w:rsid w:val="007B6303"/>
    <w:rsid w:val="007B631A"/>
    <w:rsid w:val="007B65A7"/>
    <w:rsid w:val="007B6629"/>
    <w:rsid w:val="007B69B6"/>
    <w:rsid w:val="007B6A48"/>
    <w:rsid w:val="007B6ABE"/>
    <w:rsid w:val="007B6B31"/>
    <w:rsid w:val="007B6DFA"/>
    <w:rsid w:val="007B6F58"/>
    <w:rsid w:val="007B6F93"/>
    <w:rsid w:val="007B6FBA"/>
    <w:rsid w:val="007B7209"/>
    <w:rsid w:val="007B72F7"/>
    <w:rsid w:val="007B7514"/>
    <w:rsid w:val="007B75B9"/>
    <w:rsid w:val="007B76FD"/>
    <w:rsid w:val="007B793D"/>
    <w:rsid w:val="007B7B2C"/>
    <w:rsid w:val="007B7C12"/>
    <w:rsid w:val="007B7C5A"/>
    <w:rsid w:val="007C040F"/>
    <w:rsid w:val="007C0888"/>
    <w:rsid w:val="007C09D8"/>
    <w:rsid w:val="007C0B67"/>
    <w:rsid w:val="007C0BE2"/>
    <w:rsid w:val="007C0CFA"/>
    <w:rsid w:val="007C0FEF"/>
    <w:rsid w:val="007C110B"/>
    <w:rsid w:val="007C1194"/>
    <w:rsid w:val="007C11B3"/>
    <w:rsid w:val="007C1262"/>
    <w:rsid w:val="007C13D9"/>
    <w:rsid w:val="007C142F"/>
    <w:rsid w:val="007C146D"/>
    <w:rsid w:val="007C14CE"/>
    <w:rsid w:val="007C1679"/>
    <w:rsid w:val="007C179E"/>
    <w:rsid w:val="007C192F"/>
    <w:rsid w:val="007C197C"/>
    <w:rsid w:val="007C19F4"/>
    <w:rsid w:val="007C1ADE"/>
    <w:rsid w:val="007C1B6C"/>
    <w:rsid w:val="007C1C6A"/>
    <w:rsid w:val="007C2182"/>
    <w:rsid w:val="007C261C"/>
    <w:rsid w:val="007C2A6B"/>
    <w:rsid w:val="007C2AF3"/>
    <w:rsid w:val="007C2AFA"/>
    <w:rsid w:val="007C2BE2"/>
    <w:rsid w:val="007C2C26"/>
    <w:rsid w:val="007C2C33"/>
    <w:rsid w:val="007C2EFC"/>
    <w:rsid w:val="007C2F1B"/>
    <w:rsid w:val="007C2F26"/>
    <w:rsid w:val="007C2F44"/>
    <w:rsid w:val="007C3226"/>
    <w:rsid w:val="007C3356"/>
    <w:rsid w:val="007C3430"/>
    <w:rsid w:val="007C343E"/>
    <w:rsid w:val="007C3769"/>
    <w:rsid w:val="007C397F"/>
    <w:rsid w:val="007C3A50"/>
    <w:rsid w:val="007C3A94"/>
    <w:rsid w:val="007C3B7A"/>
    <w:rsid w:val="007C3BA1"/>
    <w:rsid w:val="007C3C63"/>
    <w:rsid w:val="007C3EE8"/>
    <w:rsid w:val="007C3F71"/>
    <w:rsid w:val="007C3FEB"/>
    <w:rsid w:val="007C402B"/>
    <w:rsid w:val="007C41AD"/>
    <w:rsid w:val="007C4553"/>
    <w:rsid w:val="007C45EA"/>
    <w:rsid w:val="007C4714"/>
    <w:rsid w:val="007C4795"/>
    <w:rsid w:val="007C4957"/>
    <w:rsid w:val="007C496E"/>
    <w:rsid w:val="007C4B4A"/>
    <w:rsid w:val="007C4BF7"/>
    <w:rsid w:val="007C4C5B"/>
    <w:rsid w:val="007C4C95"/>
    <w:rsid w:val="007C4CB9"/>
    <w:rsid w:val="007C4FB3"/>
    <w:rsid w:val="007C4FDF"/>
    <w:rsid w:val="007C50C2"/>
    <w:rsid w:val="007C522E"/>
    <w:rsid w:val="007C52C8"/>
    <w:rsid w:val="007C544B"/>
    <w:rsid w:val="007C553B"/>
    <w:rsid w:val="007C556A"/>
    <w:rsid w:val="007C5594"/>
    <w:rsid w:val="007C5925"/>
    <w:rsid w:val="007C596C"/>
    <w:rsid w:val="007C5A69"/>
    <w:rsid w:val="007C5A84"/>
    <w:rsid w:val="007C5AA0"/>
    <w:rsid w:val="007C5B5A"/>
    <w:rsid w:val="007C5C7C"/>
    <w:rsid w:val="007C5D04"/>
    <w:rsid w:val="007C5E58"/>
    <w:rsid w:val="007C5E72"/>
    <w:rsid w:val="007C5F97"/>
    <w:rsid w:val="007C60F8"/>
    <w:rsid w:val="007C61C6"/>
    <w:rsid w:val="007C62E6"/>
    <w:rsid w:val="007C6489"/>
    <w:rsid w:val="007C6562"/>
    <w:rsid w:val="007C666E"/>
    <w:rsid w:val="007C667B"/>
    <w:rsid w:val="007C692B"/>
    <w:rsid w:val="007C6AAC"/>
    <w:rsid w:val="007C6BBD"/>
    <w:rsid w:val="007C6CCE"/>
    <w:rsid w:val="007C6DE7"/>
    <w:rsid w:val="007C6EA8"/>
    <w:rsid w:val="007C6F30"/>
    <w:rsid w:val="007C713B"/>
    <w:rsid w:val="007C72FB"/>
    <w:rsid w:val="007C7301"/>
    <w:rsid w:val="007C747F"/>
    <w:rsid w:val="007C74E0"/>
    <w:rsid w:val="007C7653"/>
    <w:rsid w:val="007C775E"/>
    <w:rsid w:val="007C7BAD"/>
    <w:rsid w:val="007C7BE3"/>
    <w:rsid w:val="007C7D34"/>
    <w:rsid w:val="007C7DDD"/>
    <w:rsid w:val="007D012C"/>
    <w:rsid w:val="007D031C"/>
    <w:rsid w:val="007D0620"/>
    <w:rsid w:val="007D066D"/>
    <w:rsid w:val="007D06FB"/>
    <w:rsid w:val="007D07C9"/>
    <w:rsid w:val="007D07CF"/>
    <w:rsid w:val="007D0864"/>
    <w:rsid w:val="007D08F0"/>
    <w:rsid w:val="007D0A1E"/>
    <w:rsid w:val="007D0BDE"/>
    <w:rsid w:val="007D0C15"/>
    <w:rsid w:val="007D0E93"/>
    <w:rsid w:val="007D1255"/>
    <w:rsid w:val="007D13C6"/>
    <w:rsid w:val="007D1614"/>
    <w:rsid w:val="007D163C"/>
    <w:rsid w:val="007D1649"/>
    <w:rsid w:val="007D1BAD"/>
    <w:rsid w:val="007D1BFE"/>
    <w:rsid w:val="007D1C01"/>
    <w:rsid w:val="007D1CF9"/>
    <w:rsid w:val="007D1D1D"/>
    <w:rsid w:val="007D1D37"/>
    <w:rsid w:val="007D1E7C"/>
    <w:rsid w:val="007D1F8A"/>
    <w:rsid w:val="007D2114"/>
    <w:rsid w:val="007D2139"/>
    <w:rsid w:val="007D23DE"/>
    <w:rsid w:val="007D24F3"/>
    <w:rsid w:val="007D2654"/>
    <w:rsid w:val="007D273C"/>
    <w:rsid w:val="007D2A85"/>
    <w:rsid w:val="007D2AF0"/>
    <w:rsid w:val="007D2B6D"/>
    <w:rsid w:val="007D30FA"/>
    <w:rsid w:val="007D3119"/>
    <w:rsid w:val="007D3225"/>
    <w:rsid w:val="007D3399"/>
    <w:rsid w:val="007D33F1"/>
    <w:rsid w:val="007D356A"/>
    <w:rsid w:val="007D357F"/>
    <w:rsid w:val="007D3A06"/>
    <w:rsid w:val="007D3C42"/>
    <w:rsid w:val="007D3DD1"/>
    <w:rsid w:val="007D40B3"/>
    <w:rsid w:val="007D412C"/>
    <w:rsid w:val="007D42BE"/>
    <w:rsid w:val="007D465C"/>
    <w:rsid w:val="007D4776"/>
    <w:rsid w:val="007D482F"/>
    <w:rsid w:val="007D4843"/>
    <w:rsid w:val="007D4850"/>
    <w:rsid w:val="007D4985"/>
    <w:rsid w:val="007D4A33"/>
    <w:rsid w:val="007D4B2D"/>
    <w:rsid w:val="007D4B3E"/>
    <w:rsid w:val="007D4BE4"/>
    <w:rsid w:val="007D4C46"/>
    <w:rsid w:val="007D4F9A"/>
    <w:rsid w:val="007D4FB6"/>
    <w:rsid w:val="007D4FB9"/>
    <w:rsid w:val="007D5233"/>
    <w:rsid w:val="007D54A1"/>
    <w:rsid w:val="007D552B"/>
    <w:rsid w:val="007D55AD"/>
    <w:rsid w:val="007D5718"/>
    <w:rsid w:val="007D576D"/>
    <w:rsid w:val="007D59B4"/>
    <w:rsid w:val="007D59B8"/>
    <w:rsid w:val="007D5AA6"/>
    <w:rsid w:val="007D5DEC"/>
    <w:rsid w:val="007D5EDB"/>
    <w:rsid w:val="007D5FF8"/>
    <w:rsid w:val="007D62EA"/>
    <w:rsid w:val="007D673B"/>
    <w:rsid w:val="007D6768"/>
    <w:rsid w:val="007D67C6"/>
    <w:rsid w:val="007D6A4C"/>
    <w:rsid w:val="007D6BB3"/>
    <w:rsid w:val="007D708A"/>
    <w:rsid w:val="007D718B"/>
    <w:rsid w:val="007D7289"/>
    <w:rsid w:val="007D78F4"/>
    <w:rsid w:val="007D7985"/>
    <w:rsid w:val="007D7DB3"/>
    <w:rsid w:val="007D7DC2"/>
    <w:rsid w:val="007D7E41"/>
    <w:rsid w:val="007D7E43"/>
    <w:rsid w:val="007D7EC1"/>
    <w:rsid w:val="007E002D"/>
    <w:rsid w:val="007E0315"/>
    <w:rsid w:val="007E0471"/>
    <w:rsid w:val="007E0549"/>
    <w:rsid w:val="007E0B40"/>
    <w:rsid w:val="007E0C8B"/>
    <w:rsid w:val="007E0EBD"/>
    <w:rsid w:val="007E0EEF"/>
    <w:rsid w:val="007E1007"/>
    <w:rsid w:val="007E1278"/>
    <w:rsid w:val="007E12C8"/>
    <w:rsid w:val="007E136F"/>
    <w:rsid w:val="007E1395"/>
    <w:rsid w:val="007E13BB"/>
    <w:rsid w:val="007E1552"/>
    <w:rsid w:val="007E155C"/>
    <w:rsid w:val="007E1589"/>
    <w:rsid w:val="007E176F"/>
    <w:rsid w:val="007E183D"/>
    <w:rsid w:val="007E18AB"/>
    <w:rsid w:val="007E1C27"/>
    <w:rsid w:val="007E1DA6"/>
    <w:rsid w:val="007E1DC7"/>
    <w:rsid w:val="007E1F8C"/>
    <w:rsid w:val="007E22BB"/>
    <w:rsid w:val="007E22F4"/>
    <w:rsid w:val="007E2343"/>
    <w:rsid w:val="007E234B"/>
    <w:rsid w:val="007E24BB"/>
    <w:rsid w:val="007E258C"/>
    <w:rsid w:val="007E25EC"/>
    <w:rsid w:val="007E2773"/>
    <w:rsid w:val="007E27D3"/>
    <w:rsid w:val="007E290C"/>
    <w:rsid w:val="007E2AB9"/>
    <w:rsid w:val="007E2B8E"/>
    <w:rsid w:val="007E2F05"/>
    <w:rsid w:val="007E3060"/>
    <w:rsid w:val="007E307C"/>
    <w:rsid w:val="007E31FE"/>
    <w:rsid w:val="007E322E"/>
    <w:rsid w:val="007E3268"/>
    <w:rsid w:val="007E328B"/>
    <w:rsid w:val="007E3331"/>
    <w:rsid w:val="007E348C"/>
    <w:rsid w:val="007E39EB"/>
    <w:rsid w:val="007E3AB4"/>
    <w:rsid w:val="007E3AD2"/>
    <w:rsid w:val="007E3B4C"/>
    <w:rsid w:val="007E3B59"/>
    <w:rsid w:val="007E3DD4"/>
    <w:rsid w:val="007E3E35"/>
    <w:rsid w:val="007E3ED3"/>
    <w:rsid w:val="007E42F2"/>
    <w:rsid w:val="007E44C2"/>
    <w:rsid w:val="007E459F"/>
    <w:rsid w:val="007E46B3"/>
    <w:rsid w:val="007E483B"/>
    <w:rsid w:val="007E4894"/>
    <w:rsid w:val="007E48DF"/>
    <w:rsid w:val="007E493B"/>
    <w:rsid w:val="007E5041"/>
    <w:rsid w:val="007E5056"/>
    <w:rsid w:val="007E50D2"/>
    <w:rsid w:val="007E5147"/>
    <w:rsid w:val="007E54E7"/>
    <w:rsid w:val="007E553B"/>
    <w:rsid w:val="007E5759"/>
    <w:rsid w:val="007E5992"/>
    <w:rsid w:val="007E5A12"/>
    <w:rsid w:val="007E5B9E"/>
    <w:rsid w:val="007E5BAE"/>
    <w:rsid w:val="007E5EA8"/>
    <w:rsid w:val="007E613D"/>
    <w:rsid w:val="007E6291"/>
    <w:rsid w:val="007E6433"/>
    <w:rsid w:val="007E6456"/>
    <w:rsid w:val="007E6489"/>
    <w:rsid w:val="007E65A5"/>
    <w:rsid w:val="007E66FA"/>
    <w:rsid w:val="007E6767"/>
    <w:rsid w:val="007E6A23"/>
    <w:rsid w:val="007E6B77"/>
    <w:rsid w:val="007E6BAE"/>
    <w:rsid w:val="007E6D2B"/>
    <w:rsid w:val="007E6DB9"/>
    <w:rsid w:val="007E7439"/>
    <w:rsid w:val="007E7486"/>
    <w:rsid w:val="007E7616"/>
    <w:rsid w:val="007E763F"/>
    <w:rsid w:val="007E7780"/>
    <w:rsid w:val="007E783D"/>
    <w:rsid w:val="007E7897"/>
    <w:rsid w:val="007E7A30"/>
    <w:rsid w:val="007E7B3E"/>
    <w:rsid w:val="007E7C0B"/>
    <w:rsid w:val="007E7DAE"/>
    <w:rsid w:val="007E7FAE"/>
    <w:rsid w:val="007F0009"/>
    <w:rsid w:val="007F008A"/>
    <w:rsid w:val="007F0115"/>
    <w:rsid w:val="007F013C"/>
    <w:rsid w:val="007F02A0"/>
    <w:rsid w:val="007F036B"/>
    <w:rsid w:val="007F0385"/>
    <w:rsid w:val="007F03F6"/>
    <w:rsid w:val="007F044A"/>
    <w:rsid w:val="007F0518"/>
    <w:rsid w:val="007F051D"/>
    <w:rsid w:val="007F0649"/>
    <w:rsid w:val="007F0913"/>
    <w:rsid w:val="007F09B8"/>
    <w:rsid w:val="007F0B00"/>
    <w:rsid w:val="007F0B54"/>
    <w:rsid w:val="007F0BF8"/>
    <w:rsid w:val="007F0C54"/>
    <w:rsid w:val="007F0C75"/>
    <w:rsid w:val="007F0C92"/>
    <w:rsid w:val="007F0CFB"/>
    <w:rsid w:val="007F0E16"/>
    <w:rsid w:val="007F0E50"/>
    <w:rsid w:val="007F0E9C"/>
    <w:rsid w:val="007F0EBC"/>
    <w:rsid w:val="007F1015"/>
    <w:rsid w:val="007F103E"/>
    <w:rsid w:val="007F1052"/>
    <w:rsid w:val="007F1118"/>
    <w:rsid w:val="007F11A4"/>
    <w:rsid w:val="007F1383"/>
    <w:rsid w:val="007F14EB"/>
    <w:rsid w:val="007F14EC"/>
    <w:rsid w:val="007F152A"/>
    <w:rsid w:val="007F19C4"/>
    <w:rsid w:val="007F19DA"/>
    <w:rsid w:val="007F1A32"/>
    <w:rsid w:val="007F1CA1"/>
    <w:rsid w:val="007F1E94"/>
    <w:rsid w:val="007F20AA"/>
    <w:rsid w:val="007F21F6"/>
    <w:rsid w:val="007F22C0"/>
    <w:rsid w:val="007F2362"/>
    <w:rsid w:val="007F2422"/>
    <w:rsid w:val="007F245A"/>
    <w:rsid w:val="007F24BF"/>
    <w:rsid w:val="007F25E1"/>
    <w:rsid w:val="007F26EC"/>
    <w:rsid w:val="007F27A6"/>
    <w:rsid w:val="007F27C5"/>
    <w:rsid w:val="007F2967"/>
    <w:rsid w:val="007F2ABB"/>
    <w:rsid w:val="007F2FC3"/>
    <w:rsid w:val="007F327B"/>
    <w:rsid w:val="007F32D3"/>
    <w:rsid w:val="007F33D6"/>
    <w:rsid w:val="007F342A"/>
    <w:rsid w:val="007F3441"/>
    <w:rsid w:val="007F344E"/>
    <w:rsid w:val="007F346F"/>
    <w:rsid w:val="007F3610"/>
    <w:rsid w:val="007F36D1"/>
    <w:rsid w:val="007F3708"/>
    <w:rsid w:val="007F39B5"/>
    <w:rsid w:val="007F3A6D"/>
    <w:rsid w:val="007F3A7F"/>
    <w:rsid w:val="007F3AF3"/>
    <w:rsid w:val="007F3D74"/>
    <w:rsid w:val="007F3D9E"/>
    <w:rsid w:val="007F3E0C"/>
    <w:rsid w:val="007F40D2"/>
    <w:rsid w:val="007F4151"/>
    <w:rsid w:val="007F429C"/>
    <w:rsid w:val="007F435F"/>
    <w:rsid w:val="007F43F8"/>
    <w:rsid w:val="007F4A0A"/>
    <w:rsid w:val="007F4A7E"/>
    <w:rsid w:val="007F4B56"/>
    <w:rsid w:val="007F4C56"/>
    <w:rsid w:val="007F4DAF"/>
    <w:rsid w:val="007F4F4E"/>
    <w:rsid w:val="007F50F6"/>
    <w:rsid w:val="007F520E"/>
    <w:rsid w:val="007F5316"/>
    <w:rsid w:val="007F5337"/>
    <w:rsid w:val="007F5370"/>
    <w:rsid w:val="007F550C"/>
    <w:rsid w:val="007F55C8"/>
    <w:rsid w:val="007F573C"/>
    <w:rsid w:val="007F582E"/>
    <w:rsid w:val="007F590D"/>
    <w:rsid w:val="007F593B"/>
    <w:rsid w:val="007F5C42"/>
    <w:rsid w:val="007F5E74"/>
    <w:rsid w:val="007F6077"/>
    <w:rsid w:val="007F60BA"/>
    <w:rsid w:val="007F60BB"/>
    <w:rsid w:val="007F6133"/>
    <w:rsid w:val="007F621F"/>
    <w:rsid w:val="007F6616"/>
    <w:rsid w:val="007F6958"/>
    <w:rsid w:val="007F6A6B"/>
    <w:rsid w:val="007F6ACF"/>
    <w:rsid w:val="007F6B28"/>
    <w:rsid w:val="007F6B7F"/>
    <w:rsid w:val="007F6E3B"/>
    <w:rsid w:val="007F6E47"/>
    <w:rsid w:val="007F6F6D"/>
    <w:rsid w:val="007F7226"/>
    <w:rsid w:val="007F75C2"/>
    <w:rsid w:val="007F76EB"/>
    <w:rsid w:val="007F798F"/>
    <w:rsid w:val="007F79A6"/>
    <w:rsid w:val="007F7A55"/>
    <w:rsid w:val="007F7A8A"/>
    <w:rsid w:val="007F7D87"/>
    <w:rsid w:val="00800045"/>
    <w:rsid w:val="0080006A"/>
    <w:rsid w:val="008000E4"/>
    <w:rsid w:val="00800907"/>
    <w:rsid w:val="00800931"/>
    <w:rsid w:val="00800993"/>
    <w:rsid w:val="00800B3C"/>
    <w:rsid w:val="00800C7E"/>
    <w:rsid w:val="00800D41"/>
    <w:rsid w:val="00800D59"/>
    <w:rsid w:val="00800D9C"/>
    <w:rsid w:val="0080115E"/>
    <w:rsid w:val="00801196"/>
    <w:rsid w:val="0080125A"/>
    <w:rsid w:val="0080132C"/>
    <w:rsid w:val="008018E3"/>
    <w:rsid w:val="00801B66"/>
    <w:rsid w:val="00801C07"/>
    <w:rsid w:val="00801CEE"/>
    <w:rsid w:val="00801D5C"/>
    <w:rsid w:val="00801D62"/>
    <w:rsid w:val="008020E0"/>
    <w:rsid w:val="00802109"/>
    <w:rsid w:val="00802312"/>
    <w:rsid w:val="00802594"/>
    <w:rsid w:val="0080278B"/>
    <w:rsid w:val="0080283E"/>
    <w:rsid w:val="00802AED"/>
    <w:rsid w:val="00802D74"/>
    <w:rsid w:val="00803155"/>
    <w:rsid w:val="0080315C"/>
    <w:rsid w:val="008032E6"/>
    <w:rsid w:val="00803399"/>
    <w:rsid w:val="008034F0"/>
    <w:rsid w:val="008038BB"/>
    <w:rsid w:val="00804262"/>
    <w:rsid w:val="008043B4"/>
    <w:rsid w:val="008043EA"/>
    <w:rsid w:val="008043EE"/>
    <w:rsid w:val="008044E3"/>
    <w:rsid w:val="00804677"/>
    <w:rsid w:val="008046D5"/>
    <w:rsid w:val="00804775"/>
    <w:rsid w:val="0080498A"/>
    <w:rsid w:val="00804A88"/>
    <w:rsid w:val="00805046"/>
    <w:rsid w:val="008051A5"/>
    <w:rsid w:val="00805371"/>
    <w:rsid w:val="00805417"/>
    <w:rsid w:val="008054A7"/>
    <w:rsid w:val="00805623"/>
    <w:rsid w:val="00805647"/>
    <w:rsid w:val="00805673"/>
    <w:rsid w:val="00805711"/>
    <w:rsid w:val="008057D0"/>
    <w:rsid w:val="008058AC"/>
    <w:rsid w:val="00805B35"/>
    <w:rsid w:val="00805D3B"/>
    <w:rsid w:val="00805D5A"/>
    <w:rsid w:val="00805F44"/>
    <w:rsid w:val="00806038"/>
    <w:rsid w:val="0080614F"/>
    <w:rsid w:val="008061A4"/>
    <w:rsid w:val="008061D9"/>
    <w:rsid w:val="00806300"/>
    <w:rsid w:val="00806336"/>
    <w:rsid w:val="00806395"/>
    <w:rsid w:val="008063DE"/>
    <w:rsid w:val="00806454"/>
    <w:rsid w:val="00806507"/>
    <w:rsid w:val="008068B0"/>
    <w:rsid w:val="008068B6"/>
    <w:rsid w:val="008068D5"/>
    <w:rsid w:val="00806A18"/>
    <w:rsid w:val="00806ADB"/>
    <w:rsid w:val="00806F14"/>
    <w:rsid w:val="00806F67"/>
    <w:rsid w:val="00807066"/>
    <w:rsid w:val="0080743C"/>
    <w:rsid w:val="008074A0"/>
    <w:rsid w:val="008074BD"/>
    <w:rsid w:val="008074CE"/>
    <w:rsid w:val="00807518"/>
    <w:rsid w:val="00807539"/>
    <w:rsid w:val="0080756C"/>
    <w:rsid w:val="00807580"/>
    <w:rsid w:val="00807887"/>
    <w:rsid w:val="008078F1"/>
    <w:rsid w:val="008079D0"/>
    <w:rsid w:val="00807BA8"/>
    <w:rsid w:val="00807CF3"/>
    <w:rsid w:val="00807DFD"/>
    <w:rsid w:val="00807E22"/>
    <w:rsid w:val="00807E29"/>
    <w:rsid w:val="00807E7C"/>
    <w:rsid w:val="00807EB0"/>
    <w:rsid w:val="00810015"/>
    <w:rsid w:val="00810171"/>
    <w:rsid w:val="00810200"/>
    <w:rsid w:val="00810318"/>
    <w:rsid w:val="00810356"/>
    <w:rsid w:val="008103E7"/>
    <w:rsid w:val="00810643"/>
    <w:rsid w:val="00810741"/>
    <w:rsid w:val="00810768"/>
    <w:rsid w:val="0081092E"/>
    <w:rsid w:val="008109EE"/>
    <w:rsid w:val="00810CBE"/>
    <w:rsid w:val="00810D9A"/>
    <w:rsid w:val="00810E3A"/>
    <w:rsid w:val="00810E71"/>
    <w:rsid w:val="00810E79"/>
    <w:rsid w:val="00810E8D"/>
    <w:rsid w:val="008110EE"/>
    <w:rsid w:val="00811125"/>
    <w:rsid w:val="0081114B"/>
    <w:rsid w:val="00811226"/>
    <w:rsid w:val="0081128F"/>
    <w:rsid w:val="008112DA"/>
    <w:rsid w:val="008113B5"/>
    <w:rsid w:val="00811538"/>
    <w:rsid w:val="00811578"/>
    <w:rsid w:val="008116EE"/>
    <w:rsid w:val="00811847"/>
    <w:rsid w:val="0081188E"/>
    <w:rsid w:val="00811981"/>
    <w:rsid w:val="00811A26"/>
    <w:rsid w:val="00811E2B"/>
    <w:rsid w:val="00811F14"/>
    <w:rsid w:val="00811F4D"/>
    <w:rsid w:val="00811F8E"/>
    <w:rsid w:val="00812085"/>
    <w:rsid w:val="008122F9"/>
    <w:rsid w:val="0081241A"/>
    <w:rsid w:val="00812887"/>
    <w:rsid w:val="0081292F"/>
    <w:rsid w:val="00812992"/>
    <w:rsid w:val="00812A07"/>
    <w:rsid w:val="00812A86"/>
    <w:rsid w:val="00812AEB"/>
    <w:rsid w:val="00812B70"/>
    <w:rsid w:val="00812C01"/>
    <w:rsid w:val="00812E11"/>
    <w:rsid w:val="00812EF1"/>
    <w:rsid w:val="00812FBB"/>
    <w:rsid w:val="0081300F"/>
    <w:rsid w:val="00813031"/>
    <w:rsid w:val="0081310F"/>
    <w:rsid w:val="008136C6"/>
    <w:rsid w:val="0081382A"/>
    <w:rsid w:val="00813867"/>
    <w:rsid w:val="008139C4"/>
    <w:rsid w:val="00813C5B"/>
    <w:rsid w:val="00813D06"/>
    <w:rsid w:val="00813E90"/>
    <w:rsid w:val="0081409A"/>
    <w:rsid w:val="0081429D"/>
    <w:rsid w:val="008144B5"/>
    <w:rsid w:val="0081483E"/>
    <w:rsid w:val="00814874"/>
    <w:rsid w:val="00814B65"/>
    <w:rsid w:val="00814D5F"/>
    <w:rsid w:val="00814DD8"/>
    <w:rsid w:val="00814EF8"/>
    <w:rsid w:val="008154CC"/>
    <w:rsid w:val="00815666"/>
    <w:rsid w:val="008156E4"/>
    <w:rsid w:val="00815A2A"/>
    <w:rsid w:val="00815B0C"/>
    <w:rsid w:val="00815C39"/>
    <w:rsid w:val="00815D1F"/>
    <w:rsid w:val="00815DDB"/>
    <w:rsid w:val="00816123"/>
    <w:rsid w:val="0081617C"/>
    <w:rsid w:val="008163B1"/>
    <w:rsid w:val="008163FD"/>
    <w:rsid w:val="00816437"/>
    <w:rsid w:val="00816A9E"/>
    <w:rsid w:val="00816AC3"/>
    <w:rsid w:val="00817179"/>
    <w:rsid w:val="00817192"/>
    <w:rsid w:val="00817197"/>
    <w:rsid w:val="008171BE"/>
    <w:rsid w:val="00817349"/>
    <w:rsid w:val="00817460"/>
    <w:rsid w:val="00817549"/>
    <w:rsid w:val="008177A5"/>
    <w:rsid w:val="008177EE"/>
    <w:rsid w:val="008178B7"/>
    <w:rsid w:val="008179C2"/>
    <w:rsid w:val="00817B30"/>
    <w:rsid w:val="00817BE4"/>
    <w:rsid w:val="00817CB9"/>
    <w:rsid w:val="00817CF1"/>
    <w:rsid w:val="00817F1A"/>
    <w:rsid w:val="00817FCC"/>
    <w:rsid w:val="00817FF0"/>
    <w:rsid w:val="00820040"/>
    <w:rsid w:val="00820255"/>
    <w:rsid w:val="00820326"/>
    <w:rsid w:val="00820638"/>
    <w:rsid w:val="00820667"/>
    <w:rsid w:val="00820752"/>
    <w:rsid w:val="00820795"/>
    <w:rsid w:val="00820832"/>
    <w:rsid w:val="00820919"/>
    <w:rsid w:val="008209B4"/>
    <w:rsid w:val="00820ABB"/>
    <w:rsid w:val="00820B63"/>
    <w:rsid w:val="00820C29"/>
    <w:rsid w:val="00820C7A"/>
    <w:rsid w:val="00820D14"/>
    <w:rsid w:val="00820E47"/>
    <w:rsid w:val="00820EC0"/>
    <w:rsid w:val="00821489"/>
    <w:rsid w:val="008215C9"/>
    <w:rsid w:val="008217E8"/>
    <w:rsid w:val="00821A0D"/>
    <w:rsid w:val="00821CF7"/>
    <w:rsid w:val="00821FD2"/>
    <w:rsid w:val="008220EE"/>
    <w:rsid w:val="008221A3"/>
    <w:rsid w:val="008223FE"/>
    <w:rsid w:val="008226C6"/>
    <w:rsid w:val="008226DA"/>
    <w:rsid w:val="00822706"/>
    <w:rsid w:val="0082274A"/>
    <w:rsid w:val="00822897"/>
    <w:rsid w:val="008228F9"/>
    <w:rsid w:val="00822941"/>
    <w:rsid w:val="008229B2"/>
    <w:rsid w:val="008229F5"/>
    <w:rsid w:val="00822A9E"/>
    <w:rsid w:val="00822B19"/>
    <w:rsid w:val="00822B3A"/>
    <w:rsid w:val="00822B9C"/>
    <w:rsid w:val="00822CC7"/>
    <w:rsid w:val="00822E1C"/>
    <w:rsid w:val="00822F0D"/>
    <w:rsid w:val="00822F47"/>
    <w:rsid w:val="00822F64"/>
    <w:rsid w:val="00822FD6"/>
    <w:rsid w:val="00823070"/>
    <w:rsid w:val="0082325A"/>
    <w:rsid w:val="00823424"/>
    <w:rsid w:val="00823431"/>
    <w:rsid w:val="008234F0"/>
    <w:rsid w:val="00823593"/>
    <w:rsid w:val="008235EE"/>
    <w:rsid w:val="0082367F"/>
    <w:rsid w:val="00823769"/>
    <w:rsid w:val="008238A1"/>
    <w:rsid w:val="0082390B"/>
    <w:rsid w:val="00823A66"/>
    <w:rsid w:val="00823E2D"/>
    <w:rsid w:val="00823E5B"/>
    <w:rsid w:val="008242E4"/>
    <w:rsid w:val="0082434F"/>
    <w:rsid w:val="008244B0"/>
    <w:rsid w:val="008245BA"/>
    <w:rsid w:val="00824650"/>
    <w:rsid w:val="008248C3"/>
    <w:rsid w:val="0082553A"/>
    <w:rsid w:val="00825560"/>
    <w:rsid w:val="008255A0"/>
    <w:rsid w:val="00825600"/>
    <w:rsid w:val="0082569A"/>
    <w:rsid w:val="008257CD"/>
    <w:rsid w:val="00825896"/>
    <w:rsid w:val="00825AC4"/>
    <w:rsid w:val="00825EE1"/>
    <w:rsid w:val="00825F5C"/>
    <w:rsid w:val="00825F61"/>
    <w:rsid w:val="00825F94"/>
    <w:rsid w:val="00826046"/>
    <w:rsid w:val="0082623B"/>
    <w:rsid w:val="008262AB"/>
    <w:rsid w:val="0082639B"/>
    <w:rsid w:val="008263E6"/>
    <w:rsid w:val="0082649D"/>
    <w:rsid w:val="008265A1"/>
    <w:rsid w:val="008266E9"/>
    <w:rsid w:val="00826885"/>
    <w:rsid w:val="008268F2"/>
    <w:rsid w:val="00826AB0"/>
    <w:rsid w:val="00826B97"/>
    <w:rsid w:val="00826C47"/>
    <w:rsid w:val="00827490"/>
    <w:rsid w:val="008276BE"/>
    <w:rsid w:val="0082793B"/>
    <w:rsid w:val="008279D3"/>
    <w:rsid w:val="00827AE4"/>
    <w:rsid w:val="00827B2A"/>
    <w:rsid w:val="00827E15"/>
    <w:rsid w:val="00827FEE"/>
    <w:rsid w:val="00827FFE"/>
    <w:rsid w:val="008301CD"/>
    <w:rsid w:val="00830269"/>
    <w:rsid w:val="00830329"/>
    <w:rsid w:val="00830989"/>
    <w:rsid w:val="008309CF"/>
    <w:rsid w:val="008309F0"/>
    <w:rsid w:val="00830CDD"/>
    <w:rsid w:val="00830E11"/>
    <w:rsid w:val="0083143F"/>
    <w:rsid w:val="0083153A"/>
    <w:rsid w:val="00831602"/>
    <w:rsid w:val="00831648"/>
    <w:rsid w:val="008317DF"/>
    <w:rsid w:val="00831816"/>
    <w:rsid w:val="008319AE"/>
    <w:rsid w:val="008319DC"/>
    <w:rsid w:val="00831A2F"/>
    <w:rsid w:val="00831AB0"/>
    <w:rsid w:val="00831B34"/>
    <w:rsid w:val="00831B51"/>
    <w:rsid w:val="00831C1A"/>
    <w:rsid w:val="00831C23"/>
    <w:rsid w:val="00831FA2"/>
    <w:rsid w:val="00832038"/>
    <w:rsid w:val="0083228B"/>
    <w:rsid w:val="008322DF"/>
    <w:rsid w:val="00832401"/>
    <w:rsid w:val="0083240D"/>
    <w:rsid w:val="0083258A"/>
    <w:rsid w:val="008328F0"/>
    <w:rsid w:val="0083290F"/>
    <w:rsid w:val="008329DB"/>
    <w:rsid w:val="00832B0B"/>
    <w:rsid w:val="00832B2B"/>
    <w:rsid w:val="00832B57"/>
    <w:rsid w:val="00832C25"/>
    <w:rsid w:val="00832D6F"/>
    <w:rsid w:val="00832E74"/>
    <w:rsid w:val="00832EEA"/>
    <w:rsid w:val="00832FDA"/>
    <w:rsid w:val="00833187"/>
    <w:rsid w:val="00833275"/>
    <w:rsid w:val="00833307"/>
    <w:rsid w:val="0083342A"/>
    <w:rsid w:val="0083349C"/>
    <w:rsid w:val="0083355C"/>
    <w:rsid w:val="00833796"/>
    <w:rsid w:val="0083383F"/>
    <w:rsid w:val="00833859"/>
    <w:rsid w:val="0083385E"/>
    <w:rsid w:val="0083387D"/>
    <w:rsid w:val="00833923"/>
    <w:rsid w:val="008339C0"/>
    <w:rsid w:val="00833BA9"/>
    <w:rsid w:val="00833C4E"/>
    <w:rsid w:val="00833F42"/>
    <w:rsid w:val="00833F94"/>
    <w:rsid w:val="008340CD"/>
    <w:rsid w:val="00834243"/>
    <w:rsid w:val="0083424B"/>
    <w:rsid w:val="008343FE"/>
    <w:rsid w:val="00834565"/>
    <w:rsid w:val="0083456D"/>
    <w:rsid w:val="008346B7"/>
    <w:rsid w:val="00834715"/>
    <w:rsid w:val="0083488C"/>
    <w:rsid w:val="00834A5C"/>
    <w:rsid w:val="00834A68"/>
    <w:rsid w:val="00834D47"/>
    <w:rsid w:val="00834FDC"/>
    <w:rsid w:val="00835123"/>
    <w:rsid w:val="008354A4"/>
    <w:rsid w:val="00835B2F"/>
    <w:rsid w:val="00835B60"/>
    <w:rsid w:val="00835BCA"/>
    <w:rsid w:val="00835CA1"/>
    <w:rsid w:val="00835D86"/>
    <w:rsid w:val="00835D96"/>
    <w:rsid w:val="00835E78"/>
    <w:rsid w:val="00836001"/>
    <w:rsid w:val="00836101"/>
    <w:rsid w:val="00836124"/>
    <w:rsid w:val="008361B4"/>
    <w:rsid w:val="008361D8"/>
    <w:rsid w:val="0083621C"/>
    <w:rsid w:val="0083630C"/>
    <w:rsid w:val="00836444"/>
    <w:rsid w:val="008365CC"/>
    <w:rsid w:val="008368AC"/>
    <w:rsid w:val="008368D0"/>
    <w:rsid w:val="008369DA"/>
    <w:rsid w:val="00836A87"/>
    <w:rsid w:val="00836C86"/>
    <w:rsid w:val="00836DE0"/>
    <w:rsid w:val="008370F3"/>
    <w:rsid w:val="008371D8"/>
    <w:rsid w:val="00837303"/>
    <w:rsid w:val="00837372"/>
    <w:rsid w:val="0083757B"/>
    <w:rsid w:val="008375E8"/>
    <w:rsid w:val="00837674"/>
    <w:rsid w:val="008376FF"/>
    <w:rsid w:val="00837733"/>
    <w:rsid w:val="008377C6"/>
    <w:rsid w:val="008377D4"/>
    <w:rsid w:val="008378B5"/>
    <w:rsid w:val="008379B3"/>
    <w:rsid w:val="00837C51"/>
    <w:rsid w:val="00837CD0"/>
    <w:rsid w:val="00837CF5"/>
    <w:rsid w:val="00837F2C"/>
    <w:rsid w:val="00837F97"/>
    <w:rsid w:val="00840205"/>
    <w:rsid w:val="008402EE"/>
    <w:rsid w:val="00840359"/>
    <w:rsid w:val="0084037F"/>
    <w:rsid w:val="0084047F"/>
    <w:rsid w:val="0084049D"/>
    <w:rsid w:val="008409FA"/>
    <w:rsid w:val="00840CF0"/>
    <w:rsid w:val="00840E18"/>
    <w:rsid w:val="00841113"/>
    <w:rsid w:val="00841235"/>
    <w:rsid w:val="008412CB"/>
    <w:rsid w:val="0084156E"/>
    <w:rsid w:val="008416CC"/>
    <w:rsid w:val="008417C8"/>
    <w:rsid w:val="008417FA"/>
    <w:rsid w:val="008419BE"/>
    <w:rsid w:val="008419D0"/>
    <w:rsid w:val="00841C14"/>
    <w:rsid w:val="00841F22"/>
    <w:rsid w:val="0084206E"/>
    <w:rsid w:val="00842158"/>
    <w:rsid w:val="008422F1"/>
    <w:rsid w:val="0084269C"/>
    <w:rsid w:val="00842721"/>
    <w:rsid w:val="00842797"/>
    <w:rsid w:val="00842860"/>
    <w:rsid w:val="008428CE"/>
    <w:rsid w:val="00842915"/>
    <w:rsid w:val="00842A98"/>
    <w:rsid w:val="00842CCA"/>
    <w:rsid w:val="00842ECC"/>
    <w:rsid w:val="00842F59"/>
    <w:rsid w:val="00843116"/>
    <w:rsid w:val="0084323D"/>
    <w:rsid w:val="008432D0"/>
    <w:rsid w:val="008434D3"/>
    <w:rsid w:val="0084361F"/>
    <w:rsid w:val="00843986"/>
    <w:rsid w:val="00843ACC"/>
    <w:rsid w:val="00843ADE"/>
    <w:rsid w:val="00843D9A"/>
    <w:rsid w:val="00844004"/>
    <w:rsid w:val="00844339"/>
    <w:rsid w:val="008444B5"/>
    <w:rsid w:val="0084457A"/>
    <w:rsid w:val="008445E3"/>
    <w:rsid w:val="00844728"/>
    <w:rsid w:val="00844A18"/>
    <w:rsid w:val="00844D95"/>
    <w:rsid w:val="00844EBF"/>
    <w:rsid w:val="00844FFB"/>
    <w:rsid w:val="00845002"/>
    <w:rsid w:val="00845013"/>
    <w:rsid w:val="008451A6"/>
    <w:rsid w:val="008453EC"/>
    <w:rsid w:val="008454AA"/>
    <w:rsid w:val="0084592B"/>
    <w:rsid w:val="00845994"/>
    <w:rsid w:val="008459F7"/>
    <w:rsid w:val="00845AE4"/>
    <w:rsid w:val="00845AFC"/>
    <w:rsid w:val="00845C2F"/>
    <w:rsid w:val="00845C63"/>
    <w:rsid w:val="00845E7C"/>
    <w:rsid w:val="00845EE6"/>
    <w:rsid w:val="00845F6A"/>
    <w:rsid w:val="00845F7B"/>
    <w:rsid w:val="0084658D"/>
    <w:rsid w:val="008465FF"/>
    <w:rsid w:val="00846888"/>
    <w:rsid w:val="00846CE1"/>
    <w:rsid w:val="00846D88"/>
    <w:rsid w:val="00846DC7"/>
    <w:rsid w:val="00846DFD"/>
    <w:rsid w:val="00846F40"/>
    <w:rsid w:val="00846F8F"/>
    <w:rsid w:val="00847225"/>
    <w:rsid w:val="00847336"/>
    <w:rsid w:val="00847658"/>
    <w:rsid w:val="008477E0"/>
    <w:rsid w:val="0084790C"/>
    <w:rsid w:val="0084790F"/>
    <w:rsid w:val="00847932"/>
    <w:rsid w:val="00847A72"/>
    <w:rsid w:val="00847B27"/>
    <w:rsid w:val="00847BD8"/>
    <w:rsid w:val="00847C4A"/>
    <w:rsid w:val="00847C91"/>
    <w:rsid w:val="00847D28"/>
    <w:rsid w:val="00847D5E"/>
    <w:rsid w:val="00847E00"/>
    <w:rsid w:val="00847F09"/>
    <w:rsid w:val="00847FB5"/>
    <w:rsid w:val="0085014F"/>
    <w:rsid w:val="00850234"/>
    <w:rsid w:val="00850593"/>
    <w:rsid w:val="008505D9"/>
    <w:rsid w:val="00850BB1"/>
    <w:rsid w:val="00850D25"/>
    <w:rsid w:val="00850DD3"/>
    <w:rsid w:val="00850EEB"/>
    <w:rsid w:val="008510C5"/>
    <w:rsid w:val="008511B5"/>
    <w:rsid w:val="008512F5"/>
    <w:rsid w:val="00851417"/>
    <w:rsid w:val="0085158A"/>
    <w:rsid w:val="008515C0"/>
    <w:rsid w:val="00851768"/>
    <w:rsid w:val="00851858"/>
    <w:rsid w:val="00851926"/>
    <w:rsid w:val="0085196E"/>
    <w:rsid w:val="008519ED"/>
    <w:rsid w:val="00851B39"/>
    <w:rsid w:val="00851B53"/>
    <w:rsid w:val="00851BC9"/>
    <w:rsid w:val="00851C6D"/>
    <w:rsid w:val="00851C8F"/>
    <w:rsid w:val="00851CB3"/>
    <w:rsid w:val="00851DC1"/>
    <w:rsid w:val="00851EBE"/>
    <w:rsid w:val="00852091"/>
    <w:rsid w:val="008520EC"/>
    <w:rsid w:val="008523B7"/>
    <w:rsid w:val="008525CB"/>
    <w:rsid w:val="008527E5"/>
    <w:rsid w:val="00852875"/>
    <w:rsid w:val="00852938"/>
    <w:rsid w:val="00852996"/>
    <w:rsid w:val="00852CB0"/>
    <w:rsid w:val="00852D20"/>
    <w:rsid w:val="00852DE7"/>
    <w:rsid w:val="00852F2D"/>
    <w:rsid w:val="00853043"/>
    <w:rsid w:val="00853129"/>
    <w:rsid w:val="008532A1"/>
    <w:rsid w:val="00853668"/>
    <w:rsid w:val="00853756"/>
    <w:rsid w:val="00853790"/>
    <w:rsid w:val="008537B8"/>
    <w:rsid w:val="00853896"/>
    <w:rsid w:val="00853A55"/>
    <w:rsid w:val="00853AFA"/>
    <w:rsid w:val="00853B10"/>
    <w:rsid w:val="00853D5D"/>
    <w:rsid w:val="0085402F"/>
    <w:rsid w:val="00854192"/>
    <w:rsid w:val="00854213"/>
    <w:rsid w:val="008543BD"/>
    <w:rsid w:val="00854511"/>
    <w:rsid w:val="00854563"/>
    <w:rsid w:val="0085465C"/>
    <w:rsid w:val="0085476A"/>
    <w:rsid w:val="0085479F"/>
    <w:rsid w:val="00854826"/>
    <w:rsid w:val="00854876"/>
    <w:rsid w:val="00854922"/>
    <w:rsid w:val="00854AD3"/>
    <w:rsid w:val="00854EAC"/>
    <w:rsid w:val="00855022"/>
    <w:rsid w:val="00855239"/>
    <w:rsid w:val="0085523F"/>
    <w:rsid w:val="00855618"/>
    <w:rsid w:val="0085566A"/>
    <w:rsid w:val="0085576E"/>
    <w:rsid w:val="008558CD"/>
    <w:rsid w:val="0085594E"/>
    <w:rsid w:val="0085595F"/>
    <w:rsid w:val="00855AB6"/>
    <w:rsid w:val="00855B08"/>
    <w:rsid w:val="00855C59"/>
    <w:rsid w:val="00855D16"/>
    <w:rsid w:val="00855D90"/>
    <w:rsid w:val="00855D99"/>
    <w:rsid w:val="00855FE9"/>
    <w:rsid w:val="00856000"/>
    <w:rsid w:val="0085624E"/>
    <w:rsid w:val="008562C5"/>
    <w:rsid w:val="00856468"/>
    <w:rsid w:val="00856514"/>
    <w:rsid w:val="00856766"/>
    <w:rsid w:val="008567D8"/>
    <w:rsid w:val="00856A38"/>
    <w:rsid w:val="00856B1A"/>
    <w:rsid w:val="00856C0C"/>
    <w:rsid w:val="00856CB3"/>
    <w:rsid w:val="00856DFD"/>
    <w:rsid w:val="00856DFF"/>
    <w:rsid w:val="00856E9A"/>
    <w:rsid w:val="008570D5"/>
    <w:rsid w:val="0085768E"/>
    <w:rsid w:val="00857969"/>
    <w:rsid w:val="00857A5C"/>
    <w:rsid w:val="00857A7D"/>
    <w:rsid w:val="00857B8B"/>
    <w:rsid w:val="00857C3F"/>
    <w:rsid w:val="00857C94"/>
    <w:rsid w:val="00857F2F"/>
    <w:rsid w:val="00860105"/>
    <w:rsid w:val="0086016A"/>
    <w:rsid w:val="008602D1"/>
    <w:rsid w:val="0086031E"/>
    <w:rsid w:val="00860492"/>
    <w:rsid w:val="0086086C"/>
    <w:rsid w:val="0086093D"/>
    <w:rsid w:val="0086097E"/>
    <w:rsid w:val="00860B8A"/>
    <w:rsid w:val="00860CCF"/>
    <w:rsid w:val="00860D60"/>
    <w:rsid w:val="00860E09"/>
    <w:rsid w:val="00861023"/>
    <w:rsid w:val="0086106D"/>
    <w:rsid w:val="008610DE"/>
    <w:rsid w:val="008611B0"/>
    <w:rsid w:val="00861202"/>
    <w:rsid w:val="00861248"/>
    <w:rsid w:val="008612C5"/>
    <w:rsid w:val="008612F1"/>
    <w:rsid w:val="008613ED"/>
    <w:rsid w:val="00861498"/>
    <w:rsid w:val="00861529"/>
    <w:rsid w:val="0086162F"/>
    <w:rsid w:val="008616FD"/>
    <w:rsid w:val="0086181C"/>
    <w:rsid w:val="00861C5A"/>
    <w:rsid w:val="00861C8A"/>
    <w:rsid w:val="00861DAB"/>
    <w:rsid w:val="00861E66"/>
    <w:rsid w:val="00861F04"/>
    <w:rsid w:val="008620A1"/>
    <w:rsid w:val="008621A5"/>
    <w:rsid w:val="008621FC"/>
    <w:rsid w:val="008622B6"/>
    <w:rsid w:val="00862304"/>
    <w:rsid w:val="008623EF"/>
    <w:rsid w:val="0086244E"/>
    <w:rsid w:val="00862571"/>
    <w:rsid w:val="00862575"/>
    <w:rsid w:val="008626C6"/>
    <w:rsid w:val="008626D0"/>
    <w:rsid w:val="00862763"/>
    <w:rsid w:val="008629B7"/>
    <w:rsid w:val="00862A73"/>
    <w:rsid w:val="00862E89"/>
    <w:rsid w:val="0086307B"/>
    <w:rsid w:val="00863205"/>
    <w:rsid w:val="00863209"/>
    <w:rsid w:val="00863321"/>
    <w:rsid w:val="008634A6"/>
    <w:rsid w:val="00863614"/>
    <w:rsid w:val="008639FE"/>
    <w:rsid w:val="00863C0F"/>
    <w:rsid w:val="00863D94"/>
    <w:rsid w:val="00863E04"/>
    <w:rsid w:val="00863F86"/>
    <w:rsid w:val="008640CB"/>
    <w:rsid w:val="00864122"/>
    <w:rsid w:val="008641A0"/>
    <w:rsid w:val="008644A4"/>
    <w:rsid w:val="008645B5"/>
    <w:rsid w:val="008645D8"/>
    <w:rsid w:val="0086495E"/>
    <w:rsid w:val="00864AEF"/>
    <w:rsid w:val="00864B0A"/>
    <w:rsid w:val="00864C84"/>
    <w:rsid w:val="00864D0F"/>
    <w:rsid w:val="00865048"/>
    <w:rsid w:val="00865144"/>
    <w:rsid w:val="008651A7"/>
    <w:rsid w:val="00865320"/>
    <w:rsid w:val="008655CE"/>
    <w:rsid w:val="008656F5"/>
    <w:rsid w:val="00865729"/>
    <w:rsid w:val="0086581E"/>
    <w:rsid w:val="008658D3"/>
    <w:rsid w:val="00865AAF"/>
    <w:rsid w:val="00865D2B"/>
    <w:rsid w:val="00865E42"/>
    <w:rsid w:val="00865EB7"/>
    <w:rsid w:val="00865F7A"/>
    <w:rsid w:val="00865F7B"/>
    <w:rsid w:val="00866086"/>
    <w:rsid w:val="00866136"/>
    <w:rsid w:val="008661AB"/>
    <w:rsid w:val="008663BC"/>
    <w:rsid w:val="00866485"/>
    <w:rsid w:val="00866529"/>
    <w:rsid w:val="00866672"/>
    <w:rsid w:val="008666A1"/>
    <w:rsid w:val="00866A04"/>
    <w:rsid w:val="00866FD7"/>
    <w:rsid w:val="0086725A"/>
    <w:rsid w:val="00867305"/>
    <w:rsid w:val="00867729"/>
    <w:rsid w:val="0086773B"/>
    <w:rsid w:val="00867904"/>
    <w:rsid w:val="0086798C"/>
    <w:rsid w:val="00867C8D"/>
    <w:rsid w:val="00867CEF"/>
    <w:rsid w:val="00867E36"/>
    <w:rsid w:val="008701EB"/>
    <w:rsid w:val="008702DD"/>
    <w:rsid w:val="008704CC"/>
    <w:rsid w:val="00870545"/>
    <w:rsid w:val="00870AEC"/>
    <w:rsid w:val="00870DC1"/>
    <w:rsid w:val="00870EF9"/>
    <w:rsid w:val="008710C6"/>
    <w:rsid w:val="008717B0"/>
    <w:rsid w:val="00871891"/>
    <w:rsid w:val="00871A45"/>
    <w:rsid w:val="00871B5B"/>
    <w:rsid w:val="00871EE7"/>
    <w:rsid w:val="00871FE6"/>
    <w:rsid w:val="00871FF6"/>
    <w:rsid w:val="008720F7"/>
    <w:rsid w:val="008721D6"/>
    <w:rsid w:val="00872354"/>
    <w:rsid w:val="0087270E"/>
    <w:rsid w:val="0087277A"/>
    <w:rsid w:val="008727F2"/>
    <w:rsid w:val="00872998"/>
    <w:rsid w:val="00872A81"/>
    <w:rsid w:val="00872D73"/>
    <w:rsid w:val="00872DD5"/>
    <w:rsid w:val="00872E26"/>
    <w:rsid w:val="00872EC4"/>
    <w:rsid w:val="00873072"/>
    <w:rsid w:val="008730C0"/>
    <w:rsid w:val="008731D8"/>
    <w:rsid w:val="008731E0"/>
    <w:rsid w:val="008732A4"/>
    <w:rsid w:val="008735F5"/>
    <w:rsid w:val="00873649"/>
    <w:rsid w:val="008737D4"/>
    <w:rsid w:val="00873933"/>
    <w:rsid w:val="00873959"/>
    <w:rsid w:val="00873C78"/>
    <w:rsid w:val="00873CC2"/>
    <w:rsid w:val="00873D9C"/>
    <w:rsid w:val="00873ED6"/>
    <w:rsid w:val="00873FFE"/>
    <w:rsid w:val="0087411B"/>
    <w:rsid w:val="008741B5"/>
    <w:rsid w:val="0087443F"/>
    <w:rsid w:val="0087446B"/>
    <w:rsid w:val="008744BB"/>
    <w:rsid w:val="00874582"/>
    <w:rsid w:val="0087466C"/>
    <w:rsid w:val="00874D75"/>
    <w:rsid w:val="00874DAA"/>
    <w:rsid w:val="00874E20"/>
    <w:rsid w:val="00874E51"/>
    <w:rsid w:val="008750E4"/>
    <w:rsid w:val="00875145"/>
    <w:rsid w:val="00875167"/>
    <w:rsid w:val="0087520C"/>
    <w:rsid w:val="0087563E"/>
    <w:rsid w:val="008759DA"/>
    <w:rsid w:val="008759E1"/>
    <w:rsid w:val="00875AB0"/>
    <w:rsid w:val="00875BFB"/>
    <w:rsid w:val="00875C35"/>
    <w:rsid w:val="00875C53"/>
    <w:rsid w:val="00875CED"/>
    <w:rsid w:val="00875D9B"/>
    <w:rsid w:val="00875FB5"/>
    <w:rsid w:val="00876753"/>
    <w:rsid w:val="0087695B"/>
    <w:rsid w:val="00876AD2"/>
    <w:rsid w:val="00876AD8"/>
    <w:rsid w:val="00876B1D"/>
    <w:rsid w:val="00876B60"/>
    <w:rsid w:val="00876BFA"/>
    <w:rsid w:val="00876C6A"/>
    <w:rsid w:val="00876C70"/>
    <w:rsid w:val="00876ECE"/>
    <w:rsid w:val="00876FC7"/>
    <w:rsid w:val="00876FCB"/>
    <w:rsid w:val="0087702E"/>
    <w:rsid w:val="00877262"/>
    <w:rsid w:val="008773DD"/>
    <w:rsid w:val="008774EE"/>
    <w:rsid w:val="00877507"/>
    <w:rsid w:val="008777B9"/>
    <w:rsid w:val="00877809"/>
    <w:rsid w:val="00877951"/>
    <w:rsid w:val="008779BE"/>
    <w:rsid w:val="00877C87"/>
    <w:rsid w:val="00877CC3"/>
    <w:rsid w:val="00877E22"/>
    <w:rsid w:val="00877F13"/>
    <w:rsid w:val="00877F63"/>
    <w:rsid w:val="00877F91"/>
    <w:rsid w:val="0088003E"/>
    <w:rsid w:val="008803DE"/>
    <w:rsid w:val="008803EF"/>
    <w:rsid w:val="0088046E"/>
    <w:rsid w:val="00880755"/>
    <w:rsid w:val="00880787"/>
    <w:rsid w:val="00880982"/>
    <w:rsid w:val="00880C28"/>
    <w:rsid w:val="00880F8A"/>
    <w:rsid w:val="00881071"/>
    <w:rsid w:val="00881074"/>
    <w:rsid w:val="00881238"/>
    <w:rsid w:val="00881350"/>
    <w:rsid w:val="008813AF"/>
    <w:rsid w:val="0088141B"/>
    <w:rsid w:val="008814FF"/>
    <w:rsid w:val="0088187E"/>
    <w:rsid w:val="00881912"/>
    <w:rsid w:val="00881984"/>
    <w:rsid w:val="0088198B"/>
    <w:rsid w:val="00881A82"/>
    <w:rsid w:val="00881B82"/>
    <w:rsid w:val="008820F5"/>
    <w:rsid w:val="00882493"/>
    <w:rsid w:val="008827C4"/>
    <w:rsid w:val="00882845"/>
    <w:rsid w:val="00882BA7"/>
    <w:rsid w:val="00882BEF"/>
    <w:rsid w:val="00882C56"/>
    <w:rsid w:val="00882C89"/>
    <w:rsid w:val="00882CD1"/>
    <w:rsid w:val="008830AE"/>
    <w:rsid w:val="008830F3"/>
    <w:rsid w:val="0088310A"/>
    <w:rsid w:val="008831F4"/>
    <w:rsid w:val="008832A3"/>
    <w:rsid w:val="008832C9"/>
    <w:rsid w:val="008833BB"/>
    <w:rsid w:val="0088341D"/>
    <w:rsid w:val="0088346C"/>
    <w:rsid w:val="008834CC"/>
    <w:rsid w:val="008835AB"/>
    <w:rsid w:val="008836B4"/>
    <w:rsid w:val="008838B3"/>
    <w:rsid w:val="00883BBC"/>
    <w:rsid w:val="00883E35"/>
    <w:rsid w:val="00883E89"/>
    <w:rsid w:val="00883E99"/>
    <w:rsid w:val="00883EF1"/>
    <w:rsid w:val="0088424D"/>
    <w:rsid w:val="008842E6"/>
    <w:rsid w:val="00884569"/>
    <w:rsid w:val="0088471B"/>
    <w:rsid w:val="00884786"/>
    <w:rsid w:val="0088488A"/>
    <w:rsid w:val="00884921"/>
    <w:rsid w:val="0088494F"/>
    <w:rsid w:val="00884B7B"/>
    <w:rsid w:val="00884DAA"/>
    <w:rsid w:val="00884E65"/>
    <w:rsid w:val="00884F88"/>
    <w:rsid w:val="00885077"/>
    <w:rsid w:val="0088513C"/>
    <w:rsid w:val="008851F5"/>
    <w:rsid w:val="008854C3"/>
    <w:rsid w:val="008854F4"/>
    <w:rsid w:val="00885518"/>
    <w:rsid w:val="0088569C"/>
    <w:rsid w:val="00885708"/>
    <w:rsid w:val="008857E5"/>
    <w:rsid w:val="00885853"/>
    <w:rsid w:val="00885B02"/>
    <w:rsid w:val="00886142"/>
    <w:rsid w:val="008862F8"/>
    <w:rsid w:val="00886463"/>
    <w:rsid w:val="008864C5"/>
    <w:rsid w:val="00886631"/>
    <w:rsid w:val="00886657"/>
    <w:rsid w:val="008866E8"/>
    <w:rsid w:val="0088679D"/>
    <w:rsid w:val="008868AD"/>
    <w:rsid w:val="00886A8F"/>
    <w:rsid w:val="00886B00"/>
    <w:rsid w:val="00886B20"/>
    <w:rsid w:val="00886E9E"/>
    <w:rsid w:val="00886F54"/>
    <w:rsid w:val="00886FB4"/>
    <w:rsid w:val="0088701B"/>
    <w:rsid w:val="008871D3"/>
    <w:rsid w:val="00887269"/>
    <w:rsid w:val="00887485"/>
    <w:rsid w:val="00887511"/>
    <w:rsid w:val="008875D9"/>
    <w:rsid w:val="00887724"/>
    <w:rsid w:val="008877A0"/>
    <w:rsid w:val="00887B04"/>
    <w:rsid w:val="00887BA1"/>
    <w:rsid w:val="00887BA4"/>
    <w:rsid w:val="00887BEB"/>
    <w:rsid w:val="00887C88"/>
    <w:rsid w:val="00890038"/>
    <w:rsid w:val="008903AD"/>
    <w:rsid w:val="008905CC"/>
    <w:rsid w:val="00890602"/>
    <w:rsid w:val="00890614"/>
    <w:rsid w:val="00890651"/>
    <w:rsid w:val="008906ED"/>
    <w:rsid w:val="0089074E"/>
    <w:rsid w:val="0089085C"/>
    <w:rsid w:val="00890899"/>
    <w:rsid w:val="00890B76"/>
    <w:rsid w:val="00890D6B"/>
    <w:rsid w:val="00890E93"/>
    <w:rsid w:val="008913B2"/>
    <w:rsid w:val="008913EE"/>
    <w:rsid w:val="008915AF"/>
    <w:rsid w:val="0089161D"/>
    <w:rsid w:val="00891651"/>
    <w:rsid w:val="00891849"/>
    <w:rsid w:val="0089184A"/>
    <w:rsid w:val="008918E3"/>
    <w:rsid w:val="00891B2A"/>
    <w:rsid w:val="00891B7D"/>
    <w:rsid w:val="008920A8"/>
    <w:rsid w:val="008922E5"/>
    <w:rsid w:val="00892338"/>
    <w:rsid w:val="00892519"/>
    <w:rsid w:val="00892632"/>
    <w:rsid w:val="00892761"/>
    <w:rsid w:val="00892939"/>
    <w:rsid w:val="00892A84"/>
    <w:rsid w:val="00892BF0"/>
    <w:rsid w:val="00892D61"/>
    <w:rsid w:val="00892EAD"/>
    <w:rsid w:val="00893007"/>
    <w:rsid w:val="00893015"/>
    <w:rsid w:val="00893134"/>
    <w:rsid w:val="00893347"/>
    <w:rsid w:val="00893364"/>
    <w:rsid w:val="00893A30"/>
    <w:rsid w:val="00893AAB"/>
    <w:rsid w:val="00893ADA"/>
    <w:rsid w:val="00893BA7"/>
    <w:rsid w:val="00893C58"/>
    <w:rsid w:val="00893C85"/>
    <w:rsid w:val="00893C9B"/>
    <w:rsid w:val="00893D7F"/>
    <w:rsid w:val="00893F24"/>
    <w:rsid w:val="00893FF2"/>
    <w:rsid w:val="0089474D"/>
    <w:rsid w:val="008947DA"/>
    <w:rsid w:val="008949E5"/>
    <w:rsid w:val="008949E7"/>
    <w:rsid w:val="00894A23"/>
    <w:rsid w:val="00894AC1"/>
    <w:rsid w:val="00894BC8"/>
    <w:rsid w:val="00894BDC"/>
    <w:rsid w:val="008952BE"/>
    <w:rsid w:val="008953DE"/>
    <w:rsid w:val="0089546F"/>
    <w:rsid w:val="008955BC"/>
    <w:rsid w:val="00895647"/>
    <w:rsid w:val="008956EB"/>
    <w:rsid w:val="008957B6"/>
    <w:rsid w:val="00895864"/>
    <w:rsid w:val="008958C7"/>
    <w:rsid w:val="00895A74"/>
    <w:rsid w:val="00895AF9"/>
    <w:rsid w:val="00895C2A"/>
    <w:rsid w:val="00895DFB"/>
    <w:rsid w:val="00895E05"/>
    <w:rsid w:val="00895F4C"/>
    <w:rsid w:val="00895FE9"/>
    <w:rsid w:val="0089604D"/>
    <w:rsid w:val="008960F6"/>
    <w:rsid w:val="00896796"/>
    <w:rsid w:val="00896879"/>
    <w:rsid w:val="00896AD4"/>
    <w:rsid w:val="00896BE2"/>
    <w:rsid w:val="00896BFE"/>
    <w:rsid w:val="00896C04"/>
    <w:rsid w:val="00896FE5"/>
    <w:rsid w:val="0089704D"/>
    <w:rsid w:val="00897340"/>
    <w:rsid w:val="008973F4"/>
    <w:rsid w:val="00897475"/>
    <w:rsid w:val="008974A8"/>
    <w:rsid w:val="008974FF"/>
    <w:rsid w:val="0089757A"/>
    <w:rsid w:val="008975C1"/>
    <w:rsid w:val="008976B2"/>
    <w:rsid w:val="008977DD"/>
    <w:rsid w:val="00897ACD"/>
    <w:rsid w:val="00897B79"/>
    <w:rsid w:val="00897C82"/>
    <w:rsid w:val="008A0019"/>
    <w:rsid w:val="008A015E"/>
    <w:rsid w:val="008A016D"/>
    <w:rsid w:val="008A031E"/>
    <w:rsid w:val="008A0370"/>
    <w:rsid w:val="008A0668"/>
    <w:rsid w:val="008A0776"/>
    <w:rsid w:val="008A08E0"/>
    <w:rsid w:val="008A0B5F"/>
    <w:rsid w:val="008A0BCD"/>
    <w:rsid w:val="008A0C49"/>
    <w:rsid w:val="008A0D07"/>
    <w:rsid w:val="008A0DC6"/>
    <w:rsid w:val="008A0DEE"/>
    <w:rsid w:val="008A0EAF"/>
    <w:rsid w:val="008A0EEE"/>
    <w:rsid w:val="008A1024"/>
    <w:rsid w:val="008A10A8"/>
    <w:rsid w:val="008A10D4"/>
    <w:rsid w:val="008A10DA"/>
    <w:rsid w:val="008A1187"/>
    <w:rsid w:val="008A1267"/>
    <w:rsid w:val="008A1269"/>
    <w:rsid w:val="008A137C"/>
    <w:rsid w:val="008A13E6"/>
    <w:rsid w:val="008A149D"/>
    <w:rsid w:val="008A14FB"/>
    <w:rsid w:val="008A157B"/>
    <w:rsid w:val="008A178C"/>
    <w:rsid w:val="008A1856"/>
    <w:rsid w:val="008A1B53"/>
    <w:rsid w:val="008A1BF0"/>
    <w:rsid w:val="008A1C15"/>
    <w:rsid w:val="008A1CFB"/>
    <w:rsid w:val="008A1DCA"/>
    <w:rsid w:val="008A1F41"/>
    <w:rsid w:val="008A220E"/>
    <w:rsid w:val="008A2281"/>
    <w:rsid w:val="008A232A"/>
    <w:rsid w:val="008A24EE"/>
    <w:rsid w:val="008A2578"/>
    <w:rsid w:val="008A2590"/>
    <w:rsid w:val="008A260A"/>
    <w:rsid w:val="008A263E"/>
    <w:rsid w:val="008A2659"/>
    <w:rsid w:val="008A28B6"/>
    <w:rsid w:val="008A2AAD"/>
    <w:rsid w:val="008A2CCD"/>
    <w:rsid w:val="008A2DBC"/>
    <w:rsid w:val="008A2F5C"/>
    <w:rsid w:val="008A302C"/>
    <w:rsid w:val="008A3168"/>
    <w:rsid w:val="008A326D"/>
    <w:rsid w:val="008A36A3"/>
    <w:rsid w:val="008A375C"/>
    <w:rsid w:val="008A37F5"/>
    <w:rsid w:val="008A39A1"/>
    <w:rsid w:val="008A3A9E"/>
    <w:rsid w:val="008A3CEF"/>
    <w:rsid w:val="008A3D9D"/>
    <w:rsid w:val="008A3E22"/>
    <w:rsid w:val="008A3E41"/>
    <w:rsid w:val="008A3E75"/>
    <w:rsid w:val="008A3EC8"/>
    <w:rsid w:val="008A416C"/>
    <w:rsid w:val="008A431C"/>
    <w:rsid w:val="008A48E1"/>
    <w:rsid w:val="008A494D"/>
    <w:rsid w:val="008A4B41"/>
    <w:rsid w:val="008A4E0A"/>
    <w:rsid w:val="008A4EEA"/>
    <w:rsid w:val="008A4F4F"/>
    <w:rsid w:val="008A4FA1"/>
    <w:rsid w:val="008A50B5"/>
    <w:rsid w:val="008A5257"/>
    <w:rsid w:val="008A52F5"/>
    <w:rsid w:val="008A575A"/>
    <w:rsid w:val="008A57A3"/>
    <w:rsid w:val="008A5A84"/>
    <w:rsid w:val="008A5C14"/>
    <w:rsid w:val="008A5D5D"/>
    <w:rsid w:val="008A5DD0"/>
    <w:rsid w:val="008A5F4A"/>
    <w:rsid w:val="008A6204"/>
    <w:rsid w:val="008A6323"/>
    <w:rsid w:val="008A64BB"/>
    <w:rsid w:val="008A6593"/>
    <w:rsid w:val="008A6698"/>
    <w:rsid w:val="008A67B1"/>
    <w:rsid w:val="008A67C4"/>
    <w:rsid w:val="008A68BF"/>
    <w:rsid w:val="008A68F6"/>
    <w:rsid w:val="008A6DEE"/>
    <w:rsid w:val="008A7022"/>
    <w:rsid w:val="008A7086"/>
    <w:rsid w:val="008A71A3"/>
    <w:rsid w:val="008A71DB"/>
    <w:rsid w:val="008A72A2"/>
    <w:rsid w:val="008A7303"/>
    <w:rsid w:val="008A756E"/>
    <w:rsid w:val="008A76D7"/>
    <w:rsid w:val="008A76FF"/>
    <w:rsid w:val="008A7A49"/>
    <w:rsid w:val="008A7BD6"/>
    <w:rsid w:val="008A7D47"/>
    <w:rsid w:val="008A7E85"/>
    <w:rsid w:val="008B00A4"/>
    <w:rsid w:val="008B00E8"/>
    <w:rsid w:val="008B027F"/>
    <w:rsid w:val="008B037E"/>
    <w:rsid w:val="008B0489"/>
    <w:rsid w:val="008B04EE"/>
    <w:rsid w:val="008B0579"/>
    <w:rsid w:val="008B0586"/>
    <w:rsid w:val="008B05C2"/>
    <w:rsid w:val="008B0613"/>
    <w:rsid w:val="008B096E"/>
    <w:rsid w:val="008B0E94"/>
    <w:rsid w:val="008B0E97"/>
    <w:rsid w:val="008B0FB6"/>
    <w:rsid w:val="008B1048"/>
    <w:rsid w:val="008B10E7"/>
    <w:rsid w:val="008B1133"/>
    <w:rsid w:val="008B139C"/>
    <w:rsid w:val="008B13CA"/>
    <w:rsid w:val="008B13D4"/>
    <w:rsid w:val="008B1492"/>
    <w:rsid w:val="008B1499"/>
    <w:rsid w:val="008B1611"/>
    <w:rsid w:val="008B1692"/>
    <w:rsid w:val="008B17DA"/>
    <w:rsid w:val="008B1EB8"/>
    <w:rsid w:val="008B2056"/>
    <w:rsid w:val="008B22BB"/>
    <w:rsid w:val="008B231F"/>
    <w:rsid w:val="008B2332"/>
    <w:rsid w:val="008B2347"/>
    <w:rsid w:val="008B244A"/>
    <w:rsid w:val="008B2508"/>
    <w:rsid w:val="008B263F"/>
    <w:rsid w:val="008B28AB"/>
    <w:rsid w:val="008B2A96"/>
    <w:rsid w:val="008B2C72"/>
    <w:rsid w:val="008B2DF2"/>
    <w:rsid w:val="008B2E4C"/>
    <w:rsid w:val="008B2E63"/>
    <w:rsid w:val="008B2E77"/>
    <w:rsid w:val="008B2EB2"/>
    <w:rsid w:val="008B2F39"/>
    <w:rsid w:val="008B31D4"/>
    <w:rsid w:val="008B378F"/>
    <w:rsid w:val="008B3799"/>
    <w:rsid w:val="008B3ACB"/>
    <w:rsid w:val="008B3E66"/>
    <w:rsid w:val="008B4004"/>
    <w:rsid w:val="008B403A"/>
    <w:rsid w:val="008B4216"/>
    <w:rsid w:val="008B4298"/>
    <w:rsid w:val="008B42D3"/>
    <w:rsid w:val="008B4552"/>
    <w:rsid w:val="008B473B"/>
    <w:rsid w:val="008B488F"/>
    <w:rsid w:val="008B4899"/>
    <w:rsid w:val="008B491B"/>
    <w:rsid w:val="008B4AF5"/>
    <w:rsid w:val="008B4B3D"/>
    <w:rsid w:val="008B4B56"/>
    <w:rsid w:val="008B4BD6"/>
    <w:rsid w:val="008B4CA4"/>
    <w:rsid w:val="008B4E30"/>
    <w:rsid w:val="008B4E97"/>
    <w:rsid w:val="008B50BB"/>
    <w:rsid w:val="008B50FD"/>
    <w:rsid w:val="008B5164"/>
    <w:rsid w:val="008B5264"/>
    <w:rsid w:val="008B52E0"/>
    <w:rsid w:val="008B5305"/>
    <w:rsid w:val="008B532D"/>
    <w:rsid w:val="008B55F6"/>
    <w:rsid w:val="008B56A5"/>
    <w:rsid w:val="008B56F9"/>
    <w:rsid w:val="008B5720"/>
    <w:rsid w:val="008B5845"/>
    <w:rsid w:val="008B5927"/>
    <w:rsid w:val="008B5975"/>
    <w:rsid w:val="008B5A81"/>
    <w:rsid w:val="008B5B9C"/>
    <w:rsid w:val="008B5D94"/>
    <w:rsid w:val="008B5DBD"/>
    <w:rsid w:val="008B5E36"/>
    <w:rsid w:val="008B606B"/>
    <w:rsid w:val="008B6078"/>
    <w:rsid w:val="008B608E"/>
    <w:rsid w:val="008B61A8"/>
    <w:rsid w:val="008B61C8"/>
    <w:rsid w:val="008B63C9"/>
    <w:rsid w:val="008B64A0"/>
    <w:rsid w:val="008B6533"/>
    <w:rsid w:val="008B6565"/>
    <w:rsid w:val="008B65D4"/>
    <w:rsid w:val="008B65D5"/>
    <w:rsid w:val="008B65EC"/>
    <w:rsid w:val="008B6751"/>
    <w:rsid w:val="008B700D"/>
    <w:rsid w:val="008B70AA"/>
    <w:rsid w:val="008B7171"/>
    <w:rsid w:val="008B7279"/>
    <w:rsid w:val="008B762F"/>
    <w:rsid w:val="008B7680"/>
    <w:rsid w:val="008B7718"/>
    <w:rsid w:val="008B7C26"/>
    <w:rsid w:val="008B7C3F"/>
    <w:rsid w:val="008B7C74"/>
    <w:rsid w:val="008B7D9C"/>
    <w:rsid w:val="008C008A"/>
    <w:rsid w:val="008C0326"/>
    <w:rsid w:val="008C049A"/>
    <w:rsid w:val="008C05D4"/>
    <w:rsid w:val="008C0622"/>
    <w:rsid w:val="008C08B1"/>
    <w:rsid w:val="008C0A89"/>
    <w:rsid w:val="008C0B57"/>
    <w:rsid w:val="008C0E43"/>
    <w:rsid w:val="008C0E5E"/>
    <w:rsid w:val="008C128A"/>
    <w:rsid w:val="008C1304"/>
    <w:rsid w:val="008C1364"/>
    <w:rsid w:val="008C1516"/>
    <w:rsid w:val="008C16DC"/>
    <w:rsid w:val="008C1743"/>
    <w:rsid w:val="008C177D"/>
    <w:rsid w:val="008C1827"/>
    <w:rsid w:val="008C187F"/>
    <w:rsid w:val="008C190E"/>
    <w:rsid w:val="008C1932"/>
    <w:rsid w:val="008C1A09"/>
    <w:rsid w:val="008C1A2B"/>
    <w:rsid w:val="008C1D1F"/>
    <w:rsid w:val="008C1E24"/>
    <w:rsid w:val="008C23A1"/>
    <w:rsid w:val="008C27AE"/>
    <w:rsid w:val="008C27D3"/>
    <w:rsid w:val="008C2852"/>
    <w:rsid w:val="008C2D84"/>
    <w:rsid w:val="008C2DD9"/>
    <w:rsid w:val="008C2FCE"/>
    <w:rsid w:val="008C3026"/>
    <w:rsid w:val="008C305B"/>
    <w:rsid w:val="008C3413"/>
    <w:rsid w:val="008C34AB"/>
    <w:rsid w:val="008C353E"/>
    <w:rsid w:val="008C3541"/>
    <w:rsid w:val="008C3591"/>
    <w:rsid w:val="008C35AF"/>
    <w:rsid w:val="008C365A"/>
    <w:rsid w:val="008C3923"/>
    <w:rsid w:val="008C3986"/>
    <w:rsid w:val="008C398F"/>
    <w:rsid w:val="008C3A92"/>
    <w:rsid w:val="008C3C0F"/>
    <w:rsid w:val="008C3C14"/>
    <w:rsid w:val="008C3FE1"/>
    <w:rsid w:val="008C40FE"/>
    <w:rsid w:val="008C41EE"/>
    <w:rsid w:val="008C424D"/>
    <w:rsid w:val="008C429F"/>
    <w:rsid w:val="008C42CA"/>
    <w:rsid w:val="008C4352"/>
    <w:rsid w:val="008C4444"/>
    <w:rsid w:val="008C44AA"/>
    <w:rsid w:val="008C44AC"/>
    <w:rsid w:val="008C44B1"/>
    <w:rsid w:val="008C44C7"/>
    <w:rsid w:val="008C4508"/>
    <w:rsid w:val="008C487E"/>
    <w:rsid w:val="008C494B"/>
    <w:rsid w:val="008C49B9"/>
    <w:rsid w:val="008C4B28"/>
    <w:rsid w:val="008C4C25"/>
    <w:rsid w:val="008C4EB7"/>
    <w:rsid w:val="008C4F8F"/>
    <w:rsid w:val="008C5065"/>
    <w:rsid w:val="008C5137"/>
    <w:rsid w:val="008C52DD"/>
    <w:rsid w:val="008C5497"/>
    <w:rsid w:val="008C56BB"/>
    <w:rsid w:val="008C5852"/>
    <w:rsid w:val="008C5959"/>
    <w:rsid w:val="008C5A71"/>
    <w:rsid w:val="008C5AF4"/>
    <w:rsid w:val="008C5CAE"/>
    <w:rsid w:val="008C5E33"/>
    <w:rsid w:val="008C5E7D"/>
    <w:rsid w:val="008C5EDE"/>
    <w:rsid w:val="008C5F72"/>
    <w:rsid w:val="008C60EC"/>
    <w:rsid w:val="008C65AC"/>
    <w:rsid w:val="008C6612"/>
    <w:rsid w:val="008C6710"/>
    <w:rsid w:val="008C6732"/>
    <w:rsid w:val="008C6827"/>
    <w:rsid w:val="008C6838"/>
    <w:rsid w:val="008C6A91"/>
    <w:rsid w:val="008C6A98"/>
    <w:rsid w:val="008C6B14"/>
    <w:rsid w:val="008C6B62"/>
    <w:rsid w:val="008C6FC6"/>
    <w:rsid w:val="008C703A"/>
    <w:rsid w:val="008C7164"/>
    <w:rsid w:val="008C7166"/>
    <w:rsid w:val="008C7271"/>
    <w:rsid w:val="008C72EC"/>
    <w:rsid w:val="008C7315"/>
    <w:rsid w:val="008C74CA"/>
    <w:rsid w:val="008C7865"/>
    <w:rsid w:val="008C7AE2"/>
    <w:rsid w:val="008C7B46"/>
    <w:rsid w:val="008C7DC6"/>
    <w:rsid w:val="008C7DDD"/>
    <w:rsid w:val="008C7F47"/>
    <w:rsid w:val="008C7FAB"/>
    <w:rsid w:val="008D01B2"/>
    <w:rsid w:val="008D0287"/>
    <w:rsid w:val="008D029E"/>
    <w:rsid w:val="008D0303"/>
    <w:rsid w:val="008D0398"/>
    <w:rsid w:val="008D0664"/>
    <w:rsid w:val="008D0698"/>
    <w:rsid w:val="008D09DD"/>
    <w:rsid w:val="008D0B13"/>
    <w:rsid w:val="008D0C82"/>
    <w:rsid w:val="008D0CD2"/>
    <w:rsid w:val="008D0E56"/>
    <w:rsid w:val="008D10BD"/>
    <w:rsid w:val="008D11C4"/>
    <w:rsid w:val="008D129C"/>
    <w:rsid w:val="008D13AC"/>
    <w:rsid w:val="008D13DA"/>
    <w:rsid w:val="008D1436"/>
    <w:rsid w:val="008D1476"/>
    <w:rsid w:val="008D16F2"/>
    <w:rsid w:val="008D1705"/>
    <w:rsid w:val="008D19F6"/>
    <w:rsid w:val="008D1B19"/>
    <w:rsid w:val="008D1B66"/>
    <w:rsid w:val="008D1C24"/>
    <w:rsid w:val="008D1C61"/>
    <w:rsid w:val="008D1CCE"/>
    <w:rsid w:val="008D1E23"/>
    <w:rsid w:val="008D1EC0"/>
    <w:rsid w:val="008D220B"/>
    <w:rsid w:val="008D2258"/>
    <w:rsid w:val="008D23C0"/>
    <w:rsid w:val="008D26F5"/>
    <w:rsid w:val="008D2895"/>
    <w:rsid w:val="008D2920"/>
    <w:rsid w:val="008D2A8F"/>
    <w:rsid w:val="008D2C01"/>
    <w:rsid w:val="008D2E19"/>
    <w:rsid w:val="008D339F"/>
    <w:rsid w:val="008D3855"/>
    <w:rsid w:val="008D3865"/>
    <w:rsid w:val="008D38FF"/>
    <w:rsid w:val="008D3A48"/>
    <w:rsid w:val="008D3E18"/>
    <w:rsid w:val="008D3EE5"/>
    <w:rsid w:val="008D3FA1"/>
    <w:rsid w:val="008D4028"/>
    <w:rsid w:val="008D42FF"/>
    <w:rsid w:val="008D4333"/>
    <w:rsid w:val="008D4451"/>
    <w:rsid w:val="008D4496"/>
    <w:rsid w:val="008D4657"/>
    <w:rsid w:val="008D47C3"/>
    <w:rsid w:val="008D47C5"/>
    <w:rsid w:val="008D4810"/>
    <w:rsid w:val="008D4875"/>
    <w:rsid w:val="008D49F5"/>
    <w:rsid w:val="008D4A9B"/>
    <w:rsid w:val="008D4BC0"/>
    <w:rsid w:val="008D4C31"/>
    <w:rsid w:val="008D4CC3"/>
    <w:rsid w:val="008D4EBF"/>
    <w:rsid w:val="008D51DC"/>
    <w:rsid w:val="008D5252"/>
    <w:rsid w:val="008D527D"/>
    <w:rsid w:val="008D556F"/>
    <w:rsid w:val="008D56C8"/>
    <w:rsid w:val="008D56E2"/>
    <w:rsid w:val="008D56F1"/>
    <w:rsid w:val="008D5A07"/>
    <w:rsid w:val="008D5A59"/>
    <w:rsid w:val="008D5C66"/>
    <w:rsid w:val="008D5F24"/>
    <w:rsid w:val="008D5F4E"/>
    <w:rsid w:val="008D5FA2"/>
    <w:rsid w:val="008D6021"/>
    <w:rsid w:val="008D6284"/>
    <w:rsid w:val="008D62E9"/>
    <w:rsid w:val="008D639A"/>
    <w:rsid w:val="008D64EA"/>
    <w:rsid w:val="008D65D7"/>
    <w:rsid w:val="008D68C0"/>
    <w:rsid w:val="008D69FB"/>
    <w:rsid w:val="008D69FF"/>
    <w:rsid w:val="008D6BC6"/>
    <w:rsid w:val="008D6BFB"/>
    <w:rsid w:val="008D6D91"/>
    <w:rsid w:val="008D6E6F"/>
    <w:rsid w:val="008D701E"/>
    <w:rsid w:val="008D7033"/>
    <w:rsid w:val="008D72BD"/>
    <w:rsid w:val="008D738C"/>
    <w:rsid w:val="008D74EC"/>
    <w:rsid w:val="008D757B"/>
    <w:rsid w:val="008D7614"/>
    <w:rsid w:val="008D782C"/>
    <w:rsid w:val="008D78F6"/>
    <w:rsid w:val="008D7B46"/>
    <w:rsid w:val="008D7D54"/>
    <w:rsid w:val="008D7F38"/>
    <w:rsid w:val="008D7F6D"/>
    <w:rsid w:val="008D7FAA"/>
    <w:rsid w:val="008E0102"/>
    <w:rsid w:val="008E02D1"/>
    <w:rsid w:val="008E02F5"/>
    <w:rsid w:val="008E0461"/>
    <w:rsid w:val="008E064A"/>
    <w:rsid w:val="008E07AD"/>
    <w:rsid w:val="008E08AB"/>
    <w:rsid w:val="008E0A86"/>
    <w:rsid w:val="008E0AFF"/>
    <w:rsid w:val="008E0D9D"/>
    <w:rsid w:val="008E0DA2"/>
    <w:rsid w:val="008E0EE8"/>
    <w:rsid w:val="008E0F03"/>
    <w:rsid w:val="008E105C"/>
    <w:rsid w:val="008E11DF"/>
    <w:rsid w:val="008E1272"/>
    <w:rsid w:val="008E129E"/>
    <w:rsid w:val="008E135B"/>
    <w:rsid w:val="008E1865"/>
    <w:rsid w:val="008E18AB"/>
    <w:rsid w:val="008E1A38"/>
    <w:rsid w:val="008E1B9A"/>
    <w:rsid w:val="008E1D28"/>
    <w:rsid w:val="008E1E3B"/>
    <w:rsid w:val="008E1E9C"/>
    <w:rsid w:val="008E1F4A"/>
    <w:rsid w:val="008E2211"/>
    <w:rsid w:val="008E2276"/>
    <w:rsid w:val="008E269B"/>
    <w:rsid w:val="008E2703"/>
    <w:rsid w:val="008E2850"/>
    <w:rsid w:val="008E2952"/>
    <w:rsid w:val="008E2968"/>
    <w:rsid w:val="008E2CD3"/>
    <w:rsid w:val="008E2E20"/>
    <w:rsid w:val="008E2E27"/>
    <w:rsid w:val="008E2F65"/>
    <w:rsid w:val="008E3243"/>
    <w:rsid w:val="008E3254"/>
    <w:rsid w:val="008E3445"/>
    <w:rsid w:val="008E34EA"/>
    <w:rsid w:val="008E35FD"/>
    <w:rsid w:val="008E36B3"/>
    <w:rsid w:val="008E37CB"/>
    <w:rsid w:val="008E3CAF"/>
    <w:rsid w:val="008E3CB5"/>
    <w:rsid w:val="008E3DF0"/>
    <w:rsid w:val="008E3E5B"/>
    <w:rsid w:val="008E406E"/>
    <w:rsid w:val="008E43E4"/>
    <w:rsid w:val="008E44C7"/>
    <w:rsid w:val="008E4915"/>
    <w:rsid w:val="008E4B79"/>
    <w:rsid w:val="008E4BA6"/>
    <w:rsid w:val="008E4C14"/>
    <w:rsid w:val="008E4E53"/>
    <w:rsid w:val="008E4E6D"/>
    <w:rsid w:val="008E51A1"/>
    <w:rsid w:val="008E51C2"/>
    <w:rsid w:val="008E51D1"/>
    <w:rsid w:val="008E5325"/>
    <w:rsid w:val="008E53A6"/>
    <w:rsid w:val="008E583B"/>
    <w:rsid w:val="008E58F0"/>
    <w:rsid w:val="008E5991"/>
    <w:rsid w:val="008E59AF"/>
    <w:rsid w:val="008E59FF"/>
    <w:rsid w:val="008E5A1A"/>
    <w:rsid w:val="008E5A21"/>
    <w:rsid w:val="008E5A49"/>
    <w:rsid w:val="008E5B96"/>
    <w:rsid w:val="008E5FC2"/>
    <w:rsid w:val="008E6063"/>
    <w:rsid w:val="008E60FD"/>
    <w:rsid w:val="008E61A9"/>
    <w:rsid w:val="008E6292"/>
    <w:rsid w:val="008E6489"/>
    <w:rsid w:val="008E64D3"/>
    <w:rsid w:val="008E662E"/>
    <w:rsid w:val="008E6708"/>
    <w:rsid w:val="008E683B"/>
    <w:rsid w:val="008E6A6F"/>
    <w:rsid w:val="008E6BA0"/>
    <w:rsid w:val="008E6BCE"/>
    <w:rsid w:val="008E6BDF"/>
    <w:rsid w:val="008E6C2E"/>
    <w:rsid w:val="008E7046"/>
    <w:rsid w:val="008E704E"/>
    <w:rsid w:val="008E71C2"/>
    <w:rsid w:val="008E7244"/>
    <w:rsid w:val="008E724E"/>
    <w:rsid w:val="008E725A"/>
    <w:rsid w:val="008E73F4"/>
    <w:rsid w:val="008E746E"/>
    <w:rsid w:val="008E748C"/>
    <w:rsid w:val="008E76F0"/>
    <w:rsid w:val="008E77D9"/>
    <w:rsid w:val="008E7811"/>
    <w:rsid w:val="008E7817"/>
    <w:rsid w:val="008E78A5"/>
    <w:rsid w:val="008E79CF"/>
    <w:rsid w:val="008E79DB"/>
    <w:rsid w:val="008E7DF2"/>
    <w:rsid w:val="008E7E36"/>
    <w:rsid w:val="008F0046"/>
    <w:rsid w:val="008F0187"/>
    <w:rsid w:val="008F0250"/>
    <w:rsid w:val="008F0381"/>
    <w:rsid w:val="008F03C5"/>
    <w:rsid w:val="008F0504"/>
    <w:rsid w:val="008F0550"/>
    <w:rsid w:val="008F0883"/>
    <w:rsid w:val="008F0A9C"/>
    <w:rsid w:val="008F0B86"/>
    <w:rsid w:val="008F0CAE"/>
    <w:rsid w:val="008F0D42"/>
    <w:rsid w:val="008F0D4E"/>
    <w:rsid w:val="008F0EB1"/>
    <w:rsid w:val="008F1492"/>
    <w:rsid w:val="008F14B8"/>
    <w:rsid w:val="008F16CA"/>
    <w:rsid w:val="008F19E1"/>
    <w:rsid w:val="008F1CF9"/>
    <w:rsid w:val="008F1DA2"/>
    <w:rsid w:val="008F1DE6"/>
    <w:rsid w:val="008F1E20"/>
    <w:rsid w:val="008F1FD4"/>
    <w:rsid w:val="008F2034"/>
    <w:rsid w:val="008F205E"/>
    <w:rsid w:val="008F26BD"/>
    <w:rsid w:val="008F2964"/>
    <w:rsid w:val="008F2A2D"/>
    <w:rsid w:val="008F2A6E"/>
    <w:rsid w:val="008F2C78"/>
    <w:rsid w:val="008F2D0E"/>
    <w:rsid w:val="008F2F08"/>
    <w:rsid w:val="008F35A3"/>
    <w:rsid w:val="008F35AD"/>
    <w:rsid w:val="008F3757"/>
    <w:rsid w:val="008F37D3"/>
    <w:rsid w:val="008F3C0B"/>
    <w:rsid w:val="008F3D36"/>
    <w:rsid w:val="008F3DDE"/>
    <w:rsid w:val="008F3FC8"/>
    <w:rsid w:val="008F418E"/>
    <w:rsid w:val="008F4349"/>
    <w:rsid w:val="008F4382"/>
    <w:rsid w:val="008F43AE"/>
    <w:rsid w:val="008F44B8"/>
    <w:rsid w:val="008F459A"/>
    <w:rsid w:val="008F45EC"/>
    <w:rsid w:val="008F4708"/>
    <w:rsid w:val="008F4830"/>
    <w:rsid w:val="008F4885"/>
    <w:rsid w:val="008F48A2"/>
    <w:rsid w:val="008F48AF"/>
    <w:rsid w:val="008F4968"/>
    <w:rsid w:val="008F4A15"/>
    <w:rsid w:val="008F4B53"/>
    <w:rsid w:val="008F4B96"/>
    <w:rsid w:val="008F4CF2"/>
    <w:rsid w:val="008F4D7D"/>
    <w:rsid w:val="008F4DE2"/>
    <w:rsid w:val="008F4EFB"/>
    <w:rsid w:val="008F507E"/>
    <w:rsid w:val="008F511C"/>
    <w:rsid w:val="008F51B4"/>
    <w:rsid w:val="008F536D"/>
    <w:rsid w:val="008F5466"/>
    <w:rsid w:val="008F54CC"/>
    <w:rsid w:val="008F558F"/>
    <w:rsid w:val="008F5598"/>
    <w:rsid w:val="008F58F2"/>
    <w:rsid w:val="008F5BFC"/>
    <w:rsid w:val="008F5D88"/>
    <w:rsid w:val="008F5E09"/>
    <w:rsid w:val="008F5E14"/>
    <w:rsid w:val="008F5F49"/>
    <w:rsid w:val="008F5F84"/>
    <w:rsid w:val="008F6056"/>
    <w:rsid w:val="008F62A1"/>
    <w:rsid w:val="008F651A"/>
    <w:rsid w:val="008F6942"/>
    <w:rsid w:val="008F6986"/>
    <w:rsid w:val="008F6C44"/>
    <w:rsid w:val="008F6FBF"/>
    <w:rsid w:val="008F6FF0"/>
    <w:rsid w:val="008F723F"/>
    <w:rsid w:val="008F72C3"/>
    <w:rsid w:val="008F731C"/>
    <w:rsid w:val="008F7474"/>
    <w:rsid w:val="008F752F"/>
    <w:rsid w:val="008F784E"/>
    <w:rsid w:val="008F78D5"/>
    <w:rsid w:val="008F792E"/>
    <w:rsid w:val="008F7A48"/>
    <w:rsid w:val="008F7E0A"/>
    <w:rsid w:val="008F7E37"/>
    <w:rsid w:val="009003CA"/>
    <w:rsid w:val="0090052C"/>
    <w:rsid w:val="00900577"/>
    <w:rsid w:val="00900591"/>
    <w:rsid w:val="00900594"/>
    <w:rsid w:val="00900643"/>
    <w:rsid w:val="00900748"/>
    <w:rsid w:val="0090091B"/>
    <w:rsid w:val="00900C2D"/>
    <w:rsid w:val="00900C8B"/>
    <w:rsid w:val="00900D3D"/>
    <w:rsid w:val="00900EF0"/>
    <w:rsid w:val="00900F01"/>
    <w:rsid w:val="0090104F"/>
    <w:rsid w:val="0090108E"/>
    <w:rsid w:val="0090119A"/>
    <w:rsid w:val="00901476"/>
    <w:rsid w:val="009014AA"/>
    <w:rsid w:val="009016DD"/>
    <w:rsid w:val="0090178C"/>
    <w:rsid w:val="009018CA"/>
    <w:rsid w:val="009018CC"/>
    <w:rsid w:val="00901995"/>
    <w:rsid w:val="00901AEC"/>
    <w:rsid w:val="00901B5E"/>
    <w:rsid w:val="00901E32"/>
    <w:rsid w:val="00901F8C"/>
    <w:rsid w:val="00902009"/>
    <w:rsid w:val="00902019"/>
    <w:rsid w:val="00902334"/>
    <w:rsid w:val="00902655"/>
    <w:rsid w:val="00902B9D"/>
    <w:rsid w:val="00902BA7"/>
    <w:rsid w:val="00902BF4"/>
    <w:rsid w:val="00902C59"/>
    <w:rsid w:val="00902CE4"/>
    <w:rsid w:val="009031AC"/>
    <w:rsid w:val="009031D9"/>
    <w:rsid w:val="009032CC"/>
    <w:rsid w:val="009032CF"/>
    <w:rsid w:val="009034BE"/>
    <w:rsid w:val="00903748"/>
    <w:rsid w:val="00903AA9"/>
    <w:rsid w:val="00903B70"/>
    <w:rsid w:val="00903D7F"/>
    <w:rsid w:val="00903EB7"/>
    <w:rsid w:val="00903FAA"/>
    <w:rsid w:val="0090403D"/>
    <w:rsid w:val="009040C4"/>
    <w:rsid w:val="009040D1"/>
    <w:rsid w:val="009043B2"/>
    <w:rsid w:val="009043CE"/>
    <w:rsid w:val="0090440B"/>
    <w:rsid w:val="00904716"/>
    <w:rsid w:val="0090487D"/>
    <w:rsid w:val="009048AD"/>
    <w:rsid w:val="00904984"/>
    <w:rsid w:val="009049CF"/>
    <w:rsid w:val="00904B13"/>
    <w:rsid w:val="00904D71"/>
    <w:rsid w:val="00904ECC"/>
    <w:rsid w:val="00904FC0"/>
    <w:rsid w:val="009050B7"/>
    <w:rsid w:val="0090510E"/>
    <w:rsid w:val="00905110"/>
    <w:rsid w:val="0090515E"/>
    <w:rsid w:val="00905412"/>
    <w:rsid w:val="00905484"/>
    <w:rsid w:val="00905575"/>
    <w:rsid w:val="009057DA"/>
    <w:rsid w:val="009058BD"/>
    <w:rsid w:val="00905A5A"/>
    <w:rsid w:val="00905AD5"/>
    <w:rsid w:val="00905E11"/>
    <w:rsid w:val="0090608F"/>
    <w:rsid w:val="00906114"/>
    <w:rsid w:val="009061DF"/>
    <w:rsid w:val="0090621F"/>
    <w:rsid w:val="009062CA"/>
    <w:rsid w:val="00906560"/>
    <w:rsid w:val="009067A0"/>
    <w:rsid w:val="009068FF"/>
    <w:rsid w:val="00906B2C"/>
    <w:rsid w:val="00906BA0"/>
    <w:rsid w:val="00906DAC"/>
    <w:rsid w:val="00906F09"/>
    <w:rsid w:val="009070F6"/>
    <w:rsid w:val="00907318"/>
    <w:rsid w:val="00907431"/>
    <w:rsid w:val="00907438"/>
    <w:rsid w:val="0090758C"/>
    <w:rsid w:val="00907631"/>
    <w:rsid w:val="0090769A"/>
    <w:rsid w:val="00907EF1"/>
    <w:rsid w:val="00910158"/>
    <w:rsid w:val="00910231"/>
    <w:rsid w:val="0091064E"/>
    <w:rsid w:val="00910760"/>
    <w:rsid w:val="00910805"/>
    <w:rsid w:val="00910876"/>
    <w:rsid w:val="00910B57"/>
    <w:rsid w:val="00910C3D"/>
    <w:rsid w:val="009112CC"/>
    <w:rsid w:val="00911326"/>
    <w:rsid w:val="009113A8"/>
    <w:rsid w:val="009114C5"/>
    <w:rsid w:val="0091177C"/>
    <w:rsid w:val="009119F9"/>
    <w:rsid w:val="00911A11"/>
    <w:rsid w:val="00911A4E"/>
    <w:rsid w:val="00911A84"/>
    <w:rsid w:val="00911B25"/>
    <w:rsid w:val="00911E7A"/>
    <w:rsid w:val="00912355"/>
    <w:rsid w:val="009124B3"/>
    <w:rsid w:val="0091288F"/>
    <w:rsid w:val="0091292D"/>
    <w:rsid w:val="00912A38"/>
    <w:rsid w:val="00912A70"/>
    <w:rsid w:val="00912B7A"/>
    <w:rsid w:val="00912CFF"/>
    <w:rsid w:val="00912EBC"/>
    <w:rsid w:val="00912F23"/>
    <w:rsid w:val="00912F41"/>
    <w:rsid w:val="00913005"/>
    <w:rsid w:val="009130EE"/>
    <w:rsid w:val="00913582"/>
    <w:rsid w:val="0091379A"/>
    <w:rsid w:val="009139F8"/>
    <w:rsid w:val="00913AA5"/>
    <w:rsid w:val="00913B7D"/>
    <w:rsid w:val="00913D90"/>
    <w:rsid w:val="00914297"/>
    <w:rsid w:val="009144EA"/>
    <w:rsid w:val="00914704"/>
    <w:rsid w:val="0091477A"/>
    <w:rsid w:val="009147A2"/>
    <w:rsid w:val="00914A68"/>
    <w:rsid w:val="00914B6B"/>
    <w:rsid w:val="00914F68"/>
    <w:rsid w:val="00914F9B"/>
    <w:rsid w:val="00915012"/>
    <w:rsid w:val="0091507C"/>
    <w:rsid w:val="009150B0"/>
    <w:rsid w:val="009150EF"/>
    <w:rsid w:val="0091522C"/>
    <w:rsid w:val="009152BF"/>
    <w:rsid w:val="00915393"/>
    <w:rsid w:val="00915486"/>
    <w:rsid w:val="009156B0"/>
    <w:rsid w:val="0091571F"/>
    <w:rsid w:val="00915BA8"/>
    <w:rsid w:val="00915BF9"/>
    <w:rsid w:val="00915C79"/>
    <w:rsid w:val="00915D22"/>
    <w:rsid w:val="00915E79"/>
    <w:rsid w:val="00915FAF"/>
    <w:rsid w:val="009162E9"/>
    <w:rsid w:val="009164EA"/>
    <w:rsid w:val="009165D0"/>
    <w:rsid w:val="0091685A"/>
    <w:rsid w:val="00916989"/>
    <w:rsid w:val="00916A66"/>
    <w:rsid w:val="00916B21"/>
    <w:rsid w:val="00916B47"/>
    <w:rsid w:val="00916E9D"/>
    <w:rsid w:val="009172AD"/>
    <w:rsid w:val="0091744F"/>
    <w:rsid w:val="00917479"/>
    <w:rsid w:val="0091749E"/>
    <w:rsid w:val="00917614"/>
    <w:rsid w:val="0091777B"/>
    <w:rsid w:val="009177A0"/>
    <w:rsid w:val="0091795B"/>
    <w:rsid w:val="00917A23"/>
    <w:rsid w:val="00917B32"/>
    <w:rsid w:val="00917D43"/>
    <w:rsid w:val="00917D84"/>
    <w:rsid w:val="00917DDC"/>
    <w:rsid w:val="00917E0D"/>
    <w:rsid w:val="00920001"/>
    <w:rsid w:val="009200BB"/>
    <w:rsid w:val="00920140"/>
    <w:rsid w:val="00920188"/>
    <w:rsid w:val="009201F8"/>
    <w:rsid w:val="0092020C"/>
    <w:rsid w:val="00920233"/>
    <w:rsid w:val="00920261"/>
    <w:rsid w:val="009202EE"/>
    <w:rsid w:val="00920310"/>
    <w:rsid w:val="00920369"/>
    <w:rsid w:val="009203D5"/>
    <w:rsid w:val="0092062B"/>
    <w:rsid w:val="009206B4"/>
    <w:rsid w:val="009207F0"/>
    <w:rsid w:val="009209C4"/>
    <w:rsid w:val="00920ABA"/>
    <w:rsid w:val="00920AD6"/>
    <w:rsid w:val="00920B3E"/>
    <w:rsid w:val="00920C8A"/>
    <w:rsid w:val="00920CF6"/>
    <w:rsid w:val="00920D39"/>
    <w:rsid w:val="00920EEA"/>
    <w:rsid w:val="00920EEF"/>
    <w:rsid w:val="00920EFD"/>
    <w:rsid w:val="009212F0"/>
    <w:rsid w:val="00921441"/>
    <w:rsid w:val="00921595"/>
    <w:rsid w:val="009215DF"/>
    <w:rsid w:val="00921601"/>
    <w:rsid w:val="00921701"/>
    <w:rsid w:val="00921745"/>
    <w:rsid w:val="009218F5"/>
    <w:rsid w:val="009219A6"/>
    <w:rsid w:val="00921A0D"/>
    <w:rsid w:val="00921AD4"/>
    <w:rsid w:val="00921AE9"/>
    <w:rsid w:val="00921BD3"/>
    <w:rsid w:val="00921CBF"/>
    <w:rsid w:val="00921D4E"/>
    <w:rsid w:val="00921E26"/>
    <w:rsid w:val="00921FFC"/>
    <w:rsid w:val="00922471"/>
    <w:rsid w:val="009224E9"/>
    <w:rsid w:val="0092268D"/>
    <w:rsid w:val="0092286D"/>
    <w:rsid w:val="00922899"/>
    <w:rsid w:val="009228F4"/>
    <w:rsid w:val="00922A25"/>
    <w:rsid w:val="00922BA0"/>
    <w:rsid w:val="00922BFA"/>
    <w:rsid w:val="00922DDF"/>
    <w:rsid w:val="00922E17"/>
    <w:rsid w:val="00922E9F"/>
    <w:rsid w:val="009230D8"/>
    <w:rsid w:val="009233DF"/>
    <w:rsid w:val="009234DE"/>
    <w:rsid w:val="009234F5"/>
    <w:rsid w:val="00923539"/>
    <w:rsid w:val="009238B9"/>
    <w:rsid w:val="009238D9"/>
    <w:rsid w:val="00923901"/>
    <w:rsid w:val="00923929"/>
    <w:rsid w:val="00923A7A"/>
    <w:rsid w:val="00923ACF"/>
    <w:rsid w:val="00923AE4"/>
    <w:rsid w:val="00923EF5"/>
    <w:rsid w:val="009240CE"/>
    <w:rsid w:val="00924137"/>
    <w:rsid w:val="0092414E"/>
    <w:rsid w:val="0092427E"/>
    <w:rsid w:val="00924347"/>
    <w:rsid w:val="009243C8"/>
    <w:rsid w:val="009243E0"/>
    <w:rsid w:val="009244DE"/>
    <w:rsid w:val="009246C5"/>
    <w:rsid w:val="0092478C"/>
    <w:rsid w:val="009247E2"/>
    <w:rsid w:val="009249D0"/>
    <w:rsid w:val="00924B3F"/>
    <w:rsid w:val="00924BEF"/>
    <w:rsid w:val="00924C75"/>
    <w:rsid w:val="00924DBA"/>
    <w:rsid w:val="00924E35"/>
    <w:rsid w:val="009250C3"/>
    <w:rsid w:val="0092513C"/>
    <w:rsid w:val="0092524B"/>
    <w:rsid w:val="0092542C"/>
    <w:rsid w:val="00925584"/>
    <w:rsid w:val="0092565D"/>
    <w:rsid w:val="009259D8"/>
    <w:rsid w:val="00925A32"/>
    <w:rsid w:val="00925A93"/>
    <w:rsid w:val="00925AA5"/>
    <w:rsid w:val="00925BB8"/>
    <w:rsid w:val="00925C3F"/>
    <w:rsid w:val="00925DC2"/>
    <w:rsid w:val="00926047"/>
    <w:rsid w:val="0092615A"/>
    <w:rsid w:val="0092657B"/>
    <w:rsid w:val="00926608"/>
    <w:rsid w:val="00926858"/>
    <w:rsid w:val="00926963"/>
    <w:rsid w:val="00926981"/>
    <w:rsid w:val="0092699B"/>
    <w:rsid w:val="00926A42"/>
    <w:rsid w:val="00926A9A"/>
    <w:rsid w:val="00926B38"/>
    <w:rsid w:val="00926C49"/>
    <w:rsid w:val="00926D00"/>
    <w:rsid w:val="00926DB7"/>
    <w:rsid w:val="00926EAC"/>
    <w:rsid w:val="00926FAC"/>
    <w:rsid w:val="0092711A"/>
    <w:rsid w:val="0092724F"/>
    <w:rsid w:val="009272EC"/>
    <w:rsid w:val="00927453"/>
    <w:rsid w:val="009274F4"/>
    <w:rsid w:val="009277B3"/>
    <w:rsid w:val="009277F2"/>
    <w:rsid w:val="00927A04"/>
    <w:rsid w:val="00930139"/>
    <w:rsid w:val="0093033A"/>
    <w:rsid w:val="00930532"/>
    <w:rsid w:val="009305A8"/>
    <w:rsid w:val="00930756"/>
    <w:rsid w:val="00930858"/>
    <w:rsid w:val="00930A75"/>
    <w:rsid w:val="00930AC5"/>
    <w:rsid w:val="00930B9E"/>
    <w:rsid w:val="00930D91"/>
    <w:rsid w:val="00930E42"/>
    <w:rsid w:val="00930E58"/>
    <w:rsid w:val="00930EDE"/>
    <w:rsid w:val="00930FCD"/>
    <w:rsid w:val="009312E8"/>
    <w:rsid w:val="009312F9"/>
    <w:rsid w:val="009314CF"/>
    <w:rsid w:val="009315A0"/>
    <w:rsid w:val="009315A6"/>
    <w:rsid w:val="009315B5"/>
    <w:rsid w:val="009315D9"/>
    <w:rsid w:val="009316B7"/>
    <w:rsid w:val="009317E2"/>
    <w:rsid w:val="009318AB"/>
    <w:rsid w:val="00931C43"/>
    <w:rsid w:val="00931C83"/>
    <w:rsid w:val="00931F8A"/>
    <w:rsid w:val="00931FE2"/>
    <w:rsid w:val="00932252"/>
    <w:rsid w:val="009324E8"/>
    <w:rsid w:val="00932521"/>
    <w:rsid w:val="00932ACE"/>
    <w:rsid w:val="00932C1C"/>
    <w:rsid w:val="00932F5F"/>
    <w:rsid w:val="009331FD"/>
    <w:rsid w:val="0093343C"/>
    <w:rsid w:val="0093351F"/>
    <w:rsid w:val="00933568"/>
    <w:rsid w:val="00933596"/>
    <w:rsid w:val="0093359C"/>
    <w:rsid w:val="00933776"/>
    <w:rsid w:val="00933A01"/>
    <w:rsid w:val="00933BBC"/>
    <w:rsid w:val="00933BCD"/>
    <w:rsid w:val="00933C3D"/>
    <w:rsid w:val="00934121"/>
    <w:rsid w:val="00934247"/>
    <w:rsid w:val="00934319"/>
    <w:rsid w:val="00934370"/>
    <w:rsid w:val="00934371"/>
    <w:rsid w:val="00934492"/>
    <w:rsid w:val="009344DD"/>
    <w:rsid w:val="00934515"/>
    <w:rsid w:val="009345F1"/>
    <w:rsid w:val="0093475F"/>
    <w:rsid w:val="009347EE"/>
    <w:rsid w:val="0093486F"/>
    <w:rsid w:val="00934880"/>
    <w:rsid w:val="00934BD6"/>
    <w:rsid w:val="00934FB6"/>
    <w:rsid w:val="00934FDE"/>
    <w:rsid w:val="009350CE"/>
    <w:rsid w:val="00935236"/>
    <w:rsid w:val="009353F5"/>
    <w:rsid w:val="00935536"/>
    <w:rsid w:val="00935AA7"/>
    <w:rsid w:val="00935ACE"/>
    <w:rsid w:val="00935DC3"/>
    <w:rsid w:val="00935DF1"/>
    <w:rsid w:val="00935E54"/>
    <w:rsid w:val="00935EC1"/>
    <w:rsid w:val="00935EC4"/>
    <w:rsid w:val="00935FB6"/>
    <w:rsid w:val="00936193"/>
    <w:rsid w:val="00936339"/>
    <w:rsid w:val="009364CB"/>
    <w:rsid w:val="009365AE"/>
    <w:rsid w:val="009365ED"/>
    <w:rsid w:val="0093671D"/>
    <w:rsid w:val="0093672C"/>
    <w:rsid w:val="00936771"/>
    <w:rsid w:val="00936C41"/>
    <w:rsid w:val="00936C76"/>
    <w:rsid w:val="00936C8C"/>
    <w:rsid w:val="00936DE1"/>
    <w:rsid w:val="00936ECC"/>
    <w:rsid w:val="00937163"/>
    <w:rsid w:val="00937721"/>
    <w:rsid w:val="0093775F"/>
    <w:rsid w:val="0093777B"/>
    <w:rsid w:val="00937B63"/>
    <w:rsid w:val="00937B6C"/>
    <w:rsid w:val="00937DB0"/>
    <w:rsid w:val="00937E9B"/>
    <w:rsid w:val="00937FAF"/>
    <w:rsid w:val="00940092"/>
    <w:rsid w:val="0094019D"/>
    <w:rsid w:val="0094032C"/>
    <w:rsid w:val="009403A9"/>
    <w:rsid w:val="009404C8"/>
    <w:rsid w:val="009404CE"/>
    <w:rsid w:val="009406D2"/>
    <w:rsid w:val="009408A1"/>
    <w:rsid w:val="009408E6"/>
    <w:rsid w:val="00940917"/>
    <w:rsid w:val="00940939"/>
    <w:rsid w:val="00940940"/>
    <w:rsid w:val="00940BE3"/>
    <w:rsid w:val="00940C3D"/>
    <w:rsid w:val="00940E6D"/>
    <w:rsid w:val="00940FCE"/>
    <w:rsid w:val="00941041"/>
    <w:rsid w:val="009410B5"/>
    <w:rsid w:val="009411DF"/>
    <w:rsid w:val="0094137D"/>
    <w:rsid w:val="0094149B"/>
    <w:rsid w:val="009414C1"/>
    <w:rsid w:val="00941505"/>
    <w:rsid w:val="00941672"/>
    <w:rsid w:val="009419C2"/>
    <w:rsid w:val="00941B00"/>
    <w:rsid w:val="00941B4C"/>
    <w:rsid w:val="00941CC2"/>
    <w:rsid w:val="00941DC4"/>
    <w:rsid w:val="00941E48"/>
    <w:rsid w:val="00941E4D"/>
    <w:rsid w:val="00941FD9"/>
    <w:rsid w:val="00942011"/>
    <w:rsid w:val="00942076"/>
    <w:rsid w:val="00942549"/>
    <w:rsid w:val="00942569"/>
    <w:rsid w:val="00942585"/>
    <w:rsid w:val="00942750"/>
    <w:rsid w:val="00942A34"/>
    <w:rsid w:val="00942AB4"/>
    <w:rsid w:val="00942AC7"/>
    <w:rsid w:val="00942B7A"/>
    <w:rsid w:val="00942BF5"/>
    <w:rsid w:val="00942C00"/>
    <w:rsid w:val="00942C11"/>
    <w:rsid w:val="00942C88"/>
    <w:rsid w:val="00942D49"/>
    <w:rsid w:val="00942E25"/>
    <w:rsid w:val="00942F75"/>
    <w:rsid w:val="009431CF"/>
    <w:rsid w:val="009431FA"/>
    <w:rsid w:val="0094320E"/>
    <w:rsid w:val="00943628"/>
    <w:rsid w:val="0094377C"/>
    <w:rsid w:val="00943830"/>
    <w:rsid w:val="009439BF"/>
    <w:rsid w:val="009439DE"/>
    <w:rsid w:val="00943A1D"/>
    <w:rsid w:val="00943B14"/>
    <w:rsid w:val="00943CB9"/>
    <w:rsid w:val="00943D72"/>
    <w:rsid w:val="00943F38"/>
    <w:rsid w:val="009440EA"/>
    <w:rsid w:val="00944115"/>
    <w:rsid w:val="00944260"/>
    <w:rsid w:val="0094431A"/>
    <w:rsid w:val="00944470"/>
    <w:rsid w:val="009449A1"/>
    <w:rsid w:val="00944AA6"/>
    <w:rsid w:val="00944B01"/>
    <w:rsid w:val="00944F63"/>
    <w:rsid w:val="00945050"/>
    <w:rsid w:val="00945348"/>
    <w:rsid w:val="00945427"/>
    <w:rsid w:val="00945443"/>
    <w:rsid w:val="009454A1"/>
    <w:rsid w:val="009456E2"/>
    <w:rsid w:val="00945A4A"/>
    <w:rsid w:val="00945AA6"/>
    <w:rsid w:val="00945B80"/>
    <w:rsid w:val="00945BC4"/>
    <w:rsid w:val="00945CFE"/>
    <w:rsid w:val="00945D30"/>
    <w:rsid w:val="00945F13"/>
    <w:rsid w:val="00945F8B"/>
    <w:rsid w:val="00945F9A"/>
    <w:rsid w:val="009460D4"/>
    <w:rsid w:val="00946334"/>
    <w:rsid w:val="0094634A"/>
    <w:rsid w:val="0094677D"/>
    <w:rsid w:val="009467BD"/>
    <w:rsid w:val="009467DF"/>
    <w:rsid w:val="0094682B"/>
    <w:rsid w:val="00946833"/>
    <w:rsid w:val="00946980"/>
    <w:rsid w:val="00946B8D"/>
    <w:rsid w:val="00946C08"/>
    <w:rsid w:val="00946D3A"/>
    <w:rsid w:val="009470E3"/>
    <w:rsid w:val="0094714F"/>
    <w:rsid w:val="009474CE"/>
    <w:rsid w:val="00947673"/>
    <w:rsid w:val="009476F9"/>
    <w:rsid w:val="00947A42"/>
    <w:rsid w:val="00947A66"/>
    <w:rsid w:val="00947B1C"/>
    <w:rsid w:val="00947C6A"/>
    <w:rsid w:val="00947EF8"/>
    <w:rsid w:val="00947FDF"/>
    <w:rsid w:val="00950023"/>
    <w:rsid w:val="0095069E"/>
    <w:rsid w:val="0095074C"/>
    <w:rsid w:val="009507DB"/>
    <w:rsid w:val="00950A7E"/>
    <w:rsid w:val="00950AAA"/>
    <w:rsid w:val="00950B53"/>
    <w:rsid w:val="00950BC2"/>
    <w:rsid w:val="00950BCF"/>
    <w:rsid w:val="00950D54"/>
    <w:rsid w:val="00951161"/>
    <w:rsid w:val="009511E3"/>
    <w:rsid w:val="009513F1"/>
    <w:rsid w:val="00951556"/>
    <w:rsid w:val="009516FD"/>
    <w:rsid w:val="00951723"/>
    <w:rsid w:val="009519EF"/>
    <w:rsid w:val="00951A2E"/>
    <w:rsid w:val="00951E37"/>
    <w:rsid w:val="00951F46"/>
    <w:rsid w:val="0095200A"/>
    <w:rsid w:val="0095200E"/>
    <w:rsid w:val="00952141"/>
    <w:rsid w:val="009522E5"/>
    <w:rsid w:val="009524EA"/>
    <w:rsid w:val="009525FD"/>
    <w:rsid w:val="00952626"/>
    <w:rsid w:val="00952632"/>
    <w:rsid w:val="0095264D"/>
    <w:rsid w:val="009527B2"/>
    <w:rsid w:val="009528E8"/>
    <w:rsid w:val="0095294B"/>
    <w:rsid w:val="00952B24"/>
    <w:rsid w:val="00952C4C"/>
    <w:rsid w:val="00952CEE"/>
    <w:rsid w:val="00952F85"/>
    <w:rsid w:val="009531DC"/>
    <w:rsid w:val="0095336B"/>
    <w:rsid w:val="009533C5"/>
    <w:rsid w:val="00953A0D"/>
    <w:rsid w:val="00953A35"/>
    <w:rsid w:val="00953B07"/>
    <w:rsid w:val="00953C60"/>
    <w:rsid w:val="00953C89"/>
    <w:rsid w:val="00953CD4"/>
    <w:rsid w:val="00953E5C"/>
    <w:rsid w:val="00953ECD"/>
    <w:rsid w:val="00954030"/>
    <w:rsid w:val="009541C8"/>
    <w:rsid w:val="0095423A"/>
    <w:rsid w:val="00954448"/>
    <w:rsid w:val="00954764"/>
    <w:rsid w:val="00954910"/>
    <w:rsid w:val="009549B4"/>
    <w:rsid w:val="00954A14"/>
    <w:rsid w:val="00954A56"/>
    <w:rsid w:val="00954ABB"/>
    <w:rsid w:val="00954AC4"/>
    <w:rsid w:val="00954BFF"/>
    <w:rsid w:val="00954CE0"/>
    <w:rsid w:val="00954D2A"/>
    <w:rsid w:val="00954FDC"/>
    <w:rsid w:val="00955119"/>
    <w:rsid w:val="0095516C"/>
    <w:rsid w:val="0095529D"/>
    <w:rsid w:val="0095543E"/>
    <w:rsid w:val="0095551B"/>
    <w:rsid w:val="009555B0"/>
    <w:rsid w:val="00955848"/>
    <w:rsid w:val="0095590D"/>
    <w:rsid w:val="00955A23"/>
    <w:rsid w:val="00955DB1"/>
    <w:rsid w:val="00955E88"/>
    <w:rsid w:val="00955FE8"/>
    <w:rsid w:val="009560D6"/>
    <w:rsid w:val="00956101"/>
    <w:rsid w:val="0095612A"/>
    <w:rsid w:val="009561E8"/>
    <w:rsid w:val="00956252"/>
    <w:rsid w:val="00956253"/>
    <w:rsid w:val="0095678E"/>
    <w:rsid w:val="0095686F"/>
    <w:rsid w:val="009569D2"/>
    <w:rsid w:val="00956A26"/>
    <w:rsid w:val="00956A54"/>
    <w:rsid w:val="00956B5A"/>
    <w:rsid w:val="00956D5E"/>
    <w:rsid w:val="00956ED9"/>
    <w:rsid w:val="00956F17"/>
    <w:rsid w:val="00957353"/>
    <w:rsid w:val="009573DF"/>
    <w:rsid w:val="0095749B"/>
    <w:rsid w:val="0095760C"/>
    <w:rsid w:val="0095768D"/>
    <w:rsid w:val="009578EF"/>
    <w:rsid w:val="009579CA"/>
    <w:rsid w:val="00957A05"/>
    <w:rsid w:val="00957A2C"/>
    <w:rsid w:val="00957A51"/>
    <w:rsid w:val="00957BFE"/>
    <w:rsid w:val="00957C8E"/>
    <w:rsid w:val="00957DE4"/>
    <w:rsid w:val="00957DE5"/>
    <w:rsid w:val="00957E25"/>
    <w:rsid w:val="00957E38"/>
    <w:rsid w:val="00957E9E"/>
    <w:rsid w:val="00957EB3"/>
    <w:rsid w:val="00957F67"/>
    <w:rsid w:val="00957FC4"/>
    <w:rsid w:val="0096000E"/>
    <w:rsid w:val="0096002B"/>
    <w:rsid w:val="009601EA"/>
    <w:rsid w:val="009602E7"/>
    <w:rsid w:val="00960315"/>
    <w:rsid w:val="0096033E"/>
    <w:rsid w:val="0096053E"/>
    <w:rsid w:val="00960586"/>
    <w:rsid w:val="00960668"/>
    <w:rsid w:val="00960968"/>
    <w:rsid w:val="00960A34"/>
    <w:rsid w:val="00960B5C"/>
    <w:rsid w:val="0096116F"/>
    <w:rsid w:val="009617E8"/>
    <w:rsid w:val="00961C2C"/>
    <w:rsid w:val="00961DB2"/>
    <w:rsid w:val="009621CB"/>
    <w:rsid w:val="0096237F"/>
    <w:rsid w:val="009625B3"/>
    <w:rsid w:val="0096264D"/>
    <w:rsid w:val="009626CD"/>
    <w:rsid w:val="009628F4"/>
    <w:rsid w:val="0096294E"/>
    <w:rsid w:val="00962A03"/>
    <w:rsid w:val="00962C6D"/>
    <w:rsid w:val="00962CC2"/>
    <w:rsid w:val="00962EAC"/>
    <w:rsid w:val="0096314E"/>
    <w:rsid w:val="00963244"/>
    <w:rsid w:val="00963D9D"/>
    <w:rsid w:val="00963DAD"/>
    <w:rsid w:val="00963E8D"/>
    <w:rsid w:val="00964089"/>
    <w:rsid w:val="00964094"/>
    <w:rsid w:val="00964170"/>
    <w:rsid w:val="00964258"/>
    <w:rsid w:val="00964498"/>
    <w:rsid w:val="009644EA"/>
    <w:rsid w:val="00964662"/>
    <w:rsid w:val="00964A63"/>
    <w:rsid w:val="00964B4B"/>
    <w:rsid w:val="00964C48"/>
    <w:rsid w:val="00964D47"/>
    <w:rsid w:val="00964DC9"/>
    <w:rsid w:val="00964EAB"/>
    <w:rsid w:val="00965060"/>
    <w:rsid w:val="00965100"/>
    <w:rsid w:val="00965164"/>
    <w:rsid w:val="009654D4"/>
    <w:rsid w:val="00965730"/>
    <w:rsid w:val="00965981"/>
    <w:rsid w:val="00965B7E"/>
    <w:rsid w:val="009660FF"/>
    <w:rsid w:val="0096617A"/>
    <w:rsid w:val="009661DF"/>
    <w:rsid w:val="00966578"/>
    <w:rsid w:val="00966635"/>
    <w:rsid w:val="00966772"/>
    <w:rsid w:val="00966839"/>
    <w:rsid w:val="00966886"/>
    <w:rsid w:val="009669C9"/>
    <w:rsid w:val="00966AB0"/>
    <w:rsid w:val="00966CA2"/>
    <w:rsid w:val="00966CD4"/>
    <w:rsid w:val="00967012"/>
    <w:rsid w:val="009670A0"/>
    <w:rsid w:val="009670C2"/>
    <w:rsid w:val="00967303"/>
    <w:rsid w:val="009677B1"/>
    <w:rsid w:val="009678BD"/>
    <w:rsid w:val="00967AC1"/>
    <w:rsid w:val="00967B53"/>
    <w:rsid w:val="00967C4F"/>
    <w:rsid w:val="00967CDD"/>
    <w:rsid w:val="00967FB9"/>
    <w:rsid w:val="00970173"/>
    <w:rsid w:val="009701AB"/>
    <w:rsid w:val="009704C8"/>
    <w:rsid w:val="0097062D"/>
    <w:rsid w:val="00970698"/>
    <w:rsid w:val="009707DE"/>
    <w:rsid w:val="0097084D"/>
    <w:rsid w:val="00970954"/>
    <w:rsid w:val="009709D1"/>
    <w:rsid w:val="00970B77"/>
    <w:rsid w:val="00970CCC"/>
    <w:rsid w:val="00970F22"/>
    <w:rsid w:val="00970FB4"/>
    <w:rsid w:val="009711DA"/>
    <w:rsid w:val="0097120F"/>
    <w:rsid w:val="0097122F"/>
    <w:rsid w:val="0097132C"/>
    <w:rsid w:val="00971365"/>
    <w:rsid w:val="00971712"/>
    <w:rsid w:val="00971769"/>
    <w:rsid w:val="00971C06"/>
    <w:rsid w:val="00971CE4"/>
    <w:rsid w:val="00971DAD"/>
    <w:rsid w:val="00971E48"/>
    <w:rsid w:val="00971ECC"/>
    <w:rsid w:val="00971F6D"/>
    <w:rsid w:val="00971F9B"/>
    <w:rsid w:val="009724FF"/>
    <w:rsid w:val="00972897"/>
    <w:rsid w:val="00972A30"/>
    <w:rsid w:val="00972BD7"/>
    <w:rsid w:val="00972BE4"/>
    <w:rsid w:val="00972CB2"/>
    <w:rsid w:val="00972CF0"/>
    <w:rsid w:val="00972D70"/>
    <w:rsid w:val="00972D77"/>
    <w:rsid w:val="00972DB2"/>
    <w:rsid w:val="00972E87"/>
    <w:rsid w:val="00972F7C"/>
    <w:rsid w:val="00972FFF"/>
    <w:rsid w:val="00973094"/>
    <w:rsid w:val="00973218"/>
    <w:rsid w:val="00973294"/>
    <w:rsid w:val="009732EC"/>
    <w:rsid w:val="009733A6"/>
    <w:rsid w:val="00973483"/>
    <w:rsid w:val="0097397F"/>
    <w:rsid w:val="00973996"/>
    <w:rsid w:val="00973BF0"/>
    <w:rsid w:val="00973D67"/>
    <w:rsid w:val="00973D81"/>
    <w:rsid w:val="00973DE4"/>
    <w:rsid w:val="00973EDA"/>
    <w:rsid w:val="00973F64"/>
    <w:rsid w:val="0097401D"/>
    <w:rsid w:val="009740BF"/>
    <w:rsid w:val="00974631"/>
    <w:rsid w:val="00974855"/>
    <w:rsid w:val="00974B1F"/>
    <w:rsid w:val="00974B70"/>
    <w:rsid w:val="00974BD5"/>
    <w:rsid w:val="00974CA9"/>
    <w:rsid w:val="00974D4D"/>
    <w:rsid w:val="00974E33"/>
    <w:rsid w:val="00974E9D"/>
    <w:rsid w:val="00974F5E"/>
    <w:rsid w:val="0097501F"/>
    <w:rsid w:val="009750CD"/>
    <w:rsid w:val="0097513B"/>
    <w:rsid w:val="00975244"/>
    <w:rsid w:val="00975371"/>
    <w:rsid w:val="009755F0"/>
    <w:rsid w:val="00975603"/>
    <w:rsid w:val="00975653"/>
    <w:rsid w:val="009757CE"/>
    <w:rsid w:val="009757F5"/>
    <w:rsid w:val="00975BC6"/>
    <w:rsid w:val="00975CAF"/>
    <w:rsid w:val="009760CD"/>
    <w:rsid w:val="0097613A"/>
    <w:rsid w:val="00976252"/>
    <w:rsid w:val="00976260"/>
    <w:rsid w:val="00976306"/>
    <w:rsid w:val="009763B9"/>
    <w:rsid w:val="0097677D"/>
    <w:rsid w:val="0097680F"/>
    <w:rsid w:val="0097685A"/>
    <w:rsid w:val="00976BA9"/>
    <w:rsid w:val="00976D0A"/>
    <w:rsid w:val="00976DA1"/>
    <w:rsid w:val="00976E96"/>
    <w:rsid w:val="00976F59"/>
    <w:rsid w:val="00977004"/>
    <w:rsid w:val="009771BF"/>
    <w:rsid w:val="0097727B"/>
    <w:rsid w:val="00977433"/>
    <w:rsid w:val="00977451"/>
    <w:rsid w:val="0097782F"/>
    <w:rsid w:val="00977AB4"/>
    <w:rsid w:val="00977B39"/>
    <w:rsid w:val="00977B6C"/>
    <w:rsid w:val="00977BA7"/>
    <w:rsid w:val="00977E32"/>
    <w:rsid w:val="009800B7"/>
    <w:rsid w:val="00980155"/>
    <w:rsid w:val="00980267"/>
    <w:rsid w:val="0098027F"/>
    <w:rsid w:val="009802F2"/>
    <w:rsid w:val="0098036C"/>
    <w:rsid w:val="009803F3"/>
    <w:rsid w:val="00980540"/>
    <w:rsid w:val="00980698"/>
    <w:rsid w:val="009806D8"/>
    <w:rsid w:val="00980759"/>
    <w:rsid w:val="00980C1C"/>
    <w:rsid w:val="00980CF5"/>
    <w:rsid w:val="00980DA8"/>
    <w:rsid w:val="00980E14"/>
    <w:rsid w:val="00980F37"/>
    <w:rsid w:val="00980F85"/>
    <w:rsid w:val="00981286"/>
    <w:rsid w:val="009814C2"/>
    <w:rsid w:val="0098166D"/>
    <w:rsid w:val="009817B2"/>
    <w:rsid w:val="009818EF"/>
    <w:rsid w:val="00981A87"/>
    <w:rsid w:val="00981B03"/>
    <w:rsid w:val="00981B4A"/>
    <w:rsid w:val="00981E8C"/>
    <w:rsid w:val="00981FFA"/>
    <w:rsid w:val="0098211E"/>
    <w:rsid w:val="009821CE"/>
    <w:rsid w:val="00982273"/>
    <w:rsid w:val="009823D9"/>
    <w:rsid w:val="0098257B"/>
    <w:rsid w:val="009825DC"/>
    <w:rsid w:val="009827E7"/>
    <w:rsid w:val="0098292B"/>
    <w:rsid w:val="009829B9"/>
    <w:rsid w:val="00982C1F"/>
    <w:rsid w:val="0098306E"/>
    <w:rsid w:val="0098322D"/>
    <w:rsid w:val="00983485"/>
    <w:rsid w:val="0098379D"/>
    <w:rsid w:val="00983C1C"/>
    <w:rsid w:val="0098403F"/>
    <w:rsid w:val="009843BA"/>
    <w:rsid w:val="00984448"/>
    <w:rsid w:val="0098444D"/>
    <w:rsid w:val="00984533"/>
    <w:rsid w:val="009845C4"/>
    <w:rsid w:val="009845F4"/>
    <w:rsid w:val="009846B1"/>
    <w:rsid w:val="00984767"/>
    <w:rsid w:val="009848D8"/>
    <w:rsid w:val="009848EC"/>
    <w:rsid w:val="00984A43"/>
    <w:rsid w:val="00984BC1"/>
    <w:rsid w:val="00984C45"/>
    <w:rsid w:val="00984C50"/>
    <w:rsid w:val="00984D69"/>
    <w:rsid w:val="00984EA0"/>
    <w:rsid w:val="00984EA6"/>
    <w:rsid w:val="00984EB3"/>
    <w:rsid w:val="009850E7"/>
    <w:rsid w:val="009851D3"/>
    <w:rsid w:val="0098524A"/>
    <w:rsid w:val="009852CF"/>
    <w:rsid w:val="00985396"/>
    <w:rsid w:val="009853B6"/>
    <w:rsid w:val="00985418"/>
    <w:rsid w:val="0098546A"/>
    <w:rsid w:val="009854F1"/>
    <w:rsid w:val="00985533"/>
    <w:rsid w:val="009856E8"/>
    <w:rsid w:val="00985807"/>
    <w:rsid w:val="00985901"/>
    <w:rsid w:val="0098590E"/>
    <w:rsid w:val="0098591F"/>
    <w:rsid w:val="00985924"/>
    <w:rsid w:val="009859B2"/>
    <w:rsid w:val="00985AAF"/>
    <w:rsid w:val="00985B5F"/>
    <w:rsid w:val="00985E65"/>
    <w:rsid w:val="00985E8B"/>
    <w:rsid w:val="00985EEF"/>
    <w:rsid w:val="00986113"/>
    <w:rsid w:val="00986297"/>
    <w:rsid w:val="0098664F"/>
    <w:rsid w:val="00986979"/>
    <w:rsid w:val="00986A37"/>
    <w:rsid w:val="00986AF4"/>
    <w:rsid w:val="00986CCA"/>
    <w:rsid w:val="00986E5A"/>
    <w:rsid w:val="009870F6"/>
    <w:rsid w:val="009871FB"/>
    <w:rsid w:val="009874F2"/>
    <w:rsid w:val="009875BF"/>
    <w:rsid w:val="0098763B"/>
    <w:rsid w:val="00987689"/>
    <w:rsid w:val="00987835"/>
    <w:rsid w:val="00987882"/>
    <w:rsid w:val="00990076"/>
    <w:rsid w:val="009900AE"/>
    <w:rsid w:val="00990260"/>
    <w:rsid w:val="00990354"/>
    <w:rsid w:val="00990405"/>
    <w:rsid w:val="009904AF"/>
    <w:rsid w:val="00990503"/>
    <w:rsid w:val="0099075B"/>
    <w:rsid w:val="009907FD"/>
    <w:rsid w:val="0099089F"/>
    <w:rsid w:val="00990950"/>
    <w:rsid w:val="009909E5"/>
    <w:rsid w:val="00990A8D"/>
    <w:rsid w:val="00990BF8"/>
    <w:rsid w:val="00990D73"/>
    <w:rsid w:val="00990DA3"/>
    <w:rsid w:val="00990E1F"/>
    <w:rsid w:val="00990F39"/>
    <w:rsid w:val="0099101F"/>
    <w:rsid w:val="0099106B"/>
    <w:rsid w:val="0099116B"/>
    <w:rsid w:val="00991179"/>
    <w:rsid w:val="00991247"/>
    <w:rsid w:val="00991308"/>
    <w:rsid w:val="0099170B"/>
    <w:rsid w:val="009918AA"/>
    <w:rsid w:val="009919C2"/>
    <w:rsid w:val="00991D0A"/>
    <w:rsid w:val="00991F21"/>
    <w:rsid w:val="009920B6"/>
    <w:rsid w:val="009920BA"/>
    <w:rsid w:val="00992108"/>
    <w:rsid w:val="00992224"/>
    <w:rsid w:val="0099254D"/>
    <w:rsid w:val="009927B9"/>
    <w:rsid w:val="009927E5"/>
    <w:rsid w:val="0099291E"/>
    <w:rsid w:val="009929BC"/>
    <w:rsid w:val="00992AD9"/>
    <w:rsid w:val="00992B09"/>
    <w:rsid w:val="00992B26"/>
    <w:rsid w:val="00992BC9"/>
    <w:rsid w:val="00992D29"/>
    <w:rsid w:val="00992E93"/>
    <w:rsid w:val="009930F2"/>
    <w:rsid w:val="0099341A"/>
    <w:rsid w:val="00993457"/>
    <w:rsid w:val="009934D0"/>
    <w:rsid w:val="00993554"/>
    <w:rsid w:val="00993558"/>
    <w:rsid w:val="0099366F"/>
    <w:rsid w:val="0099375E"/>
    <w:rsid w:val="00993807"/>
    <w:rsid w:val="009938BD"/>
    <w:rsid w:val="0099390C"/>
    <w:rsid w:val="00993990"/>
    <w:rsid w:val="00993B55"/>
    <w:rsid w:val="00993C3A"/>
    <w:rsid w:val="00993CB8"/>
    <w:rsid w:val="00993CC2"/>
    <w:rsid w:val="0099404E"/>
    <w:rsid w:val="009940A6"/>
    <w:rsid w:val="00994221"/>
    <w:rsid w:val="00994365"/>
    <w:rsid w:val="00994580"/>
    <w:rsid w:val="009945D5"/>
    <w:rsid w:val="00994698"/>
    <w:rsid w:val="0099470C"/>
    <w:rsid w:val="00994787"/>
    <w:rsid w:val="009947F7"/>
    <w:rsid w:val="0099488F"/>
    <w:rsid w:val="009949DD"/>
    <w:rsid w:val="00994AE5"/>
    <w:rsid w:val="00994BFB"/>
    <w:rsid w:val="00994D39"/>
    <w:rsid w:val="00994DB0"/>
    <w:rsid w:val="00994F8B"/>
    <w:rsid w:val="00995286"/>
    <w:rsid w:val="0099536A"/>
    <w:rsid w:val="00995477"/>
    <w:rsid w:val="00995574"/>
    <w:rsid w:val="009955A2"/>
    <w:rsid w:val="00995638"/>
    <w:rsid w:val="0099565A"/>
    <w:rsid w:val="009956C3"/>
    <w:rsid w:val="009957D6"/>
    <w:rsid w:val="009959A9"/>
    <w:rsid w:val="00995C07"/>
    <w:rsid w:val="00995DB4"/>
    <w:rsid w:val="00995E22"/>
    <w:rsid w:val="00995FAD"/>
    <w:rsid w:val="00996602"/>
    <w:rsid w:val="00996626"/>
    <w:rsid w:val="00996782"/>
    <w:rsid w:val="009968B6"/>
    <w:rsid w:val="0099699A"/>
    <w:rsid w:val="009969C2"/>
    <w:rsid w:val="00996BF6"/>
    <w:rsid w:val="00996C80"/>
    <w:rsid w:val="00996CF2"/>
    <w:rsid w:val="00996EC5"/>
    <w:rsid w:val="00996EFA"/>
    <w:rsid w:val="00996FCE"/>
    <w:rsid w:val="00997663"/>
    <w:rsid w:val="009977BC"/>
    <w:rsid w:val="00997CA5"/>
    <w:rsid w:val="00997CC6"/>
    <w:rsid w:val="00997D6B"/>
    <w:rsid w:val="00997F77"/>
    <w:rsid w:val="00997FD1"/>
    <w:rsid w:val="009A0033"/>
    <w:rsid w:val="009A0115"/>
    <w:rsid w:val="009A0223"/>
    <w:rsid w:val="009A0468"/>
    <w:rsid w:val="009A058B"/>
    <w:rsid w:val="009A076C"/>
    <w:rsid w:val="009A084B"/>
    <w:rsid w:val="009A0927"/>
    <w:rsid w:val="009A09AA"/>
    <w:rsid w:val="009A0A3B"/>
    <w:rsid w:val="009A0AA0"/>
    <w:rsid w:val="009A0ABE"/>
    <w:rsid w:val="009A0BC8"/>
    <w:rsid w:val="009A0BE1"/>
    <w:rsid w:val="009A0DAE"/>
    <w:rsid w:val="009A1022"/>
    <w:rsid w:val="009A1056"/>
    <w:rsid w:val="009A1066"/>
    <w:rsid w:val="009A10B5"/>
    <w:rsid w:val="009A1445"/>
    <w:rsid w:val="009A172C"/>
    <w:rsid w:val="009A1774"/>
    <w:rsid w:val="009A1848"/>
    <w:rsid w:val="009A185C"/>
    <w:rsid w:val="009A1975"/>
    <w:rsid w:val="009A19C2"/>
    <w:rsid w:val="009A1ABC"/>
    <w:rsid w:val="009A1D69"/>
    <w:rsid w:val="009A1D71"/>
    <w:rsid w:val="009A1D86"/>
    <w:rsid w:val="009A1E1A"/>
    <w:rsid w:val="009A1F21"/>
    <w:rsid w:val="009A1F54"/>
    <w:rsid w:val="009A1FA0"/>
    <w:rsid w:val="009A2316"/>
    <w:rsid w:val="009A2568"/>
    <w:rsid w:val="009A26FE"/>
    <w:rsid w:val="009A2737"/>
    <w:rsid w:val="009A275D"/>
    <w:rsid w:val="009A279D"/>
    <w:rsid w:val="009A2891"/>
    <w:rsid w:val="009A2B83"/>
    <w:rsid w:val="009A2D29"/>
    <w:rsid w:val="009A2DA2"/>
    <w:rsid w:val="009A32B5"/>
    <w:rsid w:val="009A3936"/>
    <w:rsid w:val="009A3B7C"/>
    <w:rsid w:val="009A3C36"/>
    <w:rsid w:val="009A3C73"/>
    <w:rsid w:val="009A3D1B"/>
    <w:rsid w:val="009A3D63"/>
    <w:rsid w:val="009A3DAB"/>
    <w:rsid w:val="009A3E93"/>
    <w:rsid w:val="009A3E96"/>
    <w:rsid w:val="009A3F58"/>
    <w:rsid w:val="009A3F9E"/>
    <w:rsid w:val="009A3FAA"/>
    <w:rsid w:val="009A3FB8"/>
    <w:rsid w:val="009A426D"/>
    <w:rsid w:val="009A4282"/>
    <w:rsid w:val="009A42CE"/>
    <w:rsid w:val="009A434A"/>
    <w:rsid w:val="009A435A"/>
    <w:rsid w:val="009A456B"/>
    <w:rsid w:val="009A4681"/>
    <w:rsid w:val="009A47B3"/>
    <w:rsid w:val="009A4920"/>
    <w:rsid w:val="009A49F2"/>
    <w:rsid w:val="009A4BF6"/>
    <w:rsid w:val="009A4EDE"/>
    <w:rsid w:val="009A4EE2"/>
    <w:rsid w:val="009A4FA9"/>
    <w:rsid w:val="009A5385"/>
    <w:rsid w:val="009A562E"/>
    <w:rsid w:val="009A567E"/>
    <w:rsid w:val="009A56EC"/>
    <w:rsid w:val="009A57D8"/>
    <w:rsid w:val="009A5A66"/>
    <w:rsid w:val="009A5B2E"/>
    <w:rsid w:val="009A5C3C"/>
    <w:rsid w:val="009A5C82"/>
    <w:rsid w:val="009A5CB6"/>
    <w:rsid w:val="009A5D03"/>
    <w:rsid w:val="009A5F1F"/>
    <w:rsid w:val="009A5F81"/>
    <w:rsid w:val="009A641C"/>
    <w:rsid w:val="009A658F"/>
    <w:rsid w:val="009A668A"/>
    <w:rsid w:val="009A670A"/>
    <w:rsid w:val="009A6748"/>
    <w:rsid w:val="009A675F"/>
    <w:rsid w:val="009A676F"/>
    <w:rsid w:val="009A6804"/>
    <w:rsid w:val="009A694B"/>
    <w:rsid w:val="009A6C44"/>
    <w:rsid w:val="009A6CCF"/>
    <w:rsid w:val="009A6DBB"/>
    <w:rsid w:val="009A6EFD"/>
    <w:rsid w:val="009A7132"/>
    <w:rsid w:val="009A713A"/>
    <w:rsid w:val="009A71BB"/>
    <w:rsid w:val="009A7392"/>
    <w:rsid w:val="009A749D"/>
    <w:rsid w:val="009A7577"/>
    <w:rsid w:val="009A75A4"/>
    <w:rsid w:val="009A75A8"/>
    <w:rsid w:val="009A7749"/>
    <w:rsid w:val="009A7786"/>
    <w:rsid w:val="009A779C"/>
    <w:rsid w:val="009A7864"/>
    <w:rsid w:val="009A787F"/>
    <w:rsid w:val="009A78FC"/>
    <w:rsid w:val="009A79D4"/>
    <w:rsid w:val="009A7B6E"/>
    <w:rsid w:val="009A7BB1"/>
    <w:rsid w:val="009A7BB9"/>
    <w:rsid w:val="009A7CDC"/>
    <w:rsid w:val="009A7D70"/>
    <w:rsid w:val="009A7D98"/>
    <w:rsid w:val="009B000F"/>
    <w:rsid w:val="009B003B"/>
    <w:rsid w:val="009B0152"/>
    <w:rsid w:val="009B04E2"/>
    <w:rsid w:val="009B05F1"/>
    <w:rsid w:val="009B0684"/>
    <w:rsid w:val="009B0A9D"/>
    <w:rsid w:val="009B0C5D"/>
    <w:rsid w:val="009B0C7C"/>
    <w:rsid w:val="009B0D7B"/>
    <w:rsid w:val="009B0E16"/>
    <w:rsid w:val="009B0E4B"/>
    <w:rsid w:val="009B0EF0"/>
    <w:rsid w:val="009B13B3"/>
    <w:rsid w:val="009B1429"/>
    <w:rsid w:val="009B1452"/>
    <w:rsid w:val="009B1513"/>
    <w:rsid w:val="009B158F"/>
    <w:rsid w:val="009B162C"/>
    <w:rsid w:val="009B165E"/>
    <w:rsid w:val="009B1766"/>
    <w:rsid w:val="009B1942"/>
    <w:rsid w:val="009B1A25"/>
    <w:rsid w:val="009B1A65"/>
    <w:rsid w:val="009B1CA3"/>
    <w:rsid w:val="009B1DF2"/>
    <w:rsid w:val="009B1E20"/>
    <w:rsid w:val="009B1E36"/>
    <w:rsid w:val="009B2244"/>
    <w:rsid w:val="009B25BB"/>
    <w:rsid w:val="009B25CA"/>
    <w:rsid w:val="009B26BA"/>
    <w:rsid w:val="009B26D3"/>
    <w:rsid w:val="009B26EF"/>
    <w:rsid w:val="009B298D"/>
    <w:rsid w:val="009B29E2"/>
    <w:rsid w:val="009B2A71"/>
    <w:rsid w:val="009B2AB7"/>
    <w:rsid w:val="009B2B57"/>
    <w:rsid w:val="009B2BDA"/>
    <w:rsid w:val="009B2C06"/>
    <w:rsid w:val="009B2C16"/>
    <w:rsid w:val="009B2CCE"/>
    <w:rsid w:val="009B2EAE"/>
    <w:rsid w:val="009B2F03"/>
    <w:rsid w:val="009B2F4B"/>
    <w:rsid w:val="009B3035"/>
    <w:rsid w:val="009B3156"/>
    <w:rsid w:val="009B31F4"/>
    <w:rsid w:val="009B3259"/>
    <w:rsid w:val="009B34D7"/>
    <w:rsid w:val="009B3518"/>
    <w:rsid w:val="009B3558"/>
    <w:rsid w:val="009B371A"/>
    <w:rsid w:val="009B3766"/>
    <w:rsid w:val="009B3AB1"/>
    <w:rsid w:val="009B3B7D"/>
    <w:rsid w:val="009B3BE9"/>
    <w:rsid w:val="009B3C34"/>
    <w:rsid w:val="009B3E3D"/>
    <w:rsid w:val="009B3E45"/>
    <w:rsid w:val="009B3F34"/>
    <w:rsid w:val="009B417D"/>
    <w:rsid w:val="009B4180"/>
    <w:rsid w:val="009B4185"/>
    <w:rsid w:val="009B430D"/>
    <w:rsid w:val="009B43F4"/>
    <w:rsid w:val="009B4518"/>
    <w:rsid w:val="009B49E9"/>
    <w:rsid w:val="009B4EF4"/>
    <w:rsid w:val="009B4FEA"/>
    <w:rsid w:val="009B500A"/>
    <w:rsid w:val="009B51EF"/>
    <w:rsid w:val="009B5A5D"/>
    <w:rsid w:val="009B5ABC"/>
    <w:rsid w:val="009B5AE6"/>
    <w:rsid w:val="009B5B27"/>
    <w:rsid w:val="009B5D2B"/>
    <w:rsid w:val="009B5D5B"/>
    <w:rsid w:val="009B60A3"/>
    <w:rsid w:val="009B60B8"/>
    <w:rsid w:val="009B61F3"/>
    <w:rsid w:val="009B6496"/>
    <w:rsid w:val="009B6669"/>
    <w:rsid w:val="009B672F"/>
    <w:rsid w:val="009B6A8A"/>
    <w:rsid w:val="009B6C39"/>
    <w:rsid w:val="009B6CAB"/>
    <w:rsid w:val="009B6EF7"/>
    <w:rsid w:val="009B705B"/>
    <w:rsid w:val="009B72A3"/>
    <w:rsid w:val="009B741E"/>
    <w:rsid w:val="009B74DA"/>
    <w:rsid w:val="009B7631"/>
    <w:rsid w:val="009B7751"/>
    <w:rsid w:val="009B7757"/>
    <w:rsid w:val="009B7765"/>
    <w:rsid w:val="009B77DE"/>
    <w:rsid w:val="009B7899"/>
    <w:rsid w:val="009B7C29"/>
    <w:rsid w:val="009B7C7A"/>
    <w:rsid w:val="009B7EAE"/>
    <w:rsid w:val="009C01DD"/>
    <w:rsid w:val="009C03B5"/>
    <w:rsid w:val="009C04AC"/>
    <w:rsid w:val="009C05E4"/>
    <w:rsid w:val="009C06BE"/>
    <w:rsid w:val="009C07B6"/>
    <w:rsid w:val="009C07E6"/>
    <w:rsid w:val="009C0875"/>
    <w:rsid w:val="009C09DF"/>
    <w:rsid w:val="009C0B88"/>
    <w:rsid w:val="009C0BA3"/>
    <w:rsid w:val="009C0C82"/>
    <w:rsid w:val="009C0F9A"/>
    <w:rsid w:val="009C10B2"/>
    <w:rsid w:val="009C110E"/>
    <w:rsid w:val="009C1110"/>
    <w:rsid w:val="009C1193"/>
    <w:rsid w:val="009C11BC"/>
    <w:rsid w:val="009C1760"/>
    <w:rsid w:val="009C181D"/>
    <w:rsid w:val="009C187E"/>
    <w:rsid w:val="009C1901"/>
    <w:rsid w:val="009C1B5D"/>
    <w:rsid w:val="009C1B8D"/>
    <w:rsid w:val="009C1BA5"/>
    <w:rsid w:val="009C1C45"/>
    <w:rsid w:val="009C1DA7"/>
    <w:rsid w:val="009C2583"/>
    <w:rsid w:val="009C2C36"/>
    <w:rsid w:val="009C2DAC"/>
    <w:rsid w:val="009C307E"/>
    <w:rsid w:val="009C32EF"/>
    <w:rsid w:val="009C34A2"/>
    <w:rsid w:val="009C34E7"/>
    <w:rsid w:val="009C368A"/>
    <w:rsid w:val="009C36B7"/>
    <w:rsid w:val="009C378E"/>
    <w:rsid w:val="009C38F6"/>
    <w:rsid w:val="009C3C0C"/>
    <w:rsid w:val="009C3CC5"/>
    <w:rsid w:val="009C400D"/>
    <w:rsid w:val="009C421A"/>
    <w:rsid w:val="009C4386"/>
    <w:rsid w:val="009C4573"/>
    <w:rsid w:val="009C459B"/>
    <w:rsid w:val="009C45E5"/>
    <w:rsid w:val="009C4B48"/>
    <w:rsid w:val="009C4CBC"/>
    <w:rsid w:val="009C4D93"/>
    <w:rsid w:val="009C4DF9"/>
    <w:rsid w:val="009C51EB"/>
    <w:rsid w:val="009C530E"/>
    <w:rsid w:val="009C5358"/>
    <w:rsid w:val="009C539B"/>
    <w:rsid w:val="009C53F9"/>
    <w:rsid w:val="009C554B"/>
    <w:rsid w:val="009C557A"/>
    <w:rsid w:val="009C5667"/>
    <w:rsid w:val="009C566B"/>
    <w:rsid w:val="009C5794"/>
    <w:rsid w:val="009C588E"/>
    <w:rsid w:val="009C58C1"/>
    <w:rsid w:val="009C58D5"/>
    <w:rsid w:val="009C5C4A"/>
    <w:rsid w:val="009C5CB3"/>
    <w:rsid w:val="009C5EE4"/>
    <w:rsid w:val="009C5F22"/>
    <w:rsid w:val="009C5F8B"/>
    <w:rsid w:val="009C6075"/>
    <w:rsid w:val="009C6139"/>
    <w:rsid w:val="009C63CC"/>
    <w:rsid w:val="009C63FB"/>
    <w:rsid w:val="009C640E"/>
    <w:rsid w:val="009C64CA"/>
    <w:rsid w:val="009C64F6"/>
    <w:rsid w:val="009C67C5"/>
    <w:rsid w:val="009C6847"/>
    <w:rsid w:val="009C6924"/>
    <w:rsid w:val="009C694A"/>
    <w:rsid w:val="009C6B13"/>
    <w:rsid w:val="009C6CDF"/>
    <w:rsid w:val="009C6EA1"/>
    <w:rsid w:val="009C6F07"/>
    <w:rsid w:val="009C70F5"/>
    <w:rsid w:val="009C730A"/>
    <w:rsid w:val="009C739C"/>
    <w:rsid w:val="009C73F3"/>
    <w:rsid w:val="009C7552"/>
    <w:rsid w:val="009C7690"/>
    <w:rsid w:val="009C779C"/>
    <w:rsid w:val="009C7846"/>
    <w:rsid w:val="009C7898"/>
    <w:rsid w:val="009C79AE"/>
    <w:rsid w:val="009C7A59"/>
    <w:rsid w:val="009D02C4"/>
    <w:rsid w:val="009D0487"/>
    <w:rsid w:val="009D04CB"/>
    <w:rsid w:val="009D0586"/>
    <w:rsid w:val="009D0593"/>
    <w:rsid w:val="009D06BD"/>
    <w:rsid w:val="009D0727"/>
    <w:rsid w:val="009D0A3D"/>
    <w:rsid w:val="009D0A5E"/>
    <w:rsid w:val="009D0CC8"/>
    <w:rsid w:val="009D0E55"/>
    <w:rsid w:val="009D0EE5"/>
    <w:rsid w:val="009D103D"/>
    <w:rsid w:val="009D1081"/>
    <w:rsid w:val="009D1341"/>
    <w:rsid w:val="009D1484"/>
    <w:rsid w:val="009D17A9"/>
    <w:rsid w:val="009D17D8"/>
    <w:rsid w:val="009D17E0"/>
    <w:rsid w:val="009D184B"/>
    <w:rsid w:val="009D18DD"/>
    <w:rsid w:val="009D1A65"/>
    <w:rsid w:val="009D1A83"/>
    <w:rsid w:val="009D1AAB"/>
    <w:rsid w:val="009D1AAE"/>
    <w:rsid w:val="009D1C2B"/>
    <w:rsid w:val="009D1C85"/>
    <w:rsid w:val="009D1FD6"/>
    <w:rsid w:val="009D207D"/>
    <w:rsid w:val="009D21EC"/>
    <w:rsid w:val="009D247C"/>
    <w:rsid w:val="009D24C0"/>
    <w:rsid w:val="009D270F"/>
    <w:rsid w:val="009D27D4"/>
    <w:rsid w:val="009D27D8"/>
    <w:rsid w:val="009D2B63"/>
    <w:rsid w:val="009D2EB2"/>
    <w:rsid w:val="009D2F2D"/>
    <w:rsid w:val="009D3026"/>
    <w:rsid w:val="009D3187"/>
    <w:rsid w:val="009D3370"/>
    <w:rsid w:val="009D34D8"/>
    <w:rsid w:val="009D35A3"/>
    <w:rsid w:val="009D370C"/>
    <w:rsid w:val="009D39A4"/>
    <w:rsid w:val="009D39CD"/>
    <w:rsid w:val="009D39DF"/>
    <w:rsid w:val="009D3D2F"/>
    <w:rsid w:val="009D3F9D"/>
    <w:rsid w:val="009D3FE3"/>
    <w:rsid w:val="009D4028"/>
    <w:rsid w:val="009D4082"/>
    <w:rsid w:val="009D44BD"/>
    <w:rsid w:val="009D458C"/>
    <w:rsid w:val="009D45FD"/>
    <w:rsid w:val="009D4600"/>
    <w:rsid w:val="009D4640"/>
    <w:rsid w:val="009D4641"/>
    <w:rsid w:val="009D46C8"/>
    <w:rsid w:val="009D46DA"/>
    <w:rsid w:val="009D48BC"/>
    <w:rsid w:val="009D49D7"/>
    <w:rsid w:val="009D4BE4"/>
    <w:rsid w:val="009D4D78"/>
    <w:rsid w:val="009D4E8A"/>
    <w:rsid w:val="009D50CD"/>
    <w:rsid w:val="009D5151"/>
    <w:rsid w:val="009D525C"/>
    <w:rsid w:val="009D52D4"/>
    <w:rsid w:val="009D52FB"/>
    <w:rsid w:val="009D536B"/>
    <w:rsid w:val="009D537F"/>
    <w:rsid w:val="009D5396"/>
    <w:rsid w:val="009D53EA"/>
    <w:rsid w:val="009D54A1"/>
    <w:rsid w:val="009D57A8"/>
    <w:rsid w:val="009D582C"/>
    <w:rsid w:val="009D5B1E"/>
    <w:rsid w:val="009D5B28"/>
    <w:rsid w:val="009D5C5E"/>
    <w:rsid w:val="009D5C73"/>
    <w:rsid w:val="009D5C78"/>
    <w:rsid w:val="009D5DEE"/>
    <w:rsid w:val="009D5E9F"/>
    <w:rsid w:val="009D5F80"/>
    <w:rsid w:val="009D604E"/>
    <w:rsid w:val="009D6051"/>
    <w:rsid w:val="009D619E"/>
    <w:rsid w:val="009D632D"/>
    <w:rsid w:val="009D6423"/>
    <w:rsid w:val="009D658D"/>
    <w:rsid w:val="009D65BF"/>
    <w:rsid w:val="009D65F8"/>
    <w:rsid w:val="009D6650"/>
    <w:rsid w:val="009D6873"/>
    <w:rsid w:val="009D6889"/>
    <w:rsid w:val="009D68BE"/>
    <w:rsid w:val="009D6946"/>
    <w:rsid w:val="009D6A3B"/>
    <w:rsid w:val="009D6B01"/>
    <w:rsid w:val="009D6B16"/>
    <w:rsid w:val="009D6DFD"/>
    <w:rsid w:val="009D6F6A"/>
    <w:rsid w:val="009D6F6F"/>
    <w:rsid w:val="009D6FD5"/>
    <w:rsid w:val="009D7274"/>
    <w:rsid w:val="009D7491"/>
    <w:rsid w:val="009D779A"/>
    <w:rsid w:val="009D7829"/>
    <w:rsid w:val="009D789E"/>
    <w:rsid w:val="009D7D58"/>
    <w:rsid w:val="009D7E39"/>
    <w:rsid w:val="009D7FEA"/>
    <w:rsid w:val="009E0151"/>
    <w:rsid w:val="009E06BA"/>
    <w:rsid w:val="009E06F9"/>
    <w:rsid w:val="009E0831"/>
    <w:rsid w:val="009E09E4"/>
    <w:rsid w:val="009E0B6B"/>
    <w:rsid w:val="009E0BE0"/>
    <w:rsid w:val="009E0D8B"/>
    <w:rsid w:val="009E0FC4"/>
    <w:rsid w:val="009E1049"/>
    <w:rsid w:val="009E11E2"/>
    <w:rsid w:val="009E12A6"/>
    <w:rsid w:val="009E15A6"/>
    <w:rsid w:val="009E15D7"/>
    <w:rsid w:val="009E17B5"/>
    <w:rsid w:val="009E182D"/>
    <w:rsid w:val="009E1939"/>
    <w:rsid w:val="009E195D"/>
    <w:rsid w:val="009E19B1"/>
    <w:rsid w:val="009E1D33"/>
    <w:rsid w:val="009E1D40"/>
    <w:rsid w:val="009E1F80"/>
    <w:rsid w:val="009E217C"/>
    <w:rsid w:val="009E22ED"/>
    <w:rsid w:val="009E243F"/>
    <w:rsid w:val="009E26FF"/>
    <w:rsid w:val="009E2858"/>
    <w:rsid w:val="009E2992"/>
    <w:rsid w:val="009E2A77"/>
    <w:rsid w:val="009E2A9C"/>
    <w:rsid w:val="009E2AEA"/>
    <w:rsid w:val="009E2B4E"/>
    <w:rsid w:val="009E2E16"/>
    <w:rsid w:val="009E2ED3"/>
    <w:rsid w:val="009E3018"/>
    <w:rsid w:val="009E3186"/>
    <w:rsid w:val="009E31FE"/>
    <w:rsid w:val="009E32BF"/>
    <w:rsid w:val="009E3637"/>
    <w:rsid w:val="009E39F0"/>
    <w:rsid w:val="009E3C62"/>
    <w:rsid w:val="009E3C6A"/>
    <w:rsid w:val="009E3F11"/>
    <w:rsid w:val="009E3F40"/>
    <w:rsid w:val="009E3FF6"/>
    <w:rsid w:val="009E407A"/>
    <w:rsid w:val="009E41B4"/>
    <w:rsid w:val="009E43A5"/>
    <w:rsid w:val="009E4647"/>
    <w:rsid w:val="009E4698"/>
    <w:rsid w:val="009E47F4"/>
    <w:rsid w:val="009E48A1"/>
    <w:rsid w:val="009E4CD0"/>
    <w:rsid w:val="009E4DC5"/>
    <w:rsid w:val="009E4EA1"/>
    <w:rsid w:val="009E50C4"/>
    <w:rsid w:val="009E51F8"/>
    <w:rsid w:val="009E5273"/>
    <w:rsid w:val="009E5388"/>
    <w:rsid w:val="009E53A9"/>
    <w:rsid w:val="009E5543"/>
    <w:rsid w:val="009E5774"/>
    <w:rsid w:val="009E58CE"/>
    <w:rsid w:val="009E5AF6"/>
    <w:rsid w:val="009E5BD0"/>
    <w:rsid w:val="009E5C3F"/>
    <w:rsid w:val="009E5D5A"/>
    <w:rsid w:val="009E5D71"/>
    <w:rsid w:val="009E601D"/>
    <w:rsid w:val="009E63B2"/>
    <w:rsid w:val="009E64A6"/>
    <w:rsid w:val="009E64E2"/>
    <w:rsid w:val="009E65D0"/>
    <w:rsid w:val="009E6663"/>
    <w:rsid w:val="009E66A8"/>
    <w:rsid w:val="009E67E5"/>
    <w:rsid w:val="009E680F"/>
    <w:rsid w:val="009E6936"/>
    <w:rsid w:val="009E6AF9"/>
    <w:rsid w:val="009E6C9D"/>
    <w:rsid w:val="009E6CA4"/>
    <w:rsid w:val="009E6E40"/>
    <w:rsid w:val="009E7333"/>
    <w:rsid w:val="009E7418"/>
    <w:rsid w:val="009E751A"/>
    <w:rsid w:val="009E75E5"/>
    <w:rsid w:val="009E76CA"/>
    <w:rsid w:val="009E7AF4"/>
    <w:rsid w:val="009E7B13"/>
    <w:rsid w:val="009E7C50"/>
    <w:rsid w:val="009F006C"/>
    <w:rsid w:val="009F00BD"/>
    <w:rsid w:val="009F0182"/>
    <w:rsid w:val="009F0206"/>
    <w:rsid w:val="009F05E3"/>
    <w:rsid w:val="009F05FE"/>
    <w:rsid w:val="009F060A"/>
    <w:rsid w:val="009F0662"/>
    <w:rsid w:val="009F0A82"/>
    <w:rsid w:val="009F0C7E"/>
    <w:rsid w:val="009F0D53"/>
    <w:rsid w:val="009F0F52"/>
    <w:rsid w:val="009F0FFA"/>
    <w:rsid w:val="009F1274"/>
    <w:rsid w:val="009F1284"/>
    <w:rsid w:val="009F1504"/>
    <w:rsid w:val="009F186A"/>
    <w:rsid w:val="009F1C25"/>
    <w:rsid w:val="009F1CD6"/>
    <w:rsid w:val="009F1D4E"/>
    <w:rsid w:val="009F1F90"/>
    <w:rsid w:val="009F2017"/>
    <w:rsid w:val="009F2056"/>
    <w:rsid w:val="009F210C"/>
    <w:rsid w:val="009F21A1"/>
    <w:rsid w:val="009F2315"/>
    <w:rsid w:val="009F2452"/>
    <w:rsid w:val="009F2475"/>
    <w:rsid w:val="009F2523"/>
    <w:rsid w:val="009F2689"/>
    <w:rsid w:val="009F2733"/>
    <w:rsid w:val="009F28FA"/>
    <w:rsid w:val="009F2993"/>
    <w:rsid w:val="009F29D6"/>
    <w:rsid w:val="009F2A30"/>
    <w:rsid w:val="009F2AAC"/>
    <w:rsid w:val="009F2BC3"/>
    <w:rsid w:val="009F2D21"/>
    <w:rsid w:val="009F2DA6"/>
    <w:rsid w:val="009F301D"/>
    <w:rsid w:val="009F3293"/>
    <w:rsid w:val="009F36A3"/>
    <w:rsid w:val="009F3819"/>
    <w:rsid w:val="009F382A"/>
    <w:rsid w:val="009F3832"/>
    <w:rsid w:val="009F3927"/>
    <w:rsid w:val="009F3963"/>
    <w:rsid w:val="009F3CAF"/>
    <w:rsid w:val="009F3E19"/>
    <w:rsid w:val="009F3FBA"/>
    <w:rsid w:val="009F4051"/>
    <w:rsid w:val="009F4056"/>
    <w:rsid w:val="009F40DA"/>
    <w:rsid w:val="009F4132"/>
    <w:rsid w:val="009F4188"/>
    <w:rsid w:val="009F4315"/>
    <w:rsid w:val="009F434B"/>
    <w:rsid w:val="009F4496"/>
    <w:rsid w:val="009F4524"/>
    <w:rsid w:val="009F45BE"/>
    <w:rsid w:val="009F45F4"/>
    <w:rsid w:val="009F46A6"/>
    <w:rsid w:val="009F4840"/>
    <w:rsid w:val="009F48D4"/>
    <w:rsid w:val="009F49E0"/>
    <w:rsid w:val="009F4C72"/>
    <w:rsid w:val="009F4D14"/>
    <w:rsid w:val="009F4D82"/>
    <w:rsid w:val="009F4FC1"/>
    <w:rsid w:val="009F511C"/>
    <w:rsid w:val="009F540C"/>
    <w:rsid w:val="009F54B9"/>
    <w:rsid w:val="009F5622"/>
    <w:rsid w:val="009F5896"/>
    <w:rsid w:val="009F5916"/>
    <w:rsid w:val="009F5D9E"/>
    <w:rsid w:val="009F5FF9"/>
    <w:rsid w:val="009F6027"/>
    <w:rsid w:val="009F63B0"/>
    <w:rsid w:val="009F6433"/>
    <w:rsid w:val="009F64B1"/>
    <w:rsid w:val="009F67F8"/>
    <w:rsid w:val="009F6886"/>
    <w:rsid w:val="009F6DD5"/>
    <w:rsid w:val="009F7021"/>
    <w:rsid w:val="009F70FC"/>
    <w:rsid w:val="009F7164"/>
    <w:rsid w:val="009F716C"/>
    <w:rsid w:val="009F71DF"/>
    <w:rsid w:val="009F7B37"/>
    <w:rsid w:val="009F7B67"/>
    <w:rsid w:val="009F7E9C"/>
    <w:rsid w:val="00A001AC"/>
    <w:rsid w:val="00A00253"/>
    <w:rsid w:val="00A002B5"/>
    <w:rsid w:val="00A004CB"/>
    <w:rsid w:val="00A00507"/>
    <w:rsid w:val="00A00A4B"/>
    <w:rsid w:val="00A00AC5"/>
    <w:rsid w:val="00A00B84"/>
    <w:rsid w:val="00A00B9D"/>
    <w:rsid w:val="00A013FB"/>
    <w:rsid w:val="00A014CB"/>
    <w:rsid w:val="00A017C9"/>
    <w:rsid w:val="00A01866"/>
    <w:rsid w:val="00A01B67"/>
    <w:rsid w:val="00A01D5D"/>
    <w:rsid w:val="00A01D78"/>
    <w:rsid w:val="00A01E9D"/>
    <w:rsid w:val="00A01EF7"/>
    <w:rsid w:val="00A01EFA"/>
    <w:rsid w:val="00A01F01"/>
    <w:rsid w:val="00A02077"/>
    <w:rsid w:val="00A02116"/>
    <w:rsid w:val="00A02128"/>
    <w:rsid w:val="00A0229F"/>
    <w:rsid w:val="00A0245A"/>
    <w:rsid w:val="00A0246A"/>
    <w:rsid w:val="00A024EC"/>
    <w:rsid w:val="00A02564"/>
    <w:rsid w:val="00A025ED"/>
    <w:rsid w:val="00A02A45"/>
    <w:rsid w:val="00A02A4F"/>
    <w:rsid w:val="00A02B51"/>
    <w:rsid w:val="00A02BC6"/>
    <w:rsid w:val="00A02DBA"/>
    <w:rsid w:val="00A02ED0"/>
    <w:rsid w:val="00A02F49"/>
    <w:rsid w:val="00A02FCA"/>
    <w:rsid w:val="00A030A5"/>
    <w:rsid w:val="00A03168"/>
    <w:rsid w:val="00A0332E"/>
    <w:rsid w:val="00A03445"/>
    <w:rsid w:val="00A03594"/>
    <w:rsid w:val="00A035ED"/>
    <w:rsid w:val="00A035FA"/>
    <w:rsid w:val="00A0378A"/>
    <w:rsid w:val="00A03898"/>
    <w:rsid w:val="00A039AF"/>
    <w:rsid w:val="00A03BA3"/>
    <w:rsid w:val="00A03BAD"/>
    <w:rsid w:val="00A03C2D"/>
    <w:rsid w:val="00A03C30"/>
    <w:rsid w:val="00A03CF4"/>
    <w:rsid w:val="00A03E2D"/>
    <w:rsid w:val="00A03F12"/>
    <w:rsid w:val="00A03FF9"/>
    <w:rsid w:val="00A04195"/>
    <w:rsid w:val="00A041BB"/>
    <w:rsid w:val="00A042A7"/>
    <w:rsid w:val="00A0456C"/>
    <w:rsid w:val="00A04835"/>
    <w:rsid w:val="00A048C8"/>
    <w:rsid w:val="00A0491F"/>
    <w:rsid w:val="00A04989"/>
    <w:rsid w:val="00A049C6"/>
    <w:rsid w:val="00A049D6"/>
    <w:rsid w:val="00A04DC5"/>
    <w:rsid w:val="00A04F57"/>
    <w:rsid w:val="00A04F95"/>
    <w:rsid w:val="00A05174"/>
    <w:rsid w:val="00A053E6"/>
    <w:rsid w:val="00A054BB"/>
    <w:rsid w:val="00A054FD"/>
    <w:rsid w:val="00A0554E"/>
    <w:rsid w:val="00A0559C"/>
    <w:rsid w:val="00A05711"/>
    <w:rsid w:val="00A058C1"/>
    <w:rsid w:val="00A058D5"/>
    <w:rsid w:val="00A059B4"/>
    <w:rsid w:val="00A05A29"/>
    <w:rsid w:val="00A05BA6"/>
    <w:rsid w:val="00A05BEE"/>
    <w:rsid w:val="00A05CDD"/>
    <w:rsid w:val="00A05D44"/>
    <w:rsid w:val="00A05F80"/>
    <w:rsid w:val="00A06153"/>
    <w:rsid w:val="00A0632E"/>
    <w:rsid w:val="00A064A8"/>
    <w:rsid w:val="00A06561"/>
    <w:rsid w:val="00A065FE"/>
    <w:rsid w:val="00A06624"/>
    <w:rsid w:val="00A0667A"/>
    <w:rsid w:val="00A06851"/>
    <w:rsid w:val="00A06865"/>
    <w:rsid w:val="00A069F8"/>
    <w:rsid w:val="00A06A5C"/>
    <w:rsid w:val="00A06B43"/>
    <w:rsid w:val="00A06CCC"/>
    <w:rsid w:val="00A06E5D"/>
    <w:rsid w:val="00A06F25"/>
    <w:rsid w:val="00A071A4"/>
    <w:rsid w:val="00A071F6"/>
    <w:rsid w:val="00A0725D"/>
    <w:rsid w:val="00A07377"/>
    <w:rsid w:val="00A074E4"/>
    <w:rsid w:val="00A07567"/>
    <w:rsid w:val="00A075F8"/>
    <w:rsid w:val="00A0761F"/>
    <w:rsid w:val="00A076C4"/>
    <w:rsid w:val="00A076CA"/>
    <w:rsid w:val="00A077CD"/>
    <w:rsid w:val="00A0788E"/>
    <w:rsid w:val="00A078A4"/>
    <w:rsid w:val="00A07C06"/>
    <w:rsid w:val="00A07D4E"/>
    <w:rsid w:val="00A07D71"/>
    <w:rsid w:val="00A07F04"/>
    <w:rsid w:val="00A10141"/>
    <w:rsid w:val="00A1035C"/>
    <w:rsid w:val="00A10381"/>
    <w:rsid w:val="00A104D6"/>
    <w:rsid w:val="00A1058A"/>
    <w:rsid w:val="00A105FC"/>
    <w:rsid w:val="00A106A2"/>
    <w:rsid w:val="00A10710"/>
    <w:rsid w:val="00A10767"/>
    <w:rsid w:val="00A107B8"/>
    <w:rsid w:val="00A109D0"/>
    <w:rsid w:val="00A10B90"/>
    <w:rsid w:val="00A10BF7"/>
    <w:rsid w:val="00A10E1B"/>
    <w:rsid w:val="00A10F7D"/>
    <w:rsid w:val="00A111F1"/>
    <w:rsid w:val="00A1125B"/>
    <w:rsid w:val="00A11270"/>
    <w:rsid w:val="00A112BB"/>
    <w:rsid w:val="00A114B8"/>
    <w:rsid w:val="00A11827"/>
    <w:rsid w:val="00A119E3"/>
    <w:rsid w:val="00A11B83"/>
    <w:rsid w:val="00A11CC4"/>
    <w:rsid w:val="00A11CD8"/>
    <w:rsid w:val="00A11DC6"/>
    <w:rsid w:val="00A11EF2"/>
    <w:rsid w:val="00A120F5"/>
    <w:rsid w:val="00A1210E"/>
    <w:rsid w:val="00A12196"/>
    <w:rsid w:val="00A122FC"/>
    <w:rsid w:val="00A12731"/>
    <w:rsid w:val="00A12765"/>
    <w:rsid w:val="00A127E5"/>
    <w:rsid w:val="00A12809"/>
    <w:rsid w:val="00A1283D"/>
    <w:rsid w:val="00A12873"/>
    <w:rsid w:val="00A1294A"/>
    <w:rsid w:val="00A1294F"/>
    <w:rsid w:val="00A12AA6"/>
    <w:rsid w:val="00A12BB9"/>
    <w:rsid w:val="00A12C24"/>
    <w:rsid w:val="00A12D7B"/>
    <w:rsid w:val="00A13332"/>
    <w:rsid w:val="00A13504"/>
    <w:rsid w:val="00A13608"/>
    <w:rsid w:val="00A137EE"/>
    <w:rsid w:val="00A13B4E"/>
    <w:rsid w:val="00A13BAD"/>
    <w:rsid w:val="00A13BC9"/>
    <w:rsid w:val="00A13C3D"/>
    <w:rsid w:val="00A13CC3"/>
    <w:rsid w:val="00A13E26"/>
    <w:rsid w:val="00A1410F"/>
    <w:rsid w:val="00A14241"/>
    <w:rsid w:val="00A148AD"/>
    <w:rsid w:val="00A14ADA"/>
    <w:rsid w:val="00A14C86"/>
    <w:rsid w:val="00A14C91"/>
    <w:rsid w:val="00A14E10"/>
    <w:rsid w:val="00A14E4F"/>
    <w:rsid w:val="00A14F3B"/>
    <w:rsid w:val="00A152B3"/>
    <w:rsid w:val="00A15356"/>
    <w:rsid w:val="00A1542B"/>
    <w:rsid w:val="00A15548"/>
    <w:rsid w:val="00A15583"/>
    <w:rsid w:val="00A155C5"/>
    <w:rsid w:val="00A15638"/>
    <w:rsid w:val="00A15659"/>
    <w:rsid w:val="00A1589D"/>
    <w:rsid w:val="00A15A1F"/>
    <w:rsid w:val="00A15A95"/>
    <w:rsid w:val="00A15B85"/>
    <w:rsid w:val="00A15C26"/>
    <w:rsid w:val="00A15E5C"/>
    <w:rsid w:val="00A160DB"/>
    <w:rsid w:val="00A16159"/>
    <w:rsid w:val="00A1628D"/>
    <w:rsid w:val="00A162E4"/>
    <w:rsid w:val="00A164E1"/>
    <w:rsid w:val="00A165E4"/>
    <w:rsid w:val="00A16675"/>
    <w:rsid w:val="00A16906"/>
    <w:rsid w:val="00A16D0E"/>
    <w:rsid w:val="00A16D36"/>
    <w:rsid w:val="00A16DAC"/>
    <w:rsid w:val="00A16E03"/>
    <w:rsid w:val="00A16ECE"/>
    <w:rsid w:val="00A174AE"/>
    <w:rsid w:val="00A17693"/>
    <w:rsid w:val="00A1778C"/>
    <w:rsid w:val="00A17980"/>
    <w:rsid w:val="00A17A36"/>
    <w:rsid w:val="00A17A40"/>
    <w:rsid w:val="00A17A72"/>
    <w:rsid w:val="00A17C3C"/>
    <w:rsid w:val="00A17CA0"/>
    <w:rsid w:val="00A20033"/>
    <w:rsid w:val="00A20373"/>
    <w:rsid w:val="00A203FA"/>
    <w:rsid w:val="00A20453"/>
    <w:rsid w:val="00A20493"/>
    <w:rsid w:val="00A20565"/>
    <w:rsid w:val="00A205CC"/>
    <w:rsid w:val="00A2099E"/>
    <w:rsid w:val="00A20B8D"/>
    <w:rsid w:val="00A20C8F"/>
    <w:rsid w:val="00A20EF2"/>
    <w:rsid w:val="00A20F40"/>
    <w:rsid w:val="00A20F70"/>
    <w:rsid w:val="00A210A1"/>
    <w:rsid w:val="00A21229"/>
    <w:rsid w:val="00A2125E"/>
    <w:rsid w:val="00A21363"/>
    <w:rsid w:val="00A2149E"/>
    <w:rsid w:val="00A2170D"/>
    <w:rsid w:val="00A21AFD"/>
    <w:rsid w:val="00A21D10"/>
    <w:rsid w:val="00A21DB5"/>
    <w:rsid w:val="00A21E06"/>
    <w:rsid w:val="00A21F7B"/>
    <w:rsid w:val="00A2215D"/>
    <w:rsid w:val="00A22295"/>
    <w:rsid w:val="00A225F6"/>
    <w:rsid w:val="00A2261D"/>
    <w:rsid w:val="00A227CC"/>
    <w:rsid w:val="00A2294F"/>
    <w:rsid w:val="00A22956"/>
    <w:rsid w:val="00A22A5F"/>
    <w:rsid w:val="00A22AD9"/>
    <w:rsid w:val="00A22B91"/>
    <w:rsid w:val="00A22E2E"/>
    <w:rsid w:val="00A22F4D"/>
    <w:rsid w:val="00A22FF0"/>
    <w:rsid w:val="00A23165"/>
    <w:rsid w:val="00A231A5"/>
    <w:rsid w:val="00A2327B"/>
    <w:rsid w:val="00A23283"/>
    <w:rsid w:val="00A233B8"/>
    <w:rsid w:val="00A23407"/>
    <w:rsid w:val="00A2351E"/>
    <w:rsid w:val="00A2355F"/>
    <w:rsid w:val="00A23595"/>
    <w:rsid w:val="00A23892"/>
    <w:rsid w:val="00A2398F"/>
    <w:rsid w:val="00A23B7C"/>
    <w:rsid w:val="00A23FD0"/>
    <w:rsid w:val="00A23FDD"/>
    <w:rsid w:val="00A242C0"/>
    <w:rsid w:val="00A243BF"/>
    <w:rsid w:val="00A2440A"/>
    <w:rsid w:val="00A244BA"/>
    <w:rsid w:val="00A2499F"/>
    <w:rsid w:val="00A249A4"/>
    <w:rsid w:val="00A249C4"/>
    <w:rsid w:val="00A24B0C"/>
    <w:rsid w:val="00A24D9A"/>
    <w:rsid w:val="00A24E61"/>
    <w:rsid w:val="00A25064"/>
    <w:rsid w:val="00A250A9"/>
    <w:rsid w:val="00A252E7"/>
    <w:rsid w:val="00A25306"/>
    <w:rsid w:val="00A2553B"/>
    <w:rsid w:val="00A258D4"/>
    <w:rsid w:val="00A25AC9"/>
    <w:rsid w:val="00A25BDF"/>
    <w:rsid w:val="00A25C8F"/>
    <w:rsid w:val="00A25DD2"/>
    <w:rsid w:val="00A25EB1"/>
    <w:rsid w:val="00A25ECC"/>
    <w:rsid w:val="00A260CD"/>
    <w:rsid w:val="00A26A2F"/>
    <w:rsid w:val="00A26C5E"/>
    <w:rsid w:val="00A26DBC"/>
    <w:rsid w:val="00A26DCB"/>
    <w:rsid w:val="00A27107"/>
    <w:rsid w:val="00A27278"/>
    <w:rsid w:val="00A272EE"/>
    <w:rsid w:val="00A27343"/>
    <w:rsid w:val="00A27493"/>
    <w:rsid w:val="00A274E6"/>
    <w:rsid w:val="00A2751C"/>
    <w:rsid w:val="00A27636"/>
    <w:rsid w:val="00A2777D"/>
    <w:rsid w:val="00A2778E"/>
    <w:rsid w:val="00A27800"/>
    <w:rsid w:val="00A27824"/>
    <w:rsid w:val="00A27855"/>
    <w:rsid w:val="00A27A55"/>
    <w:rsid w:val="00A27A59"/>
    <w:rsid w:val="00A27AA9"/>
    <w:rsid w:val="00A27AF1"/>
    <w:rsid w:val="00A27D0A"/>
    <w:rsid w:val="00A27E14"/>
    <w:rsid w:val="00A27E77"/>
    <w:rsid w:val="00A27FF6"/>
    <w:rsid w:val="00A30081"/>
    <w:rsid w:val="00A30407"/>
    <w:rsid w:val="00A306C1"/>
    <w:rsid w:val="00A307E9"/>
    <w:rsid w:val="00A3088D"/>
    <w:rsid w:val="00A308A8"/>
    <w:rsid w:val="00A30B6C"/>
    <w:rsid w:val="00A30C0E"/>
    <w:rsid w:val="00A30CCA"/>
    <w:rsid w:val="00A30D39"/>
    <w:rsid w:val="00A30D7B"/>
    <w:rsid w:val="00A30E09"/>
    <w:rsid w:val="00A30ECD"/>
    <w:rsid w:val="00A3107C"/>
    <w:rsid w:val="00A310F6"/>
    <w:rsid w:val="00A311AB"/>
    <w:rsid w:val="00A312DB"/>
    <w:rsid w:val="00A31319"/>
    <w:rsid w:val="00A3142E"/>
    <w:rsid w:val="00A314A4"/>
    <w:rsid w:val="00A31582"/>
    <w:rsid w:val="00A315A9"/>
    <w:rsid w:val="00A31705"/>
    <w:rsid w:val="00A3181D"/>
    <w:rsid w:val="00A31830"/>
    <w:rsid w:val="00A31856"/>
    <w:rsid w:val="00A3193E"/>
    <w:rsid w:val="00A31B02"/>
    <w:rsid w:val="00A31B2B"/>
    <w:rsid w:val="00A31B30"/>
    <w:rsid w:val="00A31E00"/>
    <w:rsid w:val="00A31FE2"/>
    <w:rsid w:val="00A3203F"/>
    <w:rsid w:val="00A32181"/>
    <w:rsid w:val="00A32307"/>
    <w:rsid w:val="00A323A0"/>
    <w:rsid w:val="00A3252A"/>
    <w:rsid w:val="00A3255A"/>
    <w:rsid w:val="00A326A5"/>
    <w:rsid w:val="00A326EC"/>
    <w:rsid w:val="00A3298B"/>
    <w:rsid w:val="00A32999"/>
    <w:rsid w:val="00A32A8E"/>
    <w:rsid w:val="00A32C01"/>
    <w:rsid w:val="00A32C23"/>
    <w:rsid w:val="00A32CE9"/>
    <w:rsid w:val="00A32DFC"/>
    <w:rsid w:val="00A32E3E"/>
    <w:rsid w:val="00A32EC5"/>
    <w:rsid w:val="00A32EE8"/>
    <w:rsid w:val="00A3300F"/>
    <w:rsid w:val="00A330AA"/>
    <w:rsid w:val="00A3316F"/>
    <w:rsid w:val="00A331C8"/>
    <w:rsid w:val="00A332C5"/>
    <w:rsid w:val="00A3333F"/>
    <w:rsid w:val="00A333C6"/>
    <w:rsid w:val="00A338B3"/>
    <w:rsid w:val="00A338DA"/>
    <w:rsid w:val="00A33A47"/>
    <w:rsid w:val="00A33A61"/>
    <w:rsid w:val="00A33A67"/>
    <w:rsid w:val="00A33A9C"/>
    <w:rsid w:val="00A33B31"/>
    <w:rsid w:val="00A33BDD"/>
    <w:rsid w:val="00A33BE4"/>
    <w:rsid w:val="00A33C94"/>
    <w:rsid w:val="00A33CD6"/>
    <w:rsid w:val="00A33D2F"/>
    <w:rsid w:val="00A33DF0"/>
    <w:rsid w:val="00A33F90"/>
    <w:rsid w:val="00A3400C"/>
    <w:rsid w:val="00A34049"/>
    <w:rsid w:val="00A34265"/>
    <w:rsid w:val="00A342E0"/>
    <w:rsid w:val="00A342F2"/>
    <w:rsid w:val="00A3460C"/>
    <w:rsid w:val="00A346D7"/>
    <w:rsid w:val="00A347DD"/>
    <w:rsid w:val="00A34805"/>
    <w:rsid w:val="00A34843"/>
    <w:rsid w:val="00A348C3"/>
    <w:rsid w:val="00A349B4"/>
    <w:rsid w:val="00A34B6D"/>
    <w:rsid w:val="00A34D75"/>
    <w:rsid w:val="00A34F66"/>
    <w:rsid w:val="00A35011"/>
    <w:rsid w:val="00A35035"/>
    <w:rsid w:val="00A350B9"/>
    <w:rsid w:val="00A350DE"/>
    <w:rsid w:val="00A3517E"/>
    <w:rsid w:val="00A35305"/>
    <w:rsid w:val="00A35369"/>
    <w:rsid w:val="00A355A1"/>
    <w:rsid w:val="00A355C2"/>
    <w:rsid w:val="00A35684"/>
    <w:rsid w:val="00A356F8"/>
    <w:rsid w:val="00A35BD6"/>
    <w:rsid w:val="00A35C3E"/>
    <w:rsid w:val="00A35F18"/>
    <w:rsid w:val="00A35F98"/>
    <w:rsid w:val="00A36271"/>
    <w:rsid w:val="00A3635B"/>
    <w:rsid w:val="00A363C8"/>
    <w:rsid w:val="00A364F4"/>
    <w:rsid w:val="00A3659D"/>
    <w:rsid w:val="00A366A2"/>
    <w:rsid w:val="00A36863"/>
    <w:rsid w:val="00A36B40"/>
    <w:rsid w:val="00A36C21"/>
    <w:rsid w:val="00A36C58"/>
    <w:rsid w:val="00A36CCD"/>
    <w:rsid w:val="00A372EF"/>
    <w:rsid w:val="00A3731C"/>
    <w:rsid w:val="00A3745F"/>
    <w:rsid w:val="00A3749B"/>
    <w:rsid w:val="00A375EE"/>
    <w:rsid w:val="00A376E3"/>
    <w:rsid w:val="00A37A05"/>
    <w:rsid w:val="00A37B6E"/>
    <w:rsid w:val="00A37BB8"/>
    <w:rsid w:val="00A37D8E"/>
    <w:rsid w:val="00A37DE9"/>
    <w:rsid w:val="00A37DF5"/>
    <w:rsid w:val="00A37E90"/>
    <w:rsid w:val="00A37F8C"/>
    <w:rsid w:val="00A40130"/>
    <w:rsid w:val="00A4015A"/>
    <w:rsid w:val="00A40285"/>
    <w:rsid w:val="00A40322"/>
    <w:rsid w:val="00A406CC"/>
    <w:rsid w:val="00A4084E"/>
    <w:rsid w:val="00A40921"/>
    <w:rsid w:val="00A40931"/>
    <w:rsid w:val="00A40A7B"/>
    <w:rsid w:val="00A40C23"/>
    <w:rsid w:val="00A4109A"/>
    <w:rsid w:val="00A41422"/>
    <w:rsid w:val="00A415E8"/>
    <w:rsid w:val="00A415EF"/>
    <w:rsid w:val="00A417E4"/>
    <w:rsid w:val="00A41AFD"/>
    <w:rsid w:val="00A41B03"/>
    <w:rsid w:val="00A41C35"/>
    <w:rsid w:val="00A41DF8"/>
    <w:rsid w:val="00A41ED9"/>
    <w:rsid w:val="00A41F97"/>
    <w:rsid w:val="00A42050"/>
    <w:rsid w:val="00A420B8"/>
    <w:rsid w:val="00A4213C"/>
    <w:rsid w:val="00A42185"/>
    <w:rsid w:val="00A4234D"/>
    <w:rsid w:val="00A425B4"/>
    <w:rsid w:val="00A42671"/>
    <w:rsid w:val="00A426E2"/>
    <w:rsid w:val="00A428F0"/>
    <w:rsid w:val="00A42A3D"/>
    <w:rsid w:val="00A42AB8"/>
    <w:rsid w:val="00A42C8C"/>
    <w:rsid w:val="00A42CDD"/>
    <w:rsid w:val="00A42D37"/>
    <w:rsid w:val="00A42E96"/>
    <w:rsid w:val="00A42ECB"/>
    <w:rsid w:val="00A42F59"/>
    <w:rsid w:val="00A4312E"/>
    <w:rsid w:val="00A43188"/>
    <w:rsid w:val="00A431B5"/>
    <w:rsid w:val="00A43206"/>
    <w:rsid w:val="00A4368A"/>
    <w:rsid w:val="00A436A3"/>
    <w:rsid w:val="00A436E2"/>
    <w:rsid w:val="00A43793"/>
    <w:rsid w:val="00A43AC5"/>
    <w:rsid w:val="00A43B89"/>
    <w:rsid w:val="00A43BCF"/>
    <w:rsid w:val="00A43BD3"/>
    <w:rsid w:val="00A43CE4"/>
    <w:rsid w:val="00A43D76"/>
    <w:rsid w:val="00A43D9F"/>
    <w:rsid w:val="00A440CB"/>
    <w:rsid w:val="00A44150"/>
    <w:rsid w:val="00A4426B"/>
    <w:rsid w:val="00A4429F"/>
    <w:rsid w:val="00A442C7"/>
    <w:rsid w:val="00A4437A"/>
    <w:rsid w:val="00A443E1"/>
    <w:rsid w:val="00A44647"/>
    <w:rsid w:val="00A446A5"/>
    <w:rsid w:val="00A4478E"/>
    <w:rsid w:val="00A447AE"/>
    <w:rsid w:val="00A447CA"/>
    <w:rsid w:val="00A44A57"/>
    <w:rsid w:val="00A44A87"/>
    <w:rsid w:val="00A44BBD"/>
    <w:rsid w:val="00A44E9D"/>
    <w:rsid w:val="00A44ECB"/>
    <w:rsid w:val="00A44F45"/>
    <w:rsid w:val="00A452D9"/>
    <w:rsid w:val="00A4530B"/>
    <w:rsid w:val="00A4533B"/>
    <w:rsid w:val="00A45399"/>
    <w:rsid w:val="00A4542E"/>
    <w:rsid w:val="00A45459"/>
    <w:rsid w:val="00A45722"/>
    <w:rsid w:val="00A45A1D"/>
    <w:rsid w:val="00A45A8E"/>
    <w:rsid w:val="00A45ADC"/>
    <w:rsid w:val="00A45D75"/>
    <w:rsid w:val="00A45ECC"/>
    <w:rsid w:val="00A45F41"/>
    <w:rsid w:val="00A45F61"/>
    <w:rsid w:val="00A4603E"/>
    <w:rsid w:val="00A46281"/>
    <w:rsid w:val="00A465F1"/>
    <w:rsid w:val="00A4665F"/>
    <w:rsid w:val="00A46736"/>
    <w:rsid w:val="00A46770"/>
    <w:rsid w:val="00A468D5"/>
    <w:rsid w:val="00A46920"/>
    <w:rsid w:val="00A4696A"/>
    <w:rsid w:val="00A46ADD"/>
    <w:rsid w:val="00A46B3C"/>
    <w:rsid w:val="00A46B81"/>
    <w:rsid w:val="00A46BB5"/>
    <w:rsid w:val="00A46C59"/>
    <w:rsid w:val="00A46CE1"/>
    <w:rsid w:val="00A46D3F"/>
    <w:rsid w:val="00A46E2D"/>
    <w:rsid w:val="00A46EDB"/>
    <w:rsid w:val="00A47293"/>
    <w:rsid w:val="00A4731C"/>
    <w:rsid w:val="00A47405"/>
    <w:rsid w:val="00A47483"/>
    <w:rsid w:val="00A475F6"/>
    <w:rsid w:val="00A475F7"/>
    <w:rsid w:val="00A47805"/>
    <w:rsid w:val="00A47887"/>
    <w:rsid w:val="00A47989"/>
    <w:rsid w:val="00A47C61"/>
    <w:rsid w:val="00A47D7D"/>
    <w:rsid w:val="00A47E62"/>
    <w:rsid w:val="00A500E2"/>
    <w:rsid w:val="00A500FF"/>
    <w:rsid w:val="00A503FE"/>
    <w:rsid w:val="00A50518"/>
    <w:rsid w:val="00A50538"/>
    <w:rsid w:val="00A5054A"/>
    <w:rsid w:val="00A50554"/>
    <w:rsid w:val="00A50591"/>
    <w:rsid w:val="00A5070F"/>
    <w:rsid w:val="00A5075E"/>
    <w:rsid w:val="00A50879"/>
    <w:rsid w:val="00A50942"/>
    <w:rsid w:val="00A50988"/>
    <w:rsid w:val="00A50C81"/>
    <w:rsid w:val="00A50FA5"/>
    <w:rsid w:val="00A50FE3"/>
    <w:rsid w:val="00A51070"/>
    <w:rsid w:val="00A51083"/>
    <w:rsid w:val="00A511A5"/>
    <w:rsid w:val="00A514E7"/>
    <w:rsid w:val="00A515DA"/>
    <w:rsid w:val="00A517A6"/>
    <w:rsid w:val="00A518E3"/>
    <w:rsid w:val="00A51983"/>
    <w:rsid w:val="00A519D9"/>
    <w:rsid w:val="00A519E6"/>
    <w:rsid w:val="00A51B2A"/>
    <w:rsid w:val="00A51BBD"/>
    <w:rsid w:val="00A51C3D"/>
    <w:rsid w:val="00A51E24"/>
    <w:rsid w:val="00A51E32"/>
    <w:rsid w:val="00A51F3F"/>
    <w:rsid w:val="00A521D8"/>
    <w:rsid w:val="00A5228C"/>
    <w:rsid w:val="00A5251A"/>
    <w:rsid w:val="00A5284D"/>
    <w:rsid w:val="00A52969"/>
    <w:rsid w:val="00A52999"/>
    <w:rsid w:val="00A529C7"/>
    <w:rsid w:val="00A52A65"/>
    <w:rsid w:val="00A52BF7"/>
    <w:rsid w:val="00A52C36"/>
    <w:rsid w:val="00A52CBB"/>
    <w:rsid w:val="00A5302A"/>
    <w:rsid w:val="00A531CD"/>
    <w:rsid w:val="00A53357"/>
    <w:rsid w:val="00A5335F"/>
    <w:rsid w:val="00A534F2"/>
    <w:rsid w:val="00A5363D"/>
    <w:rsid w:val="00A536E1"/>
    <w:rsid w:val="00A5382A"/>
    <w:rsid w:val="00A539BE"/>
    <w:rsid w:val="00A53CBF"/>
    <w:rsid w:val="00A53DD6"/>
    <w:rsid w:val="00A53E3C"/>
    <w:rsid w:val="00A53FFD"/>
    <w:rsid w:val="00A540BD"/>
    <w:rsid w:val="00A5419B"/>
    <w:rsid w:val="00A5426A"/>
    <w:rsid w:val="00A5433F"/>
    <w:rsid w:val="00A5436C"/>
    <w:rsid w:val="00A543A9"/>
    <w:rsid w:val="00A544C3"/>
    <w:rsid w:val="00A5453B"/>
    <w:rsid w:val="00A54701"/>
    <w:rsid w:val="00A54AA6"/>
    <w:rsid w:val="00A54C51"/>
    <w:rsid w:val="00A54C8A"/>
    <w:rsid w:val="00A54DE7"/>
    <w:rsid w:val="00A54F89"/>
    <w:rsid w:val="00A54FE5"/>
    <w:rsid w:val="00A550E0"/>
    <w:rsid w:val="00A551E3"/>
    <w:rsid w:val="00A55340"/>
    <w:rsid w:val="00A553CF"/>
    <w:rsid w:val="00A55446"/>
    <w:rsid w:val="00A554AC"/>
    <w:rsid w:val="00A5567F"/>
    <w:rsid w:val="00A55797"/>
    <w:rsid w:val="00A558A8"/>
    <w:rsid w:val="00A55924"/>
    <w:rsid w:val="00A55AE7"/>
    <w:rsid w:val="00A55C54"/>
    <w:rsid w:val="00A55C7E"/>
    <w:rsid w:val="00A55F2C"/>
    <w:rsid w:val="00A560DE"/>
    <w:rsid w:val="00A563D5"/>
    <w:rsid w:val="00A56432"/>
    <w:rsid w:val="00A56493"/>
    <w:rsid w:val="00A564D7"/>
    <w:rsid w:val="00A56514"/>
    <w:rsid w:val="00A5657B"/>
    <w:rsid w:val="00A56674"/>
    <w:rsid w:val="00A5688B"/>
    <w:rsid w:val="00A568B9"/>
    <w:rsid w:val="00A5694E"/>
    <w:rsid w:val="00A569AC"/>
    <w:rsid w:val="00A569BD"/>
    <w:rsid w:val="00A569FA"/>
    <w:rsid w:val="00A56A61"/>
    <w:rsid w:val="00A56A94"/>
    <w:rsid w:val="00A56B69"/>
    <w:rsid w:val="00A56B79"/>
    <w:rsid w:val="00A56D27"/>
    <w:rsid w:val="00A56DF0"/>
    <w:rsid w:val="00A56ED6"/>
    <w:rsid w:val="00A57035"/>
    <w:rsid w:val="00A57092"/>
    <w:rsid w:val="00A57299"/>
    <w:rsid w:val="00A574DD"/>
    <w:rsid w:val="00A57528"/>
    <w:rsid w:val="00A57567"/>
    <w:rsid w:val="00A575A8"/>
    <w:rsid w:val="00A57A2F"/>
    <w:rsid w:val="00A57BB0"/>
    <w:rsid w:val="00A57C48"/>
    <w:rsid w:val="00A57E95"/>
    <w:rsid w:val="00A57E99"/>
    <w:rsid w:val="00A6010E"/>
    <w:rsid w:val="00A60236"/>
    <w:rsid w:val="00A602EE"/>
    <w:rsid w:val="00A603D5"/>
    <w:rsid w:val="00A6059F"/>
    <w:rsid w:val="00A60647"/>
    <w:rsid w:val="00A606A3"/>
    <w:rsid w:val="00A6086B"/>
    <w:rsid w:val="00A60EDB"/>
    <w:rsid w:val="00A60FEA"/>
    <w:rsid w:val="00A60FF1"/>
    <w:rsid w:val="00A61002"/>
    <w:rsid w:val="00A610AF"/>
    <w:rsid w:val="00A6110D"/>
    <w:rsid w:val="00A614FD"/>
    <w:rsid w:val="00A615C2"/>
    <w:rsid w:val="00A61664"/>
    <w:rsid w:val="00A61808"/>
    <w:rsid w:val="00A61853"/>
    <w:rsid w:val="00A61907"/>
    <w:rsid w:val="00A61B0B"/>
    <w:rsid w:val="00A61BD8"/>
    <w:rsid w:val="00A61E1A"/>
    <w:rsid w:val="00A61E69"/>
    <w:rsid w:val="00A61F79"/>
    <w:rsid w:val="00A61FF9"/>
    <w:rsid w:val="00A621CE"/>
    <w:rsid w:val="00A62259"/>
    <w:rsid w:val="00A623A7"/>
    <w:rsid w:val="00A623EB"/>
    <w:rsid w:val="00A626F1"/>
    <w:rsid w:val="00A6276B"/>
    <w:rsid w:val="00A62892"/>
    <w:rsid w:val="00A629E8"/>
    <w:rsid w:val="00A62C5B"/>
    <w:rsid w:val="00A62CE8"/>
    <w:rsid w:val="00A62DD5"/>
    <w:rsid w:val="00A62E42"/>
    <w:rsid w:val="00A62E49"/>
    <w:rsid w:val="00A62F7B"/>
    <w:rsid w:val="00A6323E"/>
    <w:rsid w:val="00A63487"/>
    <w:rsid w:val="00A63541"/>
    <w:rsid w:val="00A63572"/>
    <w:rsid w:val="00A63637"/>
    <w:rsid w:val="00A6363B"/>
    <w:rsid w:val="00A63670"/>
    <w:rsid w:val="00A63748"/>
    <w:rsid w:val="00A63D4B"/>
    <w:rsid w:val="00A63F4B"/>
    <w:rsid w:val="00A6473C"/>
    <w:rsid w:val="00A6476A"/>
    <w:rsid w:val="00A647F8"/>
    <w:rsid w:val="00A6484A"/>
    <w:rsid w:val="00A6486B"/>
    <w:rsid w:val="00A64A71"/>
    <w:rsid w:val="00A64CE9"/>
    <w:rsid w:val="00A64DF9"/>
    <w:rsid w:val="00A64FF0"/>
    <w:rsid w:val="00A65019"/>
    <w:rsid w:val="00A651B5"/>
    <w:rsid w:val="00A652B8"/>
    <w:rsid w:val="00A653F7"/>
    <w:rsid w:val="00A65443"/>
    <w:rsid w:val="00A6552C"/>
    <w:rsid w:val="00A65608"/>
    <w:rsid w:val="00A65721"/>
    <w:rsid w:val="00A65832"/>
    <w:rsid w:val="00A6590C"/>
    <w:rsid w:val="00A65C44"/>
    <w:rsid w:val="00A66186"/>
    <w:rsid w:val="00A66188"/>
    <w:rsid w:val="00A66533"/>
    <w:rsid w:val="00A6662A"/>
    <w:rsid w:val="00A66657"/>
    <w:rsid w:val="00A66766"/>
    <w:rsid w:val="00A667AD"/>
    <w:rsid w:val="00A66837"/>
    <w:rsid w:val="00A6695D"/>
    <w:rsid w:val="00A66A2A"/>
    <w:rsid w:val="00A66AA9"/>
    <w:rsid w:val="00A66C04"/>
    <w:rsid w:val="00A66C74"/>
    <w:rsid w:val="00A66CF3"/>
    <w:rsid w:val="00A66DEC"/>
    <w:rsid w:val="00A66EFA"/>
    <w:rsid w:val="00A66F9F"/>
    <w:rsid w:val="00A67156"/>
    <w:rsid w:val="00A671C0"/>
    <w:rsid w:val="00A673C1"/>
    <w:rsid w:val="00A673D3"/>
    <w:rsid w:val="00A6746C"/>
    <w:rsid w:val="00A67639"/>
    <w:rsid w:val="00A676FD"/>
    <w:rsid w:val="00A67731"/>
    <w:rsid w:val="00A6790E"/>
    <w:rsid w:val="00A6795F"/>
    <w:rsid w:val="00A67A63"/>
    <w:rsid w:val="00A67DE9"/>
    <w:rsid w:val="00A67E70"/>
    <w:rsid w:val="00A705EB"/>
    <w:rsid w:val="00A706DB"/>
    <w:rsid w:val="00A707C3"/>
    <w:rsid w:val="00A7088A"/>
    <w:rsid w:val="00A7090A"/>
    <w:rsid w:val="00A709E3"/>
    <w:rsid w:val="00A70A52"/>
    <w:rsid w:val="00A70A8D"/>
    <w:rsid w:val="00A70AEB"/>
    <w:rsid w:val="00A70B33"/>
    <w:rsid w:val="00A70B4C"/>
    <w:rsid w:val="00A70CDF"/>
    <w:rsid w:val="00A70D06"/>
    <w:rsid w:val="00A70DF1"/>
    <w:rsid w:val="00A70EFD"/>
    <w:rsid w:val="00A7112D"/>
    <w:rsid w:val="00A7126E"/>
    <w:rsid w:val="00A712C3"/>
    <w:rsid w:val="00A712DB"/>
    <w:rsid w:val="00A715C2"/>
    <w:rsid w:val="00A71624"/>
    <w:rsid w:val="00A71716"/>
    <w:rsid w:val="00A71801"/>
    <w:rsid w:val="00A71895"/>
    <w:rsid w:val="00A71965"/>
    <w:rsid w:val="00A71A76"/>
    <w:rsid w:val="00A71B0D"/>
    <w:rsid w:val="00A71CFE"/>
    <w:rsid w:val="00A71EB6"/>
    <w:rsid w:val="00A71F8B"/>
    <w:rsid w:val="00A72095"/>
    <w:rsid w:val="00A72106"/>
    <w:rsid w:val="00A72173"/>
    <w:rsid w:val="00A721A9"/>
    <w:rsid w:val="00A7236F"/>
    <w:rsid w:val="00A72532"/>
    <w:rsid w:val="00A72795"/>
    <w:rsid w:val="00A728BF"/>
    <w:rsid w:val="00A72A49"/>
    <w:rsid w:val="00A72AA4"/>
    <w:rsid w:val="00A72CBC"/>
    <w:rsid w:val="00A72FA3"/>
    <w:rsid w:val="00A72FE1"/>
    <w:rsid w:val="00A73137"/>
    <w:rsid w:val="00A7326F"/>
    <w:rsid w:val="00A73330"/>
    <w:rsid w:val="00A7333C"/>
    <w:rsid w:val="00A733D5"/>
    <w:rsid w:val="00A73638"/>
    <w:rsid w:val="00A737AA"/>
    <w:rsid w:val="00A73B76"/>
    <w:rsid w:val="00A73C5E"/>
    <w:rsid w:val="00A73C9B"/>
    <w:rsid w:val="00A73DD6"/>
    <w:rsid w:val="00A73E14"/>
    <w:rsid w:val="00A73E45"/>
    <w:rsid w:val="00A73F81"/>
    <w:rsid w:val="00A73F85"/>
    <w:rsid w:val="00A74366"/>
    <w:rsid w:val="00A743E0"/>
    <w:rsid w:val="00A74524"/>
    <w:rsid w:val="00A7493C"/>
    <w:rsid w:val="00A74983"/>
    <w:rsid w:val="00A74A8E"/>
    <w:rsid w:val="00A74B45"/>
    <w:rsid w:val="00A74C7C"/>
    <w:rsid w:val="00A751A3"/>
    <w:rsid w:val="00A7533F"/>
    <w:rsid w:val="00A75362"/>
    <w:rsid w:val="00A75398"/>
    <w:rsid w:val="00A755B6"/>
    <w:rsid w:val="00A7570A"/>
    <w:rsid w:val="00A7575A"/>
    <w:rsid w:val="00A758A2"/>
    <w:rsid w:val="00A758A3"/>
    <w:rsid w:val="00A758DA"/>
    <w:rsid w:val="00A75AC7"/>
    <w:rsid w:val="00A75C69"/>
    <w:rsid w:val="00A75CEF"/>
    <w:rsid w:val="00A75FDA"/>
    <w:rsid w:val="00A76023"/>
    <w:rsid w:val="00A76030"/>
    <w:rsid w:val="00A760A2"/>
    <w:rsid w:val="00A76118"/>
    <w:rsid w:val="00A76537"/>
    <w:rsid w:val="00A76596"/>
    <w:rsid w:val="00A766BA"/>
    <w:rsid w:val="00A76C78"/>
    <w:rsid w:val="00A76DDE"/>
    <w:rsid w:val="00A76E0B"/>
    <w:rsid w:val="00A76E15"/>
    <w:rsid w:val="00A76E54"/>
    <w:rsid w:val="00A77009"/>
    <w:rsid w:val="00A770AF"/>
    <w:rsid w:val="00A772CF"/>
    <w:rsid w:val="00A77308"/>
    <w:rsid w:val="00A776C5"/>
    <w:rsid w:val="00A777CB"/>
    <w:rsid w:val="00A777F5"/>
    <w:rsid w:val="00A778B2"/>
    <w:rsid w:val="00A779C0"/>
    <w:rsid w:val="00A77AB0"/>
    <w:rsid w:val="00A77BC7"/>
    <w:rsid w:val="00A77C53"/>
    <w:rsid w:val="00A77D32"/>
    <w:rsid w:val="00A77DC6"/>
    <w:rsid w:val="00A77DF4"/>
    <w:rsid w:val="00A800A8"/>
    <w:rsid w:val="00A800CE"/>
    <w:rsid w:val="00A801E4"/>
    <w:rsid w:val="00A80211"/>
    <w:rsid w:val="00A80550"/>
    <w:rsid w:val="00A805D3"/>
    <w:rsid w:val="00A8063F"/>
    <w:rsid w:val="00A8075E"/>
    <w:rsid w:val="00A808B9"/>
    <w:rsid w:val="00A809F9"/>
    <w:rsid w:val="00A80CD2"/>
    <w:rsid w:val="00A80D4D"/>
    <w:rsid w:val="00A80E54"/>
    <w:rsid w:val="00A81061"/>
    <w:rsid w:val="00A81249"/>
    <w:rsid w:val="00A813DC"/>
    <w:rsid w:val="00A814D2"/>
    <w:rsid w:val="00A81549"/>
    <w:rsid w:val="00A8178D"/>
    <w:rsid w:val="00A81977"/>
    <w:rsid w:val="00A81A11"/>
    <w:rsid w:val="00A81B26"/>
    <w:rsid w:val="00A81C15"/>
    <w:rsid w:val="00A81CB8"/>
    <w:rsid w:val="00A81D6F"/>
    <w:rsid w:val="00A81DF0"/>
    <w:rsid w:val="00A81E64"/>
    <w:rsid w:val="00A81E82"/>
    <w:rsid w:val="00A81EF6"/>
    <w:rsid w:val="00A821B4"/>
    <w:rsid w:val="00A82210"/>
    <w:rsid w:val="00A82946"/>
    <w:rsid w:val="00A82A34"/>
    <w:rsid w:val="00A82BE4"/>
    <w:rsid w:val="00A82C5B"/>
    <w:rsid w:val="00A82E42"/>
    <w:rsid w:val="00A82EC3"/>
    <w:rsid w:val="00A82EF7"/>
    <w:rsid w:val="00A83084"/>
    <w:rsid w:val="00A8324B"/>
    <w:rsid w:val="00A832D4"/>
    <w:rsid w:val="00A83665"/>
    <w:rsid w:val="00A83805"/>
    <w:rsid w:val="00A839DB"/>
    <w:rsid w:val="00A83A56"/>
    <w:rsid w:val="00A83AD3"/>
    <w:rsid w:val="00A83DF2"/>
    <w:rsid w:val="00A83FFD"/>
    <w:rsid w:val="00A8402E"/>
    <w:rsid w:val="00A841B6"/>
    <w:rsid w:val="00A8424E"/>
    <w:rsid w:val="00A8472A"/>
    <w:rsid w:val="00A84752"/>
    <w:rsid w:val="00A848BA"/>
    <w:rsid w:val="00A84A2D"/>
    <w:rsid w:val="00A84AFA"/>
    <w:rsid w:val="00A84D37"/>
    <w:rsid w:val="00A84DDC"/>
    <w:rsid w:val="00A84E5D"/>
    <w:rsid w:val="00A85129"/>
    <w:rsid w:val="00A85487"/>
    <w:rsid w:val="00A85632"/>
    <w:rsid w:val="00A859E8"/>
    <w:rsid w:val="00A859F3"/>
    <w:rsid w:val="00A85A79"/>
    <w:rsid w:val="00A85C54"/>
    <w:rsid w:val="00A85D04"/>
    <w:rsid w:val="00A85D67"/>
    <w:rsid w:val="00A85D71"/>
    <w:rsid w:val="00A85DD3"/>
    <w:rsid w:val="00A85E11"/>
    <w:rsid w:val="00A8622B"/>
    <w:rsid w:val="00A86407"/>
    <w:rsid w:val="00A864D0"/>
    <w:rsid w:val="00A865C4"/>
    <w:rsid w:val="00A86744"/>
    <w:rsid w:val="00A8679A"/>
    <w:rsid w:val="00A86A1C"/>
    <w:rsid w:val="00A86BC3"/>
    <w:rsid w:val="00A86C5E"/>
    <w:rsid w:val="00A86D5A"/>
    <w:rsid w:val="00A86E43"/>
    <w:rsid w:val="00A86EA6"/>
    <w:rsid w:val="00A87684"/>
    <w:rsid w:val="00A878A3"/>
    <w:rsid w:val="00A87900"/>
    <w:rsid w:val="00A87A37"/>
    <w:rsid w:val="00A87AFC"/>
    <w:rsid w:val="00A87D6B"/>
    <w:rsid w:val="00A87D76"/>
    <w:rsid w:val="00A87D91"/>
    <w:rsid w:val="00A87E02"/>
    <w:rsid w:val="00A87F6A"/>
    <w:rsid w:val="00A87FDE"/>
    <w:rsid w:val="00A90008"/>
    <w:rsid w:val="00A90028"/>
    <w:rsid w:val="00A90224"/>
    <w:rsid w:val="00A90356"/>
    <w:rsid w:val="00A905CD"/>
    <w:rsid w:val="00A906C4"/>
    <w:rsid w:val="00A906ED"/>
    <w:rsid w:val="00A9073B"/>
    <w:rsid w:val="00A907AA"/>
    <w:rsid w:val="00A9084D"/>
    <w:rsid w:val="00A908B5"/>
    <w:rsid w:val="00A9092F"/>
    <w:rsid w:val="00A90A32"/>
    <w:rsid w:val="00A90A6A"/>
    <w:rsid w:val="00A90CCD"/>
    <w:rsid w:val="00A90CF1"/>
    <w:rsid w:val="00A90D4A"/>
    <w:rsid w:val="00A90DC1"/>
    <w:rsid w:val="00A90EF0"/>
    <w:rsid w:val="00A90F0C"/>
    <w:rsid w:val="00A91016"/>
    <w:rsid w:val="00A911B1"/>
    <w:rsid w:val="00A9144E"/>
    <w:rsid w:val="00A91459"/>
    <w:rsid w:val="00A914EF"/>
    <w:rsid w:val="00A919FE"/>
    <w:rsid w:val="00A91AD4"/>
    <w:rsid w:val="00A91B01"/>
    <w:rsid w:val="00A91B7C"/>
    <w:rsid w:val="00A91D1C"/>
    <w:rsid w:val="00A9201E"/>
    <w:rsid w:val="00A92031"/>
    <w:rsid w:val="00A92327"/>
    <w:rsid w:val="00A92438"/>
    <w:rsid w:val="00A9257C"/>
    <w:rsid w:val="00A92857"/>
    <w:rsid w:val="00A9288C"/>
    <w:rsid w:val="00A928D5"/>
    <w:rsid w:val="00A928DD"/>
    <w:rsid w:val="00A9293C"/>
    <w:rsid w:val="00A92B19"/>
    <w:rsid w:val="00A92B41"/>
    <w:rsid w:val="00A92B99"/>
    <w:rsid w:val="00A92D16"/>
    <w:rsid w:val="00A92DD6"/>
    <w:rsid w:val="00A92F84"/>
    <w:rsid w:val="00A92FF0"/>
    <w:rsid w:val="00A93078"/>
    <w:rsid w:val="00A93130"/>
    <w:rsid w:val="00A93333"/>
    <w:rsid w:val="00A9335D"/>
    <w:rsid w:val="00A933FD"/>
    <w:rsid w:val="00A93497"/>
    <w:rsid w:val="00A9356E"/>
    <w:rsid w:val="00A939E3"/>
    <w:rsid w:val="00A93CA0"/>
    <w:rsid w:val="00A93DDA"/>
    <w:rsid w:val="00A9420D"/>
    <w:rsid w:val="00A94574"/>
    <w:rsid w:val="00A945DA"/>
    <w:rsid w:val="00A94897"/>
    <w:rsid w:val="00A94942"/>
    <w:rsid w:val="00A94C77"/>
    <w:rsid w:val="00A94D7A"/>
    <w:rsid w:val="00A94E66"/>
    <w:rsid w:val="00A94EEB"/>
    <w:rsid w:val="00A94F80"/>
    <w:rsid w:val="00A95203"/>
    <w:rsid w:val="00A9521B"/>
    <w:rsid w:val="00A954CE"/>
    <w:rsid w:val="00A9583F"/>
    <w:rsid w:val="00A95952"/>
    <w:rsid w:val="00A95B20"/>
    <w:rsid w:val="00A95B72"/>
    <w:rsid w:val="00A95C91"/>
    <w:rsid w:val="00A95CA7"/>
    <w:rsid w:val="00A9604F"/>
    <w:rsid w:val="00A9640F"/>
    <w:rsid w:val="00A965AF"/>
    <w:rsid w:val="00A96644"/>
    <w:rsid w:val="00A966E9"/>
    <w:rsid w:val="00A96B75"/>
    <w:rsid w:val="00A96C45"/>
    <w:rsid w:val="00A96D66"/>
    <w:rsid w:val="00A96D7F"/>
    <w:rsid w:val="00A96DA3"/>
    <w:rsid w:val="00A96E09"/>
    <w:rsid w:val="00A96E7F"/>
    <w:rsid w:val="00A97074"/>
    <w:rsid w:val="00A9712C"/>
    <w:rsid w:val="00A972BB"/>
    <w:rsid w:val="00A97697"/>
    <w:rsid w:val="00A976A9"/>
    <w:rsid w:val="00A976E7"/>
    <w:rsid w:val="00A97834"/>
    <w:rsid w:val="00A978A2"/>
    <w:rsid w:val="00A978C6"/>
    <w:rsid w:val="00A978D2"/>
    <w:rsid w:val="00A97918"/>
    <w:rsid w:val="00A97967"/>
    <w:rsid w:val="00A97972"/>
    <w:rsid w:val="00A97A00"/>
    <w:rsid w:val="00A97A6F"/>
    <w:rsid w:val="00A97B33"/>
    <w:rsid w:val="00A97B3B"/>
    <w:rsid w:val="00A97C7D"/>
    <w:rsid w:val="00A97E03"/>
    <w:rsid w:val="00A97E6A"/>
    <w:rsid w:val="00AA0105"/>
    <w:rsid w:val="00AA02E9"/>
    <w:rsid w:val="00AA038D"/>
    <w:rsid w:val="00AA0424"/>
    <w:rsid w:val="00AA0445"/>
    <w:rsid w:val="00AA0492"/>
    <w:rsid w:val="00AA0495"/>
    <w:rsid w:val="00AA06BD"/>
    <w:rsid w:val="00AA0743"/>
    <w:rsid w:val="00AA07D6"/>
    <w:rsid w:val="00AA0811"/>
    <w:rsid w:val="00AA08C9"/>
    <w:rsid w:val="00AA0A3D"/>
    <w:rsid w:val="00AA0B10"/>
    <w:rsid w:val="00AA0EB5"/>
    <w:rsid w:val="00AA0F36"/>
    <w:rsid w:val="00AA1063"/>
    <w:rsid w:val="00AA1185"/>
    <w:rsid w:val="00AA11B1"/>
    <w:rsid w:val="00AA12A0"/>
    <w:rsid w:val="00AA1433"/>
    <w:rsid w:val="00AA1454"/>
    <w:rsid w:val="00AA148C"/>
    <w:rsid w:val="00AA1670"/>
    <w:rsid w:val="00AA16BE"/>
    <w:rsid w:val="00AA1AAF"/>
    <w:rsid w:val="00AA1B59"/>
    <w:rsid w:val="00AA1C7F"/>
    <w:rsid w:val="00AA1D3C"/>
    <w:rsid w:val="00AA216A"/>
    <w:rsid w:val="00AA22DA"/>
    <w:rsid w:val="00AA22F4"/>
    <w:rsid w:val="00AA22FD"/>
    <w:rsid w:val="00AA230D"/>
    <w:rsid w:val="00AA2319"/>
    <w:rsid w:val="00AA2337"/>
    <w:rsid w:val="00AA245F"/>
    <w:rsid w:val="00AA2645"/>
    <w:rsid w:val="00AA26D2"/>
    <w:rsid w:val="00AA2718"/>
    <w:rsid w:val="00AA2891"/>
    <w:rsid w:val="00AA29E8"/>
    <w:rsid w:val="00AA2AB6"/>
    <w:rsid w:val="00AA2AE7"/>
    <w:rsid w:val="00AA2BF9"/>
    <w:rsid w:val="00AA2C34"/>
    <w:rsid w:val="00AA2E3D"/>
    <w:rsid w:val="00AA2EDC"/>
    <w:rsid w:val="00AA2EE5"/>
    <w:rsid w:val="00AA2F9B"/>
    <w:rsid w:val="00AA30D0"/>
    <w:rsid w:val="00AA313A"/>
    <w:rsid w:val="00AA31D9"/>
    <w:rsid w:val="00AA3355"/>
    <w:rsid w:val="00AA33FC"/>
    <w:rsid w:val="00AA351A"/>
    <w:rsid w:val="00AA3597"/>
    <w:rsid w:val="00AA36AF"/>
    <w:rsid w:val="00AA3719"/>
    <w:rsid w:val="00AA376D"/>
    <w:rsid w:val="00AA387B"/>
    <w:rsid w:val="00AA3976"/>
    <w:rsid w:val="00AA3ADB"/>
    <w:rsid w:val="00AA3B5E"/>
    <w:rsid w:val="00AA3B94"/>
    <w:rsid w:val="00AA3CAB"/>
    <w:rsid w:val="00AA3CC9"/>
    <w:rsid w:val="00AA3DDA"/>
    <w:rsid w:val="00AA3DE9"/>
    <w:rsid w:val="00AA3E21"/>
    <w:rsid w:val="00AA401B"/>
    <w:rsid w:val="00AA40B4"/>
    <w:rsid w:val="00AA4102"/>
    <w:rsid w:val="00AA4368"/>
    <w:rsid w:val="00AA43DD"/>
    <w:rsid w:val="00AA4411"/>
    <w:rsid w:val="00AA4435"/>
    <w:rsid w:val="00AA44AE"/>
    <w:rsid w:val="00AA463E"/>
    <w:rsid w:val="00AA47F2"/>
    <w:rsid w:val="00AA4855"/>
    <w:rsid w:val="00AA493A"/>
    <w:rsid w:val="00AA4C85"/>
    <w:rsid w:val="00AA4C9C"/>
    <w:rsid w:val="00AA4D29"/>
    <w:rsid w:val="00AA4EE3"/>
    <w:rsid w:val="00AA53E8"/>
    <w:rsid w:val="00AA54D9"/>
    <w:rsid w:val="00AA5653"/>
    <w:rsid w:val="00AA582C"/>
    <w:rsid w:val="00AA58C1"/>
    <w:rsid w:val="00AA58CA"/>
    <w:rsid w:val="00AA59AA"/>
    <w:rsid w:val="00AA59C8"/>
    <w:rsid w:val="00AA5C81"/>
    <w:rsid w:val="00AA5D59"/>
    <w:rsid w:val="00AA5DCF"/>
    <w:rsid w:val="00AA5F4D"/>
    <w:rsid w:val="00AA5FD2"/>
    <w:rsid w:val="00AA5FEB"/>
    <w:rsid w:val="00AA6123"/>
    <w:rsid w:val="00AA6133"/>
    <w:rsid w:val="00AA64A8"/>
    <w:rsid w:val="00AA64C7"/>
    <w:rsid w:val="00AA64CD"/>
    <w:rsid w:val="00AA6500"/>
    <w:rsid w:val="00AA66C8"/>
    <w:rsid w:val="00AA6983"/>
    <w:rsid w:val="00AA6CA1"/>
    <w:rsid w:val="00AA6E38"/>
    <w:rsid w:val="00AA6F9F"/>
    <w:rsid w:val="00AA7606"/>
    <w:rsid w:val="00AA7791"/>
    <w:rsid w:val="00AA7853"/>
    <w:rsid w:val="00AA788A"/>
    <w:rsid w:val="00AA79A1"/>
    <w:rsid w:val="00AA7DF4"/>
    <w:rsid w:val="00AA7EB2"/>
    <w:rsid w:val="00AB0058"/>
    <w:rsid w:val="00AB00FE"/>
    <w:rsid w:val="00AB02A7"/>
    <w:rsid w:val="00AB02D6"/>
    <w:rsid w:val="00AB0387"/>
    <w:rsid w:val="00AB03BC"/>
    <w:rsid w:val="00AB03F2"/>
    <w:rsid w:val="00AB0491"/>
    <w:rsid w:val="00AB04A9"/>
    <w:rsid w:val="00AB0586"/>
    <w:rsid w:val="00AB06AB"/>
    <w:rsid w:val="00AB0922"/>
    <w:rsid w:val="00AB0BF5"/>
    <w:rsid w:val="00AB0C07"/>
    <w:rsid w:val="00AB0D06"/>
    <w:rsid w:val="00AB0DA3"/>
    <w:rsid w:val="00AB0F8F"/>
    <w:rsid w:val="00AB0FB9"/>
    <w:rsid w:val="00AB1093"/>
    <w:rsid w:val="00AB10B9"/>
    <w:rsid w:val="00AB10BA"/>
    <w:rsid w:val="00AB1161"/>
    <w:rsid w:val="00AB1432"/>
    <w:rsid w:val="00AB156E"/>
    <w:rsid w:val="00AB15CF"/>
    <w:rsid w:val="00AB17AC"/>
    <w:rsid w:val="00AB17D7"/>
    <w:rsid w:val="00AB1830"/>
    <w:rsid w:val="00AB1887"/>
    <w:rsid w:val="00AB1897"/>
    <w:rsid w:val="00AB192E"/>
    <w:rsid w:val="00AB192F"/>
    <w:rsid w:val="00AB19AC"/>
    <w:rsid w:val="00AB1A9C"/>
    <w:rsid w:val="00AB1B98"/>
    <w:rsid w:val="00AB1BD6"/>
    <w:rsid w:val="00AB1C60"/>
    <w:rsid w:val="00AB20D2"/>
    <w:rsid w:val="00AB220A"/>
    <w:rsid w:val="00AB22D9"/>
    <w:rsid w:val="00AB24A4"/>
    <w:rsid w:val="00AB24C0"/>
    <w:rsid w:val="00AB25CC"/>
    <w:rsid w:val="00AB2642"/>
    <w:rsid w:val="00AB2645"/>
    <w:rsid w:val="00AB264C"/>
    <w:rsid w:val="00AB26EE"/>
    <w:rsid w:val="00AB271A"/>
    <w:rsid w:val="00AB2953"/>
    <w:rsid w:val="00AB2C35"/>
    <w:rsid w:val="00AB2C67"/>
    <w:rsid w:val="00AB2D5A"/>
    <w:rsid w:val="00AB2DCA"/>
    <w:rsid w:val="00AB2E45"/>
    <w:rsid w:val="00AB2F24"/>
    <w:rsid w:val="00AB3067"/>
    <w:rsid w:val="00AB30BA"/>
    <w:rsid w:val="00AB327F"/>
    <w:rsid w:val="00AB3861"/>
    <w:rsid w:val="00AB39C4"/>
    <w:rsid w:val="00AB39CB"/>
    <w:rsid w:val="00AB3EC4"/>
    <w:rsid w:val="00AB3F67"/>
    <w:rsid w:val="00AB4114"/>
    <w:rsid w:val="00AB447F"/>
    <w:rsid w:val="00AB45C0"/>
    <w:rsid w:val="00AB463C"/>
    <w:rsid w:val="00AB472D"/>
    <w:rsid w:val="00AB490F"/>
    <w:rsid w:val="00AB498D"/>
    <w:rsid w:val="00AB4993"/>
    <w:rsid w:val="00AB49EA"/>
    <w:rsid w:val="00AB4C12"/>
    <w:rsid w:val="00AB4C7B"/>
    <w:rsid w:val="00AB4CF5"/>
    <w:rsid w:val="00AB5059"/>
    <w:rsid w:val="00AB5090"/>
    <w:rsid w:val="00AB52CD"/>
    <w:rsid w:val="00AB549D"/>
    <w:rsid w:val="00AB55BD"/>
    <w:rsid w:val="00AB5658"/>
    <w:rsid w:val="00AB58B5"/>
    <w:rsid w:val="00AB5C4D"/>
    <w:rsid w:val="00AB5CA6"/>
    <w:rsid w:val="00AB5D1B"/>
    <w:rsid w:val="00AB612E"/>
    <w:rsid w:val="00AB6233"/>
    <w:rsid w:val="00AB62DF"/>
    <w:rsid w:val="00AB651E"/>
    <w:rsid w:val="00AB65A2"/>
    <w:rsid w:val="00AB665E"/>
    <w:rsid w:val="00AB6791"/>
    <w:rsid w:val="00AB69FF"/>
    <w:rsid w:val="00AB6B0A"/>
    <w:rsid w:val="00AB6B9D"/>
    <w:rsid w:val="00AB6C47"/>
    <w:rsid w:val="00AB6C64"/>
    <w:rsid w:val="00AB6CF7"/>
    <w:rsid w:val="00AB6FCF"/>
    <w:rsid w:val="00AB6FEE"/>
    <w:rsid w:val="00AB712D"/>
    <w:rsid w:val="00AB71F2"/>
    <w:rsid w:val="00AB7265"/>
    <w:rsid w:val="00AB745C"/>
    <w:rsid w:val="00AB7560"/>
    <w:rsid w:val="00AB79D4"/>
    <w:rsid w:val="00AB7B1E"/>
    <w:rsid w:val="00AB7B2A"/>
    <w:rsid w:val="00AB7B75"/>
    <w:rsid w:val="00AB7BC9"/>
    <w:rsid w:val="00AB7C44"/>
    <w:rsid w:val="00AB7D84"/>
    <w:rsid w:val="00AB7EFE"/>
    <w:rsid w:val="00AB7F65"/>
    <w:rsid w:val="00AC00EE"/>
    <w:rsid w:val="00AC047B"/>
    <w:rsid w:val="00AC0484"/>
    <w:rsid w:val="00AC04BF"/>
    <w:rsid w:val="00AC0563"/>
    <w:rsid w:val="00AC0A1C"/>
    <w:rsid w:val="00AC0DBF"/>
    <w:rsid w:val="00AC0F69"/>
    <w:rsid w:val="00AC1170"/>
    <w:rsid w:val="00AC12AD"/>
    <w:rsid w:val="00AC13F5"/>
    <w:rsid w:val="00AC1441"/>
    <w:rsid w:val="00AC1507"/>
    <w:rsid w:val="00AC1809"/>
    <w:rsid w:val="00AC185D"/>
    <w:rsid w:val="00AC1A9D"/>
    <w:rsid w:val="00AC1AB9"/>
    <w:rsid w:val="00AC1B4F"/>
    <w:rsid w:val="00AC1C7B"/>
    <w:rsid w:val="00AC1D61"/>
    <w:rsid w:val="00AC1E84"/>
    <w:rsid w:val="00AC2076"/>
    <w:rsid w:val="00AC20B4"/>
    <w:rsid w:val="00AC21E7"/>
    <w:rsid w:val="00AC2364"/>
    <w:rsid w:val="00AC25D5"/>
    <w:rsid w:val="00AC2604"/>
    <w:rsid w:val="00AC2632"/>
    <w:rsid w:val="00AC28B6"/>
    <w:rsid w:val="00AC29E8"/>
    <w:rsid w:val="00AC29F0"/>
    <w:rsid w:val="00AC2A56"/>
    <w:rsid w:val="00AC2A7D"/>
    <w:rsid w:val="00AC2C41"/>
    <w:rsid w:val="00AC2CAD"/>
    <w:rsid w:val="00AC2D08"/>
    <w:rsid w:val="00AC2EF9"/>
    <w:rsid w:val="00AC2F19"/>
    <w:rsid w:val="00AC31A8"/>
    <w:rsid w:val="00AC325B"/>
    <w:rsid w:val="00AC330C"/>
    <w:rsid w:val="00AC3369"/>
    <w:rsid w:val="00AC33EB"/>
    <w:rsid w:val="00AC36BE"/>
    <w:rsid w:val="00AC3927"/>
    <w:rsid w:val="00AC395B"/>
    <w:rsid w:val="00AC3A7E"/>
    <w:rsid w:val="00AC3A97"/>
    <w:rsid w:val="00AC3B11"/>
    <w:rsid w:val="00AC3B12"/>
    <w:rsid w:val="00AC3C3E"/>
    <w:rsid w:val="00AC3E87"/>
    <w:rsid w:val="00AC3EEF"/>
    <w:rsid w:val="00AC4011"/>
    <w:rsid w:val="00AC43E7"/>
    <w:rsid w:val="00AC4904"/>
    <w:rsid w:val="00AC4B59"/>
    <w:rsid w:val="00AC4D3C"/>
    <w:rsid w:val="00AC4F52"/>
    <w:rsid w:val="00AC4FA3"/>
    <w:rsid w:val="00AC500A"/>
    <w:rsid w:val="00AC50C5"/>
    <w:rsid w:val="00AC5226"/>
    <w:rsid w:val="00AC52B3"/>
    <w:rsid w:val="00AC531C"/>
    <w:rsid w:val="00AC533E"/>
    <w:rsid w:val="00AC5479"/>
    <w:rsid w:val="00AC55AD"/>
    <w:rsid w:val="00AC572A"/>
    <w:rsid w:val="00AC59E9"/>
    <w:rsid w:val="00AC5B03"/>
    <w:rsid w:val="00AC5C0F"/>
    <w:rsid w:val="00AC5C8A"/>
    <w:rsid w:val="00AC5E60"/>
    <w:rsid w:val="00AC5EB1"/>
    <w:rsid w:val="00AC5EB6"/>
    <w:rsid w:val="00AC5EDB"/>
    <w:rsid w:val="00AC61A7"/>
    <w:rsid w:val="00AC61DA"/>
    <w:rsid w:val="00AC6335"/>
    <w:rsid w:val="00AC6416"/>
    <w:rsid w:val="00AC6473"/>
    <w:rsid w:val="00AC64D7"/>
    <w:rsid w:val="00AC666F"/>
    <w:rsid w:val="00AC668B"/>
    <w:rsid w:val="00AC6709"/>
    <w:rsid w:val="00AC69E6"/>
    <w:rsid w:val="00AC6ACA"/>
    <w:rsid w:val="00AC6C45"/>
    <w:rsid w:val="00AC6D1F"/>
    <w:rsid w:val="00AC70BB"/>
    <w:rsid w:val="00AC70FE"/>
    <w:rsid w:val="00AC7124"/>
    <w:rsid w:val="00AC72D3"/>
    <w:rsid w:val="00AC739A"/>
    <w:rsid w:val="00AC7413"/>
    <w:rsid w:val="00AC74C5"/>
    <w:rsid w:val="00AC77DE"/>
    <w:rsid w:val="00AC7850"/>
    <w:rsid w:val="00AC789F"/>
    <w:rsid w:val="00AC79C3"/>
    <w:rsid w:val="00AC7A94"/>
    <w:rsid w:val="00AC7BA4"/>
    <w:rsid w:val="00AC7C15"/>
    <w:rsid w:val="00AC7CB5"/>
    <w:rsid w:val="00AC7E41"/>
    <w:rsid w:val="00AD036E"/>
    <w:rsid w:val="00AD0401"/>
    <w:rsid w:val="00AD042E"/>
    <w:rsid w:val="00AD04EE"/>
    <w:rsid w:val="00AD09DD"/>
    <w:rsid w:val="00AD0A30"/>
    <w:rsid w:val="00AD0A83"/>
    <w:rsid w:val="00AD0A91"/>
    <w:rsid w:val="00AD0CB0"/>
    <w:rsid w:val="00AD0DF3"/>
    <w:rsid w:val="00AD0E44"/>
    <w:rsid w:val="00AD0E70"/>
    <w:rsid w:val="00AD0F8F"/>
    <w:rsid w:val="00AD1114"/>
    <w:rsid w:val="00AD128D"/>
    <w:rsid w:val="00AD1792"/>
    <w:rsid w:val="00AD17B9"/>
    <w:rsid w:val="00AD186B"/>
    <w:rsid w:val="00AD1B32"/>
    <w:rsid w:val="00AD1B3A"/>
    <w:rsid w:val="00AD1BA5"/>
    <w:rsid w:val="00AD1BE2"/>
    <w:rsid w:val="00AD1DC0"/>
    <w:rsid w:val="00AD200B"/>
    <w:rsid w:val="00AD20CA"/>
    <w:rsid w:val="00AD20F0"/>
    <w:rsid w:val="00AD2233"/>
    <w:rsid w:val="00AD2507"/>
    <w:rsid w:val="00AD2529"/>
    <w:rsid w:val="00AD2772"/>
    <w:rsid w:val="00AD2775"/>
    <w:rsid w:val="00AD2B4E"/>
    <w:rsid w:val="00AD2D2D"/>
    <w:rsid w:val="00AD2EE9"/>
    <w:rsid w:val="00AD2F6D"/>
    <w:rsid w:val="00AD2F71"/>
    <w:rsid w:val="00AD3073"/>
    <w:rsid w:val="00AD3091"/>
    <w:rsid w:val="00AD315F"/>
    <w:rsid w:val="00AD322A"/>
    <w:rsid w:val="00AD3333"/>
    <w:rsid w:val="00AD33A9"/>
    <w:rsid w:val="00AD347E"/>
    <w:rsid w:val="00AD35A1"/>
    <w:rsid w:val="00AD393A"/>
    <w:rsid w:val="00AD3943"/>
    <w:rsid w:val="00AD3C3D"/>
    <w:rsid w:val="00AD3D94"/>
    <w:rsid w:val="00AD40C0"/>
    <w:rsid w:val="00AD426F"/>
    <w:rsid w:val="00AD4412"/>
    <w:rsid w:val="00AD44D5"/>
    <w:rsid w:val="00AD45F7"/>
    <w:rsid w:val="00AD4637"/>
    <w:rsid w:val="00AD4C47"/>
    <w:rsid w:val="00AD4D84"/>
    <w:rsid w:val="00AD4DA7"/>
    <w:rsid w:val="00AD4F73"/>
    <w:rsid w:val="00AD4FFE"/>
    <w:rsid w:val="00AD5166"/>
    <w:rsid w:val="00AD51D5"/>
    <w:rsid w:val="00AD526B"/>
    <w:rsid w:val="00AD5440"/>
    <w:rsid w:val="00AD5453"/>
    <w:rsid w:val="00AD553C"/>
    <w:rsid w:val="00AD56C6"/>
    <w:rsid w:val="00AD56DE"/>
    <w:rsid w:val="00AD5761"/>
    <w:rsid w:val="00AD5DCF"/>
    <w:rsid w:val="00AD5EAC"/>
    <w:rsid w:val="00AD61E5"/>
    <w:rsid w:val="00AD62D8"/>
    <w:rsid w:val="00AD642E"/>
    <w:rsid w:val="00AD64A7"/>
    <w:rsid w:val="00AD64F2"/>
    <w:rsid w:val="00AD65F5"/>
    <w:rsid w:val="00AD6780"/>
    <w:rsid w:val="00AD68AB"/>
    <w:rsid w:val="00AD696C"/>
    <w:rsid w:val="00AD6ABB"/>
    <w:rsid w:val="00AD6E94"/>
    <w:rsid w:val="00AD71E2"/>
    <w:rsid w:val="00AD75AE"/>
    <w:rsid w:val="00AD75F4"/>
    <w:rsid w:val="00AD77CB"/>
    <w:rsid w:val="00AD792D"/>
    <w:rsid w:val="00AD7AB3"/>
    <w:rsid w:val="00AD7B40"/>
    <w:rsid w:val="00AD7D4A"/>
    <w:rsid w:val="00AD7E9C"/>
    <w:rsid w:val="00AE00F0"/>
    <w:rsid w:val="00AE02F9"/>
    <w:rsid w:val="00AE04E2"/>
    <w:rsid w:val="00AE08F4"/>
    <w:rsid w:val="00AE0A09"/>
    <w:rsid w:val="00AE0B9F"/>
    <w:rsid w:val="00AE0C4D"/>
    <w:rsid w:val="00AE0EFF"/>
    <w:rsid w:val="00AE1025"/>
    <w:rsid w:val="00AE1029"/>
    <w:rsid w:val="00AE126A"/>
    <w:rsid w:val="00AE165D"/>
    <w:rsid w:val="00AE1697"/>
    <w:rsid w:val="00AE16AB"/>
    <w:rsid w:val="00AE16D4"/>
    <w:rsid w:val="00AE17E0"/>
    <w:rsid w:val="00AE18EB"/>
    <w:rsid w:val="00AE1AE0"/>
    <w:rsid w:val="00AE1C2E"/>
    <w:rsid w:val="00AE1C58"/>
    <w:rsid w:val="00AE1CD9"/>
    <w:rsid w:val="00AE1D1A"/>
    <w:rsid w:val="00AE1E15"/>
    <w:rsid w:val="00AE1EB2"/>
    <w:rsid w:val="00AE1EC1"/>
    <w:rsid w:val="00AE1EFF"/>
    <w:rsid w:val="00AE2172"/>
    <w:rsid w:val="00AE22C1"/>
    <w:rsid w:val="00AE2409"/>
    <w:rsid w:val="00AE272F"/>
    <w:rsid w:val="00AE27AB"/>
    <w:rsid w:val="00AE2845"/>
    <w:rsid w:val="00AE28E4"/>
    <w:rsid w:val="00AE2972"/>
    <w:rsid w:val="00AE2A1C"/>
    <w:rsid w:val="00AE2B0F"/>
    <w:rsid w:val="00AE2CA8"/>
    <w:rsid w:val="00AE2CAF"/>
    <w:rsid w:val="00AE2D43"/>
    <w:rsid w:val="00AE2EA7"/>
    <w:rsid w:val="00AE2F90"/>
    <w:rsid w:val="00AE2FED"/>
    <w:rsid w:val="00AE300B"/>
    <w:rsid w:val="00AE308C"/>
    <w:rsid w:val="00AE3439"/>
    <w:rsid w:val="00AE34D1"/>
    <w:rsid w:val="00AE35DB"/>
    <w:rsid w:val="00AE361C"/>
    <w:rsid w:val="00AE3689"/>
    <w:rsid w:val="00AE3867"/>
    <w:rsid w:val="00AE393D"/>
    <w:rsid w:val="00AE3A61"/>
    <w:rsid w:val="00AE3B59"/>
    <w:rsid w:val="00AE3D2A"/>
    <w:rsid w:val="00AE3E58"/>
    <w:rsid w:val="00AE3E91"/>
    <w:rsid w:val="00AE3EAB"/>
    <w:rsid w:val="00AE3F3F"/>
    <w:rsid w:val="00AE4056"/>
    <w:rsid w:val="00AE40D0"/>
    <w:rsid w:val="00AE43B1"/>
    <w:rsid w:val="00AE43C7"/>
    <w:rsid w:val="00AE4568"/>
    <w:rsid w:val="00AE45B2"/>
    <w:rsid w:val="00AE45DF"/>
    <w:rsid w:val="00AE460D"/>
    <w:rsid w:val="00AE4748"/>
    <w:rsid w:val="00AE4803"/>
    <w:rsid w:val="00AE490C"/>
    <w:rsid w:val="00AE4935"/>
    <w:rsid w:val="00AE4936"/>
    <w:rsid w:val="00AE4B5D"/>
    <w:rsid w:val="00AE4C6C"/>
    <w:rsid w:val="00AE4D02"/>
    <w:rsid w:val="00AE4F31"/>
    <w:rsid w:val="00AE505A"/>
    <w:rsid w:val="00AE50E0"/>
    <w:rsid w:val="00AE5464"/>
    <w:rsid w:val="00AE54D1"/>
    <w:rsid w:val="00AE54F2"/>
    <w:rsid w:val="00AE5655"/>
    <w:rsid w:val="00AE5707"/>
    <w:rsid w:val="00AE587B"/>
    <w:rsid w:val="00AE58BE"/>
    <w:rsid w:val="00AE5903"/>
    <w:rsid w:val="00AE5933"/>
    <w:rsid w:val="00AE5A3B"/>
    <w:rsid w:val="00AE5A69"/>
    <w:rsid w:val="00AE5F03"/>
    <w:rsid w:val="00AE5F18"/>
    <w:rsid w:val="00AE60AA"/>
    <w:rsid w:val="00AE64EF"/>
    <w:rsid w:val="00AE6933"/>
    <w:rsid w:val="00AE6956"/>
    <w:rsid w:val="00AE69A7"/>
    <w:rsid w:val="00AE6A7D"/>
    <w:rsid w:val="00AE6ADA"/>
    <w:rsid w:val="00AE6B34"/>
    <w:rsid w:val="00AE6B99"/>
    <w:rsid w:val="00AE6BA9"/>
    <w:rsid w:val="00AE6BE7"/>
    <w:rsid w:val="00AE6C94"/>
    <w:rsid w:val="00AE709F"/>
    <w:rsid w:val="00AE7177"/>
    <w:rsid w:val="00AE7336"/>
    <w:rsid w:val="00AE7560"/>
    <w:rsid w:val="00AE770A"/>
    <w:rsid w:val="00AE78C0"/>
    <w:rsid w:val="00AE78E0"/>
    <w:rsid w:val="00AE78E1"/>
    <w:rsid w:val="00AE78EB"/>
    <w:rsid w:val="00AE7A6B"/>
    <w:rsid w:val="00AE7A6D"/>
    <w:rsid w:val="00AE7A80"/>
    <w:rsid w:val="00AE7C86"/>
    <w:rsid w:val="00AE7CB3"/>
    <w:rsid w:val="00AE7D91"/>
    <w:rsid w:val="00AF033A"/>
    <w:rsid w:val="00AF06E7"/>
    <w:rsid w:val="00AF0B3F"/>
    <w:rsid w:val="00AF0B69"/>
    <w:rsid w:val="00AF0C9B"/>
    <w:rsid w:val="00AF0D18"/>
    <w:rsid w:val="00AF0F8B"/>
    <w:rsid w:val="00AF104A"/>
    <w:rsid w:val="00AF1196"/>
    <w:rsid w:val="00AF12E9"/>
    <w:rsid w:val="00AF1357"/>
    <w:rsid w:val="00AF1479"/>
    <w:rsid w:val="00AF14D6"/>
    <w:rsid w:val="00AF1532"/>
    <w:rsid w:val="00AF161A"/>
    <w:rsid w:val="00AF1A50"/>
    <w:rsid w:val="00AF1C0B"/>
    <w:rsid w:val="00AF1E13"/>
    <w:rsid w:val="00AF1EB1"/>
    <w:rsid w:val="00AF1ED0"/>
    <w:rsid w:val="00AF20FA"/>
    <w:rsid w:val="00AF216F"/>
    <w:rsid w:val="00AF2193"/>
    <w:rsid w:val="00AF229E"/>
    <w:rsid w:val="00AF2390"/>
    <w:rsid w:val="00AF2767"/>
    <w:rsid w:val="00AF28E1"/>
    <w:rsid w:val="00AF310D"/>
    <w:rsid w:val="00AF321F"/>
    <w:rsid w:val="00AF32D6"/>
    <w:rsid w:val="00AF3713"/>
    <w:rsid w:val="00AF3776"/>
    <w:rsid w:val="00AF3A59"/>
    <w:rsid w:val="00AF3AA3"/>
    <w:rsid w:val="00AF3F5E"/>
    <w:rsid w:val="00AF402F"/>
    <w:rsid w:val="00AF40C4"/>
    <w:rsid w:val="00AF4182"/>
    <w:rsid w:val="00AF4297"/>
    <w:rsid w:val="00AF43D9"/>
    <w:rsid w:val="00AF4549"/>
    <w:rsid w:val="00AF46A8"/>
    <w:rsid w:val="00AF4761"/>
    <w:rsid w:val="00AF49B1"/>
    <w:rsid w:val="00AF4A20"/>
    <w:rsid w:val="00AF4B2F"/>
    <w:rsid w:val="00AF4BCD"/>
    <w:rsid w:val="00AF4C4F"/>
    <w:rsid w:val="00AF4C5A"/>
    <w:rsid w:val="00AF4C62"/>
    <w:rsid w:val="00AF4F70"/>
    <w:rsid w:val="00AF4F74"/>
    <w:rsid w:val="00AF4FFD"/>
    <w:rsid w:val="00AF507D"/>
    <w:rsid w:val="00AF51A2"/>
    <w:rsid w:val="00AF53D3"/>
    <w:rsid w:val="00AF557E"/>
    <w:rsid w:val="00AF55A2"/>
    <w:rsid w:val="00AF560C"/>
    <w:rsid w:val="00AF57EB"/>
    <w:rsid w:val="00AF5868"/>
    <w:rsid w:val="00AF58BE"/>
    <w:rsid w:val="00AF58CE"/>
    <w:rsid w:val="00AF5921"/>
    <w:rsid w:val="00AF596A"/>
    <w:rsid w:val="00AF5A36"/>
    <w:rsid w:val="00AF5A85"/>
    <w:rsid w:val="00AF5BED"/>
    <w:rsid w:val="00AF5CE5"/>
    <w:rsid w:val="00AF5CF4"/>
    <w:rsid w:val="00AF5D68"/>
    <w:rsid w:val="00AF5E63"/>
    <w:rsid w:val="00AF607E"/>
    <w:rsid w:val="00AF61AA"/>
    <w:rsid w:val="00AF6247"/>
    <w:rsid w:val="00AF63CE"/>
    <w:rsid w:val="00AF6457"/>
    <w:rsid w:val="00AF658C"/>
    <w:rsid w:val="00AF65BA"/>
    <w:rsid w:val="00AF6659"/>
    <w:rsid w:val="00AF67F7"/>
    <w:rsid w:val="00AF6931"/>
    <w:rsid w:val="00AF6A16"/>
    <w:rsid w:val="00AF6BAB"/>
    <w:rsid w:val="00AF6BE6"/>
    <w:rsid w:val="00AF6DAB"/>
    <w:rsid w:val="00AF6DDC"/>
    <w:rsid w:val="00AF6E20"/>
    <w:rsid w:val="00AF6E88"/>
    <w:rsid w:val="00AF6F28"/>
    <w:rsid w:val="00AF6FF1"/>
    <w:rsid w:val="00AF700F"/>
    <w:rsid w:val="00AF709D"/>
    <w:rsid w:val="00AF70C3"/>
    <w:rsid w:val="00AF7105"/>
    <w:rsid w:val="00AF71DC"/>
    <w:rsid w:val="00AF735A"/>
    <w:rsid w:val="00AF769D"/>
    <w:rsid w:val="00AF7890"/>
    <w:rsid w:val="00AF7BBC"/>
    <w:rsid w:val="00AF7D53"/>
    <w:rsid w:val="00AF7D92"/>
    <w:rsid w:val="00AF7E8D"/>
    <w:rsid w:val="00AF7F8E"/>
    <w:rsid w:val="00B000DF"/>
    <w:rsid w:val="00B00186"/>
    <w:rsid w:val="00B001FC"/>
    <w:rsid w:val="00B007F8"/>
    <w:rsid w:val="00B0094F"/>
    <w:rsid w:val="00B00E1C"/>
    <w:rsid w:val="00B00E9F"/>
    <w:rsid w:val="00B00FE2"/>
    <w:rsid w:val="00B011D6"/>
    <w:rsid w:val="00B0133B"/>
    <w:rsid w:val="00B01885"/>
    <w:rsid w:val="00B018BF"/>
    <w:rsid w:val="00B01921"/>
    <w:rsid w:val="00B019F0"/>
    <w:rsid w:val="00B01EDF"/>
    <w:rsid w:val="00B01F87"/>
    <w:rsid w:val="00B02041"/>
    <w:rsid w:val="00B02127"/>
    <w:rsid w:val="00B02182"/>
    <w:rsid w:val="00B0238A"/>
    <w:rsid w:val="00B02488"/>
    <w:rsid w:val="00B02646"/>
    <w:rsid w:val="00B026F5"/>
    <w:rsid w:val="00B027BB"/>
    <w:rsid w:val="00B02964"/>
    <w:rsid w:val="00B02984"/>
    <w:rsid w:val="00B02A02"/>
    <w:rsid w:val="00B02C09"/>
    <w:rsid w:val="00B02E25"/>
    <w:rsid w:val="00B0320A"/>
    <w:rsid w:val="00B032E7"/>
    <w:rsid w:val="00B03337"/>
    <w:rsid w:val="00B03697"/>
    <w:rsid w:val="00B03817"/>
    <w:rsid w:val="00B03C7E"/>
    <w:rsid w:val="00B03CBC"/>
    <w:rsid w:val="00B03D18"/>
    <w:rsid w:val="00B03DDE"/>
    <w:rsid w:val="00B03DE8"/>
    <w:rsid w:val="00B03FAC"/>
    <w:rsid w:val="00B0405C"/>
    <w:rsid w:val="00B04244"/>
    <w:rsid w:val="00B0461A"/>
    <w:rsid w:val="00B0461F"/>
    <w:rsid w:val="00B047FB"/>
    <w:rsid w:val="00B048C4"/>
    <w:rsid w:val="00B04958"/>
    <w:rsid w:val="00B049F1"/>
    <w:rsid w:val="00B04A34"/>
    <w:rsid w:val="00B04B2F"/>
    <w:rsid w:val="00B04B98"/>
    <w:rsid w:val="00B04BC2"/>
    <w:rsid w:val="00B04D6B"/>
    <w:rsid w:val="00B04E23"/>
    <w:rsid w:val="00B05049"/>
    <w:rsid w:val="00B05056"/>
    <w:rsid w:val="00B050E2"/>
    <w:rsid w:val="00B05202"/>
    <w:rsid w:val="00B05223"/>
    <w:rsid w:val="00B0524C"/>
    <w:rsid w:val="00B05382"/>
    <w:rsid w:val="00B053FB"/>
    <w:rsid w:val="00B054FD"/>
    <w:rsid w:val="00B05668"/>
    <w:rsid w:val="00B057C0"/>
    <w:rsid w:val="00B05863"/>
    <w:rsid w:val="00B05A8C"/>
    <w:rsid w:val="00B05AD5"/>
    <w:rsid w:val="00B05EA3"/>
    <w:rsid w:val="00B05F97"/>
    <w:rsid w:val="00B06056"/>
    <w:rsid w:val="00B0638C"/>
    <w:rsid w:val="00B06480"/>
    <w:rsid w:val="00B06571"/>
    <w:rsid w:val="00B06AD6"/>
    <w:rsid w:val="00B06C26"/>
    <w:rsid w:val="00B06C53"/>
    <w:rsid w:val="00B06CDB"/>
    <w:rsid w:val="00B0706D"/>
    <w:rsid w:val="00B0725D"/>
    <w:rsid w:val="00B07369"/>
    <w:rsid w:val="00B0741D"/>
    <w:rsid w:val="00B0745D"/>
    <w:rsid w:val="00B07483"/>
    <w:rsid w:val="00B074C1"/>
    <w:rsid w:val="00B07544"/>
    <w:rsid w:val="00B07827"/>
    <w:rsid w:val="00B079EB"/>
    <w:rsid w:val="00B07AD6"/>
    <w:rsid w:val="00B07AFE"/>
    <w:rsid w:val="00B07B7C"/>
    <w:rsid w:val="00B07E16"/>
    <w:rsid w:val="00B07F88"/>
    <w:rsid w:val="00B10202"/>
    <w:rsid w:val="00B1039F"/>
    <w:rsid w:val="00B1052E"/>
    <w:rsid w:val="00B1064D"/>
    <w:rsid w:val="00B10C05"/>
    <w:rsid w:val="00B10DC3"/>
    <w:rsid w:val="00B10DD6"/>
    <w:rsid w:val="00B10E6F"/>
    <w:rsid w:val="00B10F63"/>
    <w:rsid w:val="00B10FCA"/>
    <w:rsid w:val="00B11116"/>
    <w:rsid w:val="00B11208"/>
    <w:rsid w:val="00B1120B"/>
    <w:rsid w:val="00B11280"/>
    <w:rsid w:val="00B11391"/>
    <w:rsid w:val="00B113C9"/>
    <w:rsid w:val="00B114F7"/>
    <w:rsid w:val="00B11574"/>
    <w:rsid w:val="00B1166A"/>
    <w:rsid w:val="00B11A0F"/>
    <w:rsid w:val="00B11A5F"/>
    <w:rsid w:val="00B11B0C"/>
    <w:rsid w:val="00B11B3F"/>
    <w:rsid w:val="00B11BDF"/>
    <w:rsid w:val="00B11C12"/>
    <w:rsid w:val="00B11EBF"/>
    <w:rsid w:val="00B11EEE"/>
    <w:rsid w:val="00B120A9"/>
    <w:rsid w:val="00B121DF"/>
    <w:rsid w:val="00B12396"/>
    <w:rsid w:val="00B12464"/>
    <w:rsid w:val="00B124F5"/>
    <w:rsid w:val="00B1250A"/>
    <w:rsid w:val="00B1273F"/>
    <w:rsid w:val="00B127D2"/>
    <w:rsid w:val="00B12942"/>
    <w:rsid w:val="00B1298B"/>
    <w:rsid w:val="00B12B76"/>
    <w:rsid w:val="00B12B98"/>
    <w:rsid w:val="00B12BC5"/>
    <w:rsid w:val="00B12D90"/>
    <w:rsid w:val="00B12F5C"/>
    <w:rsid w:val="00B130F3"/>
    <w:rsid w:val="00B13113"/>
    <w:rsid w:val="00B132A6"/>
    <w:rsid w:val="00B132EB"/>
    <w:rsid w:val="00B13326"/>
    <w:rsid w:val="00B1350A"/>
    <w:rsid w:val="00B1373D"/>
    <w:rsid w:val="00B13A0C"/>
    <w:rsid w:val="00B13B10"/>
    <w:rsid w:val="00B13BB8"/>
    <w:rsid w:val="00B13D00"/>
    <w:rsid w:val="00B13D70"/>
    <w:rsid w:val="00B13E04"/>
    <w:rsid w:val="00B13EBE"/>
    <w:rsid w:val="00B13F61"/>
    <w:rsid w:val="00B13F76"/>
    <w:rsid w:val="00B143F4"/>
    <w:rsid w:val="00B14494"/>
    <w:rsid w:val="00B14514"/>
    <w:rsid w:val="00B14626"/>
    <w:rsid w:val="00B14662"/>
    <w:rsid w:val="00B146CD"/>
    <w:rsid w:val="00B146DA"/>
    <w:rsid w:val="00B147A3"/>
    <w:rsid w:val="00B148DA"/>
    <w:rsid w:val="00B14950"/>
    <w:rsid w:val="00B1496B"/>
    <w:rsid w:val="00B14C2A"/>
    <w:rsid w:val="00B14F18"/>
    <w:rsid w:val="00B14F6E"/>
    <w:rsid w:val="00B150CC"/>
    <w:rsid w:val="00B151D8"/>
    <w:rsid w:val="00B153C2"/>
    <w:rsid w:val="00B1546F"/>
    <w:rsid w:val="00B154E7"/>
    <w:rsid w:val="00B15817"/>
    <w:rsid w:val="00B158D4"/>
    <w:rsid w:val="00B15CC1"/>
    <w:rsid w:val="00B15F44"/>
    <w:rsid w:val="00B16173"/>
    <w:rsid w:val="00B162B1"/>
    <w:rsid w:val="00B16459"/>
    <w:rsid w:val="00B1645E"/>
    <w:rsid w:val="00B164A5"/>
    <w:rsid w:val="00B16618"/>
    <w:rsid w:val="00B16964"/>
    <w:rsid w:val="00B1697A"/>
    <w:rsid w:val="00B16C70"/>
    <w:rsid w:val="00B16D91"/>
    <w:rsid w:val="00B16E42"/>
    <w:rsid w:val="00B16EDA"/>
    <w:rsid w:val="00B16FD2"/>
    <w:rsid w:val="00B1714B"/>
    <w:rsid w:val="00B17269"/>
    <w:rsid w:val="00B17305"/>
    <w:rsid w:val="00B17332"/>
    <w:rsid w:val="00B174B0"/>
    <w:rsid w:val="00B174E2"/>
    <w:rsid w:val="00B1756E"/>
    <w:rsid w:val="00B17588"/>
    <w:rsid w:val="00B17611"/>
    <w:rsid w:val="00B17793"/>
    <w:rsid w:val="00B17B69"/>
    <w:rsid w:val="00B17B89"/>
    <w:rsid w:val="00B17BCA"/>
    <w:rsid w:val="00B17C17"/>
    <w:rsid w:val="00B17C21"/>
    <w:rsid w:val="00B17E48"/>
    <w:rsid w:val="00B17E4D"/>
    <w:rsid w:val="00B17F2B"/>
    <w:rsid w:val="00B200E7"/>
    <w:rsid w:val="00B20156"/>
    <w:rsid w:val="00B202A0"/>
    <w:rsid w:val="00B202E8"/>
    <w:rsid w:val="00B2036A"/>
    <w:rsid w:val="00B20397"/>
    <w:rsid w:val="00B2040D"/>
    <w:rsid w:val="00B2043C"/>
    <w:rsid w:val="00B2090E"/>
    <w:rsid w:val="00B2091E"/>
    <w:rsid w:val="00B20AB7"/>
    <w:rsid w:val="00B20C9D"/>
    <w:rsid w:val="00B20CA3"/>
    <w:rsid w:val="00B2120B"/>
    <w:rsid w:val="00B21218"/>
    <w:rsid w:val="00B21548"/>
    <w:rsid w:val="00B215CF"/>
    <w:rsid w:val="00B21758"/>
    <w:rsid w:val="00B21C7A"/>
    <w:rsid w:val="00B21C92"/>
    <w:rsid w:val="00B21D11"/>
    <w:rsid w:val="00B21E64"/>
    <w:rsid w:val="00B21ED9"/>
    <w:rsid w:val="00B22123"/>
    <w:rsid w:val="00B22477"/>
    <w:rsid w:val="00B22494"/>
    <w:rsid w:val="00B224A1"/>
    <w:rsid w:val="00B2251E"/>
    <w:rsid w:val="00B225E4"/>
    <w:rsid w:val="00B2266F"/>
    <w:rsid w:val="00B226E3"/>
    <w:rsid w:val="00B2277E"/>
    <w:rsid w:val="00B227B2"/>
    <w:rsid w:val="00B22AE6"/>
    <w:rsid w:val="00B22E80"/>
    <w:rsid w:val="00B2312A"/>
    <w:rsid w:val="00B23364"/>
    <w:rsid w:val="00B23860"/>
    <w:rsid w:val="00B23A5A"/>
    <w:rsid w:val="00B23A67"/>
    <w:rsid w:val="00B23BAB"/>
    <w:rsid w:val="00B23D7B"/>
    <w:rsid w:val="00B23E10"/>
    <w:rsid w:val="00B23F56"/>
    <w:rsid w:val="00B23FA1"/>
    <w:rsid w:val="00B24081"/>
    <w:rsid w:val="00B241CA"/>
    <w:rsid w:val="00B243FB"/>
    <w:rsid w:val="00B24671"/>
    <w:rsid w:val="00B24A35"/>
    <w:rsid w:val="00B24BB9"/>
    <w:rsid w:val="00B24D26"/>
    <w:rsid w:val="00B24EE4"/>
    <w:rsid w:val="00B24FAC"/>
    <w:rsid w:val="00B2502B"/>
    <w:rsid w:val="00B25150"/>
    <w:rsid w:val="00B255C7"/>
    <w:rsid w:val="00B257B4"/>
    <w:rsid w:val="00B25B3F"/>
    <w:rsid w:val="00B25D6A"/>
    <w:rsid w:val="00B25DF7"/>
    <w:rsid w:val="00B25E59"/>
    <w:rsid w:val="00B261DF"/>
    <w:rsid w:val="00B262FA"/>
    <w:rsid w:val="00B26407"/>
    <w:rsid w:val="00B266BA"/>
    <w:rsid w:val="00B2678D"/>
    <w:rsid w:val="00B26798"/>
    <w:rsid w:val="00B2681C"/>
    <w:rsid w:val="00B26944"/>
    <w:rsid w:val="00B26976"/>
    <w:rsid w:val="00B26A8C"/>
    <w:rsid w:val="00B26BA1"/>
    <w:rsid w:val="00B26C0D"/>
    <w:rsid w:val="00B26CAB"/>
    <w:rsid w:val="00B270FE"/>
    <w:rsid w:val="00B272D7"/>
    <w:rsid w:val="00B274E8"/>
    <w:rsid w:val="00B275FC"/>
    <w:rsid w:val="00B27676"/>
    <w:rsid w:val="00B27754"/>
    <w:rsid w:val="00B277B8"/>
    <w:rsid w:val="00B277C0"/>
    <w:rsid w:val="00B277C6"/>
    <w:rsid w:val="00B27973"/>
    <w:rsid w:val="00B27B3A"/>
    <w:rsid w:val="00B27BEA"/>
    <w:rsid w:val="00B27CB7"/>
    <w:rsid w:val="00B27D75"/>
    <w:rsid w:val="00B27EFF"/>
    <w:rsid w:val="00B27F1F"/>
    <w:rsid w:val="00B3007E"/>
    <w:rsid w:val="00B300D6"/>
    <w:rsid w:val="00B30197"/>
    <w:rsid w:val="00B3020A"/>
    <w:rsid w:val="00B3028F"/>
    <w:rsid w:val="00B303B7"/>
    <w:rsid w:val="00B303D4"/>
    <w:rsid w:val="00B30411"/>
    <w:rsid w:val="00B30528"/>
    <w:rsid w:val="00B30758"/>
    <w:rsid w:val="00B3077A"/>
    <w:rsid w:val="00B30A12"/>
    <w:rsid w:val="00B30AC8"/>
    <w:rsid w:val="00B30BEF"/>
    <w:rsid w:val="00B31079"/>
    <w:rsid w:val="00B3109F"/>
    <w:rsid w:val="00B310D0"/>
    <w:rsid w:val="00B31102"/>
    <w:rsid w:val="00B3147C"/>
    <w:rsid w:val="00B3149D"/>
    <w:rsid w:val="00B3166D"/>
    <w:rsid w:val="00B31822"/>
    <w:rsid w:val="00B319DB"/>
    <w:rsid w:val="00B31BC7"/>
    <w:rsid w:val="00B31F57"/>
    <w:rsid w:val="00B31F70"/>
    <w:rsid w:val="00B3210E"/>
    <w:rsid w:val="00B32229"/>
    <w:rsid w:val="00B32268"/>
    <w:rsid w:val="00B32531"/>
    <w:rsid w:val="00B325C0"/>
    <w:rsid w:val="00B32707"/>
    <w:rsid w:val="00B32752"/>
    <w:rsid w:val="00B32827"/>
    <w:rsid w:val="00B329B2"/>
    <w:rsid w:val="00B32B87"/>
    <w:rsid w:val="00B32C5D"/>
    <w:rsid w:val="00B32CD0"/>
    <w:rsid w:val="00B32D04"/>
    <w:rsid w:val="00B32DC7"/>
    <w:rsid w:val="00B32F39"/>
    <w:rsid w:val="00B33231"/>
    <w:rsid w:val="00B332FA"/>
    <w:rsid w:val="00B335EF"/>
    <w:rsid w:val="00B337A9"/>
    <w:rsid w:val="00B3394D"/>
    <w:rsid w:val="00B33A4F"/>
    <w:rsid w:val="00B33A8D"/>
    <w:rsid w:val="00B33B43"/>
    <w:rsid w:val="00B33D4F"/>
    <w:rsid w:val="00B33E26"/>
    <w:rsid w:val="00B33ED4"/>
    <w:rsid w:val="00B3413E"/>
    <w:rsid w:val="00B3439D"/>
    <w:rsid w:val="00B344D3"/>
    <w:rsid w:val="00B34894"/>
    <w:rsid w:val="00B349DD"/>
    <w:rsid w:val="00B34A4C"/>
    <w:rsid w:val="00B34AC6"/>
    <w:rsid w:val="00B34C15"/>
    <w:rsid w:val="00B34CB0"/>
    <w:rsid w:val="00B34D07"/>
    <w:rsid w:val="00B34D4D"/>
    <w:rsid w:val="00B34D99"/>
    <w:rsid w:val="00B34DF5"/>
    <w:rsid w:val="00B34FF7"/>
    <w:rsid w:val="00B3501A"/>
    <w:rsid w:val="00B351C6"/>
    <w:rsid w:val="00B354A7"/>
    <w:rsid w:val="00B3572A"/>
    <w:rsid w:val="00B3582B"/>
    <w:rsid w:val="00B35859"/>
    <w:rsid w:val="00B3588B"/>
    <w:rsid w:val="00B35997"/>
    <w:rsid w:val="00B359E4"/>
    <w:rsid w:val="00B35B53"/>
    <w:rsid w:val="00B35B85"/>
    <w:rsid w:val="00B35C3D"/>
    <w:rsid w:val="00B35C49"/>
    <w:rsid w:val="00B35CEC"/>
    <w:rsid w:val="00B35CEE"/>
    <w:rsid w:val="00B35D61"/>
    <w:rsid w:val="00B36043"/>
    <w:rsid w:val="00B362C4"/>
    <w:rsid w:val="00B364EF"/>
    <w:rsid w:val="00B36B39"/>
    <w:rsid w:val="00B36B92"/>
    <w:rsid w:val="00B36DBD"/>
    <w:rsid w:val="00B36DC0"/>
    <w:rsid w:val="00B36E5A"/>
    <w:rsid w:val="00B37481"/>
    <w:rsid w:val="00B374E3"/>
    <w:rsid w:val="00B37561"/>
    <w:rsid w:val="00B375F2"/>
    <w:rsid w:val="00B376ED"/>
    <w:rsid w:val="00B37A4F"/>
    <w:rsid w:val="00B37C48"/>
    <w:rsid w:val="00B37C69"/>
    <w:rsid w:val="00B37D09"/>
    <w:rsid w:val="00B37D74"/>
    <w:rsid w:val="00B37FF4"/>
    <w:rsid w:val="00B37FF6"/>
    <w:rsid w:val="00B40081"/>
    <w:rsid w:val="00B40203"/>
    <w:rsid w:val="00B40245"/>
    <w:rsid w:val="00B4046E"/>
    <w:rsid w:val="00B404A8"/>
    <w:rsid w:val="00B4061C"/>
    <w:rsid w:val="00B40713"/>
    <w:rsid w:val="00B40722"/>
    <w:rsid w:val="00B40971"/>
    <w:rsid w:val="00B40A71"/>
    <w:rsid w:val="00B40AB6"/>
    <w:rsid w:val="00B40C0B"/>
    <w:rsid w:val="00B40E3C"/>
    <w:rsid w:val="00B4100D"/>
    <w:rsid w:val="00B4102F"/>
    <w:rsid w:val="00B4105E"/>
    <w:rsid w:val="00B412BA"/>
    <w:rsid w:val="00B41448"/>
    <w:rsid w:val="00B415A0"/>
    <w:rsid w:val="00B415AC"/>
    <w:rsid w:val="00B4160B"/>
    <w:rsid w:val="00B416F6"/>
    <w:rsid w:val="00B41744"/>
    <w:rsid w:val="00B41809"/>
    <w:rsid w:val="00B41912"/>
    <w:rsid w:val="00B41B6B"/>
    <w:rsid w:val="00B41B77"/>
    <w:rsid w:val="00B41BB2"/>
    <w:rsid w:val="00B41BCE"/>
    <w:rsid w:val="00B41D6B"/>
    <w:rsid w:val="00B41E41"/>
    <w:rsid w:val="00B41EDB"/>
    <w:rsid w:val="00B41F66"/>
    <w:rsid w:val="00B41FDB"/>
    <w:rsid w:val="00B421EF"/>
    <w:rsid w:val="00B422FA"/>
    <w:rsid w:val="00B423AD"/>
    <w:rsid w:val="00B42567"/>
    <w:rsid w:val="00B4257C"/>
    <w:rsid w:val="00B42616"/>
    <w:rsid w:val="00B42662"/>
    <w:rsid w:val="00B42792"/>
    <w:rsid w:val="00B428EC"/>
    <w:rsid w:val="00B42939"/>
    <w:rsid w:val="00B42A47"/>
    <w:rsid w:val="00B42C9E"/>
    <w:rsid w:val="00B42D3F"/>
    <w:rsid w:val="00B430EA"/>
    <w:rsid w:val="00B4325A"/>
    <w:rsid w:val="00B432B6"/>
    <w:rsid w:val="00B4338E"/>
    <w:rsid w:val="00B435F1"/>
    <w:rsid w:val="00B4392D"/>
    <w:rsid w:val="00B4399A"/>
    <w:rsid w:val="00B43D26"/>
    <w:rsid w:val="00B43D60"/>
    <w:rsid w:val="00B43F35"/>
    <w:rsid w:val="00B441D1"/>
    <w:rsid w:val="00B442A3"/>
    <w:rsid w:val="00B44559"/>
    <w:rsid w:val="00B44911"/>
    <w:rsid w:val="00B44A9A"/>
    <w:rsid w:val="00B452FE"/>
    <w:rsid w:val="00B4530D"/>
    <w:rsid w:val="00B4535F"/>
    <w:rsid w:val="00B4563F"/>
    <w:rsid w:val="00B4567B"/>
    <w:rsid w:val="00B4568D"/>
    <w:rsid w:val="00B45845"/>
    <w:rsid w:val="00B45D41"/>
    <w:rsid w:val="00B45D5E"/>
    <w:rsid w:val="00B45E7A"/>
    <w:rsid w:val="00B45FA9"/>
    <w:rsid w:val="00B46441"/>
    <w:rsid w:val="00B465F8"/>
    <w:rsid w:val="00B46824"/>
    <w:rsid w:val="00B468D8"/>
    <w:rsid w:val="00B46949"/>
    <w:rsid w:val="00B4695F"/>
    <w:rsid w:val="00B46987"/>
    <w:rsid w:val="00B46AD7"/>
    <w:rsid w:val="00B46ADC"/>
    <w:rsid w:val="00B46AE8"/>
    <w:rsid w:val="00B46DDC"/>
    <w:rsid w:val="00B46E34"/>
    <w:rsid w:val="00B46EDC"/>
    <w:rsid w:val="00B46F9B"/>
    <w:rsid w:val="00B46FAE"/>
    <w:rsid w:val="00B46FBE"/>
    <w:rsid w:val="00B47146"/>
    <w:rsid w:val="00B4717C"/>
    <w:rsid w:val="00B47386"/>
    <w:rsid w:val="00B4739D"/>
    <w:rsid w:val="00B473E8"/>
    <w:rsid w:val="00B474B7"/>
    <w:rsid w:val="00B47692"/>
    <w:rsid w:val="00B4787D"/>
    <w:rsid w:val="00B47902"/>
    <w:rsid w:val="00B47973"/>
    <w:rsid w:val="00B47A22"/>
    <w:rsid w:val="00B47AF7"/>
    <w:rsid w:val="00B47EF0"/>
    <w:rsid w:val="00B5007A"/>
    <w:rsid w:val="00B50110"/>
    <w:rsid w:val="00B5028A"/>
    <w:rsid w:val="00B504CB"/>
    <w:rsid w:val="00B50530"/>
    <w:rsid w:val="00B50559"/>
    <w:rsid w:val="00B505C5"/>
    <w:rsid w:val="00B50764"/>
    <w:rsid w:val="00B50A69"/>
    <w:rsid w:val="00B50B50"/>
    <w:rsid w:val="00B50B6F"/>
    <w:rsid w:val="00B50D65"/>
    <w:rsid w:val="00B50F1C"/>
    <w:rsid w:val="00B5102F"/>
    <w:rsid w:val="00B5115B"/>
    <w:rsid w:val="00B51169"/>
    <w:rsid w:val="00B511F6"/>
    <w:rsid w:val="00B512EA"/>
    <w:rsid w:val="00B513D3"/>
    <w:rsid w:val="00B515F5"/>
    <w:rsid w:val="00B51686"/>
    <w:rsid w:val="00B51906"/>
    <w:rsid w:val="00B51982"/>
    <w:rsid w:val="00B51AD1"/>
    <w:rsid w:val="00B51AF0"/>
    <w:rsid w:val="00B51D88"/>
    <w:rsid w:val="00B52056"/>
    <w:rsid w:val="00B520BB"/>
    <w:rsid w:val="00B521F4"/>
    <w:rsid w:val="00B52315"/>
    <w:rsid w:val="00B524B3"/>
    <w:rsid w:val="00B524BC"/>
    <w:rsid w:val="00B524D9"/>
    <w:rsid w:val="00B527E1"/>
    <w:rsid w:val="00B52905"/>
    <w:rsid w:val="00B52A80"/>
    <w:rsid w:val="00B52A81"/>
    <w:rsid w:val="00B52ABB"/>
    <w:rsid w:val="00B52CE4"/>
    <w:rsid w:val="00B52FBF"/>
    <w:rsid w:val="00B53043"/>
    <w:rsid w:val="00B53058"/>
    <w:rsid w:val="00B53282"/>
    <w:rsid w:val="00B53285"/>
    <w:rsid w:val="00B533EC"/>
    <w:rsid w:val="00B53414"/>
    <w:rsid w:val="00B5343B"/>
    <w:rsid w:val="00B53509"/>
    <w:rsid w:val="00B535AF"/>
    <w:rsid w:val="00B53613"/>
    <w:rsid w:val="00B537A8"/>
    <w:rsid w:val="00B538A0"/>
    <w:rsid w:val="00B538B2"/>
    <w:rsid w:val="00B53A8B"/>
    <w:rsid w:val="00B53B9E"/>
    <w:rsid w:val="00B53CE8"/>
    <w:rsid w:val="00B53EB1"/>
    <w:rsid w:val="00B53EE8"/>
    <w:rsid w:val="00B540FC"/>
    <w:rsid w:val="00B5422D"/>
    <w:rsid w:val="00B54265"/>
    <w:rsid w:val="00B5428A"/>
    <w:rsid w:val="00B5438C"/>
    <w:rsid w:val="00B54522"/>
    <w:rsid w:val="00B5456A"/>
    <w:rsid w:val="00B54636"/>
    <w:rsid w:val="00B548A5"/>
    <w:rsid w:val="00B548B6"/>
    <w:rsid w:val="00B548DD"/>
    <w:rsid w:val="00B54B86"/>
    <w:rsid w:val="00B54CBB"/>
    <w:rsid w:val="00B54E95"/>
    <w:rsid w:val="00B54FEC"/>
    <w:rsid w:val="00B54FF9"/>
    <w:rsid w:val="00B55139"/>
    <w:rsid w:val="00B55335"/>
    <w:rsid w:val="00B55726"/>
    <w:rsid w:val="00B55769"/>
    <w:rsid w:val="00B557F7"/>
    <w:rsid w:val="00B558EC"/>
    <w:rsid w:val="00B55A53"/>
    <w:rsid w:val="00B55AD7"/>
    <w:rsid w:val="00B55B85"/>
    <w:rsid w:val="00B55D8B"/>
    <w:rsid w:val="00B55F59"/>
    <w:rsid w:val="00B55F88"/>
    <w:rsid w:val="00B56247"/>
    <w:rsid w:val="00B56420"/>
    <w:rsid w:val="00B566A1"/>
    <w:rsid w:val="00B56795"/>
    <w:rsid w:val="00B568D3"/>
    <w:rsid w:val="00B56998"/>
    <w:rsid w:val="00B56A03"/>
    <w:rsid w:val="00B56A0D"/>
    <w:rsid w:val="00B56B1B"/>
    <w:rsid w:val="00B5726B"/>
    <w:rsid w:val="00B57291"/>
    <w:rsid w:val="00B5749D"/>
    <w:rsid w:val="00B57510"/>
    <w:rsid w:val="00B576D9"/>
    <w:rsid w:val="00B5791D"/>
    <w:rsid w:val="00B57E25"/>
    <w:rsid w:val="00B57F4A"/>
    <w:rsid w:val="00B6016D"/>
    <w:rsid w:val="00B6022C"/>
    <w:rsid w:val="00B60344"/>
    <w:rsid w:val="00B605F8"/>
    <w:rsid w:val="00B60626"/>
    <w:rsid w:val="00B60A2B"/>
    <w:rsid w:val="00B60AEF"/>
    <w:rsid w:val="00B60CF7"/>
    <w:rsid w:val="00B60E3B"/>
    <w:rsid w:val="00B60E76"/>
    <w:rsid w:val="00B60ED7"/>
    <w:rsid w:val="00B61323"/>
    <w:rsid w:val="00B61347"/>
    <w:rsid w:val="00B6153F"/>
    <w:rsid w:val="00B615D6"/>
    <w:rsid w:val="00B61719"/>
    <w:rsid w:val="00B61865"/>
    <w:rsid w:val="00B61C21"/>
    <w:rsid w:val="00B621E3"/>
    <w:rsid w:val="00B622A7"/>
    <w:rsid w:val="00B624C7"/>
    <w:rsid w:val="00B624E4"/>
    <w:rsid w:val="00B625A1"/>
    <w:rsid w:val="00B62786"/>
    <w:rsid w:val="00B62A29"/>
    <w:rsid w:val="00B62A82"/>
    <w:rsid w:val="00B62B57"/>
    <w:rsid w:val="00B62BDA"/>
    <w:rsid w:val="00B62D21"/>
    <w:rsid w:val="00B62E6E"/>
    <w:rsid w:val="00B62EB4"/>
    <w:rsid w:val="00B631B5"/>
    <w:rsid w:val="00B63367"/>
    <w:rsid w:val="00B6345C"/>
    <w:rsid w:val="00B634BA"/>
    <w:rsid w:val="00B6357A"/>
    <w:rsid w:val="00B635BB"/>
    <w:rsid w:val="00B6366B"/>
    <w:rsid w:val="00B637BC"/>
    <w:rsid w:val="00B6394D"/>
    <w:rsid w:val="00B6394F"/>
    <w:rsid w:val="00B63AB4"/>
    <w:rsid w:val="00B63BF6"/>
    <w:rsid w:val="00B63DA1"/>
    <w:rsid w:val="00B63DBA"/>
    <w:rsid w:val="00B63EA1"/>
    <w:rsid w:val="00B63FDC"/>
    <w:rsid w:val="00B64054"/>
    <w:rsid w:val="00B641A4"/>
    <w:rsid w:val="00B64252"/>
    <w:rsid w:val="00B642E2"/>
    <w:rsid w:val="00B644A6"/>
    <w:rsid w:val="00B64608"/>
    <w:rsid w:val="00B649F6"/>
    <w:rsid w:val="00B64BF2"/>
    <w:rsid w:val="00B64E5A"/>
    <w:rsid w:val="00B64F9F"/>
    <w:rsid w:val="00B651C1"/>
    <w:rsid w:val="00B65439"/>
    <w:rsid w:val="00B6546C"/>
    <w:rsid w:val="00B6553B"/>
    <w:rsid w:val="00B656E8"/>
    <w:rsid w:val="00B65779"/>
    <w:rsid w:val="00B65978"/>
    <w:rsid w:val="00B65A29"/>
    <w:rsid w:val="00B65A33"/>
    <w:rsid w:val="00B65C73"/>
    <w:rsid w:val="00B65F66"/>
    <w:rsid w:val="00B664EA"/>
    <w:rsid w:val="00B6657A"/>
    <w:rsid w:val="00B6663B"/>
    <w:rsid w:val="00B6663F"/>
    <w:rsid w:val="00B66696"/>
    <w:rsid w:val="00B66844"/>
    <w:rsid w:val="00B668A5"/>
    <w:rsid w:val="00B66ABA"/>
    <w:rsid w:val="00B66BDD"/>
    <w:rsid w:val="00B66BE9"/>
    <w:rsid w:val="00B66D10"/>
    <w:rsid w:val="00B66DD3"/>
    <w:rsid w:val="00B66EA5"/>
    <w:rsid w:val="00B66F46"/>
    <w:rsid w:val="00B672CE"/>
    <w:rsid w:val="00B6733E"/>
    <w:rsid w:val="00B67406"/>
    <w:rsid w:val="00B6744F"/>
    <w:rsid w:val="00B67638"/>
    <w:rsid w:val="00B6765A"/>
    <w:rsid w:val="00B67685"/>
    <w:rsid w:val="00B6791C"/>
    <w:rsid w:val="00B67CEE"/>
    <w:rsid w:val="00B67D39"/>
    <w:rsid w:val="00B67E36"/>
    <w:rsid w:val="00B67E74"/>
    <w:rsid w:val="00B67EC5"/>
    <w:rsid w:val="00B67F36"/>
    <w:rsid w:val="00B7000B"/>
    <w:rsid w:val="00B70208"/>
    <w:rsid w:val="00B7020A"/>
    <w:rsid w:val="00B7087F"/>
    <w:rsid w:val="00B70970"/>
    <w:rsid w:val="00B70A34"/>
    <w:rsid w:val="00B70AED"/>
    <w:rsid w:val="00B70C1E"/>
    <w:rsid w:val="00B70F23"/>
    <w:rsid w:val="00B710E7"/>
    <w:rsid w:val="00B712CD"/>
    <w:rsid w:val="00B7133B"/>
    <w:rsid w:val="00B71551"/>
    <w:rsid w:val="00B71678"/>
    <w:rsid w:val="00B71684"/>
    <w:rsid w:val="00B716C5"/>
    <w:rsid w:val="00B7175F"/>
    <w:rsid w:val="00B71791"/>
    <w:rsid w:val="00B71A68"/>
    <w:rsid w:val="00B71ACD"/>
    <w:rsid w:val="00B71B84"/>
    <w:rsid w:val="00B71BF5"/>
    <w:rsid w:val="00B71DA3"/>
    <w:rsid w:val="00B71E83"/>
    <w:rsid w:val="00B71FA2"/>
    <w:rsid w:val="00B72050"/>
    <w:rsid w:val="00B72099"/>
    <w:rsid w:val="00B720B7"/>
    <w:rsid w:val="00B72138"/>
    <w:rsid w:val="00B7223F"/>
    <w:rsid w:val="00B7238E"/>
    <w:rsid w:val="00B7262B"/>
    <w:rsid w:val="00B72732"/>
    <w:rsid w:val="00B7273B"/>
    <w:rsid w:val="00B728E6"/>
    <w:rsid w:val="00B729EC"/>
    <w:rsid w:val="00B72AD4"/>
    <w:rsid w:val="00B72B8D"/>
    <w:rsid w:val="00B72C7F"/>
    <w:rsid w:val="00B72EBF"/>
    <w:rsid w:val="00B72FD8"/>
    <w:rsid w:val="00B72FEF"/>
    <w:rsid w:val="00B731AC"/>
    <w:rsid w:val="00B7334E"/>
    <w:rsid w:val="00B733ED"/>
    <w:rsid w:val="00B73669"/>
    <w:rsid w:val="00B736A3"/>
    <w:rsid w:val="00B73892"/>
    <w:rsid w:val="00B73992"/>
    <w:rsid w:val="00B73A22"/>
    <w:rsid w:val="00B73AB2"/>
    <w:rsid w:val="00B73B2A"/>
    <w:rsid w:val="00B73CDC"/>
    <w:rsid w:val="00B73D0E"/>
    <w:rsid w:val="00B742D1"/>
    <w:rsid w:val="00B74507"/>
    <w:rsid w:val="00B7460E"/>
    <w:rsid w:val="00B7474B"/>
    <w:rsid w:val="00B7479C"/>
    <w:rsid w:val="00B748A1"/>
    <w:rsid w:val="00B74A40"/>
    <w:rsid w:val="00B74A67"/>
    <w:rsid w:val="00B74CE5"/>
    <w:rsid w:val="00B74E12"/>
    <w:rsid w:val="00B74E69"/>
    <w:rsid w:val="00B74EDA"/>
    <w:rsid w:val="00B7511C"/>
    <w:rsid w:val="00B7514A"/>
    <w:rsid w:val="00B7546F"/>
    <w:rsid w:val="00B75546"/>
    <w:rsid w:val="00B756D5"/>
    <w:rsid w:val="00B7576F"/>
    <w:rsid w:val="00B758A6"/>
    <w:rsid w:val="00B75B4B"/>
    <w:rsid w:val="00B75C99"/>
    <w:rsid w:val="00B75D18"/>
    <w:rsid w:val="00B7617E"/>
    <w:rsid w:val="00B761E5"/>
    <w:rsid w:val="00B7646C"/>
    <w:rsid w:val="00B769DA"/>
    <w:rsid w:val="00B76BDC"/>
    <w:rsid w:val="00B76C6E"/>
    <w:rsid w:val="00B770FF"/>
    <w:rsid w:val="00B7744C"/>
    <w:rsid w:val="00B7760E"/>
    <w:rsid w:val="00B7769E"/>
    <w:rsid w:val="00B7773F"/>
    <w:rsid w:val="00B779E6"/>
    <w:rsid w:val="00B77BD3"/>
    <w:rsid w:val="00B77BFA"/>
    <w:rsid w:val="00B77CBE"/>
    <w:rsid w:val="00B77F26"/>
    <w:rsid w:val="00B77F79"/>
    <w:rsid w:val="00B80093"/>
    <w:rsid w:val="00B800DC"/>
    <w:rsid w:val="00B8028E"/>
    <w:rsid w:val="00B8030F"/>
    <w:rsid w:val="00B804B6"/>
    <w:rsid w:val="00B8086E"/>
    <w:rsid w:val="00B80C29"/>
    <w:rsid w:val="00B80D1B"/>
    <w:rsid w:val="00B80E51"/>
    <w:rsid w:val="00B80F0C"/>
    <w:rsid w:val="00B80F62"/>
    <w:rsid w:val="00B81081"/>
    <w:rsid w:val="00B811CD"/>
    <w:rsid w:val="00B81309"/>
    <w:rsid w:val="00B81320"/>
    <w:rsid w:val="00B81340"/>
    <w:rsid w:val="00B81565"/>
    <w:rsid w:val="00B816A1"/>
    <w:rsid w:val="00B8198E"/>
    <w:rsid w:val="00B819EA"/>
    <w:rsid w:val="00B81DBD"/>
    <w:rsid w:val="00B81E29"/>
    <w:rsid w:val="00B81E77"/>
    <w:rsid w:val="00B823C2"/>
    <w:rsid w:val="00B8260A"/>
    <w:rsid w:val="00B827DE"/>
    <w:rsid w:val="00B8285E"/>
    <w:rsid w:val="00B828A1"/>
    <w:rsid w:val="00B82962"/>
    <w:rsid w:val="00B82984"/>
    <w:rsid w:val="00B82AB0"/>
    <w:rsid w:val="00B82B39"/>
    <w:rsid w:val="00B82DAC"/>
    <w:rsid w:val="00B82E7F"/>
    <w:rsid w:val="00B82EF9"/>
    <w:rsid w:val="00B82EFA"/>
    <w:rsid w:val="00B831DE"/>
    <w:rsid w:val="00B8328A"/>
    <w:rsid w:val="00B834F2"/>
    <w:rsid w:val="00B8395E"/>
    <w:rsid w:val="00B83C69"/>
    <w:rsid w:val="00B83D10"/>
    <w:rsid w:val="00B83D91"/>
    <w:rsid w:val="00B83E57"/>
    <w:rsid w:val="00B84146"/>
    <w:rsid w:val="00B84311"/>
    <w:rsid w:val="00B84380"/>
    <w:rsid w:val="00B847AF"/>
    <w:rsid w:val="00B847DF"/>
    <w:rsid w:val="00B84893"/>
    <w:rsid w:val="00B84989"/>
    <w:rsid w:val="00B84C82"/>
    <w:rsid w:val="00B84CE9"/>
    <w:rsid w:val="00B84FEB"/>
    <w:rsid w:val="00B85092"/>
    <w:rsid w:val="00B85105"/>
    <w:rsid w:val="00B852B7"/>
    <w:rsid w:val="00B85561"/>
    <w:rsid w:val="00B8579A"/>
    <w:rsid w:val="00B858C8"/>
    <w:rsid w:val="00B85901"/>
    <w:rsid w:val="00B85DB2"/>
    <w:rsid w:val="00B85F47"/>
    <w:rsid w:val="00B8602D"/>
    <w:rsid w:val="00B8629B"/>
    <w:rsid w:val="00B8642E"/>
    <w:rsid w:val="00B86737"/>
    <w:rsid w:val="00B867AD"/>
    <w:rsid w:val="00B86910"/>
    <w:rsid w:val="00B8692B"/>
    <w:rsid w:val="00B86C53"/>
    <w:rsid w:val="00B86C62"/>
    <w:rsid w:val="00B86DBA"/>
    <w:rsid w:val="00B86EA0"/>
    <w:rsid w:val="00B86F4F"/>
    <w:rsid w:val="00B87088"/>
    <w:rsid w:val="00B873B9"/>
    <w:rsid w:val="00B8758B"/>
    <w:rsid w:val="00B875B9"/>
    <w:rsid w:val="00B8779D"/>
    <w:rsid w:val="00B87927"/>
    <w:rsid w:val="00B87ADC"/>
    <w:rsid w:val="00B87BA5"/>
    <w:rsid w:val="00B87C2E"/>
    <w:rsid w:val="00B87F55"/>
    <w:rsid w:val="00B9003A"/>
    <w:rsid w:val="00B9003B"/>
    <w:rsid w:val="00B900D0"/>
    <w:rsid w:val="00B901F3"/>
    <w:rsid w:val="00B903D6"/>
    <w:rsid w:val="00B90497"/>
    <w:rsid w:val="00B904D1"/>
    <w:rsid w:val="00B906AC"/>
    <w:rsid w:val="00B906E2"/>
    <w:rsid w:val="00B90B0A"/>
    <w:rsid w:val="00B90B4A"/>
    <w:rsid w:val="00B90C2B"/>
    <w:rsid w:val="00B90D38"/>
    <w:rsid w:val="00B90D83"/>
    <w:rsid w:val="00B90E14"/>
    <w:rsid w:val="00B90F60"/>
    <w:rsid w:val="00B90FBA"/>
    <w:rsid w:val="00B91166"/>
    <w:rsid w:val="00B9131F"/>
    <w:rsid w:val="00B913A5"/>
    <w:rsid w:val="00B913AB"/>
    <w:rsid w:val="00B914A0"/>
    <w:rsid w:val="00B915B4"/>
    <w:rsid w:val="00B91615"/>
    <w:rsid w:val="00B91638"/>
    <w:rsid w:val="00B9167E"/>
    <w:rsid w:val="00B917D9"/>
    <w:rsid w:val="00B917E9"/>
    <w:rsid w:val="00B917FE"/>
    <w:rsid w:val="00B918FD"/>
    <w:rsid w:val="00B91939"/>
    <w:rsid w:val="00B91AF4"/>
    <w:rsid w:val="00B91D48"/>
    <w:rsid w:val="00B91F16"/>
    <w:rsid w:val="00B91F2D"/>
    <w:rsid w:val="00B91FD8"/>
    <w:rsid w:val="00B92076"/>
    <w:rsid w:val="00B92619"/>
    <w:rsid w:val="00B92787"/>
    <w:rsid w:val="00B92801"/>
    <w:rsid w:val="00B928AC"/>
    <w:rsid w:val="00B92D11"/>
    <w:rsid w:val="00B92EE7"/>
    <w:rsid w:val="00B92F5E"/>
    <w:rsid w:val="00B92FF9"/>
    <w:rsid w:val="00B93033"/>
    <w:rsid w:val="00B930B6"/>
    <w:rsid w:val="00B930B8"/>
    <w:rsid w:val="00B93110"/>
    <w:rsid w:val="00B93193"/>
    <w:rsid w:val="00B93223"/>
    <w:rsid w:val="00B93262"/>
    <w:rsid w:val="00B9339D"/>
    <w:rsid w:val="00B933E3"/>
    <w:rsid w:val="00B93463"/>
    <w:rsid w:val="00B934DF"/>
    <w:rsid w:val="00B9356B"/>
    <w:rsid w:val="00B936D5"/>
    <w:rsid w:val="00B93708"/>
    <w:rsid w:val="00B938EC"/>
    <w:rsid w:val="00B93A54"/>
    <w:rsid w:val="00B93AC8"/>
    <w:rsid w:val="00B93B09"/>
    <w:rsid w:val="00B93B2F"/>
    <w:rsid w:val="00B93BB4"/>
    <w:rsid w:val="00B93C79"/>
    <w:rsid w:val="00B93D6A"/>
    <w:rsid w:val="00B93E0B"/>
    <w:rsid w:val="00B93FD1"/>
    <w:rsid w:val="00B93FD2"/>
    <w:rsid w:val="00B941AC"/>
    <w:rsid w:val="00B942F3"/>
    <w:rsid w:val="00B94569"/>
    <w:rsid w:val="00B945B6"/>
    <w:rsid w:val="00B9463A"/>
    <w:rsid w:val="00B948C3"/>
    <w:rsid w:val="00B949B8"/>
    <w:rsid w:val="00B94A83"/>
    <w:rsid w:val="00B94BD4"/>
    <w:rsid w:val="00B94CEF"/>
    <w:rsid w:val="00B94D36"/>
    <w:rsid w:val="00B94E68"/>
    <w:rsid w:val="00B94E83"/>
    <w:rsid w:val="00B950A3"/>
    <w:rsid w:val="00B9511E"/>
    <w:rsid w:val="00B951DE"/>
    <w:rsid w:val="00B951F9"/>
    <w:rsid w:val="00B952D3"/>
    <w:rsid w:val="00B95381"/>
    <w:rsid w:val="00B95597"/>
    <w:rsid w:val="00B958E7"/>
    <w:rsid w:val="00B95ABE"/>
    <w:rsid w:val="00B95ADA"/>
    <w:rsid w:val="00B95C5E"/>
    <w:rsid w:val="00B95D56"/>
    <w:rsid w:val="00B95F30"/>
    <w:rsid w:val="00B9607F"/>
    <w:rsid w:val="00B963D0"/>
    <w:rsid w:val="00B963DB"/>
    <w:rsid w:val="00B964B6"/>
    <w:rsid w:val="00B96579"/>
    <w:rsid w:val="00B9662E"/>
    <w:rsid w:val="00B96B47"/>
    <w:rsid w:val="00B96BFD"/>
    <w:rsid w:val="00B96D41"/>
    <w:rsid w:val="00B97042"/>
    <w:rsid w:val="00B971D5"/>
    <w:rsid w:val="00B97244"/>
    <w:rsid w:val="00B973C4"/>
    <w:rsid w:val="00B975CE"/>
    <w:rsid w:val="00B97CA9"/>
    <w:rsid w:val="00B97D08"/>
    <w:rsid w:val="00B97D46"/>
    <w:rsid w:val="00B97D76"/>
    <w:rsid w:val="00BA013C"/>
    <w:rsid w:val="00BA0223"/>
    <w:rsid w:val="00BA0348"/>
    <w:rsid w:val="00BA06E5"/>
    <w:rsid w:val="00BA0772"/>
    <w:rsid w:val="00BA09EA"/>
    <w:rsid w:val="00BA0A1B"/>
    <w:rsid w:val="00BA0A66"/>
    <w:rsid w:val="00BA0CCB"/>
    <w:rsid w:val="00BA0F4A"/>
    <w:rsid w:val="00BA10F4"/>
    <w:rsid w:val="00BA119A"/>
    <w:rsid w:val="00BA14DF"/>
    <w:rsid w:val="00BA15E5"/>
    <w:rsid w:val="00BA169E"/>
    <w:rsid w:val="00BA16B4"/>
    <w:rsid w:val="00BA17C0"/>
    <w:rsid w:val="00BA1879"/>
    <w:rsid w:val="00BA1894"/>
    <w:rsid w:val="00BA1A68"/>
    <w:rsid w:val="00BA1AC7"/>
    <w:rsid w:val="00BA1BC7"/>
    <w:rsid w:val="00BA1D04"/>
    <w:rsid w:val="00BA20C0"/>
    <w:rsid w:val="00BA20FD"/>
    <w:rsid w:val="00BA2283"/>
    <w:rsid w:val="00BA22C5"/>
    <w:rsid w:val="00BA23FB"/>
    <w:rsid w:val="00BA2636"/>
    <w:rsid w:val="00BA265E"/>
    <w:rsid w:val="00BA27AD"/>
    <w:rsid w:val="00BA28C0"/>
    <w:rsid w:val="00BA28D1"/>
    <w:rsid w:val="00BA29AC"/>
    <w:rsid w:val="00BA29FD"/>
    <w:rsid w:val="00BA2CB7"/>
    <w:rsid w:val="00BA2D0A"/>
    <w:rsid w:val="00BA2EC4"/>
    <w:rsid w:val="00BA2F7A"/>
    <w:rsid w:val="00BA2F8F"/>
    <w:rsid w:val="00BA3155"/>
    <w:rsid w:val="00BA3179"/>
    <w:rsid w:val="00BA31CD"/>
    <w:rsid w:val="00BA31EC"/>
    <w:rsid w:val="00BA32C3"/>
    <w:rsid w:val="00BA3684"/>
    <w:rsid w:val="00BA3AAF"/>
    <w:rsid w:val="00BA3CED"/>
    <w:rsid w:val="00BA3D99"/>
    <w:rsid w:val="00BA3FB7"/>
    <w:rsid w:val="00BA4466"/>
    <w:rsid w:val="00BA446D"/>
    <w:rsid w:val="00BA46CB"/>
    <w:rsid w:val="00BA483E"/>
    <w:rsid w:val="00BA4970"/>
    <w:rsid w:val="00BA4A83"/>
    <w:rsid w:val="00BA4C89"/>
    <w:rsid w:val="00BA4ED6"/>
    <w:rsid w:val="00BA4F5E"/>
    <w:rsid w:val="00BA504C"/>
    <w:rsid w:val="00BA5102"/>
    <w:rsid w:val="00BA524C"/>
    <w:rsid w:val="00BA5521"/>
    <w:rsid w:val="00BA55AB"/>
    <w:rsid w:val="00BA561A"/>
    <w:rsid w:val="00BA5772"/>
    <w:rsid w:val="00BA588A"/>
    <w:rsid w:val="00BA58D4"/>
    <w:rsid w:val="00BA594A"/>
    <w:rsid w:val="00BA5A17"/>
    <w:rsid w:val="00BA5A9F"/>
    <w:rsid w:val="00BA5B64"/>
    <w:rsid w:val="00BA5B92"/>
    <w:rsid w:val="00BA5C04"/>
    <w:rsid w:val="00BA5C7A"/>
    <w:rsid w:val="00BA5CD6"/>
    <w:rsid w:val="00BA5DB0"/>
    <w:rsid w:val="00BA5E62"/>
    <w:rsid w:val="00BA5F4D"/>
    <w:rsid w:val="00BA606F"/>
    <w:rsid w:val="00BA60FF"/>
    <w:rsid w:val="00BA617D"/>
    <w:rsid w:val="00BA61A2"/>
    <w:rsid w:val="00BA61A8"/>
    <w:rsid w:val="00BA62A1"/>
    <w:rsid w:val="00BA62D6"/>
    <w:rsid w:val="00BA6331"/>
    <w:rsid w:val="00BA63E7"/>
    <w:rsid w:val="00BA68BB"/>
    <w:rsid w:val="00BA6960"/>
    <w:rsid w:val="00BA69A9"/>
    <w:rsid w:val="00BA69D1"/>
    <w:rsid w:val="00BA6A3D"/>
    <w:rsid w:val="00BA6D86"/>
    <w:rsid w:val="00BA6E42"/>
    <w:rsid w:val="00BA6E65"/>
    <w:rsid w:val="00BA6F04"/>
    <w:rsid w:val="00BA70F1"/>
    <w:rsid w:val="00BA72FF"/>
    <w:rsid w:val="00BA7359"/>
    <w:rsid w:val="00BA75B0"/>
    <w:rsid w:val="00BA770A"/>
    <w:rsid w:val="00BA773D"/>
    <w:rsid w:val="00BA775B"/>
    <w:rsid w:val="00BA7850"/>
    <w:rsid w:val="00BA78D3"/>
    <w:rsid w:val="00BA7B24"/>
    <w:rsid w:val="00BA7BBE"/>
    <w:rsid w:val="00BA7D4C"/>
    <w:rsid w:val="00BA7DAA"/>
    <w:rsid w:val="00BA7DE3"/>
    <w:rsid w:val="00BA7F2D"/>
    <w:rsid w:val="00BA7F32"/>
    <w:rsid w:val="00BB007F"/>
    <w:rsid w:val="00BB0171"/>
    <w:rsid w:val="00BB0270"/>
    <w:rsid w:val="00BB0376"/>
    <w:rsid w:val="00BB07D8"/>
    <w:rsid w:val="00BB08FA"/>
    <w:rsid w:val="00BB0D60"/>
    <w:rsid w:val="00BB0E82"/>
    <w:rsid w:val="00BB0F3B"/>
    <w:rsid w:val="00BB1133"/>
    <w:rsid w:val="00BB124C"/>
    <w:rsid w:val="00BB15CA"/>
    <w:rsid w:val="00BB165D"/>
    <w:rsid w:val="00BB1698"/>
    <w:rsid w:val="00BB175C"/>
    <w:rsid w:val="00BB1871"/>
    <w:rsid w:val="00BB18E2"/>
    <w:rsid w:val="00BB19FB"/>
    <w:rsid w:val="00BB1BE3"/>
    <w:rsid w:val="00BB1C2E"/>
    <w:rsid w:val="00BB1C75"/>
    <w:rsid w:val="00BB1CAD"/>
    <w:rsid w:val="00BB1CAF"/>
    <w:rsid w:val="00BB1F78"/>
    <w:rsid w:val="00BB20E4"/>
    <w:rsid w:val="00BB2840"/>
    <w:rsid w:val="00BB2DA1"/>
    <w:rsid w:val="00BB3067"/>
    <w:rsid w:val="00BB30F8"/>
    <w:rsid w:val="00BB30F9"/>
    <w:rsid w:val="00BB30FD"/>
    <w:rsid w:val="00BB31DE"/>
    <w:rsid w:val="00BB324F"/>
    <w:rsid w:val="00BB32CC"/>
    <w:rsid w:val="00BB32FA"/>
    <w:rsid w:val="00BB362A"/>
    <w:rsid w:val="00BB36D4"/>
    <w:rsid w:val="00BB393E"/>
    <w:rsid w:val="00BB3E02"/>
    <w:rsid w:val="00BB3E24"/>
    <w:rsid w:val="00BB3F59"/>
    <w:rsid w:val="00BB3FEA"/>
    <w:rsid w:val="00BB40B2"/>
    <w:rsid w:val="00BB42BA"/>
    <w:rsid w:val="00BB42C4"/>
    <w:rsid w:val="00BB4631"/>
    <w:rsid w:val="00BB46C3"/>
    <w:rsid w:val="00BB490E"/>
    <w:rsid w:val="00BB4DEC"/>
    <w:rsid w:val="00BB4E42"/>
    <w:rsid w:val="00BB4F11"/>
    <w:rsid w:val="00BB509C"/>
    <w:rsid w:val="00BB5138"/>
    <w:rsid w:val="00BB52FF"/>
    <w:rsid w:val="00BB53E6"/>
    <w:rsid w:val="00BB54BD"/>
    <w:rsid w:val="00BB58B9"/>
    <w:rsid w:val="00BB59D7"/>
    <w:rsid w:val="00BB5AE2"/>
    <w:rsid w:val="00BB5BAC"/>
    <w:rsid w:val="00BB5CF3"/>
    <w:rsid w:val="00BB5E2E"/>
    <w:rsid w:val="00BB5FB9"/>
    <w:rsid w:val="00BB6392"/>
    <w:rsid w:val="00BB652D"/>
    <w:rsid w:val="00BB6556"/>
    <w:rsid w:val="00BB658C"/>
    <w:rsid w:val="00BB65A4"/>
    <w:rsid w:val="00BB671B"/>
    <w:rsid w:val="00BB67D6"/>
    <w:rsid w:val="00BB6813"/>
    <w:rsid w:val="00BB69CF"/>
    <w:rsid w:val="00BB6AF6"/>
    <w:rsid w:val="00BB6AFD"/>
    <w:rsid w:val="00BB6D02"/>
    <w:rsid w:val="00BB6EB7"/>
    <w:rsid w:val="00BB70E7"/>
    <w:rsid w:val="00BB7178"/>
    <w:rsid w:val="00BB734A"/>
    <w:rsid w:val="00BB742D"/>
    <w:rsid w:val="00BB7693"/>
    <w:rsid w:val="00BB772F"/>
    <w:rsid w:val="00BB777A"/>
    <w:rsid w:val="00BB784D"/>
    <w:rsid w:val="00BB7897"/>
    <w:rsid w:val="00BB7A95"/>
    <w:rsid w:val="00BB7E04"/>
    <w:rsid w:val="00BB7F54"/>
    <w:rsid w:val="00BC010F"/>
    <w:rsid w:val="00BC027E"/>
    <w:rsid w:val="00BC0336"/>
    <w:rsid w:val="00BC07D9"/>
    <w:rsid w:val="00BC0EFD"/>
    <w:rsid w:val="00BC0F60"/>
    <w:rsid w:val="00BC1071"/>
    <w:rsid w:val="00BC10FD"/>
    <w:rsid w:val="00BC122A"/>
    <w:rsid w:val="00BC12E0"/>
    <w:rsid w:val="00BC1501"/>
    <w:rsid w:val="00BC1538"/>
    <w:rsid w:val="00BC15BA"/>
    <w:rsid w:val="00BC1BA7"/>
    <w:rsid w:val="00BC1C0B"/>
    <w:rsid w:val="00BC1EA6"/>
    <w:rsid w:val="00BC1F60"/>
    <w:rsid w:val="00BC203D"/>
    <w:rsid w:val="00BC20B3"/>
    <w:rsid w:val="00BC247F"/>
    <w:rsid w:val="00BC25C4"/>
    <w:rsid w:val="00BC2739"/>
    <w:rsid w:val="00BC27A1"/>
    <w:rsid w:val="00BC295A"/>
    <w:rsid w:val="00BC29CB"/>
    <w:rsid w:val="00BC2C73"/>
    <w:rsid w:val="00BC2D52"/>
    <w:rsid w:val="00BC2F28"/>
    <w:rsid w:val="00BC2F54"/>
    <w:rsid w:val="00BC2F5F"/>
    <w:rsid w:val="00BC313B"/>
    <w:rsid w:val="00BC323E"/>
    <w:rsid w:val="00BC3269"/>
    <w:rsid w:val="00BC332E"/>
    <w:rsid w:val="00BC3414"/>
    <w:rsid w:val="00BC34D0"/>
    <w:rsid w:val="00BC3533"/>
    <w:rsid w:val="00BC361C"/>
    <w:rsid w:val="00BC36F9"/>
    <w:rsid w:val="00BC385B"/>
    <w:rsid w:val="00BC3939"/>
    <w:rsid w:val="00BC3988"/>
    <w:rsid w:val="00BC3B62"/>
    <w:rsid w:val="00BC3C44"/>
    <w:rsid w:val="00BC3E74"/>
    <w:rsid w:val="00BC3F82"/>
    <w:rsid w:val="00BC3FE6"/>
    <w:rsid w:val="00BC40B0"/>
    <w:rsid w:val="00BC4122"/>
    <w:rsid w:val="00BC4194"/>
    <w:rsid w:val="00BC4227"/>
    <w:rsid w:val="00BC4414"/>
    <w:rsid w:val="00BC45E3"/>
    <w:rsid w:val="00BC46C4"/>
    <w:rsid w:val="00BC47D6"/>
    <w:rsid w:val="00BC47DB"/>
    <w:rsid w:val="00BC4850"/>
    <w:rsid w:val="00BC485A"/>
    <w:rsid w:val="00BC487B"/>
    <w:rsid w:val="00BC48DF"/>
    <w:rsid w:val="00BC4A84"/>
    <w:rsid w:val="00BC4AE4"/>
    <w:rsid w:val="00BC4BB4"/>
    <w:rsid w:val="00BC4CF7"/>
    <w:rsid w:val="00BC4D9B"/>
    <w:rsid w:val="00BC5134"/>
    <w:rsid w:val="00BC53AD"/>
    <w:rsid w:val="00BC5420"/>
    <w:rsid w:val="00BC549A"/>
    <w:rsid w:val="00BC56DE"/>
    <w:rsid w:val="00BC56F6"/>
    <w:rsid w:val="00BC5817"/>
    <w:rsid w:val="00BC58B0"/>
    <w:rsid w:val="00BC5C73"/>
    <w:rsid w:val="00BC5DDA"/>
    <w:rsid w:val="00BC6017"/>
    <w:rsid w:val="00BC6033"/>
    <w:rsid w:val="00BC6355"/>
    <w:rsid w:val="00BC652A"/>
    <w:rsid w:val="00BC65D2"/>
    <w:rsid w:val="00BC675E"/>
    <w:rsid w:val="00BC685B"/>
    <w:rsid w:val="00BC68DA"/>
    <w:rsid w:val="00BC6AED"/>
    <w:rsid w:val="00BC6B57"/>
    <w:rsid w:val="00BC6C6F"/>
    <w:rsid w:val="00BC6D5E"/>
    <w:rsid w:val="00BC6F28"/>
    <w:rsid w:val="00BC6F47"/>
    <w:rsid w:val="00BC6FAD"/>
    <w:rsid w:val="00BC7228"/>
    <w:rsid w:val="00BC724F"/>
    <w:rsid w:val="00BC72D3"/>
    <w:rsid w:val="00BC77F8"/>
    <w:rsid w:val="00BC79FC"/>
    <w:rsid w:val="00BC7A34"/>
    <w:rsid w:val="00BC7B4F"/>
    <w:rsid w:val="00BC7DAB"/>
    <w:rsid w:val="00BD0737"/>
    <w:rsid w:val="00BD074D"/>
    <w:rsid w:val="00BD0894"/>
    <w:rsid w:val="00BD0B26"/>
    <w:rsid w:val="00BD0BC9"/>
    <w:rsid w:val="00BD0D2E"/>
    <w:rsid w:val="00BD115B"/>
    <w:rsid w:val="00BD122F"/>
    <w:rsid w:val="00BD1637"/>
    <w:rsid w:val="00BD17C7"/>
    <w:rsid w:val="00BD18AD"/>
    <w:rsid w:val="00BD1A47"/>
    <w:rsid w:val="00BD1A59"/>
    <w:rsid w:val="00BD1B5A"/>
    <w:rsid w:val="00BD1C57"/>
    <w:rsid w:val="00BD1D3D"/>
    <w:rsid w:val="00BD1F54"/>
    <w:rsid w:val="00BD20D8"/>
    <w:rsid w:val="00BD221E"/>
    <w:rsid w:val="00BD232C"/>
    <w:rsid w:val="00BD23B8"/>
    <w:rsid w:val="00BD2711"/>
    <w:rsid w:val="00BD273D"/>
    <w:rsid w:val="00BD275A"/>
    <w:rsid w:val="00BD275E"/>
    <w:rsid w:val="00BD27C2"/>
    <w:rsid w:val="00BD2895"/>
    <w:rsid w:val="00BD2B6F"/>
    <w:rsid w:val="00BD2C02"/>
    <w:rsid w:val="00BD2D28"/>
    <w:rsid w:val="00BD2DBD"/>
    <w:rsid w:val="00BD2E47"/>
    <w:rsid w:val="00BD2E50"/>
    <w:rsid w:val="00BD2E87"/>
    <w:rsid w:val="00BD310A"/>
    <w:rsid w:val="00BD325B"/>
    <w:rsid w:val="00BD340D"/>
    <w:rsid w:val="00BD3454"/>
    <w:rsid w:val="00BD35D7"/>
    <w:rsid w:val="00BD3766"/>
    <w:rsid w:val="00BD37AD"/>
    <w:rsid w:val="00BD3857"/>
    <w:rsid w:val="00BD397B"/>
    <w:rsid w:val="00BD3CDD"/>
    <w:rsid w:val="00BD3D36"/>
    <w:rsid w:val="00BD3D56"/>
    <w:rsid w:val="00BD41B9"/>
    <w:rsid w:val="00BD434B"/>
    <w:rsid w:val="00BD47E3"/>
    <w:rsid w:val="00BD490B"/>
    <w:rsid w:val="00BD4957"/>
    <w:rsid w:val="00BD49B5"/>
    <w:rsid w:val="00BD4D6D"/>
    <w:rsid w:val="00BD4EAF"/>
    <w:rsid w:val="00BD5377"/>
    <w:rsid w:val="00BD5493"/>
    <w:rsid w:val="00BD555D"/>
    <w:rsid w:val="00BD5571"/>
    <w:rsid w:val="00BD5650"/>
    <w:rsid w:val="00BD578C"/>
    <w:rsid w:val="00BD58E6"/>
    <w:rsid w:val="00BD5991"/>
    <w:rsid w:val="00BD5A44"/>
    <w:rsid w:val="00BD5ACC"/>
    <w:rsid w:val="00BD5B85"/>
    <w:rsid w:val="00BD5C13"/>
    <w:rsid w:val="00BD5E8C"/>
    <w:rsid w:val="00BD5E93"/>
    <w:rsid w:val="00BD5FA6"/>
    <w:rsid w:val="00BD601B"/>
    <w:rsid w:val="00BD6086"/>
    <w:rsid w:val="00BD60F9"/>
    <w:rsid w:val="00BD6224"/>
    <w:rsid w:val="00BD62EF"/>
    <w:rsid w:val="00BD62F7"/>
    <w:rsid w:val="00BD637E"/>
    <w:rsid w:val="00BD6491"/>
    <w:rsid w:val="00BD685E"/>
    <w:rsid w:val="00BD69C6"/>
    <w:rsid w:val="00BD6A08"/>
    <w:rsid w:val="00BD6A71"/>
    <w:rsid w:val="00BD6B94"/>
    <w:rsid w:val="00BD6C58"/>
    <w:rsid w:val="00BD6CE4"/>
    <w:rsid w:val="00BD6FE3"/>
    <w:rsid w:val="00BD70C4"/>
    <w:rsid w:val="00BD71ED"/>
    <w:rsid w:val="00BD7236"/>
    <w:rsid w:val="00BD73A7"/>
    <w:rsid w:val="00BD7554"/>
    <w:rsid w:val="00BD76C8"/>
    <w:rsid w:val="00BD77F2"/>
    <w:rsid w:val="00BD78CC"/>
    <w:rsid w:val="00BD7CB8"/>
    <w:rsid w:val="00BD7FD2"/>
    <w:rsid w:val="00BE0044"/>
    <w:rsid w:val="00BE00C6"/>
    <w:rsid w:val="00BE04D7"/>
    <w:rsid w:val="00BE053C"/>
    <w:rsid w:val="00BE05D9"/>
    <w:rsid w:val="00BE064D"/>
    <w:rsid w:val="00BE06B3"/>
    <w:rsid w:val="00BE07BE"/>
    <w:rsid w:val="00BE07C0"/>
    <w:rsid w:val="00BE0876"/>
    <w:rsid w:val="00BE095A"/>
    <w:rsid w:val="00BE0A29"/>
    <w:rsid w:val="00BE0A6D"/>
    <w:rsid w:val="00BE0D89"/>
    <w:rsid w:val="00BE0D96"/>
    <w:rsid w:val="00BE0E86"/>
    <w:rsid w:val="00BE0E8B"/>
    <w:rsid w:val="00BE0ED4"/>
    <w:rsid w:val="00BE0F08"/>
    <w:rsid w:val="00BE0FAC"/>
    <w:rsid w:val="00BE123B"/>
    <w:rsid w:val="00BE124F"/>
    <w:rsid w:val="00BE1276"/>
    <w:rsid w:val="00BE12EF"/>
    <w:rsid w:val="00BE132D"/>
    <w:rsid w:val="00BE1381"/>
    <w:rsid w:val="00BE141D"/>
    <w:rsid w:val="00BE14A0"/>
    <w:rsid w:val="00BE154F"/>
    <w:rsid w:val="00BE17B9"/>
    <w:rsid w:val="00BE1884"/>
    <w:rsid w:val="00BE1942"/>
    <w:rsid w:val="00BE1AF3"/>
    <w:rsid w:val="00BE1B90"/>
    <w:rsid w:val="00BE211B"/>
    <w:rsid w:val="00BE245D"/>
    <w:rsid w:val="00BE271B"/>
    <w:rsid w:val="00BE278F"/>
    <w:rsid w:val="00BE27FA"/>
    <w:rsid w:val="00BE28E9"/>
    <w:rsid w:val="00BE2B2E"/>
    <w:rsid w:val="00BE2D62"/>
    <w:rsid w:val="00BE2D7A"/>
    <w:rsid w:val="00BE2D85"/>
    <w:rsid w:val="00BE2DD2"/>
    <w:rsid w:val="00BE2DEE"/>
    <w:rsid w:val="00BE2E36"/>
    <w:rsid w:val="00BE30B2"/>
    <w:rsid w:val="00BE3178"/>
    <w:rsid w:val="00BE31B2"/>
    <w:rsid w:val="00BE320F"/>
    <w:rsid w:val="00BE3273"/>
    <w:rsid w:val="00BE33EA"/>
    <w:rsid w:val="00BE3453"/>
    <w:rsid w:val="00BE3476"/>
    <w:rsid w:val="00BE35A3"/>
    <w:rsid w:val="00BE3719"/>
    <w:rsid w:val="00BE375A"/>
    <w:rsid w:val="00BE377F"/>
    <w:rsid w:val="00BE37C8"/>
    <w:rsid w:val="00BE3832"/>
    <w:rsid w:val="00BE38DD"/>
    <w:rsid w:val="00BE38E2"/>
    <w:rsid w:val="00BE3B7E"/>
    <w:rsid w:val="00BE3D25"/>
    <w:rsid w:val="00BE3E6A"/>
    <w:rsid w:val="00BE41C3"/>
    <w:rsid w:val="00BE4333"/>
    <w:rsid w:val="00BE4342"/>
    <w:rsid w:val="00BE4572"/>
    <w:rsid w:val="00BE4671"/>
    <w:rsid w:val="00BE47F2"/>
    <w:rsid w:val="00BE4816"/>
    <w:rsid w:val="00BE49A1"/>
    <w:rsid w:val="00BE4B12"/>
    <w:rsid w:val="00BE4C15"/>
    <w:rsid w:val="00BE4C9F"/>
    <w:rsid w:val="00BE4F47"/>
    <w:rsid w:val="00BE5007"/>
    <w:rsid w:val="00BE531C"/>
    <w:rsid w:val="00BE539F"/>
    <w:rsid w:val="00BE53F8"/>
    <w:rsid w:val="00BE576E"/>
    <w:rsid w:val="00BE5890"/>
    <w:rsid w:val="00BE590D"/>
    <w:rsid w:val="00BE5B4B"/>
    <w:rsid w:val="00BE5D2F"/>
    <w:rsid w:val="00BE5D77"/>
    <w:rsid w:val="00BE5ECB"/>
    <w:rsid w:val="00BE5F9B"/>
    <w:rsid w:val="00BE5FF2"/>
    <w:rsid w:val="00BE61A6"/>
    <w:rsid w:val="00BE62B9"/>
    <w:rsid w:val="00BE63A7"/>
    <w:rsid w:val="00BE640F"/>
    <w:rsid w:val="00BE64DF"/>
    <w:rsid w:val="00BE675F"/>
    <w:rsid w:val="00BE67C8"/>
    <w:rsid w:val="00BE693C"/>
    <w:rsid w:val="00BE697B"/>
    <w:rsid w:val="00BE6A48"/>
    <w:rsid w:val="00BE6CB1"/>
    <w:rsid w:val="00BE725B"/>
    <w:rsid w:val="00BE73F5"/>
    <w:rsid w:val="00BE7441"/>
    <w:rsid w:val="00BE7491"/>
    <w:rsid w:val="00BE7493"/>
    <w:rsid w:val="00BE74A1"/>
    <w:rsid w:val="00BE74D8"/>
    <w:rsid w:val="00BE7654"/>
    <w:rsid w:val="00BE76AD"/>
    <w:rsid w:val="00BE7A37"/>
    <w:rsid w:val="00BE7A4E"/>
    <w:rsid w:val="00BE7CCA"/>
    <w:rsid w:val="00BE7EC5"/>
    <w:rsid w:val="00BE7ED3"/>
    <w:rsid w:val="00BE7EFC"/>
    <w:rsid w:val="00BF00FA"/>
    <w:rsid w:val="00BF017B"/>
    <w:rsid w:val="00BF01AA"/>
    <w:rsid w:val="00BF025C"/>
    <w:rsid w:val="00BF0430"/>
    <w:rsid w:val="00BF04ED"/>
    <w:rsid w:val="00BF05F4"/>
    <w:rsid w:val="00BF0604"/>
    <w:rsid w:val="00BF0639"/>
    <w:rsid w:val="00BF06D4"/>
    <w:rsid w:val="00BF070E"/>
    <w:rsid w:val="00BF09EF"/>
    <w:rsid w:val="00BF0C4A"/>
    <w:rsid w:val="00BF0D1C"/>
    <w:rsid w:val="00BF0F0B"/>
    <w:rsid w:val="00BF0F11"/>
    <w:rsid w:val="00BF0F44"/>
    <w:rsid w:val="00BF1084"/>
    <w:rsid w:val="00BF1154"/>
    <w:rsid w:val="00BF129A"/>
    <w:rsid w:val="00BF13DD"/>
    <w:rsid w:val="00BF141A"/>
    <w:rsid w:val="00BF1473"/>
    <w:rsid w:val="00BF155F"/>
    <w:rsid w:val="00BF1678"/>
    <w:rsid w:val="00BF1A08"/>
    <w:rsid w:val="00BF1C46"/>
    <w:rsid w:val="00BF1C51"/>
    <w:rsid w:val="00BF1C87"/>
    <w:rsid w:val="00BF1D38"/>
    <w:rsid w:val="00BF1E9B"/>
    <w:rsid w:val="00BF1FBD"/>
    <w:rsid w:val="00BF207C"/>
    <w:rsid w:val="00BF225F"/>
    <w:rsid w:val="00BF2261"/>
    <w:rsid w:val="00BF2273"/>
    <w:rsid w:val="00BF248D"/>
    <w:rsid w:val="00BF24E6"/>
    <w:rsid w:val="00BF263A"/>
    <w:rsid w:val="00BF2651"/>
    <w:rsid w:val="00BF28E1"/>
    <w:rsid w:val="00BF29D1"/>
    <w:rsid w:val="00BF2CCA"/>
    <w:rsid w:val="00BF2CD0"/>
    <w:rsid w:val="00BF2E2A"/>
    <w:rsid w:val="00BF2E3A"/>
    <w:rsid w:val="00BF2EC0"/>
    <w:rsid w:val="00BF2FA0"/>
    <w:rsid w:val="00BF3111"/>
    <w:rsid w:val="00BF322C"/>
    <w:rsid w:val="00BF352D"/>
    <w:rsid w:val="00BF3942"/>
    <w:rsid w:val="00BF39B1"/>
    <w:rsid w:val="00BF3B2B"/>
    <w:rsid w:val="00BF3C65"/>
    <w:rsid w:val="00BF3E2B"/>
    <w:rsid w:val="00BF42D6"/>
    <w:rsid w:val="00BF443B"/>
    <w:rsid w:val="00BF4482"/>
    <w:rsid w:val="00BF453C"/>
    <w:rsid w:val="00BF4586"/>
    <w:rsid w:val="00BF45AD"/>
    <w:rsid w:val="00BF4902"/>
    <w:rsid w:val="00BF490F"/>
    <w:rsid w:val="00BF49D2"/>
    <w:rsid w:val="00BF4A2D"/>
    <w:rsid w:val="00BF4A86"/>
    <w:rsid w:val="00BF4ADD"/>
    <w:rsid w:val="00BF4B67"/>
    <w:rsid w:val="00BF4BC1"/>
    <w:rsid w:val="00BF4D16"/>
    <w:rsid w:val="00BF4F16"/>
    <w:rsid w:val="00BF4F58"/>
    <w:rsid w:val="00BF50A9"/>
    <w:rsid w:val="00BF512E"/>
    <w:rsid w:val="00BF51FB"/>
    <w:rsid w:val="00BF5216"/>
    <w:rsid w:val="00BF5719"/>
    <w:rsid w:val="00BF57F2"/>
    <w:rsid w:val="00BF58B5"/>
    <w:rsid w:val="00BF5913"/>
    <w:rsid w:val="00BF595E"/>
    <w:rsid w:val="00BF5AC7"/>
    <w:rsid w:val="00BF5D03"/>
    <w:rsid w:val="00BF5D8A"/>
    <w:rsid w:val="00BF5F8A"/>
    <w:rsid w:val="00BF6050"/>
    <w:rsid w:val="00BF606F"/>
    <w:rsid w:val="00BF611B"/>
    <w:rsid w:val="00BF61AD"/>
    <w:rsid w:val="00BF61E0"/>
    <w:rsid w:val="00BF621C"/>
    <w:rsid w:val="00BF63A6"/>
    <w:rsid w:val="00BF644D"/>
    <w:rsid w:val="00BF6464"/>
    <w:rsid w:val="00BF646F"/>
    <w:rsid w:val="00BF655D"/>
    <w:rsid w:val="00BF66AB"/>
    <w:rsid w:val="00BF671D"/>
    <w:rsid w:val="00BF679D"/>
    <w:rsid w:val="00BF67EE"/>
    <w:rsid w:val="00BF6845"/>
    <w:rsid w:val="00BF6861"/>
    <w:rsid w:val="00BF68C2"/>
    <w:rsid w:val="00BF69C2"/>
    <w:rsid w:val="00BF6A43"/>
    <w:rsid w:val="00BF6A61"/>
    <w:rsid w:val="00BF6DD9"/>
    <w:rsid w:val="00BF6F45"/>
    <w:rsid w:val="00BF7010"/>
    <w:rsid w:val="00BF7207"/>
    <w:rsid w:val="00BF7304"/>
    <w:rsid w:val="00BF742A"/>
    <w:rsid w:val="00BF76A3"/>
    <w:rsid w:val="00BF7752"/>
    <w:rsid w:val="00BF77B6"/>
    <w:rsid w:val="00BF79A2"/>
    <w:rsid w:val="00BF7A76"/>
    <w:rsid w:val="00BF7B03"/>
    <w:rsid w:val="00BF7B32"/>
    <w:rsid w:val="00C00263"/>
    <w:rsid w:val="00C00408"/>
    <w:rsid w:val="00C00475"/>
    <w:rsid w:val="00C00859"/>
    <w:rsid w:val="00C00876"/>
    <w:rsid w:val="00C008AD"/>
    <w:rsid w:val="00C009F6"/>
    <w:rsid w:val="00C00A96"/>
    <w:rsid w:val="00C00B21"/>
    <w:rsid w:val="00C00DC3"/>
    <w:rsid w:val="00C010CF"/>
    <w:rsid w:val="00C0124F"/>
    <w:rsid w:val="00C012CB"/>
    <w:rsid w:val="00C01347"/>
    <w:rsid w:val="00C01494"/>
    <w:rsid w:val="00C014E7"/>
    <w:rsid w:val="00C0153D"/>
    <w:rsid w:val="00C015E5"/>
    <w:rsid w:val="00C0164C"/>
    <w:rsid w:val="00C017AE"/>
    <w:rsid w:val="00C01AC3"/>
    <w:rsid w:val="00C01CD1"/>
    <w:rsid w:val="00C01D24"/>
    <w:rsid w:val="00C01D54"/>
    <w:rsid w:val="00C01DD2"/>
    <w:rsid w:val="00C01F98"/>
    <w:rsid w:val="00C021D6"/>
    <w:rsid w:val="00C02221"/>
    <w:rsid w:val="00C022C3"/>
    <w:rsid w:val="00C0241E"/>
    <w:rsid w:val="00C0243E"/>
    <w:rsid w:val="00C024EA"/>
    <w:rsid w:val="00C025BF"/>
    <w:rsid w:val="00C025EE"/>
    <w:rsid w:val="00C026F0"/>
    <w:rsid w:val="00C02814"/>
    <w:rsid w:val="00C02B69"/>
    <w:rsid w:val="00C02C70"/>
    <w:rsid w:val="00C02FE8"/>
    <w:rsid w:val="00C03105"/>
    <w:rsid w:val="00C0316A"/>
    <w:rsid w:val="00C03274"/>
    <w:rsid w:val="00C03489"/>
    <w:rsid w:val="00C03908"/>
    <w:rsid w:val="00C03AD1"/>
    <w:rsid w:val="00C03D95"/>
    <w:rsid w:val="00C041D4"/>
    <w:rsid w:val="00C041DA"/>
    <w:rsid w:val="00C041FD"/>
    <w:rsid w:val="00C04245"/>
    <w:rsid w:val="00C042D2"/>
    <w:rsid w:val="00C0458C"/>
    <w:rsid w:val="00C04933"/>
    <w:rsid w:val="00C04C28"/>
    <w:rsid w:val="00C04C8D"/>
    <w:rsid w:val="00C04CEF"/>
    <w:rsid w:val="00C04D93"/>
    <w:rsid w:val="00C04F9D"/>
    <w:rsid w:val="00C04FBA"/>
    <w:rsid w:val="00C05227"/>
    <w:rsid w:val="00C05340"/>
    <w:rsid w:val="00C0552A"/>
    <w:rsid w:val="00C05562"/>
    <w:rsid w:val="00C05749"/>
    <w:rsid w:val="00C05979"/>
    <w:rsid w:val="00C059F3"/>
    <w:rsid w:val="00C05A14"/>
    <w:rsid w:val="00C05ACE"/>
    <w:rsid w:val="00C05B63"/>
    <w:rsid w:val="00C05C95"/>
    <w:rsid w:val="00C05E37"/>
    <w:rsid w:val="00C05FEB"/>
    <w:rsid w:val="00C06393"/>
    <w:rsid w:val="00C06507"/>
    <w:rsid w:val="00C0662A"/>
    <w:rsid w:val="00C06782"/>
    <w:rsid w:val="00C06B37"/>
    <w:rsid w:val="00C06BA1"/>
    <w:rsid w:val="00C06DE0"/>
    <w:rsid w:val="00C06E63"/>
    <w:rsid w:val="00C06F95"/>
    <w:rsid w:val="00C0701B"/>
    <w:rsid w:val="00C0719C"/>
    <w:rsid w:val="00C07206"/>
    <w:rsid w:val="00C0721D"/>
    <w:rsid w:val="00C07348"/>
    <w:rsid w:val="00C07352"/>
    <w:rsid w:val="00C07423"/>
    <w:rsid w:val="00C074C2"/>
    <w:rsid w:val="00C07592"/>
    <w:rsid w:val="00C078DE"/>
    <w:rsid w:val="00C079B8"/>
    <w:rsid w:val="00C07C5B"/>
    <w:rsid w:val="00C07CAB"/>
    <w:rsid w:val="00C07D0F"/>
    <w:rsid w:val="00C07E5B"/>
    <w:rsid w:val="00C07F72"/>
    <w:rsid w:val="00C07F88"/>
    <w:rsid w:val="00C10398"/>
    <w:rsid w:val="00C103A7"/>
    <w:rsid w:val="00C1052D"/>
    <w:rsid w:val="00C10532"/>
    <w:rsid w:val="00C105EB"/>
    <w:rsid w:val="00C10687"/>
    <w:rsid w:val="00C10941"/>
    <w:rsid w:val="00C1096E"/>
    <w:rsid w:val="00C109FB"/>
    <w:rsid w:val="00C10AFF"/>
    <w:rsid w:val="00C10B6D"/>
    <w:rsid w:val="00C1112B"/>
    <w:rsid w:val="00C1115F"/>
    <w:rsid w:val="00C1123A"/>
    <w:rsid w:val="00C112B0"/>
    <w:rsid w:val="00C11731"/>
    <w:rsid w:val="00C1178B"/>
    <w:rsid w:val="00C11794"/>
    <w:rsid w:val="00C117AA"/>
    <w:rsid w:val="00C117DF"/>
    <w:rsid w:val="00C11956"/>
    <w:rsid w:val="00C1196C"/>
    <w:rsid w:val="00C11A38"/>
    <w:rsid w:val="00C11B40"/>
    <w:rsid w:val="00C11B97"/>
    <w:rsid w:val="00C11BFC"/>
    <w:rsid w:val="00C11CBC"/>
    <w:rsid w:val="00C11CE8"/>
    <w:rsid w:val="00C11E41"/>
    <w:rsid w:val="00C11E55"/>
    <w:rsid w:val="00C11E6F"/>
    <w:rsid w:val="00C11F67"/>
    <w:rsid w:val="00C1202D"/>
    <w:rsid w:val="00C12089"/>
    <w:rsid w:val="00C120F0"/>
    <w:rsid w:val="00C121EF"/>
    <w:rsid w:val="00C12229"/>
    <w:rsid w:val="00C122A0"/>
    <w:rsid w:val="00C123A2"/>
    <w:rsid w:val="00C12480"/>
    <w:rsid w:val="00C12553"/>
    <w:rsid w:val="00C12601"/>
    <w:rsid w:val="00C1271A"/>
    <w:rsid w:val="00C1276A"/>
    <w:rsid w:val="00C12830"/>
    <w:rsid w:val="00C12B04"/>
    <w:rsid w:val="00C12BEC"/>
    <w:rsid w:val="00C12C1E"/>
    <w:rsid w:val="00C12CB8"/>
    <w:rsid w:val="00C12E13"/>
    <w:rsid w:val="00C12E1F"/>
    <w:rsid w:val="00C1300F"/>
    <w:rsid w:val="00C1324C"/>
    <w:rsid w:val="00C133A6"/>
    <w:rsid w:val="00C133AF"/>
    <w:rsid w:val="00C1346B"/>
    <w:rsid w:val="00C1363C"/>
    <w:rsid w:val="00C136B1"/>
    <w:rsid w:val="00C1384B"/>
    <w:rsid w:val="00C138F0"/>
    <w:rsid w:val="00C1393D"/>
    <w:rsid w:val="00C13A6B"/>
    <w:rsid w:val="00C140F4"/>
    <w:rsid w:val="00C14148"/>
    <w:rsid w:val="00C14292"/>
    <w:rsid w:val="00C142D8"/>
    <w:rsid w:val="00C1455E"/>
    <w:rsid w:val="00C1469B"/>
    <w:rsid w:val="00C14769"/>
    <w:rsid w:val="00C1492A"/>
    <w:rsid w:val="00C14AB6"/>
    <w:rsid w:val="00C14ACC"/>
    <w:rsid w:val="00C14C83"/>
    <w:rsid w:val="00C14D11"/>
    <w:rsid w:val="00C14F36"/>
    <w:rsid w:val="00C14F9E"/>
    <w:rsid w:val="00C151E4"/>
    <w:rsid w:val="00C151F0"/>
    <w:rsid w:val="00C152D8"/>
    <w:rsid w:val="00C1558B"/>
    <w:rsid w:val="00C155A2"/>
    <w:rsid w:val="00C157D8"/>
    <w:rsid w:val="00C15869"/>
    <w:rsid w:val="00C15A59"/>
    <w:rsid w:val="00C15B88"/>
    <w:rsid w:val="00C15BDD"/>
    <w:rsid w:val="00C15CC1"/>
    <w:rsid w:val="00C15F03"/>
    <w:rsid w:val="00C15F90"/>
    <w:rsid w:val="00C15FAC"/>
    <w:rsid w:val="00C16255"/>
    <w:rsid w:val="00C16308"/>
    <w:rsid w:val="00C163CB"/>
    <w:rsid w:val="00C164D8"/>
    <w:rsid w:val="00C16643"/>
    <w:rsid w:val="00C167FE"/>
    <w:rsid w:val="00C1699E"/>
    <w:rsid w:val="00C16C31"/>
    <w:rsid w:val="00C16D86"/>
    <w:rsid w:val="00C16EC4"/>
    <w:rsid w:val="00C16EEA"/>
    <w:rsid w:val="00C16FD3"/>
    <w:rsid w:val="00C1705B"/>
    <w:rsid w:val="00C17B08"/>
    <w:rsid w:val="00C17B85"/>
    <w:rsid w:val="00C17BDA"/>
    <w:rsid w:val="00C17CA8"/>
    <w:rsid w:val="00C17CDE"/>
    <w:rsid w:val="00C17CE2"/>
    <w:rsid w:val="00C17DFF"/>
    <w:rsid w:val="00C17FC3"/>
    <w:rsid w:val="00C17FDF"/>
    <w:rsid w:val="00C204B4"/>
    <w:rsid w:val="00C206B6"/>
    <w:rsid w:val="00C206D6"/>
    <w:rsid w:val="00C208BA"/>
    <w:rsid w:val="00C208BD"/>
    <w:rsid w:val="00C209CA"/>
    <w:rsid w:val="00C20A7D"/>
    <w:rsid w:val="00C20AC6"/>
    <w:rsid w:val="00C20C93"/>
    <w:rsid w:val="00C2111B"/>
    <w:rsid w:val="00C2113B"/>
    <w:rsid w:val="00C21221"/>
    <w:rsid w:val="00C2122A"/>
    <w:rsid w:val="00C212C3"/>
    <w:rsid w:val="00C214EC"/>
    <w:rsid w:val="00C216C6"/>
    <w:rsid w:val="00C219D5"/>
    <w:rsid w:val="00C21A52"/>
    <w:rsid w:val="00C21AB4"/>
    <w:rsid w:val="00C21B6B"/>
    <w:rsid w:val="00C21BFE"/>
    <w:rsid w:val="00C21CDB"/>
    <w:rsid w:val="00C21E15"/>
    <w:rsid w:val="00C21F03"/>
    <w:rsid w:val="00C22168"/>
    <w:rsid w:val="00C222ED"/>
    <w:rsid w:val="00C2239C"/>
    <w:rsid w:val="00C22AEC"/>
    <w:rsid w:val="00C22D9F"/>
    <w:rsid w:val="00C22F97"/>
    <w:rsid w:val="00C231C5"/>
    <w:rsid w:val="00C23354"/>
    <w:rsid w:val="00C235EA"/>
    <w:rsid w:val="00C23601"/>
    <w:rsid w:val="00C236A0"/>
    <w:rsid w:val="00C237B2"/>
    <w:rsid w:val="00C2380A"/>
    <w:rsid w:val="00C2396B"/>
    <w:rsid w:val="00C2399F"/>
    <w:rsid w:val="00C23E69"/>
    <w:rsid w:val="00C2405B"/>
    <w:rsid w:val="00C240E8"/>
    <w:rsid w:val="00C24229"/>
    <w:rsid w:val="00C2431F"/>
    <w:rsid w:val="00C243D4"/>
    <w:rsid w:val="00C24573"/>
    <w:rsid w:val="00C2460D"/>
    <w:rsid w:val="00C2466A"/>
    <w:rsid w:val="00C2476A"/>
    <w:rsid w:val="00C2484A"/>
    <w:rsid w:val="00C24936"/>
    <w:rsid w:val="00C2495D"/>
    <w:rsid w:val="00C249AE"/>
    <w:rsid w:val="00C24A56"/>
    <w:rsid w:val="00C24CB9"/>
    <w:rsid w:val="00C252D3"/>
    <w:rsid w:val="00C25310"/>
    <w:rsid w:val="00C2532D"/>
    <w:rsid w:val="00C2544D"/>
    <w:rsid w:val="00C25681"/>
    <w:rsid w:val="00C257C7"/>
    <w:rsid w:val="00C257D1"/>
    <w:rsid w:val="00C259D5"/>
    <w:rsid w:val="00C259DF"/>
    <w:rsid w:val="00C25A09"/>
    <w:rsid w:val="00C25AD0"/>
    <w:rsid w:val="00C25AD2"/>
    <w:rsid w:val="00C25CED"/>
    <w:rsid w:val="00C25CF2"/>
    <w:rsid w:val="00C261FF"/>
    <w:rsid w:val="00C26225"/>
    <w:rsid w:val="00C262C9"/>
    <w:rsid w:val="00C262CB"/>
    <w:rsid w:val="00C2651B"/>
    <w:rsid w:val="00C26649"/>
    <w:rsid w:val="00C267A6"/>
    <w:rsid w:val="00C267C5"/>
    <w:rsid w:val="00C268C2"/>
    <w:rsid w:val="00C2690F"/>
    <w:rsid w:val="00C26ADD"/>
    <w:rsid w:val="00C26B9E"/>
    <w:rsid w:val="00C26C9E"/>
    <w:rsid w:val="00C26CD6"/>
    <w:rsid w:val="00C27365"/>
    <w:rsid w:val="00C27436"/>
    <w:rsid w:val="00C274C4"/>
    <w:rsid w:val="00C27736"/>
    <w:rsid w:val="00C27766"/>
    <w:rsid w:val="00C277E9"/>
    <w:rsid w:val="00C277EA"/>
    <w:rsid w:val="00C27C46"/>
    <w:rsid w:val="00C27D02"/>
    <w:rsid w:val="00C27D23"/>
    <w:rsid w:val="00C27E59"/>
    <w:rsid w:val="00C30069"/>
    <w:rsid w:val="00C300F4"/>
    <w:rsid w:val="00C30297"/>
    <w:rsid w:val="00C303B1"/>
    <w:rsid w:val="00C30471"/>
    <w:rsid w:val="00C304D5"/>
    <w:rsid w:val="00C3068D"/>
    <w:rsid w:val="00C3070E"/>
    <w:rsid w:val="00C308D6"/>
    <w:rsid w:val="00C30AEB"/>
    <w:rsid w:val="00C30CBA"/>
    <w:rsid w:val="00C30D96"/>
    <w:rsid w:val="00C30E10"/>
    <w:rsid w:val="00C30E3C"/>
    <w:rsid w:val="00C311CA"/>
    <w:rsid w:val="00C31277"/>
    <w:rsid w:val="00C313FE"/>
    <w:rsid w:val="00C3182B"/>
    <w:rsid w:val="00C31922"/>
    <w:rsid w:val="00C31947"/>
    <w:rsid w:val="00C319B3"/>
    <w:rsid w:val="00C31A35"/>
    <w:rsid w:val="00C31A3F"/>
    <w:rsid w:val="00C31A8F"/>
    <w:rsid w:val="00C31D1A"/>
    <w:rsid w:val="00C31E9F"/>
    <w:rsid w:val="00C321AA"/>
    <w:rsid w:val="00C323AD"/>
    <w:rsid w:val="00C32472"/>
    <w:rsid w:val="00C326F6"/>
    <w:rsid w:val="00C32A30"/>
    <w:rsid w:val="00C32AA3"/>
    <w:rsid w:val="00C32B3F"/>
    <w:rsid w:val="00C32BF8"/>
    <w:rsid w:val="00C32D08"/>
    <w:rsid w:val="00C32D35"/>
    <w:rsid w:val="00C32DCF"/>
    <w:rsid w:val="00C32E79"/>
    <w:rsid w:val="00C330BE"/>
    <w:rsid w:val="00C33123"/>
    <w:rsid w:val="00C33130"/>
    <w:rsid w:val="00C33181"/>
    <w:rsid w:val="00C33253"/>
    <w:rsid w:val="00C33527"/>
    <w:rsid w:val="00C335B5"/>
    <w:rsid w:val="00C33644"/>
    <w:rsid w:val="00C33887"/>
    <w:rsid w:val="00C3396D"/>
    <w:rsid w:val="00C33A46"/>
    <w:rsid w:val="00C33B33"/>
    <w:rsid w:val="00C33CBD"/>
    <w:rsid w:val="00C33D07"/>
    <w:rsid w:val="00C33E33"/>
    <w:rsid w:val="00C33FCD"/>
    <w:rsid w:val="00C33FFC"/>
    <w:rsid w:val="00C34186"/>
    <w:rsid w:val="00C34226"/>
    <w:rsid w:val="00C3435D"/>
    <w:rsid w:val="00C34363"/>
    <w:rsid w:val="00C343BE"/>
    <w:rsid w:val="00C3449C"/>
    <w:rsid w:val="00C345DD"/>
    <w:rsid w:val="00C34637"/>
    <w:rsid w:val="00C34646"/>
    <w:rsid w:val="00C3485B"/>
    <w:rsid w:val="00C349DE"/>
    <w:rsid w:val="00C34C27"/>
    <w:rsid w:val="00C34C49"/>
    <w:rsid w:val="00C34ECD"/>
    <w:rsid w:val="00C35060"/>
    <w:rsid w:val="00C351E3"/>
    <w:rsid w:val="00C3535E"/>
    <w:rsid w:val="00C3539F"/>
    <w:rsid w:val="00C3552C"/>
    <w:rsid w:val="00C35622"/>
    <w:rsid w:val="00C35817"/>
    <w:rsid w:val="00C3599D"/>
    <w:rsid w:val="00C35AF0"/>
    <w:rsid w:val="00C35AFC"/>
    <w:rsid w:val="00C35F85"/>
    <w:rsid w:val="00C3638C"/>
    <w:rsid w:val="00C364AC"/>
    <w:rsid w:val="00C3664C"/>
    <w:rsid w:val="00C3677D"/>
    <w:rsid w:val="00C367DB"/>
    <w:rsid w:val="00C36802"/>
    <w:rsid w:val="00C369D1"/>
    <w:rsid w:val="00C36A16"/>
    <w:rsid w:val="00C36B39"/>
    <w:rsid w:val="00C36B53"/>
    <w:rsid w:val="00C36D80"/>
    <w:rsid w:val="00C36E70"/>
    <w:rsid w:val="00C36EA0"/>
    <w:rsid w:val="00C36F0E"/>
    <w:rsid w:val="00C371A9"/>
    <w:rsid w:val="00C37237"/>
    <w:rsid w:val="00C3732D"/>
    <w:rsid w:val="00C37529"/>
    <w:rsid w:val="00C37538"/>
    <w:rsid w:val="00C37594"/>
    <w:rsid w:val="00C375DB"/>
    <w:rsid w:val="00C37AFB"/>
    <w:rsid w:val="00C37E33"/>
    <w:rsid w:val="00C37E99"/>
    <w:rsid w:val="00C37F12"/>
    <w:rsid w:val="00C4015F"/>
    <w:rsid w:val="00C40199"/>
    <w:rsid w:val="00C40255"/>
    <w:rsid w:val="00C40377"/>
    <w:rsid w:val="00C40587"/>
    <w:rsid w:val="00C40826"/>
    <w:rsid w:val="00C40885"/>
    <w:rsid w:val="00C40982"/>
    <w:rsid w:val="00C40B97"/>
    <w:rsid w:val="00C40C3A"/>
    <w:rsid w:val="00C40DA1"/>
    <w:rsid w:val="00C40EE2"/>
    <w:rsid w:val="00C41083"/>
    <w:rsid w:val="00C410AD"/>
    <w:rsid w:val="00C411E4"/>
    <w:rsid w:val="00C411FE"/>
    <w:rsid w:val="00C415BD"/>
    <w:rsid w:val="00C41629"/>
    <w:rsid w:val="00C4162F"/>
    <w:rsid w:val="00C41658"/>
    <w:rsid w:val="00C4171D"/>
    <w:rsid w:val="00C418E8"/>
    <w:rsid w:val="00C419B1"/>
    <w:rsid w:val="00C419EC"/>
    <w:rsid w:val="00C41BB4"/>
    <w:rsid w:val="00C41BB9"/>
    <w:rsid w:val="00C41EB5"/>
    <w:rsid w:val="00C41ED6"/>
    <w:rsid w:val="00C42216"/>
    <w:rsid w:val="00C424FE"/>
    <w:rsid w:val="00C42509"/>
    <w:rsid w:val="00C4253D"/>
    <w:rsid w:val="00C42721"/>
    <w:rsid w:val="00C4288F"/>
    <w:rsid w:val="00C428B0"/>
    <w:rsid w:val="00C428BD"/>
    <w:rsid w:val="00C428E5"/>
    <w:rsid w:val="00C42A2A"/>
    <w:rsid w:val="00C42A96"/>
    <w:rsid w:val="00C42B44"/>
    <w:rsid w:val="00C42D25"/>
    <w:rsid w:val="00C42E03"/>
    <w:rsid w:val="00C42FDA"/>
    <w:rsid w:val="00C430C9"/>
    <w:rsid w:val="00C4324E"/>
    <w:rsid w:val="00C432F3"/>
    <w:rsid w:val="00C43610"/>
    <w:rsid w:val="00C436F7"/>
    <w:rsid w:val="00C4375E"/>
    <w:rsid w:val="00C4395D"/>
    <w:rsid w:val="00C439DD"/>
    <w:rsid w:val="00C439F2"/>
    <w:rsid w:val="00C43AB5"/>
    <w:rsid w:val="00C43B16"/>
    <w:rsid w:val="00C43B2F"/>
    <w:rsid w:val="00C43B4C"/>
    <w:rsid w:val="00C43CEB"/>
    <w:rsid w:val="00C43DA4"/>
    <w:rsid w:val="00C43E85"/>
    <w:rsid w:val="00C43F82"/>
    <w:rsid w:val="00C441DA"/>
    <w:rsid w:val="00C4424D"/>
    <w:rsid w:val="00C44358"/>
    <w:rsid w:val="00C44369"/>
    <w:rsid w:val="00C443E5"/>
    <w:rsid w:val="00C444AE"/>
    <w:rsid w:val="00C4458C"/>
    <w:rsid w:val="00C4465C"/>
    <w:rsid w:val="00C446DF"/>
    <w:rsid w:val="00C446EC"/>
    <w:rsid w:val="00C44737"/>
    <w:rsid w:val="00C447A5"/>
    <w:rsid w:val="00C449AF"/>
    <w:rsid w:val="00C44AB3"/>
    <w:rsid w:val="00C44B4E"/>
    <w:rsid w:val="00C44BE1"/>
    <w:rsid w:val="00C44CFC"/>
    <w:rsid w:val="00C44D91"/>
    <w:rsid w:val="00C44DCC"/>
    <w:rsid w:val="00C44E24"/>
    <w:rsid w:val="00C44F46"/>
    <w:rsid w:val="00C45091"/>
    <w:rsid w:val="00C45109"/>
    <w:rsid w:val="00C45329"/>
    <w:rsid w:val="00C454CC"/>
    <w:rsid w:val="00C454CF"/>
    <w:rsid w:val="00C455B3"/>
    <w:rsid w:val="00C4572B"/>
    <w:rsid w:val="00C4580F"/>
    <w:rsid w:val="00C45810"/>
    <w:rsid w:val="00C4586D"/>
    <w:rsid w:val="00C45BA5"/>
    <w:rsid w:val="00C45BA8"/>
    <w:rsid w:val="00C45BE0"/>
    <w:rsid w:val="00C45CDD"/>
    <w:rsid w:val="00C45E17"/>
    <w:rsid w:val="00C45F41"/>
    <w:rsid w:val="00C45F82"/>
    <w:rsid w:val="00C4601D"/>
    <w:rsid w:val="00C4609F"/>
    <w:rsid w:val="00C46485"/>
    <w:rsid w:val="00C4665A"/>
    <w:rsid w:val="00C466EC"/>
    <w:rsid w:val="00C4691F"/>
    <w:rsid w:val="00C469AA"/>
    <w:rsid w:val="00C46AA8"/>
    <w:rsid w:val="00C46C1A"/>
    <w:rsid w:val="00C46CD1"/>
    <w:rsid w:val="00C46EA2"/>
    <w:rsid w:val="00C4708A"/>
    <w:rsid w:val="00C47334"/>
    <w:rsid w:val="00C473AF"/>
    <w:rsid w:val="00C47602"/>
    <w:rsid w:val="00C47C22"/>
    <w:rsid w:val="00C47E0B"/>
    <w:rsid w:val="00C47EAF"/>
    <w:rsid w:val="00C5003E"/>
    <w:rsid w:val="00C501EE"/>
    <w:rsid w:val="00C5046D"/>
    <w:rsid w:val="00C50562"/>
    <w:rsid w:val="00C50638"/>
    <w:rsid w:val="00C506B4"/>
    <w:rsid w:val="00C507C9"/>
    <w:rsid w:val="00C50825"/>
    <w:rsid w:val="00C50EA4"/>
    <w:rsid w:val="00C50F89"/>
    <w:rsid w:val="00C51035"/>
    <w:rsid w:val="00C5116B"/>
    <w:rsid w:val="00C51304"/>
    <w:rsid w:val="00C51697"/>
    <w:rsid w:val="00C518BB"/>
    <w:rsid w:val="00C51934"/>
    <w:rsid w:val="00C5198E"/>
    <w:rsid w:val="00C519F0"/>
    <w:rsid w:val="00C51A7C"/>
    <w:rsid w:val="00C51BEB"/>
    <w:rsid w:val="00C51C2B"/>
    <w:rsid w:val="00C51D72"/>
    <w:rsid w:val="00C51FC3"/>
    <w:rsid w:val="00C521F5"/>
    <w:rsid w:val="00C52517"/>
    <w:rsid w:val="00C5293B"/>
    <w:rsid w:val="00C52A3D"/>
    <w:rsid w:val="00C52B8E"/>
    <w:rsid w:val="00C52C47"/>
    <w:rsid w:val="00C52CD5"/>
    <w:rsid w:val="00C52F66"/>
    <w:rsid w:val="00C52FF9"/>
    <w:rsid w:val="00C5301B"/>
    <w:rsid w:val="00C5302C"/>
    <w:rsid w:val="00C53081"/>
    <w:rsid w:val="00C530B8"/>
    <w:rsid w:val="00C5316F"/>
    <w:rsid w:val="00C53182"/>
    <w:rsid w:val="00C532D0"/>
    <w:rsid w:val="00C533A4"/>
    <w:rsid w:val="00C53881"/>
    <w:rsid w:val="00C5397F"/>
    <w:rsid w:val="00C53C7F"/>
    <w:rsid w:val="00C53DDC"/>
    <w:rsid w:val="00C53F13"/>
    <w:rsid w:val="00C54104"/>
    <w:rsid w:val="00C541FA"/>
    <w:rsid w:val="00C5423C"/>
    <w:rsid w:val="00C5438D"/>
    <w:rsid w:val="00C545AE"/>
    <w:rsid w:val="00C546F8"/>
    <w:rsid w:val="00C547A1"/>
    <w:rsid w:val="00C547E6"/>
    <w:rsid w:val="00C54854"/>
    <w:rsid w:val="00C548B7"/>
    <w:rsid w:val="00C548B8"/>
    <w:rsid w:val="00C549EB"/>
    <w:rsid w:val="00C54C80"/>
    <w:rsid w:val="00C54E4E"/>
    <w:rsid w:val="00C54EC9"/>
    <w:rsid w:val="00C54EFF"/>
    <w:rsid w:val="00C54F9C"/>
    <w:rsid w:val="00C551F4"/>
    <w:rsid w:val="00C5524C"/>
    <w:rsid w:val="00C5526A"/>
    <w:rsid w:val="00C55293"/>
    <w:rsid w:val="00C554A4"/>
    <w:rsid w:val="00C555F0"/>
    <w:rsid w:val="00C55651"/>
    <w:rsid w:val="00C55675"/>
    <w:rsid w:val="00C55709"/>
    <w:rsid w:val="00C5589A"/>
    <w:rsid w:val="00C55A34"/>
    <w:rsid w:val="00C56045"/>
    <w:rsid w:val="00C56059"/>
    <w:rsid w:val="00C56303"/>
    <w:rsid w:val="00C56650"/>
    <w:rsid w:val="00C56671"/>
    <w:rsid w:val="00C567FF"/>
    <w:rsid w:val="00C569C8"/>
    <w:rsid w:val="00C569FB"/>
    <w:rsid w:val="00C56BC7"/>
    <w:rsid w:val="00C56CFC"/>
    <w:rsid w:val="00C56F21"/>
    <w:rsid w:val="00C56FFC"/>
    <w:rsid w:val="00C5727A"/>
    <w:rsid w:val="00C572AE"/>
    <w:rsid w:val="00C573CA"/>
    <w:rsid w:val="00C5763A"/>
    <w:rsid w:val="00C57735"/>
    <w:rsid w:val="00C5784C"/>
    <w:rsid w:val="00C578A3"/>
    <w:rsid w:val="00C578A6"/>
    <w:rsid w:val="00C57920"/>
    <w:rsid w:val="00C579DB"/>
    <w:rsid w:val="00C57B0A"/>
    <w:rsid w:val="00C57C07"/>
    <w:rsid w:val="00C57D43"/>
    <w:rsid w:val="00C57D7D"/>
    <w:rsid w:val="00C57FD2"/>
    <w:rsid w:val="00C60146"/>
    <w:rsid w:val="00C607E8"/>
    <w:rsid w:val="00C60817"/>
    <w:rsid w:val="00C608CD"/>
    <w:rsid w:val="00C609CE"/>
    <w:rsid w:val="00C60AA5"/>
    <w:rsid w:val="00C60D01"/>
    <w:rsid w:val="00C60EDA"/>
    <w:rsid w:val="00C611C9"/>
    <w:rsid w:val="00C611ED"/>
    <w:rsid w:val="00C6127E"/>
    <w:rsid w:val="00C61379"/>
    <w:rsid w:val="00C61383"/>
    <w:rsid w:val="00C614C6"/>
    <w:rsid w:val="00C6151D"/>
    <w:rsid w:val="00C61715"/>
    <w:rsid w:val="00C6178C"/>
    <w:rsid w:val="00C61808"/>
    <w:rsid w:val="00C61860"/>
    <w:rsid w:val="00C61980"/>
    <w:rsid w:val="00C61A32"/>
    <w:rsid w:val="00C61B8D"/>
    <w:rsid w:val="00C61BAC"/>
    <w:rsid w:val="00C61C82"/>
    <w:rsid w:val="00C61C93"/>
    <w:rsid w:val="00C61F67"/>
    <w:rsid w:val="00C6205D"/>
    <w:rsid w:val="00C622AD"/>
    <w:rsid w:val="00C622EC"/>
    <w:rsid w:val="00C62303"/>
    <w:rsid w:val="00C625DB"/>
    <w:rsid w:val="00C6260B"/>
    <w:rsid w:val="00C62637"/>
    <w:rsid w:val="00C626AA"/>
    <w:rsid w:val="00C626FE"/>
    <w:rsid w:val="00C629F9"/>
    <w:rsid w:val="00C62A20"/>
    <w:rsid w:val="00C62E9C"/>
    <w:rsid w:val="00C6319A"/>
    <w:rsid w:val="00C63322"/>
    <w:rsid w:val="00C63456"/>
    <w:rsid w:val="00C63458"/>
    <w:rsid w:val="00C636B7"/>
    <w:rsid w:val="00C6372B"/>
    <w:rsid w:val="00C638C8"/>
    <w:rsid w:val="00C63969"/>
    <w:rsid w:val="00C639EA"/>
    <w:rsid w:val="00C639FB"/>
    <w:rsid w:val="00C63B9A"/>
    <w:rsid w:val="00C63CB3"/>
    <w:rsid w:val="00C63DCD"/>
    <w:rsid w:val="00C63DEA"/>
    <w:rsid w:val="00C63EC7"/>
    <w:rsid w:val="00C6408F"/>
    <w:rsid w:val="00C64429"/>
    <w:rsid w:val="00C6451D"/>
    <w:rsid w:val="00C64566"/>
    <w:rsid w:val="00C645BE"/>
    <w:rsid w:val="00C6489C"/>
    <w:rsid w:val="00C64A09"/>
    <w:rsid w:val="00C64BFF"/>
    <w:rsid w:val="00C64C30"/>
    <w:rsid w:val="00C64C60"/>
    <w:rsid w:val="00C64F5B"/>
    <w:rsid w:val="00C64F80"/>
    <w:rsid w:val="00C6512B"/>
    <w:rsid w:val="00C6519F"/>
    <w:rsid w:val="00C651EF"/>
    <w:rsid w:val="00C65223"/>
    <w:rsid w:val="00C65243"/>
    <w:rsid w:val="00C65284"/>
    <w:rsid w:val="00C6529A"/>
    <w:rsid w:val="00C653C1"/>
    <w:rsid w:val="00C65631"/>
    <w:rsid w:val="00C65667"/>
    <w:rsid w:val="00C65721"/>
    <w:rsid w:val="00C65778"/>
    <w:rsid w:val="00C65858"/>
    <w:rsid w:val="00C6594D"/>
    <w:rsid w:val="00C65A4B"/>
    <w:rsid w:val="00C65C60"/>
    <w:rsid w:val="00C65CCC"/>
    <w:rsid w:val="00C65CF5"/>
    <w:rsid w:val="00C65E0F"/>
    <w:rsid w:val="00C65F86"/>
    <w:rsid w:val="00C661A7"/>
    <w:rsid w:val="00C663AB"/>
    <w:rsid w:val="00C663C7"/>
    <w:rsid w:val="00C664C1"/>
    <w:rsid w:val="00C66611"/>
    <w:rsid w:val="00C666F5"/>
    <w:rsid w:val="00C66714"/>
    <w:rsid w:val="00C66783"/>
    <w:rsid w:val="00C6684E"/>
    <w:rsid w:val="00C66A1B"/>
    <w:rsid w:val="00C66B09"/>
    <w:rsid w:val="00C6717E"/>
    <w:rsid w:val="00C671D0"/>
    <w:rsid w:val="00C67215"/>
    <w:rsid w:val="00C674B9"/>
    <w:rsid w:val="00C676AA"/>
    <w:rsid w:val="00C678B1"/>
    <w:rsid w:val="00C6791C"/>
    <w:rsid w:val="00C679D3"/>
    <w:rsid w:val="00C67A05"/>
    <w:rsid w:val="00C67AA2"/>
    <w:rsid w:val="00C67AC9"/>
    <w:rsid w:val="00C67C99"/>
    <w:rsid w:val="00C67C9B"/>
    <w:rsid w:val="00C67DA7"/>
    <w:rsid w:val="00C67F9E"/>
    <w:rsid w:val="00C7019B"/>
    <w:rsid w:val="00C7056B"/>
    <w:rsid w:val="00C70836"/>
    <w:rsid w:val="00C708F2"/>
    <w:rsid w:val="00C708FA"/>
    <w:rsid w:val="00C7096F"/>
    <w:rsid w:val="00C709E7"/>
    <w:rsid w:val="00C709F8"/>
    <w:rsid w:val="00C70A54"/>
    <w:rsid w:val="00C70B00"/>
    <w:rsid w:val="00C70C59"/>
    <w:rsid w:val="00C70CF2"/>
    <w:rsid w:val="00C70D53"/>
    <w:rsid w:val="00C70E29"/>
    <w:rsid w:val="00C710E9"/>
    <w:rsid w:val="00C71184"/>
    <w:rsid w:val="00C71247"/>
    <w:rsid w:val="00C712E2"/>
    <w:rsid w:val="00C71348"/>
    <w:rsid w:val="00C71353"/>
    <w:rsid w:val="00C71377"/>
    <w:rsid w:val="00C71531"/>
    <w:rsid w:val="00C715C1"/>
    <w:rsid w:val="00C7177A"/>
    <w:rsid w:val="00C71911"/>
    <w:rsid w:val="00C71A62"/>
    <w:rsid w:val="00C71A91"/>
    <w:rsid w:val="00C71B47"/>
    <w:rsid w:val="00C71B85"/>
    <w:rsid w:val="00C71D2B"/>
    <w:rsid w:val="00C71E2F"/>
    <w:rsid w:val="00C71E4F"/>
    <w:rsid w:val="00C72000"/>
    <w:rsid w:val="00C72102"/>
    <w:rsid w:val="00C72326"/>
    <w:rsid w:val="00C7236F"/>
    <w:rsid w:val="00C723C6"/>
    <w:rsid w:val="00C72455"/>
    <w:rsid w:val="00C72498"/>
    <w:rsid w:val="00C72503"/>
    <w:rsid w:val="00C7292A"/>
    <w:rsid w:val="00C72A74"/>
    <w:rsid w:val="00C72B42"/>
    <w:rsid w:val="00C72CAF"/>
    <w:rsid w:val="00C72D4F"/>
    <w:rsid w:val="00C72E93"/>
    <w:rsid w:val="00C72FBF"/>
    <w:rsid w:val="00C7308F"/>
    <w:rsid w:val="00C7314F"/>
    <w:rsid w:val="00C7355F"/>
    <w:rsid w:val="00C7372B"/>
    <w:rsid w:val="00C7388A"/>
    <w:rsid w:val="00C73F09"/>
    <w:rsid w:val="00C73FC0"/>
    <w:rsid w:val="00C740EB"/>
    <w:rsid w:val="00C74128"/>
    <w:rsid w:val="00C741C0"/>
    <w:rsid w:val="00C741CE"/>
    <w:rsid w:val="00C744CD"/>
    <w:rsid w:val="00C745D2"/>
    <w:rsid w:val="00C74951"/>
    <w:rsid w:val="00C74A61"/>
    <w:rsid w:val="00C751C6"/>
    <w:rsid w:val="00C75297"/>
    <w:rsid w:val="00C75550"/>
    <w:rsid w:val="00C75599"/>
    <w:rsid w:val="00C7565C"/>
    <w:rsid w:val="00C75707"/>
    <w:rsid w:val="00C75714"/>
    <w:rsid w:val="00C757E7"/>
    <w:rsid w:val="00C757F9"/>
    <w:rsid w:val="00C75926"/>
    <w:rsid w:val="00C75AF8"/>
    <w:rsid w:val="00C75DCD"/>
    <w:rsid w:val="00C75E37"/>
    <w:rsid w:val="00C76031"/>
    <w:rsid w:val="00C760AE"/>
    <w:rsid w:val="00C761BF"/>
    <w:rsid w:val="00C7629A"/>
    <w:rsid w:val="00C762FB"/>
    <w:rsid w:val="00C76510"/>
    <w:rsid w:val="00C766F0"/>
    <w:rsid w:val="00C76977"/>
    <w:rsid w:val="00C76C8E"/>
    <w:rsid w:val="00C76EE3"/>
    <w:rsid w:val="00C77190"/>
    <w:rsid w:val="00C77437"/>
    <w:rsid w:val="00C7758A"/>
    <w:rsid w:val="00C77658"/>
    <w:rsid w:val="00C7777D"/>
    <w:rsid w:val="00C778E8"/>
    <w:rsid w:val="00C77A5B"/>
    <w:rsid w:val="00C77B36"/>
    <w:rsid w:val="00C77B58"/>
    <w:rsid w:val="00C77B67"/>
    <w:rsid w:val="00C77CB7"/>
    <w:rsid w:val="00C77D4B"/>
    <w:rsid w:val="00C77D73"/>
    <w:rsid w:val="00C77DB0"/>
    <w:rsid w:val="00C77DEF"/>
    <w:rsid w:val="00C77E2D"/>
    <w:rsid w:val="00C8000F"/>
    <w:rsid w:val="00C80015"/>
    <w:rsid w:val="00C800C9"/>
    <w:rsid w:val="00C80246"/>
    <w:rsid w:val="00C803A2"/>
    <w:rsid w:val="00C804BE"/>
    <w:rsid w:val="00C804D7"/>
    <w:rsid w:val="00C806FF"/>
    <w:rsid w:val="00C80783"/>
    <w:rsid w:val="00C810DF"/>
    <w:rsid w:val="00C812FA"/>
    <w:rsid w:val="00C812FE"/>
    <w:rsid w:val="00C813C4"/>
    <w:rsid w:val="00C813DA"/>
    <w:rsid w:val="00C8144E"/>
    <w:rsid w:val="00C815A3"/>
    <w:rsid w:val="00C81712"/>
    <w:rsid w:val="00C8191A"/>
    <w:rsid w:val="00C81CC5"/>
    <w:rsid w:val="00C81F16"/>
    <w:rsid w:val="00C82110"/>
    <w:rsid w:val="00C82267"/>
    <w:rsid w:val="00C82283"/>
    <w:rsid w:val="00C82303"/>
    <w:rsid w:val="00C82826"/>
    <w:rsid w:val="00C82849"/>
    <w:rsid w:val="00C829DF"/>
    <w:rsid w:val="00C829F6"/>
    <w:rsid w:val="00C82A0C"/>
    <w:rsid w:val="00C82B03"/>
    <w:rsid w:val="00C82B13"/>
    <w:rsid w:val="00C82BA3"/>
    <w:rsid w:val="00C82CB3"/>
    <w:rsid w:val="00C830D3"/>
    <w:rsid w:val="00C832E1"/>
    <w:rsid w:val="00C83440"/>
    <w:rsid w:val="00C83594"/>
    <w:rsid w:val="00C83655"/>
    <w:rsid w:val="00C83833"/>
    <w:rsid w:val="00C838D4"/>
    <w:rsid w:val="00C83B7F"/>
    <w:rsid w:val="00C83B89"/>
    <w:rsid w:val="00C83E0E"/>
    <w:rsid w:val="00C83E64"/>
    <w:rsid w:val="00C84059"/>
    <w:rsid w:val="00C84212"/>
    <w:rsid w:val="00C8427F"/>
    <w:rsid w:val="00C843C1"/>
    <w:rsid w:val="00C8445F"/>
    <w:rsid w:val="00C845D8"/>
    <w:rsid w:val="00C8472E"/>
    <w:rsid w:val="00C84752"/>
    <w:rsid w:val="00C848B1"/>
    <w:rsid w:val="00C848D5"/>
    <w:rsid w:val="00C84A24"/>
    <w:rsid w:val="00C84D1C"/>
    <w:rsid w:val="00C84E2E"/>
    <w:rsid w:val="00C84E31"/>
    <w:rsid w:val="00C84F20"/>
    <w:rsid w:val="00C851E3"/>
    <w:rsid w:val="00C8520A"/>
    <w:rsid w:val="00C85314"/>
    <w:rsid w:val="00C855E5"/>
    <w:rsid w:val="00C85651"/>
    <w:rsid w:val="00C85746"/>
    <w:rsid w:val="00C85806"/>
    <w:rsid w:val="00C85962"/>
    <w:rsid w:val="00C85AE0"/>
    <w:rsid w:val="00C85B60"/>
    <w:rsid w:val="00C85DA3"/>
    <w:rsid w:val="00C86111"/>
    <w:rsid w:val="00C8611F"/>
    <w:rsid w:val="00C8680C"/>
    <w:rsid w:val="00C86909"/>
    <w:rsid w:val="00C86A35"/>
    <w:rsid w:val="00C86AF5"/>
    <w:rsid w:val="00C86C4F"/>
    <w:rsid w:val="00C86DD9"/>
    <w:rsid w:val="00C87062"/>
    <w:rsid w:val="00C87074"/>
    <w:rsid w:val="00C87510"/>
    <w:rsid w:val="00C87670"/>
    <w:rsid w:val="00C87826"/>
    <w:rsid w:val="00C878ED"/>
    <w:rsid w:val="00C87C34"/>
    <w:rsid w:val="00C87C58"/>
    <w:rsid w:val="00C87CAC"/>
    <w:rsid w:val="00C87F4B"/>
    <w:rsid w:val="00C87FCF"/>
    <w:rsid w:val="00C903DB"/>
    <w:rsid w:val="00C90645"/>
    <w:rsid w:val="00C9087A"/>
    <w:rsid w:val="00C90969"/>
    <w:rsid w:val="00C909DB"/>
    <w:rsid w:val="00C90A98"/>
    <w:rsid w:val="00C90B07"/>
    <w:rsid w:val="00C90D85"/>
    <w:rsid w:val="00C90DF7"/>
    <w:rsid w:val="00C91106"/>
    <w:rsid w:val="00C9121F"/>
    <w:rsid w:val="00C9135F"/>
    <w:rsid w:val="00C91382"/>
    <w:rsid w:val="00C91451"/>
    <w:rsid w:val="00C9155D"/>
    <w:rsid w:val="00C915C7"/>
    <w:rsid w:val="00C91631"/>
    <w:rsid w:val="00C91925"/>
    <w:rsid w:val="00C919AE"/>
    <w:rsid w:val="00C91B99"/>
    <w:rsid w:val="00C91C74"/>
    <w:rsid w:val="00C91C82"/>
    <w:rsid w:val="00C91D78"/>
    <w:rsid w:val="00C91DA7"/>
    <w:rsid w:val="00C91DD2"/>
    <w:rsid w:val="00C91F02"/>
    <w:rsid w:val="00C920DA"/>
    <w:rsid w:val="00C920E4"/>
    <w:rsid w:val="00C92314"/>
    <w:rsid w:val="00C924CC"/>
    <w:rsid w:val="00C9285C"/>
    <w:rsid w:val="00C92922"/>
    <w:rsid w:val="00C9294F"/>
    <w:rsid w:val="00C92AA5"/>
    <w:rsid w:val="00C92AB4"/>
    <w:rsid w:val="00C92E8B"/>
    <w:rsid w:val="00C93079"/>
    <w:rsid w:val="00C930A6"/>
    <w:rsid w:val="00C931B4"/>
    <w:rsid w:val="00C93222"/>
    <w:rsid w:val="00C93249"/>
    <w:rsid w:val="00C9324C"/>
    <w:rsid w:val="00C93279"/>
    <w:rsid w:val="00C932BA"/>
    <w:rsid w:val="00C93308"/>
    <w:rsid w:val="00C93321"/>
    <w:rsid w:val="00C936B7"/>
    <w:rsid w:val="00C937F5"/>
    <w:rsid w:val="00C937FF"/>
    <w:rsid w:val="00C93AC6"/>
    <w:rsid w:val="00C93B4F"/>
    <w:rsid w:val="00C93BF4"/>
    <w:rsid w:val="00C93F57"/>
    <w:rsid w:val="00C940AF"/>
    <w:rsid w:val="00C9433B"/>
    <w:rsid w:val="00C945B6"/>
    <w:rsid w:val="00C9469E"/>
    <w:rsid w:val="00C94808"/>
    <w:rsid w:val="00C94824"/>
    <w:rsid w:val="00C9493B"/>
    <w:rsid w:val="00C94A3E"/>
    <w:rsid w:val="00C94B6C"/>
    <w:rsid w:val="00C94D07"/>
    <w:rsid w:val="00C9534C"/>
    <w:rsid w:val="00C9537B"/>
    <w:rsid w:val="00C9537F"/>
    <w:rsid w:val="00C9539A"/>
    <w:rsid w:val="00C95441"/>
    <w:rsid w:val="00C95534"/>
    <w:rsid w:val="00C955DB"/>
    <w:rsid w:val="00C9567C"/>
    <w:rsid w:val="00C95702"/>
    <w:rsid w:val="00C95815"/>
    <w:rsid w:val="00C959C3"/>
    <w:rsid w:val="00C95A50"/>
    <w:rsid w:val="00C95B42"/>
    <w:rsid w:val="00C95BA6"/>
    <w:rsid w:val="00C95BF6"/>
    <w:rsid w:val="00C95CF1"/>
    <w:rsid w:val="00C95D5E"/>
    <w:rsid w:val="00C95E54"/>
    <w:rsid w:val="00C95F2D"/>
    <w:rsid w:val="00C96009"/>
    <w:rsid w:val="00C96018"/>
    <w:rsid w:val="00C9609D"/>
    <w:rsid w:val="00C9615D"/>
    <w:rsid w:val="00C9617B"/>
    <w:rsid w:val="00C961BE"/>
    <w:rsid w:val="00C962CB"/>
    <w:rsid w:val="00C96534"/>
    <w:rsid w:val="00C9659F"/>
    <w:rsid w:val="00C9682B"/>
    <w:rsid w:val="00C96853"/>
    <w:rsid w:val="00C9695F"/>
    <w:rsid w:val="00C969FD"/>
    <w:rsid w:val="00C96ADF"/>
    <w:rsid w:val="00C96B9A"/>
    <w:rsid w:val="00C96BAE"/>
    <w:rsid w:val="00C96C8E"/>
    <w:rsid w:val="00C96CE4"/>
    <w:rsid w:val="00C96CEA"/>
    <w:rsid w:val="00C96D28"/>
    <w:rsid w:val="00C96D2D"/>
    <w:rsid w:val="00C96FB3"/>
    <w:rsid w:val="00C97021"/>
    <w:rsid w:val="00C970B9"/>
    <w:rsid w:val="00C97107"/>
    <w:rsid w:val="00C97196"/>
    <w:rsid w:val="00C971EA"/>
    <w:rsid w:val="00C971ED"/>
    <w:rsid w:val="00C9720C"/>
    <w:rsid w:val="00C9734E"/>
    <w:rsid w:val="00C975D7"/>
    <w:rsid w:val="00C97671"/>
    <w:rsid w:val="00C97A5A"/>
    <w:rsid w:val="00C97C3A"/>
    <w:rsid w:val="00C97F5F"/>
    <w:rsid w:val="00CA0121"/>
    <w:rsid w:val="00CA030B"/>
    <w:rsid w:val="00CA031A"/>
    <w:rsid w:val="00CA0440"/>
    <w:rsid w:val="00CA07A5"/>
    <w:rsid w:val="00CA08FC"/>
    <w:rsid w:val="00CA0A13"/>
    <w:rsid w:val="00CA0A44"/>
    <w:rsid w:val="00CA0B16"/>
    <w:rsid w:val="00CA0B93"/>
    <w:rsid w:val="00CA0CB0"/>
    <w:rsid w:val="00CA0E5A"/>
    <w:rsid w:val="00CA10B2"/>
    <w:rsid w:val="00CA11D0"/>
    <w:rsid w:val="00CA1259"/>
    <w:rsid w:val="00CA12E9"/>
    <w:rsid w:val="00CA133B"/>
    <w:rsid w:val="00CA1485"/>
    <w:rsid w:val="00CA14DB"/>
    <w:rsid w:val="00CA1615"/>
    <w:rsid w:val="00CA17AC"/>
    <w:rsid w:val="00CA1855"/>
    <w:rsid w:val="00CA190C"/>
    <w:rsid w:val="00CA1A37"/>
    <w:rsid w:val="00CA1E14"/>
    <w:rsid w:val="00CA1FD2"/>
    <w:rsid w:val="00CA21D0"/>
    <w:rsid w:val="00CA225A"/>
    <w:rsid w:val="00CA231F"/>
    <w:rsid w:val="00CA284A"/>
    <w:rsid w:val="00CA29E3"/>
    <w:rsid w:val="00CA2C8F"/>
    <w:rsid w:val="00CA2C99"/>
    <w:rsid w:val="00CA2EAC"/>
    <w:rsid w:val="00CA2EB8"/>
    <w:rsid w:val="00CA2FE1"/>
    <w:rsid w:val="00CA301D"/>
    <w:rsid w:val="00CA30BB"/>
    <w:rsid w:val="00CA319B"/>
    <w:rsid w:val="00CA326B"/>
    <w:rsid w:val="00CA32E6"/>
    <w:rsid w:val="00CA34B6"/>
    <w:rsid w:val="00CA34F8"/>
    <w:rsid w:val="00CA36B4"/>
    <w:rsid w:val="00CA37DA"/>
    <w:rsid w:val="00CA392B"/>
    <w:rsid w:val="00CA3F46"/>
    <w:rsid w:val="00CA4238"/>
    <w:rsid w:val="00CA431C"/>
    <w:rsid w:val="00CA45B3"/>
    <w:rsid w:val="00CA4690"/>
    <w:rsid w:val="00CA46D6"/>
    <w:rsid w:val="00CA481E"/>
    <w:rsid w:val="00CA484A"/>
    <w:rsid w:val="00CA48FA"/>
    <w:rsid w:val="00CA49CC"/>
    <w:rsid w:val="00CA4BC0"/>
    <w:rsid w:val="00CA4D57"/>
    <w:rsid w:val="00CA5045"/>
    <w:rsid w:val="00CA514F"/>
    <w:rsid w:val="00CA5263"/>
    <w:rsid w:val="00CA553B"/>
    <w:rsid w:val="00CA5645"/>
    <w:rsid w:val="00CA5663"/>
    <w:rsid w:val="00CA56C3"/>
    <w:rsid w:val="00CA5753"/>
    <w:rsid w:val="00CA57FA"/>
    <w:rsid w:val="00CA5937"/>
    <w:rsid w:val="00CA5C16"/>
    <w:rsid w:val="00CA5C40"/>
    <w:rsid w:val="00CA5C61"/>
    <w:rsid w:val="00CA5C71"/>
    <w:rsid w:val="00CA5CD2"/>
    <w:rsid w:val="00CA5F66"/>
    <w:rsid w:val="00CA600D"/>
    <w:rsid w:val="00CA6037"/>
    <w:rsid w:val="00CA616B"/>
    <w:rsid w:val="00CA6368"/>
    <w:rsid w:val="00CA6563"/>
    <w:rsid w:val="00CA66F5"/>
    <w:rsid w:val="00CA694E"/>
    <w:rsid w:val="00CA695D"/>
    <w:rsid w:val="00CA6A91"/>
    <w:rsid w:val="00CA6C96"/>
    <w:rsid w:val="00CA6CC4"/>
    <w:rsid w:val="00CA6D1F"/>
    <w:rsid w:val="00CA7303"/>
    <w:rsid w:val="00CA7460"/>
    <w:rsid w:val="00CA7500"/>
    <w:rsid w:val="00CA7520"/>
    <w:rsid w:val="00CA75B2"/>
    <w:rsid w:val="00CA76D2"/>
    <w:rsid w:val="00CA76E8"/>
    <w:rsid w:val="00CA7723"/>
    <w:rsid w:val="00CA7C66"/>
    <w:rsid w:val="00CA7C9B"/>
    <w:rsid w:val="00CA7D87"/>
    <w:rsid w:val="00CA7D8D"/>
    <w:rsid w:val="00CA7F41"/>
    <w:rsid w:val="00CB00C3"/>
    <w:rsid w:val="00CB01C4"/>
    <w:rsid w:val="00CB02BD"/>
    <w:rsid w:val="00CB0393"/>
    <w:rsid w:val="00CB03E6"/>
    <w:rsid w:val="00CB03EF"/>
    <w:rsid w:val="00CB0421"/>
    <w:rsid w:val="00CB04DC"/>
    <w:rsid w:val="00CB04F5"/>
    <w:rsid w:val="00CB0634"/>
    <w:rsid w:val="00CB08EA"/>
    <w:rsid w:val="00CB0B42"/>
    <w:rsid w:val="00CB0B55"/>
    <w:rsid w:val="00CB0C0F"/>
    <w:rsid w:val="00CB0D67"/>
    <w:rsid w:val="00CB0D81"/>
    <w:rsid w:val="00CB125C"/>
    <w:rsid w:val="00CB13AE"/>
    <w:rsid w:val="00CB13BC"/>
    <w:rsid w:val="00CB149F"/>
    <w:rsid w:val="00CB177C"/>
    <w:rsid w:val="00CB179C"/>
    <w:rsid w:val="00CB188E"/>
    <w:rsid w:val="00CB1897"/>
    <w:rsid w:val="00CB19A6"/>
    <w:rsid w:val="00CB1D13"/>
    <w:rsid w:val="00CB1EA1"/>
    <w:rsid w:val="00CB1EAD"/>
    <w:rsid w:val="00CB20DC"/>
    <w:rsid w:val="00CB2174"/>
    <w:rsid w:val="00CB238F"/>
    <w:rsid w:val="00CB23A4"/>
    <w:rsid w:val="00CB246A"/>
    <w:rsid w:val="00CB24B5"/>
    <w:rsid w:val="00CB2554"/>
    <w:rsid w:val="00CB262D"/>
    <w:rsid w:val="00CB2727"/>
    <w:rsid w:val="00CB28D3"/>
    <w:rsid w:val="00CB28F9"/>
    <w:rsid w:val="00CB2A14"/>
    <w:rsid w:val="00CB2B65"/>
    <w:rsid w:val="00CB2C18"/>
    <w:rsid w:val="00CB2CF3"/>
    <w:rsid w:val="00CB2DE5"/>
    <w:rsid w:val="00CB2E68"/>
    <w:rsid w:val="00CB2E88"/>
    <w:rsid w:val="00CB32CA"/>
    <w:rsid w:val="00CB330C"/>
    <w:rsid w:val="00CB339C"/>
    <w:rsid w:val="00CB3520"/>
    <w:rsid w:val="00CB3677"/>
    <w:rsid w:val="00CB36B0"/>
    <w:rsid w:val="00CB371A"/>
    <w:rsid w:val="00CB38D0"/>
    <w:rsid w:val="00CB39CB"/>
    <w:rsid w:val="00CB3B08"/>
    <w:rsid w:val="00CB3C69"/>
    <w:rsid w:val="00CB3EA1"/>
    <w:rsid w:val="00CB3EEE"/>
    <w:rsid w:val="00CB40BC"/>
    <w:rsid w:val="00CB41EE"/>
    <w:rsid w:val="00CB44DC"/>
    <w:rsid w:val="00CB4554"/>
    <w:rsid w:val="00CB4678"/>
    <w:rsid w:val="00CB46C9"/>
    <w:rsid w:val="00CB486A"/>
    <w:rsid w:val="00CB48C6"/>
    <w:rsid w:val="00CB4A5D"/>
    <w:rsid w:val="00CB4AC5"/>
    <w:rsid w:val="00CB4BCB"/>
    <w:rsid w:val="00CB4E13"/>
    <w:rsid w:val="00CB4F31"/>
    <w:rsid w:val="00CB4F32"/>
    <w:rsid w:val="00CB4FBE"/>
    <w:rsid w:val="00CB5018"/>
    <w:rsid w:val="00CB50C9"/>
    <w:rsid w:val="00CB50DD"/>
    <w:rsid w:val="00CB5228"/>
    <w:rsid w:val="00CB537A"/>
    <w:rsid w:val="00CB53EA"/>
    <w:rsid w:val="00CB54C0"/>
    <w:rsid w:val="00CB5846"/>
    <w:rsid w:val="00CB5911"/>
    <w:rsid w:val="00CB5986"/>
    <w:rsid w:val="00CB5A7C"/>
    <w:rsid w:val="00CB5ACE"/>
    <w:rsid w:val="00CB5BEB"/>
    <w:rsid w:val="00CB5C82"/>
    <w:rsid w:val="00CB5DCD"/>
    <w:rsid w:val="00CB5E04"/>
    <w:rsid w:val="00CB60B6"/>
    <w:rsid w:val="00CB63C1"/>
    <w:rsid w:val="00CB64C1"/>
    <w:rsid w:val="00CB6846"/>
    <w:rsid w:val="00CB687B"/>
    <w:rsid w:val="00CB68E5"/>
    <w:rsid w:val="00CB69A5"/>
    <w:rsid w:val="00CB69BD"/>
    <w:rsid w:val="00CB6A9F"/>
    <w:rsid w:val="00CB6C06"/>
    <w:rsid w:val="00CB6CAE"/>
    <w:rsid w:val="00CB6EC0"/>
    <w:rsid w:val="00CB70D2"/>
    <w:rsid w:val="00CB71A5"/>
    <w:rsid w:val="00CB7494"/>
    <w:rsid w:val="00CB7781"/>
    <w:rsid w:val="00CB796B"/>
    <w:rsid w:val="00CB7AE5"/>
    <w:rsid w:val="00CB7AF3"/>
    <w:rsid w:val="00CB7B1E"/>
    <w:rsid w:val="00CB7B29"/>
    <w:rsid w:val="00CB7CEF"/>
    <w:rsid w:val="00CB7CFE"/>
    <w:rsid w:val="00CB7E25"/>
    <w:rsid w:val="00CC00A9"/>
    <w:rsid w:val="00CC020B"/>
    <w:rsid w:val="00CC0520"/>
    <w:rsid w:val="00CC0565"/>
    <w:rsid w:val="00CC0CAA"/>
    <w:rsid w:val="00CC0F98"/>
    <w:rsid w:val="00CC0FDB"/>
    <w:rsid w:val="00CC12CA"/>
    <w:rsid w:val="00CC131B"/>
    <w:rsid w:val="00CC1377"/>
    <w:rsid w:val="00CC1501"/>
    <w:rsid w:val="00CC16EA"/>
    <w:rsid w:val="00CC170B"/>
    <w:rsid w:val="00CC18BB"/>
    <w:rsid w:val="00CC1903"/>
    <w:rsid w:val="00CC19B0"/>
    <w:rsid w:val="00CC1C2B"/>
    <w:rsid w:val="00CC1D55"/>
    <w:rsid w:val="00CC208A"/>
    <w:rsid w:val="00CC20D3"/>
    <w:rsid w:val="00CC21CE"/>
    <w:rsid w:val="00CC2241"/>
    <w:rsid w:val="00CC2305"/>
    <w:rsid w:val="00CC2395"/>
    <w:rsid w:val="00CC246B"/>
    <w:rsid w:val="00CC265E"/>
    <w:rsid w:val="00CC29BC"/>
    <w:rsid w:val="00CC2A05"/>
    <w:rsid w:val="00CC2A4F"/>
    <w:rsid w:val="00CC2A81"/>
    <w:rsid w:val="00CC2A98"/>
    <w:rsid w:val="00CC2CCD"/>
    <w:rsid w:val="00CC2F13"/>
    <w:rsid w:val="00CC3168"/>
    <w:rsid w:val="00CC3259"/>
    <w:rsid w:val="00CC3579"/>
    <w:rsid w:val="00CC35DF"/>
    <w:rsid w:val="00CC36EC"/>
    <w:rsid w:val="00CC3796"/>
    <w:rsid w:val="00CC37D7"/>
    <w:rsid w:val="00CC3923"/>
    <w:rsid w:val="00CC39E6"/>
    <w:rsid w:val="00CC3AA2"/>
    <w:rsid w:val="00CC3ABC"/>
    <w:rsid w:val="00CC3AE9"/>
    <w:rsid w:val="00CC4112"/>
    <w:rsid w:val="00CC414C"/>
    <w:rsid w:val="00CC42C0"/>
    <w:rsid w:val="00CC42E3"/>
    <w:rsid w:val="00CC43D9"/>
    <w:rsid w:val="00CC4433"/>
    <w:rsid w:val="00CC4491"/>
    <w:rsid w:val="00CC45B3"/>
    <w:rsid w:val="00CC4960"/>
    <w:rsid w:val="00CC4DBD"/>
    <w:rsid w:val="00CC4E12"/>
    <w:rsid w:val="00CC506F"/>
    <w:rsid w:val="00CC559D"/>
    <w:rsid w:val="00CC5727"/>
    <w:rsid w:val="00CC5863"/>
    <w:rsid w:val="00CC59ED"/>
    <w:rsid w:val="00CC59F5"/>
    <w:rsid w:val="00CC5A91"/>
    <w:rsid w:val="00CC5F5C"/>
    <w:rsid w:val="00CC5FF9"/>
    <w:rsid w:val="00CC61BC"/>
    <w:rsid w:val="00CC6471"/>
    <w:rsid w:val="00CC64E8"/>
    <w:rsid w:val="00CC64FC"/>
    <w:rsid w:val="00CC67B3"/>
    <w:rsid w:val="00CC6ACA"/>
    <w:rsid w:val="00CC6D3E"/>
    <w:rsid w:val="00CC6F9D"/>
    <w:rsid w:val="00CC6FA5"/>
    <w:rsid w:val="00CC70A1"/>
    <w:rsid w:val="00CC70F6"/>
    <w:rsid w:val="00CC72DE"/>
    <w:rsid w:val="00CC77EC"/>
    <w:rsid w:val="00CC788A"/>
    <w:rsid w:val="00CC794B"/>
    <w:rsid w:val="00CC795B"/>
    <w:rsid w:val="00CC7A3D"/>
    <w:rsid w:val="00CC7D4D"/>
    <w:rsid w:val="00CC7DF6"/>
    <w:rsid w:val="00CC7EC7"/>
    <w:rsid w:val="00CC7FA1"/>
    <w:rsid w:val="00CC7FC0"/>
    <w:rsid w:val="00CD00E1"/>
    <w:rsid w:val="00CD010D"/>
    <w:rsid w:val="00CD023A"/>
    <w:rsid w:val="00CD0265"/>
    <w:rsid w:val="00CD03C1"/>
    <w:rsid w:val="00CD0455"/>
    <w:rsid w:val="00CD04D0"/>
    <w:rsid w:val="00CD050F"/>
    <w:rsid w:val="00CD0513"/>
    <w:rsid w:val="00CD052C"/>
    <w:rsid w:val="00CD0595"/>
    <w:rsid w:val="00CD066A"/>
    <w:rsid w:val="00CD081B"/>
    <w:rsid w:val="00CD0985"/>
    <w:rsid w:val="00CD09FD"/>
    <w:rsid w:val="00CD0A8E"/>
    <w:rsid w:val="00CD0A94"/>
    <w:rsid w:val="00CD0ABE"/>
    <w:rsid w:val="00CD0F5A"/>
    <w:rsid w:val="00CD0FB8"/>
    <w:rsid w:val="00CD0FC6"/>
    <w:rsid w:val="00CD103E"/>
    <w:rsid w:val="00CD10E4"/>
    <w:rsid w:val="00CD1199"/>
    <w:rsid w:val="00CD138D"/>
    <w:rsid w:val="00CD15CA"/>
    <w:rsid w:val="00CD163A"/>
    <w:rsid w:val="00CD17F4"/>
    <w:rsid w:val="00CD193C"/>
    <w:rsid w:val="00CD1A96"/>
    <w:rsid w:val="00CD1C60"/>
    <w:rsid w:val="00CD1E4B"/>
    <w:rsid w:val="00CD21E8"/>
    <w:rsid w:val="00CD2469"/>
    <w:rsid w:val="00CD264C"/>
    <w:rsid w:val="00CD28ED"/>
    <w:rsid w:val="00CD295B"/>
    <w:rsid w:val="00CD2999"/>
    <w:rsid w:val="00CD2B57"/>
    <w:rsid w:val="00CD2F56"/>
    <w:rsid w:val="00CD2FB8"/>
    <w:rsid w:val="00CD30CD"/>
    <w:rsid w:val="00CD30F9"/>
    <w:rsid w:val="00CD3104"/>
    <w:rsid w:val="00CD3281"/>
    <w:rsid w:val="00CD3359"/>
    <w:rsid w:val="00CD3372"/>
    <w:rsid w:val="00CD3440"/>
    <w:rsid w:val="00CD35E0"/>
    <w:rsid w:val="00CD364D"/>
    <w:rsid w:val="00CD38AD"/>
    <w:rsid w:val="00CD3905"/>
    <w:rsid w:val="00CD390F"/>
    <w:rsid w:val="00CD39A4"/>
    <w:rsid w:val="00CD39FA"/>
    <w:rsid w:val="00CD3A5E"/>
    <w:rsid w:val="00CD3B2A"/>
    <w:rsid w:val="00CD40C0"/>
    <w:rsid w:val="00CD4147"/>
    <w:rsid w:val="00CD433B"/>
    <w:rsid w:val="00CD4405"/>
    <w:rsid w:val="00CD47CF"/>
    <w:rsid w:val="00CD493C"/>
    <w:rsid w:val="00CD4994"/>
    <w:rsid w:val="00CD4AB2"/>
    <w:rsid w:val="00CD4AFA"/>
    <w:rsid w:val="00CD4C45"/>
    <w:rsid w:val="00CD4D2C"/>
    <w:rsid w:val="00CD4DE1"/>
    <w:rsid w:val="00CD4E7E"/>
    <w:rsid w:val="00CD4EFF"/>
    <w:rsid w:val="00CD4F10"/>
    <w:rsid w:val="00CD510F"/>
    <w:rsid w:val="00CD512F"/>
    <w:rsid w:val="00CD518C"/>
    <w:rsid w:val="00CD522D"/>
    <w:rsid w:val="00CD5324"/>
    <w:rsid w:val="00CD536B"/>
    <w:rsid w:val="00CD5428"/>
    <w:rsid w:val="00CD5470"/>
    <w:rsid w:val="00CD55E0"/>
    <w:rsid w:val="00CD5857"/>
    <w:rsid w:val="00CD5931"/>
    <w:rsid w:val="00CD5967"/>
    <w:rsid w:val="00CD5B0A"/>
    <w:rsid w:val="00CD5BEB"/>
    <w:rsid w:val="00CD5D17"/>
    <w:rsid w:val="00CD5D58"/>
    <w:rsid w:val="00CD5DFC"/>
    <w:rsid w:val="00CD61CF"/>
    <w:rsid w:val="00CD61D7"/>
    <w:rsid w:val="00CD638E"/>
    <w:rsid w:val="00CD654B"/>
    <w:rsid w:val="00CD656E"/>
    <w:rsid w:val="00CD6A4A"/>
    <w:rsid w:val="00CD6BD4"/>
    <w:rsid w:val="00CD6EE5"/>
    <w:rsid w:val="00CD6EEC"/>
    <w:rsid w:val="00CD702A"/>
    <w:rsid w:val="00CD71D1"/>
    <w:rsid w:val="00CD7262"/>
    <w:rsid w:val="00CD7284"/>
    <w:rsid w:val="00CD738F"/>
    <w:rsid w:val="00CD73E7"/>
    <w:rsid w:val="00CD7475"/>
    <w:rsid w:val="00CD782A"/>
    <w:rsid w:val="00CD7876"/>
    <w:rsid w:val="00CD7994"/>
    <w:rsid w:val="00CD79D7"/>
    <w:rsid w:val="00CD79E3"/>
    <w:rsid w:val="00CD7B10"/>
    <w:rsid w:val="00CD7C24"/>
    <w:rsid w:val="00CD7D11"/>
    <w:rsid w:val="00CE028F"/>
    <w:rsid w:val="00CE02EB"/>
    <w:rsid w:val="00CE02F1"/>
    <w:rsid w:val="00CE06B9"/>
    <w:rsid w:val="00CE07C4"/>
    <w:rsid w:val="00CE0852"/>
    <w:rsid w:val="00CE085F"/>
    <w:rsid w:val="00CE097C"/>
    <w:rsid w:val="00CE0AF8"/>
    <w:rsid w:val="00CE0C5A"/>
    <w:rsid w:val="00CE0CDF"/>
    <w:rsid w:val="00CE0F14"/>
    <w:rsid w:val="00CE102F"/>
    <w:rsid w:val="00CE106E"/>
    <w:rsid w:val="00CE1134"/>
    <w:rsid w:val="00CE1179"/>
    <w:rsid w:val="00CE1184"/>
    <w:rsid w:val="00CE134A"/>
    <w:rsid w:val="00CE1504"/>
    <w:rsid w:val="00CE1567"/>
    <w:rsid w:val="00CE163D"/>
    <w:rsid w:val="00CE1A0B"/>
    <w:rsid w:val="00CE1A89"/>
    <w:rsid w:val="00CE1BA5"/>
    <w:rsid w:val="00CE1C4E"/>
    <w:rsid w:val="00CE1C95"/>
    <w:rsid w:val="00CE1CB1"/>
    <w:rsid w:val="00CE1D4D"/>
    <w:rsid w:val="00CE1F5E"/>
    <w:rsid w:val="00CE20A1"/>
    <w:rsid w:val="00CE223E"/>
    <w:rsid w:val="00CE22BC"/>
    <w:rsid w:val="00CE22DB"/>
    <w:rsid w:val="00CE2394"/>
    <w:rsid w:val="00CE2400"/>
    <w:rsid w:val="00CE2724"/>
    <w:rsid w:val="00CE2843"/>
    <w:rsid w:val="00CE2C20"/>
    <w:rsid w:val="00CE2C8B"/>
    <w:rsid w:val="00CE2CF6"/>
    <w:rsid w:val="00CE310B"/>
    <w:rsid w:val="00CE331D"/>
    <w:rsid w:val="00CE338E"/>
    <w:rsid w:val="00CE34AD"/>
    <w:rsid w:val="00CE34ED"/>
    <w:rsid w:val="00CE3864"/>
    <w:rsid w:val="00CE391F"/>
    <w:rsid w:val="00CE3AEE"/>
    <w:rsid w:val="00CE3C12"/>
    <w:rsid w:val="00CE3DD3"/>
    <w:rsid w:val="00CE3E0F"/>
    <w:rsid w:val="00CE3EAA"/>
    <w:rsid w:val="00CE3F45"/>
    <w:rsid w:val="00CE4163"/>
    <w:rsid w:val="00CE41E9"/>
    <w:rsid w:val="00CE426E"/>
    <w:rsid w:val="00CE43A7"/>
    <w:rsid w:val="00CE4448"/>
    <w:rsid w:val="00CE4665"/>
    <w:rsid w:val="00CE484F"/>
    <w:rsid w:val="00CE4984"/>
    <w:rsid w:val="00CE4992"/>
    <w:rsid w:val="00CE4B74"/>
    <w:rsid w:val="00CE4C0E"/>
    <w:rsid w:val="00CE4D08"/>
    <w:rsid w:val="00CE4E24"/>
    <w:rsid w:val="00CE4F94"/>
    <w:rsid w:val="00CE5041"/>
    <w:rsid w:val="00CE5120"/>
    <w:rsid w:val="00CE5155"/>
    <w:rsid w:val="00CE55D1"/>
    <w:rsid w:val="00CE5663"/>
    <w:rsid w:val="00CE5720"/>
    <w:rsid w:val="00CE59EF"/>
    <w:rsid w:val="00CE5B0C"/>
    <w:rsid w:val="00CE5B81"/>
    <w:rsid w:val="00CE5C31"/>
    <w:rsid w:val="00CE5DAC"/>
    <w:rsid w:val="00CE5F28"/>
    <w:rsid w:val="00CE606F"/>
    <w:rsid w:val="00CE6216"/>
    <w:rsid w:val="00CE630D"/>
    <w:rsid w:val="00CE630E"/>
    <w:rsid w:val="00CE6421"/>
    <w:rsid w:val="00CE65D3"/>
    <w:rsid w:val="00CE65F6"/>
    <w:rsid w:val="00CE6614"/>
    <w:rsid w:val="00CE67CD"/>
    <w:rsid w:val="00CE691B"/>
    <w:rsid w:val="00CE6A0B"/>
    <w:rsid w:val="00CE6A12"/>
    <w:rsid w:val="00CE6A62"/>
    <w:rsid w:val="00CE6C0B"/>
    <w:rsid w:val="00CE6C77"/>
    <w:rsid w:val="00CE6DDE"/>
    <w:rsid w:val="00CE6FA6"/>
    <w:rsid w:val="00CE7156"/>
    <w:rsid w:val="00CE72B5"/>
    <w:rsid w:val="00CE7330"/>
    <w:rsid w:val="00CE7509"/>
    <w:rsid w:val="00CE7635"/>
    <w:rsid w:val="00CE7644"/>
    <w:rsid w:val="00CE77DB"/>
    <w:rsid w:val="00CE78B8"/>
    <w:rsid w:val="00CE799B"/>
    <w:rsid w:val="00CE7A19"/>
    <w:rsid w:val="00CE7A67"/>
    <w:rsid w:val="00CE7A9F"/>
    <w:rsid w:val="00CE7AC9"/>
    <w:rsid w:val="00CE7B20"/>
    <w:rsid w:val="00CE7CD5"/>
    <w:rsid w:val="00CE7D65"/>
    <w:rsid w:val="00CE7FBE"/>
    <w:rsid w:val="00CF0148"/>
    <w:rsid w:val="00CF0242"/>
    <w:rsid w:val="00CF0256"/>
    <w:rsid w:val="00CF05DD"/>
    <w:rsid w:val="00CF0696"/>
    <w:rsid w:val="00CF0742"/>
    <w:rsid w:val="00CF0916"/>
    <w:rsid w:val="00CF0AA5"/>
    <w:rsid w:val="00CF0B93"/>
    <w:rsid w:val="00CF0D75"/>
    <w:rsid w:val="00CF0FF6"/>
    <w:rsid w:val="00CF106C"/>
    <w:rsid w:val="00CF1074"/>
    <w:rsid w:val="00CF10CF"/>
    <w:rsid w:val="00CF1133"/>
    <w:rsid w:val="00CF11C9"/>
    <w:rsid w:val="00CF1233"/>
    <w:rsid w:val="00CF1BD1"/>
    <w:rsid w:val="00CF1F01"/>
    <w:rsid w:val="00CF1F0C"/>
    <w:rsid w:val="00CF1F34"/>
    <w:rsid w:val="00CF22D2"/>
    <w:rsid w:val="00CF2390"/>
    <w:rsid w:val="00CF27D3"/>
    <w:rsid w:val="00CF2815"/>
    <w:rsid w:val="00CF286B"/>
    <w:rsid w:val="00CF2A03"/>
    <w:rsid w:val="00CF2F35"/>
    <w:rsid w:val="00CF304F"/>
    <w:rsid w:val="00CF3203"/>
    <w:rsid w:val="00CF363D"/>
    <w:rsid w:val="00CF3877"/>
    <w:rsid w:val="00CF39B8"/>
    <w:rsid w:val="00CF3A06"/>
    <w:rsid w:val="00CF3A15"/>
    <w:rsid w:val="00CF3C1D"/>
    <w:rsid w:val="00CF3C68"/>
    <w:rsid w:val="00CF3D84"/>
    <w:rsid w:val="00CF3D9C"/>
    <w:rsid w:val="00CF3DC9"/>
    <w:rsid w:val="00CF3EC2"/>
    <w:rsid w:val="00CF41FD"/>
    <w:rsid w:val="00CF4378"/>
    <w:rsid w:val="00CF466C"/>
    <w:rsid w:val="00CF46DE"/>
    <w:rsid w:val="00CF46F0"/>
    <w:rsid w:val="00CF47EA"/>
    <w:rsid w:val="00CF487B"/>
    <w:rsid w:val="00CF489B"/>
    <w:rsid w:val="00CF4B8D"/>
    <w:rsid w:val="00CF4ECC"/>
    <w:rsid w:val="00CF5045"/>
    <w:rsid w:val="00CF5177"/>
    <w:rsid w:val="00CF5271"/>
    <w:rsid w:val="00CF52FB"/>
    <w:rsid w:val="00CF5372"/>
    <w:rsid w:val="00CF5906"/>
    <w:rsid w:val="00CF5D41"/>
    <w:rsid w:val="00CF5D5F"/>
    <w:rsid w:val="00CF6154"/>
    <w:rsid w:val="00CF61AE"/>
    <w:rsid w:val="00CF61E7"/>
    <w:rsid w:val="00CF6259"/>
    <w:rsid w:val="00CF6329"/>
    <w:rsid w:val="00CF637F"/>
    <w:rsid w:val="00CF6670"/>
    <w:rsid w:val="00CF66FE"/>
    <w:rsid w:val="00CF6789"/>
    <w:rsid w:val="00CF67C2"/>
    <w:rsid w:val="00CF6B96"/>
    <w:rsid w:val="00CF6B9A"/>
    <w:rsid w:val="00CF6F91"/>
    <w:rsid w:val="00CF6FC2"/>
    <w:rsid w:val="00CF70F9"/>
    <w:rsid w:val="00CF748F"/>
    <w:rsid w:val="00CF752C"/>
    <w:rsid w:val="00CF75B2"/>
    <w:rsid w:val="00CF7610"/>
    <w:rsid w:val="00CF772C"/>
    <w:rsid w:val="00CF7A00"/>
    <w:rsid w:val="00CF7A40"/>
    <w:rsid w:val="00CF7B96"/>
    <w:rsid w:val="00CF7C6D"/>
    <w:rsid w:val="00CF7DB1"/>
    <w:rsid w:val="00CF7E0D"/>
    <w:rsid w:val="00D00007"/>
    <w:rsid w:val="00D000EC"/>
    <w:rsid w:val="00D00278"/>
    <w:rsid w:val="00D00482"/>
    <w:rsid w:val="00D00527"/>
    <w:rsid w:val="00D006EE"/>
    <w:rsid w:val="00D009D9"/>
    <w:rsid w:val="00D00AAE"/>
    <w:rsid w:val="00D00BBB"/>
    <w:rsid w:val="00D00DBA"/>
    <w:rsid w:val="00D00DD5"/>
    <w:rsid w:val="00D00DDC"/>
    <w:rsid w:val="00D00E3E"/>
    <w:rsid w:val="00D00E8F"/>
    <w:rsid w:val="00D010ED"/>
    <w:rsid w:val="00D01103"/>
    <w:rsid w:val="00D0113E"/>
    <w:rsid w:val="00D01941"/>
    <w:rsid w:val="00D01975"/>
    <w:rsid w:val="00D01A5D"/>
    <w:rsid w:val="00D01A75"/>
    <w:rsid w:val="00D01AA1"/>
    <w:rsid w:val="00D01B41"/>
    <w:rsid w:val="00D01D6D"/>
    <w:rsid w:val="00D01F4E"/>
    <w:rsid w:val="00D01F84"/>
    <w:rsid w:val="00D02240"/>
    <w:rsid w:val="00D022C0"/>
    <w:rsid w:val="00D02369"/>
    <w:rsid w:val="00D02498"/>
    <w:rsid w:val="00D02506"/>
    <w:rsid w:val="00D0266E"/>
    <w:rsid w:val="00D026A3"/>
    <w:rsid w:val="00D02821"/>
    <w:rsid w:val="00D0283C"/>
    <w:rsid w:val="00D02970"/>
    <w:rsid w:val="00D02A4D"/>
    <w:rsid w:val="00D02CC6"/>
    <w:rsid w:val="00D02CED"/>
    <w:rsid w:val="00D02E2D"/>
    <w:rsid w:val="00D02F21"/>
    <w:rsid w:val="00D02F85"/>
    <w:rsid w:val="00D030E5"/>
    <w:rsid w:val="00D03211"/>
    <w:rsid w:val="00D0375D"/>
    <w:rsid w:val="00D03805"/>
    <w:rsid w:val="00D03AAC"/>
    <w:rsid w:val="00D03C4B"/>
    <w:rsid w:val="00D03F05"/>
    <w:rsid w:val="00D03F83"/>
    <w:rsid w:val="00D03F88"/>
    <w:rsid w:val="00D042E1"/>
    <w:rsid w:val="00D04771"/>
    <w:rsid w:val="00D048BC"/>
    <w:rsid w:val="00D04A55"/>
    <w:rsid w:val="00D04B8B"/>
    <w:rsid w:val="00D04C18"/>
    <w:rsid w:val="00D04ED2"/>
    <w:rsid w:val="00D04EFB"/>
    <w:rsid w:val="00D052A2"/>
    <w:rsid w:val="00D0539F"/>
    <w:rsid w:val="00D05460"/>
    <w:rsid w:val="00D05525"/>
    <w:rsid w:val="00D0567D"/>
    <w:rsid w:val="00D05789"/>
    <w:rsid w:val="00D0593B"/>
    <w:rsid w:val="00D059A0"/>
    <w:rsid w:val="00D05A9E"/>
    <w:rsid w:val="00D05AE9"/>
    <w:rsid w:val="00D05BB1"/>
    <w:rsid w:val="00D05BE1"/>
    <w:rsid w:val="00D05C2A"/>
    <w:rsid w:val="00D05C74"/>
    <w:rsid w:val="00D05E85"/>
    <w:rsid w:val="00D05F6F"/>
    <w:rsid w:val="00D06067"/>
    <w:rsid w:val="00D06099"/>
    <w:rsid w:val="00D06169"/>
    <w:rsid w:val="00D061ED"/>
    <w:rsid w:val="00D06207"/>
    <w:rsid w:val="00D06417"/>
    <w:rsid w:val="00D06477"/>
    <w:rsid w:val="00D06567"/>
    <w:rsid w:val="00D067C4"/>
    <w:rsid w:val="00D0686F"/>
    <w:rsid w:val="00D068EA"/>
    <w:rsid w:val="00D06B21"/>
    <w:rsid w:val="00D06BD8"/>
    <w:rsid w:val="00D06BDE"/>
    <w:rsid w:val="00D06E4F"/>
    <w:rsid w:val="00D07198"/>
    <w:rsid w:val="00D07258"/>
    <w:rsid w:val="00D073EC"/>
    <w:rsid w:val="00D0766C"/>
    <w:rsid w:val="00D0776E"/>
    <w:rsid w:val="00D077C8"/>
    <w:rsid w:val="00D07AA5"/>
    <w:rsid w:val="00D07E1A"/>
    <w:rsid w:val="00D07E4B"/>
    <w:rsid w:val="00D102F7"/>
    <w:rsid w:val="00D1037E"/>
    <w:rsid w:val="00D10492"/>
    <w:rsid w:val="00D104A9"/>
    <w:rsid w:val="00D10539"/>
    <w:rsid w:val="00D1064B"/>
    <w:rsid w:val="00D10708"/>
    <w:rsid w:val="00D1084F"/>
    <w:rsid w:val="00D10AD0"/>
    <w:rsid w:val="00D10C1D"/>
    <w:rsid w:val="00D10CA9"/>
    <w:rsid w:val="00D10DB7"/>
    <w:rsid w:val="00D110BA"/>
    <w:rsid w:val="00D113F2"/>
    <w:rsid w:val="00D11826"/>
    <w:rsid w:val="00D11893"/>
    <w:rsid w:val="00D11ADB"/>
    <w:rsid w:val="00D11B7C"/>
    <w:rsid w:val="00D11BC2"/>
    <w:rsid w:val="00D11BF4"/>
    <w:rsid w:val="00D11C55"/>
    <w:rsid w:val="00D11C84"/>
    <w:rsid w:val="00D11D21"/>
    <w:rsid w:val="00D11D45"/>
    <w:rsid w:val="00D11D8E"/>
    <w:rsid w:val="00D11E22"/>
    <w:rsid w:val="00D11E2B"/>
    <w:rsid w:val="00D11F90"/>
    <w:rsid w:val="00D11FD4"/>
    <w:rsid w:val="00D121E3"/>
    <w:rsid w:val="00D12373"/>
    <w:rsid w:val="00D1264F"/>
    <w:rsid w:val="00D127BB"/>
    <w:rsid w:val="00D1282B"/>
    <w:rsid w:val="00D12BF9"/>
    <w:rsid w:val="00D12D3D"/>
    <w:rsid w:val="00D12DCC"/>
    <w:rsid w:val="00D12E49"/>
    <w:rsid w:val="00D12E8C"/>
    <w:rsid w:val="00D12F5C"/>
    <w:rsid w:val="00D131CE"/>
    <w:rsid w:val="00D131D7"/>
    <w:rsid w:val="00D132EC"/>
    <w:rsid w:val="00D132EE"/>
    <w:rsid w:val="00D13321"/>
    <w:rsid w:val="00D135BD"/>
    <w:rsid w:val="00D135F5"/>
    <w:rsid w:val="00D13611"/>
    <w:rsid w:val="00D13830"/>
    <w:rsid w:val="00D13961"/>
    <w:rsid w:val="00D13963"/>
    <w:rsid w:val="00D13AEC"/>
    <w:rsid w:val="00D13B2A"/>
    <w:rsid w:val="00D13BC6"/>
    <w:rsid w:val="00D13DF2"/>
    <w:rsid w:val="00D13F6B"/>
    <w:rsid w:val="00D1415E"/>
    <w:rsid w:val="00D14283"/>
    <w:rsid w:val="00D1433C"/>
    <w:rsid w:val="00D144C9"/>
    <w:rsid w:val="00D145F5"/>
    <w:rsid w:val="00D14923"/>
    <w:rsid w:val="00D14998"/>
    <w:rsid w:val="00D14AF6"/>
    <w:rsid w:val="00D14BD6"/>
    <w:rsid w:val="00D14C6B"/>
    <w:rsid w:val="00D14C7D"/>
    <w:rsid w:val="00D14D2F"/>
    <w:rsid w:val="00D14ED0"/>
    <w:rsid w:val="00D15109"/>
    <w:rsid w:val="00D15218"/>
    <w:rsid w:val="00D15448"/>
    <w:rsid w:val="00D156B8"/>
    <w:rsid w:val="00D156C7"/>
    <w:rsid w:val="00D1572F"/>
    <w:rsid w:val="00D1573C"/>
    <w:rsid w:val="00D158EA"/>
    <w:rsid w:val="00D15906"/>
    <w:rsid w:val="00D15C6F"/>
    <w:rsid w:val="00D15D04"/>
    <w:rsid w:val="00D15D11"/>
    <w:rsid w:val="00D15D54"/>
    <w:rsid w:val="00D15D83"/>
    <w:rsid w:val="00D15E07"/>
    <w:rsid w:val="00D15E4B"/>
    <w:rsid w:val="00D16100"/>
    <w:rsid w:val="00D161C6"/>
    <w:rsid w:val="00D161DF"/>
    <w:rsid w:val="00D161F4"/>
    <w:rsid w:val="00D1697C"/>
    <w:rsid w:val="00D16A34"/>
    <w:rsid w:val="00D16B26"/>
    <w:rsid w:val="00D16C3C"/>
    <w:rsid w:val="00D16CC0"/>
    <w:rsid w:val="00D16E1E"/>
    <w:rsid w:val="00D170FF"/>
    <w:rsid w:val="00D173C8"/>
    <w:rsid w:val="00D173E8"/>
    <w:rsid w:val="00D176AB"/>
    <w:rsid w:val="00D17708"/>
    <w:rsid w:val="00D1778C"/>
    <w:rsid w:val="00D17C86"/>
    <w:rsid w:val="00D17C9B"/>
    <w:rsid w:val="00D17D68"/>
    <w:rsid w:val="00D17DC0"/>
    <w:rsid w:val="00D17DF1"/>
    <w:rsid w:val="00D17E08"/>
    <w:rsid w:val="00D200AA"/>
    <w:rsid w:val="00D2019E"/>
    <w:rsid w:val="00D201DE"/>
    <w:rsid w:val="00D2023C"/>
    <w:rsid w:val="00D202F0"/>
    <w:rsid w:val="00D203AA"/>
    <w:rsid w:val="00D206DD"/>
    <w:rsid w:val="00D209F7"/>
    <w:rsid w:val="00D20AD8"/>
    <w:rsid w:val="00D20B7F"/>
    <w:rsid w:val="00D20C02"/>
    <w:rsid w:val="00D20C9B"/>
    <w:rsid w:val="00D20DF4"/>
    <w:rsid w:val="00D210E5"/>
    <w:rsid w:val="00D21293"/>
    <w:rsid w:val="00D212FC"/>
    <w:rsid w:val="00D213F6"/>
    <w:rsid w:val="00D21543"/>
    <w:rsid w:val="00D215B5"/>
    <w:rsid w:val="00D21631"/>
    <w:rsid w:val="00D2172D"/>
    <w:rsid w:val="00D21844"/>
    <w:rsid w:val="00D218C5"/>
    <w:rsid w:val="00D21A06"/>
    <w:rsid w:val="00D21A88"/>
    <w:rsid w:val="00D21C24"/>
    <w:rsid w:val="00D21CB5"/>
    <w:rsid w:val="00D21E4F"/>
    <w:rsid w:val="00D21F63"/>
    <w:rsid w:val="00D2204D"/>
    <w:rsid w:val="00D22089"/>
    <w:rsid w:val="00D2216A"/>
    <w:rsid w:val="00D221BB"/>
    <w:rsid w:val="00D22298"/>
    <w:rsid w:val="00D22415"/>
    <w:rsid w:val="00D22853"/>
    <w:rsid w:val="00D22A4E"/>
    <w:rsid w:val="00D22BAC"/>
    <w:rsid w:val="00D22DA1"/>
    <w:rsid w:val="00D230D6"/>
    <w:rsid w:val="00D2333B"/>
    <w:rsid w:val="00D23357"/>
    <w:rsid w:val="00D23433"/>
    <w:rsid w:val="00D23753"/>
    <w:rsid w:val="00D23896"/>
    <w:rsid w:val="00D238E6"/>
    <w:rsid w:val="00D23B96"/>
    <w:rsid w:val="00D23C37"/>
    <w:rsid w:val="00D23C69"/>
    <w:rsid w:val="00D23C95"/>
    <w:rsid w:val="00D23D4A"/>
    <w:rsid w:val="00D23DB2"/>
    <w:rsid w:val="00D23E25"/>
    <w:rsid w:val="00D23E48"/>
    <w:rsid w:val="00D23F72"/>
    <w:rsid w:val="00D24030"/>
    <w:rsid w:val="00D24083"/>
    <w:rsid w:val="00D2410C"/>
    <w:rsid w:val="00D24393"/>
    <w:rsid w:val="00D243BD"/>
    <w:rsid w:val="00D243F2"/>
    <w:rsid w:val="00D247EB"/>
    <w:rsid w:val="00D24AEB"/>
    <w:rsid w:val="00D24B7B"/>
    <w:rsid w:val="00D24E1E"/>
    <w:rsid w:val="00D24E48"/>
    <w:rsid w:val="00D24F62"/>
    <w:rsid w:val="00D25242"/>
    <w:rsid w:val="00D253A4"/>
    <w:rsid w:val="00D25418"/>
    <w:rsid w:val="00D25616"/>
    <w:rsid w:val="00D258F8"/>
    <w:rsid w:val="00D25E20"/>
    <w:rsid w:val="00D25F41"/>
    <w:rsid w:val="00D2616F"/>
    <w:rsid w:val="00D2617B"/>
    <w:rsid w:val="00D26316"/>
    <w:rsid w:val="00D2631B"/>
    <w:rsid w:val="00D26356"/>
    <w:rsid w:val="00D26396"/>
    <w:rsid w:val="00D263D0"/>
    <w:rsid w:val="00D263F4"/>
    <w:rsid w:val="00D264E1"/>
    <w:rsid w:val="00D264E5"/>
    <w:rsid w:val="00D26561"/>
    <w:rsid w:val="00D265A5"/>
    <w:rsid w:val="00D266EF"/>
    <w:rsid w:val="00D268AA"/>
    <w:rsid w:val="00D2696F"/>
    <w:rsid w:val="00D26AF2"/>
    <w:rsid w:val="00D26B85"/>
    <w:rsid w:val="00D26C8E"/>
    <w:rsid w:val="00D26CC5"/>
    <w:rsid w:val="00D26D19"/>
    <w:rsid w:val="00D26DFE"/>
    <w:rsid w:val="00D27326"/>
    <w:rsid w:val="00D2739F"/>
    <w:rsid w:val="00D27428"/>
    <w:rsid w:val="00D27430"/>
    <w:rsid w:val="00D27439"/>
    <w:rsid w:val="00D27482"/>
    <w:rsid w:val="00D27521"/>
    <w:rsid w:val="00D2755D"/>
    <w:rsid w:val="00D2765F"/>
    <w:rsid w:val="00D277A2"/>
    <w:rsid w:val="00D27832"/>
    <w:rsid w:val="00D2783B"/>
    <w:rsid w:val="00D2785D"/>
    <w:rsid w:val="00D27A8E"/>
    <w:rsid w:val="00D27BDB"/>
    <w:rsid w:val="00D27C68"/>
    <w:rsid w:val="00D27E33"/>
    <w:rsid w:val="00D27E81"/>
    <w:rsid w:val="00D27FB2"/>
    <w:rsid w:val="00D301F7"/>
    <w:rsid w:val="00D30276"/>
    <w:rsid w:val="00D30576"/>
    <w:rsid w:val="00D3077D"/>
    <w:rsid w:val="00D30ABC"/>
    <w:rsid w:val="00D30B02"/>
    <w:rsid w:val="00D30C0D"/>
    <w:rsid w:val="00D30D97"/>
    <w:rsid w:val="00D30DE8"/>
    <w:rsid w:val="00D30E58"/>
    <w:rsid w:val="00D30F9A"/>
    <w:rsid w:val="00D30FF8"/>
    <w:rsid w:val="00D3127F"/>
    <w:rsid w:val="00D312A2"/>
    <w:rsid w:val="00D31302"/>
    <w:rsid w:val="00D3134F"/>
    <w:rsid w:val="00D3148D"/>
    <w:rsid w:val="00D315A5"/>
    <w:rsid w:val="00D31673"/>
    <w:rsid w:val="00D31676"/>
    <w:rsid w:val="00D31AC8"/>
    <w:rsid w:val="00D31B6C"/>
    <w:rsid w:val="00D31B73"/>
    <w:rsid w:val="00D3208B"/>
    <w:rsid w:val="00D32144"/>
    <w:rsid w:val="00D3217D"/>
    <w:rsid w:val="00D32328"/>
    <w:rsid w:val="00D3244B"/>
    <w:rsid w:val="00D32583"/>
    <w:rsid w:val="00D326BE"/>
    <w:rsid w:val="00D3270C"/>
    <w:rsid w:val="00D32768"/>
    <w:rsid w:val="00D32AE2"/>
    <w:rsid w:val="00D32B84"/>
    <w:rsid w:val="00D32CED"/>
    <w:rsid w:val="00D32CFB"/>
    <w:rsid w:val="00D32EA1"/>
    <w:rsid w:val="00D32F46"/>
    <w:rsid w:val="00D33041"/>
    <w:rsid w:val="00D331A8"/>
    <w:rsid w:val="00D3320E"/>
    <w:rsid w:val="00D332A9"/>
    <w:rsid w:val="00D33309"/>
    <w:rsid w:val="00D3336E"/>
    <w:rsid w:val="00D3346A"/>
    <w:rsid w:val="00D33547"/>
    <w:rsid w:val="00D33564"/>
    <w:rsid w:val="00D335B5"/>
    <w:rsid w:val="00D336C0"/>
    <w:rsid w:val="00D33924"/>
    <w:rsid w:val="00D33A87"/>
    <w:rsid w:val="00D33B69"/>
    <w:rsid w:val="00D33B92"/>
    <w:rsid w:val="00D33DA5"/>
    <w:rsid w:val="00D33E2C"/>
    <w:rsid w:val="00D33FFA"/>
    <w:rsid w:val="00D340E1"/>
    <w:rsid w:val="00D341DA"/>
    <w:rsid w:val="00D34241"/>
    <w:rsid w:val="00D34251"/>
    <w:rsid w:val="00D34520"/>
    <w:rsid w:val="00D34569"/>
    <w:rsid w:val="00D346C0"/>
    <w:rsid w:val="00D34719"/>
    <w:rsid w:val="00D347E9"/>
    <w:rsid w:val="00D34A09"/>
    <w:rsid w:val="00D34A54"/>
    <w:rsid w:val="00D34A67"/>
    <w:rsid w:val="00D34AD8"/>
    <w:rsid w:val="00D34AF0"/>
    <w:rsid w:val="00D34D14"/>
    <w:rsid w:val="00D34FAA"/>
    <w:rsid w:val="00D34FAD"/>
    <w:rsid w:val="00D34FF9"/>
    <w:rsid w:val="00D35085"/>
    <w:rsid w:val="00D3535A"/>
    <w:rsid w:val="00D3544E"/>
    <w:rsid w:val="00D35488"/>
    <w:rsid w:val="00D355BA"/>
    <w:rsid w:val="00D355F0"/>
    <w:rsid w:val="00D35679"/>
    <w:rsid w:val="00D3569A"/>
    <w:rsid w:val="00D3591F"/>
    <w:rsid w:val="00D35AA5"/>
    <w:rsid w:val="00D35B21"/>
    <w:rsid w:val="00D35DE1"/>
    <w:rsid w:val="00D35F16"/>
    <w:rsid w:val="00D35F2A"/>
    <w:rsid w:val="00D35F94"/>
    <w:rsid w:val="00D35F97"/>
    <w:rsid w:val="00D361AE"/>
    <w:rsid w:val="00D36329"/>
    <w:rsid w:val="00D3641D"/>
    <w:rsid w:val="00D36877"/>
    <w:rsid w:val="00D36916"/>
    <w:rsid w:val="00D36968"/>
    <w:rsid w:val="00D3699B"/>
    <w:rsid w:val="00D36A0B"/>
    <w:rsid w:val="00D36AB0"/>
    <w:rsid w:val="00D36B31"/>
    <w:rsid w:val="00D36BF3"/>
    <w:rsid w:val="00D36D83"/>
    <w:rsid w:val="00D36D97"/>
    <w:rsid w:val="00D36DEE"/>
    <w:rsid w:val="00D3709E"/>
    <w:rsid w:val="00D373A5"/>
    <w:rsid w:val="00D37457"/>
    <w:rsid w:val="00D37718"/>
    <w:rsid w:val="00D377D9"/>
    <w:rsid w:val="00D37ABB"/>
    <w:rsid w:val="00D37D76"/>
    <w:rsid w:val="00D37F0A"/>
    <w:rsid w:val="00D37F4D"/>
    <w:rsid w:val="00D401DE"/>
    <w:rsid w:val="00D40385"/>
    <w:rsid w:val="00D40439"/>
    <w:rsid w:val="00D4057B"/>
    <w:rsid w:val="00D405B6"/>
    <w:rsid w:val="00D4062A"/>
    <w:rsid w:val="00D40869"/>
    <w:rsid w:val="00D40878"/>
    <w:rsid w:val="00D40880"/>
    <w:rsid w:val="00D40986"/>
    <w:rsid w:val="00D409F5"/>
    <w:rsid w:val="00D40CFC"/>
    <w:rsid w:val="00D40D91"/>
    <w:rsid w:val="00D40E40"/>
    <w:rsid w:val="00D41069"/>
    <w:rsid w:val="00D41247"/>
    <w:rsid w:val="00D41295"/>
    <w:rsid w:val="00D41375"/>
    <w:rsid w:val="00D414C4"/>
    <w:rsid w:val="00D41852"/>
    <w:rsid w:val="00D419D7"/>
    <w:rsid w:val="00D41B61"/>
    <w:rsid w:val="00D41F7C"/>
    <w:rsid w:val="00D41FE2"/>
    <w:rsid w:val="00D421B2"/>
    <w:rsid w:val="00D4223A"/>
    <w:rsid w:val="00D4259C"/>
    <w:rsid w:val="00D4273F"/>
    <w:rsid w:val="00D428C2"/>
    <w:rsid w:val="00D42CE2"/>
    <w:rsid w:val="00D42CE3"/>
    <w:rsid w:val="00D42D00"/>
    <w:rsid w:val="00D42D6F"/>
    <w:rsid w:val="00D42D8F"/>
    <w:rsid w:val="00D42E8F"/>
    <w:rsid w:val="00D42ED4"/>
    <w:rsid w:val="00D43089"/>
    <w:rsid w:val="00D430F5"/>
    <w:rsid w:val="00D4328B"/>
    <w:rsid w:val="00D43351"/>
    <w:rsid w:val="00D433E1"/>
    <w:rsid w:val="00D433E6"/>
    <w:rsid w:val="00D43482"/>
    <w:rsid w:val="00D43842"/>
    <w:rsid w:val="00D43AEE"/>
    <w:rsid w:val="00D43C55"/>
    <w:rsid w:val="00D43CB4"/>
    <w:rsid w:val="00D43DAA"/>
    <w:rsid w:val="00D43E99"/>
    <w:rsid w:val="00D43F48"/>
    <w:rsid w:val="00D43FA7"/>
    <w:rsid w:val="00D440E1"/>
    <w:rsid w:val="00D441B9"/>
    <w:rsid w:val="00D44282"/>
    <w:rsid w:val="00D4434A"/>
    <w:rsid w:val="00D4449B"/>
    <w:rsid w:val="00D44591"/>
    <w:rsid w:val="00D445BF"/>
    <w:rsid w:val="00D44856"/>
    <w:rsid w:val="00D4489E"/>
    <w:rsid w:val="00D448F7"/>
    <w:rsid w:val="00D4496A"/>
    <w:rsid w:val="00D44A8E"/>
    <w:rsid w:val="00D44D4D"/>
    <w:rsid w:val="00D45020"/>
    <w:rsid w:val="00D45056"/>
    <w:rsid w:val="00D4540E"/>
    <w:rsid w:val="00D454EE"/>
    <w:rsid w:val="00D455EF"/>
    <w:rsid w:val="00D45770"/>
    <w:rsid w:val="00D4577A"/>
    <w:rsid w:val="00D457D4"/>
    <w:rsid w:val="00D4593D"/>
    <w:rsid w:val="00D45AF8"/>
    <w:rsid w:val="00D45BEF"/>
    <w:rsid w:val="00D45C1F"/>
    <w:rsid w:val="00D45DFB"/>
    <w:rsid w:val="00D45EFD"/>
    <w:rsid w:val="00D460D5"/>
    <w:rsid w:val="00D4617A"/>
    <w:rsid w:val="00D46231"/>
    <w:rsid w:val="00D4623D"/>
    <w:rsid w:val="00D462D0"/>
    <w:rsid w:val="00D46442"/>
    <w:rsid w:val="00D4667D"/>
    <w:rsid w:val="00D46704"/>
    <w:rsid w:val="00D4686C"/>
    <w:rsid w:val="00D469FB"/>
    <w:rsid w:val="00D46DA5"/>
    <w:rsid w:val="00D46E2E"/>
    <w:rsid w:val="00D4711D"/>
    <w:rsid w:val="00D47178"/>
    <w:rsid w:val="00D4725E"/>
    <w:rsid w:val="00D472B2"/>
    <w:rsid w:val="00D472DA"/>
    <w:rsid w:val="00D47458"/>
    <w:rsid w:val="00D47469"/>
    <w:rsid w:val="00D47470"/>
    <w:rsid w:val="00D474C3"/>
    <w:rsid w:val="00D474F3"/>
    <w:rsid w:val="00D4764E"/>
    <w:rsid w:val="00D4773B"/>
    <w:rsid w:val="00D47858"/>
    <w:rsid w:val="00D47BA9"/>
    <w:rsid w:val="00D47D74"/>
    <w:rsid w:val="00D47D94"/>
    <w:rsid w:val="00D50011"/>
    <w:rsid w:val="00D50012"/>
    <w:rsid w:val="00D502FE"/>
    <w:rsid w:val="00D5053F"/>
    <w:rsid w:val="00D50557"/>
    <w:rsid w:val="00D5088C"/>
    <w:rsid w:val="00D50899"/>
    <w:rsid w:val="00D50B4D"/>
    <w:rsid w:val="00D50BB6"/>
    <w:rsid w:val="00D50C02"/>
    <w:rsid w:val="00D50D0A"/>
    <w:rsid w:val="00D50D62"/>
    <w:rsid w:val="00D50F17"/>
    <w:rsid w:val="00D50FED"/>
    <w:rsid w:val="00D50FF2"/>
    <w:rsid w:val="00D51157"/>
    <w:rsid w:val="00D51169"/>
    <w:rsid w:val="00D51239"/>
    <w:rsid w:val="00D512B7"/>
    <w:rsid w:val="00D5140B"/>
    <w:rsid w:val="00D515D9"/>
    <w:rsid w:val="00D5170D"/>
    <w:rsid w:val="00D51AA0"/>
    <w:rsid w:val="00D51B2D"/>
    <w:rsid w:val="00D51C05"/>
    <w:rsid w:val="00D51C14"/>
    <w:rsid w:val="00D51C38"/>
    <w:rsid w:val="00D51CA8"/>
    <w:rsid w:val="00D51DF1"/>
    <w:rsid w:val="00D51E94"/>
    <w:rsid w:val="00D51FE7"/>
    <w:rsid w:val="00D5200C"/>
    <w:rsid w:val="00D52049"/>
    <w:rsid w:val="00D52052"/>
    <w:rsid w:val="00D5207B"/>
    <w:rsid w:val="00D521E4"/>
    <w:rsid w:val="00D52755"/>
    <w:rsid w:val="00D52A42"/>
    <w:rsid w:val="00D52B15"/>
    <w:rsid w:val="00D52CD5"/>
    <w:rsid w:val="00D52DBF"/>
    <w:rsid w:val="00D52DC9"/>
    <w:rsid w:val="00D52EEE"/>
    <w:rsid w:val="00D532E9"/>
    <w:rsid w:val="00D534D9"/>
    <w:rsid w:val="00D535B9"/>
    <w:rsid w:val="00D535C7"/>
    <w:rsid w:val="00D53B32"/>
    <w:rsid w:val="00D53CDA"/>
    <w:rsid w:val="00D53DE7"/>
    <w:rsid w:val="00D53EB7"/>
    <w:rsid w:val="00D53F93"/>
    <w:rsid w:val="00D54280"/>
    <w:rsid w:val="00D542B2"/>
    <w:rsid w:val="00D545C8"/>
    <w:rsid w:val="00D54823"/>
    <w:rsid w:val="00D54894"/>
    <w:rsid w:val="00D54938"/>
    <w:rsid w:val="00D549AF"/>
    <w:rsid w:val="00D54B27"/>
    <w:rsid w:val="00D55191"/>
    <w:rsid w:val="00D551DE"/>
    <w:rsid w:val="00D5536F"/>
    <w:rsid w:val="00D5548D"/>
    <w:rsid w:val="00D55491"/>
    <w:rsid w:val="00D5549C"/>
    <w:rsid w:val="00D554AD"/>
    <w:rsid w:val="00D55628"/>
    <w:rsid w:val="00D556EC"/>
    <w:rsid w:val="00D5585E"/>
    <w:rsid w:val="00D55CE4"/>
    <w:rsid w:val="00D55D54"/>
    <w:rsid w:val="00D55E29"/>
    <w:rsid w:val="00D55EA2"/>
    <w:rsid w:val="00D55ED1"/>
    <w:rsid w:val="00D561BD"/>
    <w:rsid w:val="00D56736"/>
    <w:rsid w:val="00D56767"/>
    <w:rsid w:val="00D567C3"/>
    <w:rsid w:val="00D567E2"/>
    <w:rsid w:val="00D568C6"/>
    <w:rsid w:val="00D56903"/>
    <w:rsid w:val="00D569E2"/>
    <w:rsid w:val="00D569E9"/>
    <w:rsid w:val="00D56A2E"/>
    <w:rsid w:val="00D56A8F"/>
    <w:rsid w:val="00D56C96"/>
    <w:rsid w:val="00D56CE1"/>
    <w:rsid w:val="00D57018"/>
    <w:rsid w:val="00D57033"/>
    <w:rsid w:val="00D572D7"/>
    <w:rsid w:val="00D5753B"/>
    <w:rsid w:val="00D575D1"/>
    <w:rsid w:val="00D576D7"/>
    <w:rsid w:val="00D5776D"/>
    <w:rsid w:val="00D57859"/>
    <w:rsid w:val="00D5789B"/>
    <w:rsid w:val="00D578B5"/>
    <w:rsid w:val="00D578D0"/>
    <w:rsid w:val="00D5792D"/>
    <w:rsid w:val="00D57952"/>
    <w:rsid w:val="00D57AAD"/>
    <w:rsid w:val="00D57B62"/>
    <w:rsid w:val="00D57C71"/>
    <w:rsid w:val="00D57E34"/>
    <w:rsid w:val="00D57F54"/>
    <w:rsid w:val="00D602A2"/>
    <w:rsid w:val="00D60424"/>
    <w:rsid w:val="00D60470"/>
    <w:rsid w:val="00D6048B"/>
    <w:rsid w:val="00D60502"/>
    <w:rsid w:val="00D60688"/>
    <w:rsid w:val="00D60717"/>
    <w:rsid w:val="00D6075A"/>
    <w:rsid w:val="00D60A38"/>
    <w:rsid w:val="00D60A86"/>
    <w:rsid w:val="00D60CC6"/>
    <w:rsid w:val="00D60CF3"/>
    <w:rsid w:val="00D60D18"/>
    <w:rsid w:val="00D60F0F"/>
    <w:rsid w:val="00D60F8C"/>
    <w:rsid w:val="00D61394"/>
    <w:rsid w:val="00D613D8"/>
    <w:rsid w:val="00D6148A"/>
    <w:rsid w:val="00D61496"/>
    <w:rsid w:val="00D614C4"/>
    <w:rsid w:val="00D61723"/>
    <w:rsid w:val="00D6174F"/>
    <w:rsid w:val="00D61951"/>
    <w:rsid w:val="00D6195C"/>
    <w:rsid w:val="00D619A3"/>
    <w:rsid w:val="00D61BBC"/>
    <w:rsid w:val="00D61CCD"/>
    <w:rsid w:val="00D61D55"/>
    <w:rsid w:val="00D6229F"/>
    <w:rsid w:val="00D6231A"/>
    <w:rsid w:val="00D624F2"/>
    <w:rsid w:val="00D62529"/>
    <w:rsid w:val="00D62638"/>
    <w:rsid w:val="00D6276B"/>
    <w:rsid w:val="00D62AAD"/>
    <w:rsid w:val="00D62AB0"/>
    <w:rsid w:val="00D62BCC"/>
    <w:rsid w:val="00D62CAA"/>
    <w:rsid w:val="00D62D8F"/>
    <w:rsid w:val="00D62E4F"/>
    <w:rsid w:val="00D63167"/>
    <w:rsid w:val="00D6317D"/>
    <w:rsid w:val="00D634A9"/>
    <w:rsid w:val="00D634CB"/>
    <w:rsid w:val="00D6378D"/>
    <w:rsid w:val="00D639CD"/>
    <w:rsid w:val="00D63AE2"/>
    <w:rsid w:val="00D64091"/>
    <w:rsid w:val="00D6432A"/>
    <w:rsid w:val="00D643DB"/>
    <w:rsid w:val="00D64456"/>
    <w:rsid w:val="00D6451E"/>
    <w:rsid w:val="00D64625"/>
    <w:rsid w:val="00D646C1"/>
    <w:rsid w:val="00D6470C"/>
    <w:rsid w:val="00D64792"/>
    <w:rsid w:val="00D647A9"/>
    <w:rsid w:val="00D64B67"/>
    <w:rsid w:val="00D64B84"/>
    <w:rsid w:val="00D64C60"/>
    <w:rsid w:val="00D64E97"/>
    <w:rsid w:val="00D65120"/>
    <w:rsid w:val="00D6531A"/>
    <w:rsid w:val="00D653FE"/>
    <w:rsid w:val="00D654E5"/>
    <w:rsid w:val="00D655E1"/>
    <w:rsid w:val="00D6570E"/>
    <w:rsid w:val="00D6571D"/>
    <w:rsid w:val="00D657B6"/>
    <w:rsid w:val="00D65880"/>
    <w:rsid w:val="00D65937"/>
    <w:rsid w:val="00D6593D"/>
    <w:rsid w:val="00D659B0"/>
    <w:rsid w:val="00D65AB6"/>
    <w:rsid w:val="00D65B8E"/>
    <w:rsid w:val="00D65C22"/>
    <w:rsid w:val="00D65CC8"/>
    <w:rsid w:val="00D65D02"/>
    <w:rsid w:val="00D65EEF"/>
    <w:rsid w:val="00D65F86"/>
    <w:rsid w:val="00D6604D"/>
    <w:rsid w:val="00D661FF"/>
    <w:rsid w:val="00D66683"/>
    <w:rsid w:val="00D66818"/>
    <w:rsid w:val="00D66855"/>
    <w:rsid w:val="00D66934"/>
    <w:rsid w:val="00D66A0C"/>
    <w:rsid w:val="00D66ADD"/>
    <w:rsid w:val="00D66B29"/>
    <w:rsid w:val="00D66BCB"/>
    <w:rsid w:val="00D66BF3"/>
    <w:rsid w:val="00D66D9E"/>
    <w:rsid w:val="00D66FB1"/>
    <w:rsid w:val="00D6714E"/>
    <w:rsid w:val="00D674B4"/>
    <w:rsid w:val="00D676A4"/>
    <w:rsid w:val="00D67735"/>
    <w:rsid w:val="00D67991"/>
    <w:rsid w:val="00D679FA"/>
    <w:rsid w:val="00D67DCC"/>
    <w:rsid w:val="00D67DD8"/>
    <w:rsid w:val="00D67F3E"/>
    <w:rsid w:val="00D67FA2"/>
    <w:rsid w:val="00D70098"/>
    <w:rsid w:val="00D70135"/>
    <w:rsid w:val="00D701C6"/>
    <w:rsid w:val="00D702BF"/>
    <w:rsid w:val="00D70439"/>
    <w:rsid w:val="00D70768"/>
    <w:rsid w:val="00D7088F"/>
    <w:rsid w:val="00D708B2"/>
    <w:rsid w:val="00D70992"/>
    <w:rsid w:val="00D70A66"/>
    <w:rsid w:val="00D70ABC"/>
    <w:rsid w:val="00D70B8C"/>
    <w:rsid w:val="00D70CF5"/>
    <w:rsid w:val="00D70F9F"/>
    <w:rsid w:val="00D70FA1"/>
    <w:rsid w:val="00D70FFE"/>
    <w:rsid w:val="00D710A4"/>
    <w:rsid w:val="00D710F5"/>
    <w:rsid w:val="00D71123"/>
    <w:rsid w:val="00D715D3"/>
    <w:rsid w:val="00D716CD"/>
    <w:rsid w:val="00D71825"/>
    <w:rsid w:val="00D71897"/>
    <w:rsid w:val="00D718C7"/>
    <w:rsid w:val="00D7192C"/>
    <w:rsid w:val="00D71B97"/>
    <w:rsid w:val="00D71E27"/>
    <w:rsid w:val="00D7202D"/>
    <w:rsid w:val="00D72103"/>
    <w:rsid w:val="00D7210E"/>
    <w:rsid w:val="00D7217E"/>
    <w:rsid w:val="00D723B6"/>
    <w:rsid w:val="00D724E1"/>
    <w:rsid w:val="00D7281B"/>
    <w:rsid w:val="00D72914"/>
    <w:rsid w:val="00D72A18"/>
    <w:rsid w:val="00D72D36"/>
    <w:rsid w:val="00D72D62"/>
    <w:rsid w:val="00D72E1F"/>
    <w:rsid w:val="00D72FE3"/>
    <w:rsid w:val="00D73120"/>
    <w:rsid w:val="00D731DC"/>
    <w:rsid w:val="00D73529"/>
    <w:rsid w:val="00D73554"/>
    <w:rsid w:val="00D73572"/>
    <w:rsid w:val="00D735EF"/>
    <w:rsid w:val="00D73638"/>
    <w:rsid w:val="00D7370B"/>
    <w:rsid w:val="00D739E5"/>
    <w:rsid w:val="00D73C17"/>
    <w:rsid w:val="00D73E47"/>
    <w:rsid w:val="00D73EE7"/>
    <w:rsid w:val="00D7450B"/>
    <w:rsid w:val="00D7450F"/>
    <w:rsid w:val="00D7498F"/>
    <w:rsid w:val="00D74A63"/>
    <w:rsid w:val="00D74A92"/>
    <w:rsid w:val="00D74BD0"/>
    <w:rsid w:val="00D74BDA"/>
    <w:rsid w:val="00D74EC0"/>
    <w:rsid w:val="00D74F57"/>
    <w:rsid w:val="00D74F95"/>
    <w:rsid w:val="00D751EE"/>
    <w:rsid w:val="00D7530A"/>
    <w:rsid w:val="00D75469"/>
    <w:rsid w:val="00D754F0"/>
    <w:rsid w:val="00D7570A"/>
    <w:rsid w:val="00D7587E"/>
    <w:rsid w:val="00D75909"/>
    <w:rsid w:val="00D75AF7"/>
    <w:rsid w:val="00D75DB3"/>
    <w:rsid w:val="00D75E73"/>
    <w:rsid w:val="00D76175"/>
    <w:rsid w:val="00D7637C"/>
    <w:rsid w:val="00D764FA"/>
    <w:rsid w:val="00D76543"/>
    <w:rsid w:val="00D76882"/>
    <w:rsid w:val="00D768F4"/>
    <w:rsid w:val="00D76A5B"/>
    <w:rsid w:val="00D76C05"/>
    <w:rsid w:val="00D76CB2"/>
    <w:rsid w:val="00D77376"/>
    <w:rsid w:val="00D77571"/>
    <w:rsid w:val="00D77617"/>
    <w:rsid w:val="00D77719"/>
    <w:rsid w:val="00D7772F"/>
    <w:rsid w:val="00D77A7F"/>
    <w:rsid w:val="00D77B1D"/>
    <w:rsid w:val="00D77B50"/>
    <w:rsid w:val="00D77BD2"/>
    <w:rsid w:val="00D77F7E"/>
    <w:rsid w:val="00D80233"/>
    <w:rsid w:val="00D80398"/>
    <w:rsid w:val="00D803AE"/>
    <w:rsid w:val="00D803BC"/>
    <w:rsid w:val="00D804F2"/>
    <w:rsid w:val="00D80599"/>
    <w:rsid w:val="00D8066A"/>
    <w:rsid w:val="00D80864"/>
    <w:rsid w:val="00D8099B"/>
    <w:rsid w:val="00D80C25"/>
    <w:rsid w:val="00D80C28"/>
    <w:rsid w:val="00D80CC1"/>
    <w:rsid w:val="00D80F03"/>
    <w:rsid w:val="00D8133F"/>
    <w:rsid w:val="00D81575"/>
    <w:rsid w:val="00D815CD"/>
    <w:rsid w:val="00D81605"/>
    <w:rsid w:val="00D816C4"/>
    <w:rsid w:val="00D8192B"/>
    <w:rsid w:val="00D81968"/>
    <w:rsid w:val="00D819B4"/>
    <w:rsid w:val="00D81BF1"/>
    <w:rsid w:val="00D81C84"/>
    <w:rsid w:val="00D82040"/>
    <w:rsid w:val="00D82344"/>
    <w:rsid w:val="00D82534"/>
    <w:rsid w:val="00D82682"/>
    <w:rsid w:val="00D829BC"/>
    <w:rsid w:val="00D829ED"/>
    <w:rsid w:val="00D82A87"/>
    <w:rsid w:val="00D82B13"/>
    <w:rsid w:val="00D82B14"/>
    <w:rsid w:val="00D82D77"/>
    <w:rsid w:val="00D82F3E"/>
    <w:rsid w:val="00D82FD3"/>
    <w:rsid w:val="00D82FD4"/>
    <w:rsid w:val="00D8313C"/>
    <w:rsid w:val="00D8338A"/>
    <w:rsid w:val="00D833A2"/>
    <w:rsid w:val="00D83600"/>
    <w:rsid w:val="00D839F7"/>
    <w:rsid w:val="00D83A53"/>
    <w:rsid w:val="00D83AB2"/>
    <w:rsid w:val="00D83B82"/>
    <w:rsid w:val="00D83BD8"/>
    <w:rsid w:val="00D83BD9"/>
    <w:rsid w:val="00D83E83"/>
    <w:rsid w:val="00D83F35"/>
    <w:rsid w:val="00D841FC"/>
    <w:rsid w:val="00D843A1"/>
    <w:rsid w:val="00D84467"/>
    <w:rsid w:val="00D8466B"/>
    <w:rsid w:val="00D84773"/>
    <w:rsid w:val="00D848AA"/>
    <w:rsid w:val="00D848E6"/>
    <w:rsid w:val="00D8498D"/>
    <w:rsid w:val="00D849D8"/>
    <w:rsid w:val="00D84EE0"/>
    <w:rsid w:val="00D84F1E"/>
    <w:rsid w:val="00D85064"/>
    <w:rsid w:val="00D85205"/>
    <w:rsid w:val="00D85428"/>
    <w:rsid w:val="00D856D5"/>
    <w:rsid w:val="00D85A31"/>
    <w:rsid w:val="00D85C39"/>
    <w:rsid w:val="00D85C53"/>
    <w:rsid w:val="00D85D53"/>
    <w:rsid w:val="00D85FB5"/>
    <w:rsid w:val="00D8611C"/>
    <w:rsid w:val="00D8614C"/>
    <w:rsid w:val="00D866CE"/>
    <w:rsid w:val="00D86701"/>
    <w:rsid w:val="00D86734"/>
    <w:rsid w:val="00D86783"/>
    <w:rsid w:val="00D869D6"/>
    <w:rsid w:val="00D869FD"/>
    <w:rsid w:val="00D86D28"/>
    <w:rsid w:val="00D86DAE"/>
    <w:rsid w:val="00D8703D"/>
    <w:rsid w:val="00D8718F"/>
    <w:rsid w:val="00D871E3"/>
    <w:rsid w:val="00D87216"/>
    <w:rsid w:val="00D872EC"/>
    <w:rsid w:val="00D87587"/>
    <w:rsid w:val="00D8784B"/>
    <w:rsid w:val="00D87AC0"/>
    <w:rsid w:val="00D87B21"/>
    <w:rsid w:val="00D87B88"/>
    <w:rsid w:val="00D87D30"/>
    <w:rsid w:val="00D87F1B"/>
    <w:rsid w:val="00D87F84"/>
    <w:rsid w:val="00D87FDB"/>
    <w:rsid w:val="00D902AE"/>
    <w:rsid w:val="00D902E1"/>
    <w:rsid w:val="00D904A0"/>
    <w:rsid w:val="00D905AB"/>
    <w:rsid w:val="00D905BD"/>
    <w:rsid w:val="00D906A9"/>
    <w:rsid w:val="00D90733"/>
    <w:rsid w:val="00D90736"/>
    <w:rsid w:val="00D907A6"/>
    <w:rsid w:val="00D907CB"/>
    <w:rsid w:val="00D908EF"/>
    <w:rsid w:val="00D90A91"/>
    <w:rsid w:val="00D90B7D"/>
    <w:rsid w:val="00D90B93"/>
    <w:rsid w:val="00D90CB1"/>
    <w:rsid w:val="00D90CB7"/>
    <w:rsid w:val="00D90D0F"/>
    <w:rsid w:val="00D90E6E"/>
    <w:rsid w:val="00D90E87"/>
    <w:rsid w:val="00D91013"/>
    <w:rsid w:val="00D910F8"/>
    <w:rsid w:val="00D911A0"/>
    <w:rsid w:val="00D911A2"/>
    <w:rsid w:val="00D911B4"/>
    <w:rsid w:val="00D91549"/>
    <w:rsid w:val="00D9176B"/>
    <w:rsid w:val="00D9187A"/>
    <w:rsid w:val="00D91D9A"/>
    <w:rsid w:val="00D91E1B"/>
    <w:rsid w:val="00D91F70"/>
    <w:rsid w:val="00D91F7B"/>
    <w:rsid w:val="00D91FEC"/>
    <w:rsid w:val="00D92026"/>
    <w:rsid w:val="00D92262"/>
    <w:rsid w:val="00D924DD"/>
    <w:rsid w:val="00D924F1"/>
    <w:rsid w:val="00D92515"/>
    <w:rsid w:val="00D9267E"/>
    <w:rsid w:val="00D926BD"/>
    <w:rsid w:val="00D9280B"/>
    <w:rsid w:val="00D928BB"/>
    <w:rsid w:val="00D92995"/>
    <w:rsid w:val="00D929F0"/>
    <w:rsid w:val="00D92AFD"/>
    <w:rsid w:val="00D92D5D"/>
    <w:rsid w:val="00D92E96"/>
    <w:rsid w:val="00D9318E"/>
    <w:rsid w:val="00D934AB"/>
    <w:rsid w:val="00D935AC"/>
    <w:rsid w:val="00D93729"/>
    <w:rsid w:val="00D93765"/>
    <w:rsid w:val="00D938FD"/>
    <w:rsid w:val="00D93A8D"/>
    <w:rsid w:val="00D93A9F"/>
    <w:rsid w:val="00D93BA9"/>
    <w:rsid w:val="00D93BFD"/>
    <w:rsid w:val="00D93E92"/>
    <w:rsid w:val="00D93F7B"/>
    <w:rsid w:val="00D942DB"/>
    <w:rsid w:val="00D94431"/>
    <w:rsid w:val="00D944CB"/>
    <w:rsid w:val="00D945AD"/>
    <w:rsid w:val="00D94644"/>
    <w:rsid w:val="00D94691"/>
    <w:rsid w:val="00D949A4"/>
    <w:rsid w:val="00D94B6F"/>
    <w:rsid w:val="00D94F4B"/>
    <w:rsid w:val="00D95169"/>
    <w:rsid w:val="00D951CB"/>
    <w:rsid w:val="00D955A3"/>
    <w:rsid w:val="00D956CB"/>
    <w:rsid w:val="00D9571C"/>
    <w:rsid w:val="00D9597A"/>
    <w:rsid w:val="00D95CD2"/>
    <w:rsid w:val="00D95D16"/>
    <w:rsid w:val="00D95D76"/>
    <w:rsid w:val="00D95E4F"/>
    <w:rsid w:val="00D95F9F"/>
    <w:rsid w:val="00D95FB9"/>
    <w:rsid w:val="00D96119"/>
    <w:rsid w:val="00D96586"/>
    <w:rsid w:val="00D9679D"/>
    <w:rsid w:val="00D967CB"/>
    <w:rsid w:val="00D967FF"/>
    <w:rsid w:val="00D96896"/>
    <w:rsid w:val="00D96905"/>
    <w:rsid w:val="00D96A42"/>
    <w:rsid w:val="00D96B74"/>
    <w:rsid w:val="00D96C5B"/>
    <w:rsid w:val="00D96CFE"/>
    <w:rsid w:val="00D96EB9"/>
    <w:rsid w:val="00D96EBB"/>
    <w:rsid w:val="00D96EC0"/>
    <w:rsid w:val="00D96F4F"/>
    <w:rsid w:val="00D970A5"/>
    <w:rsid w:val="00D97174"/>
    <w:rsid w:val="00D971DC"/>
    <w:rsid w:val="00D97380"/>
    <w:rsid w:val="00D97706"/>
    <w:rsid w:val="00D9780B"/>
    <w:rsid w:val="00D9791E"/>
    <w:rsid w:val="00D9792E"/>
    <w:rsid w:val="00D97A08"/>
    <w:rsid w:val="00DA01CB"/>
    <w:rsid w:val="00DA0691"/>
    <w:rsid w:val="00DA0764"/>
    <w:rsid w:val="00DA07DE"/>
    <w:rsid w:val="00DA09BC"/>
    <w:rsid w:val="00DA0A94"/>
    <w:rsid w:val="00DA0AB4"/>
    <w:rsid w:val="00DA0BF5"/>
    <w:rsid w:val="00DA0CC9"/>
    <w:rsid w:val="00DA0D5D"/>
    <w:rsid w:val="00DA100F"/>
    <w:rsid w:val="00DA10C0"/>
    <w:rsid w:val="00DA1181"/>
    <w:rsid w:val="00DA11B4"/>
    <w:rsid w:val="00DA11CD"/>
    <w:rsid w:val="00DA1226"/>
    <w:rsid w:val="00DA131E"/>
    <w:rsid w:val="00DA1558"/>
    <w:rsid w:val="00DA194D"/>
    <w:rsid w:val="00DA1AF7"/>
    <w:rsid w:val="00DA1B3E"/>
    <w:rsid w:val="00DA1C59"/>
    <w:rsid w:val="00DA1C8E"/>
    <w:rsid w:val="00DA1D20"/>
    <w:rsid w:val="00DA1D67"/>
    <w:rsid w:val="00DA1E03"/>
    <w:rsid w:val="00DA1F15"/>
    <w:rsid w:val="00DA1FF7"/>
    <w:rsid w:val="00DA20A8"/>
    <w:rsid w:val="00DA2142"/>
    <w:rsid w:val="00DA2153"/>
    <w:rsid w:val="00DA21AF"/>
    <w:rsid w:val="00DA2588"/>
    <w:rsid w:val="00DA25FD"/>
    <w:rsid w:val="00DA2A20"/>
    <w:rsid w:val="00DA2BEA"/>
    <w:rsid w:val="00DA2CB0"/>
    <w:rsid w:val="00DA2CD0"/>
    <w:rsid w:val="00DA2DC6"/>
    <w:rsid w:val="00DA2E27"/>
    <w:rsid w:val="00DA2E6F"/>
    <w:rsid w:val="00DA3295"/>
    <w:rsid w:val="00DA32B4"/>
    <w:rsid w:val="00DA3352"/>
    <w:rsid w:val="00DA35E7"/>
    <w:rsid w:val="00DA3649"/>
    <w:rsid w:val="00DA36AA"/>
    <w:rsid w:val="00DA379B"/>
    <w:rsid w:val="00DA38A7"/>
    <w:rsid w:val="00DA38C3"/>
    <w:rsid w:val="00DA3A32"/>
    <w:rsid w:val="00DA3A98"/>
    <w:rsid w:val="00DA3CC5"/>
    <w:rsid w:val="00DA3F1A"/>
    <w:rsid w:val="00DA3F78"/>
    <w:rsid w:val="00DA40A9"/>
    <w:rsid w:val="00DA4325"/>
    <w:rsid w:val="00DA459D"/>
    <w:rsid w:val="00DA4725"/>
    <w:rsid w:val="00DA499E"/>
    <w:rsid w:val="00DA4A9E"/>
    <w:rsid w:val="00DA4B31"/>
    <w:rsid w:val="00DA4B3E"/>
    <w:rsid w:val="00DA4F59"/>
    <w:rsid w:val="00DA4F9A"/>
    <w:rsid w:val="00DA5077"/>
    <w:rsid w:val="00DA50CC"/>
    <w:rsid w:val="00DA50E7"/>
    <w:rsid w:val="00DA545E"/>
    <w:rsid w:val="00DA54F7"/>
    <w:rsid w:val="00DA58CC"/>
    <w:rsid w:val="00DA5936"/>
    <w:rsid w:val="00DA59CA"/>
    <w:rsid w:val="00DA59F4"/>
    <w:rsid w:val="00DA5B3C"/>
    <w:rsid w:val="00DA5C75"/>
    <w:rsid w:val="00DA5D7E"/>
    <w:rsid w:val="00DA61D2"/>
    <w:rsid w:val="00DA62C9"/>
    <w:rsid w:val="00DA634B"/>
    <w:rsid w:val="00DA686B"/>
    <w:rsid w:val="00DA6940"/>
    <w:rsid w:val="00DA6B2C"/>
    <w:rsid w:val="00DA6B36"/>
    <w:rsid w:val="00DA6FCD"/>
    <w:rsid w:val="00DA7045"/>
    <w:rsid w:val="00DA7356"/>
    <w:rsid w:val="00DA7428"/>
    <w:rsid w:val="00DA75AD"/>
    <w:rsid w:val="00DA7872"/>
    <w:rsid w:val="00DA78DF"/>
    <w:rsid w:val="00DA7995"/>
    <w:rsid w:val="00DA7AD6"/>
    <w:rsid w:val="00DA7C6F"/>
    <w:rsid w:val="00DA7D14"/>
    <w:rsid w:val="00DA7DAB"/>
    <w:rsid w:val="00DA7DD4"/>
    <w:rsid w:val="00DA7DFF"/>
    <w:rsid w:val="00DA7E0A"/>
    <w:rsid w:val="00DB00D6"/>
    <w:rsid w:val="00DB0168"/>
    <w:rsid w:val="00DB0367"/>
    <w:rsid w:val="00DB0379"/>
    <w:rsid w:val="00DB055F"/>
    <w:rsid w:val="00DB0625"/>
    <w:rsid w:val="00DB0795"/>
    <w:rsid w:val="00DB0869"/>
    <w:rsid w:val="00DB0957"/>
    <w:rsid w:val="00DB0967"/>
    <w:rsid w:val="00DB0A02"/>
    <w:rsid w:val="00DB0A16"/>
    <w:rsid w:val="00DB0A5E"/>
    <w:rsid w:val="00DB0A70"/>
    <w:rsid w:val="00DB0BAD"/>
    <w:rsid w:val="00DB0C57"/>
    <w:rsid w:val="00DB0D04"/>
    <w:rsid w:val="00DB0E05"/>
    <w:rsid w:val="00DB0E91"/>
    <w:rsid w:val="00DB0FFD"/>
    <w:rsid w:val="00DB1013"/>
    <w:rsid w:val="00DB1022"/>
    <w:rsid w:val="00DB11F8"/>
    <w:rsid w:val="00DB125C"/>
    <w:rsid w:val="00DB12CA"/>
    <w:rsid w:val="00DB159D"/>
    <w:rsid w:val="00DB176F"/>
    <w:rsid w:val="00DB1869"/>
    <w:rsid w:val="00DB1926"/>
    <w:rsid w:val="00DB199A"/>
    <w:rsid w:val="00DB1AFA"/>
    <w:rsid w:val="00DB1BCD"/>
    <w:rsid w:val="00DB1C6D"/>
    <w:rsid w:val="00DB1CF0"/>
    <w:rsid w:val="00DB1DB1"/>
    <w:rsid w:val="00DB1DDF"/>
    <w:rsid w:val="00DB1EDD"/>
    <w:rsid w:val="00DB1F70"/>
    <w:rsid w:val="00DB22B4"/>
    <w:rsid w:val="00DB249B"/>
    <w:rsid w:val="00DB26EC"/>
    <w:rsid w:val="00DB278C"/>
    <w:rsid w:val="00DB2A09"/>
    <w:rsid w:val="00DB2A1C"/>
    <w:rsid w:val="00DB2A55"/>
    <w:rsid w:val="00DB2A56"/>
    <w:rsid w:val="00DB2DD3"/>
    <w:rsid w:val="00DB2EA7"/>
    <w:rsid w:val="00DB2F8C"/>
    <w:rsid w:val="00DB2FAE"/>
    <w:rsid w:val="00DB30E1"/>
    <w:rsid w:val="00DB32BE"/>
    <w:rsid w:val="00DB3655"/>
    <w:rsid w:val="00DB3811"/>
    <w:rsid w:val="00DB39EB"/>
    <w:rsid w:val="00DB3A87"/>
    <w:rsid w:val="00DB3CBC"/>
    <w:rsid w:val="00DB3D7F"/>
    <w:rsid w:val="00DB3ED0"/>
    <w:rsid w:val="00DB3FEC"/>
    <w:rsid w:val="00DB40A5"/>
    <w:rsid w:val="00DB41A0"/>
    <w:rsid w:val="00DB425F"/>
    <w:rsid w:val="00DB4334"/>
    <w:rsid w:val="00DB4372"/>
    <w:rsid w:val="00DB4464"/>
    <w:rsid w:val="00DB4513"/>
    <w:rsid w:val="00DB45AC"/>
    <w:rsid w:val="00DB4670"/>
    <w:rsid w:val="00DB47F1"/>
    <w:rsid w:val="00DB48EC"/>
    <w:rsid w:val="00DB49F1"/>
    <w:rsid w:val="00DB4B52"/>
    <w:rsid w:val="00DB4BDD"/>
    <w:rsid w:val="00DB4BEA"/>
    <w:rsid w:val="00DB4BEB"/>
    <w:rsid w:val="00DB4D1B"/>
    <w:rsid w:val="00DB4DF6"/>
    <w:rsid w:val="00DB4F3F"/>
    <w:rsid w:val="00DB508C"/>
    <w:rsid w:val="00DB50AD"/>
    <w:rsid w:val="00DB523D"/>
    <w:rsid w:val="00DB55FA"/>
    <w:rsid w:val="00DB565D"/>
    <w:rsid w:val="00DB56D1"/>
    <w:rsid w:val="00DB59C0"/>
    <w:rsid w:val="00DB5D66"/>
    <w:rsid w:val="00DB5F3F"/>
    <w:rsid w:val="00DB5F55"/>
    <w:rsid w:val="00DB6188"/>
    <w:rsid w:val="00DB64D9"/>
    <w:rsid w:val="00DB6603"/>
    <w:rsid w:val="00DB663C"/>
    <w:rsid w:val="00DB67D0"/>
    <w:rsid w:val="00DB6CD5"/>
    <w:rsid w:val="00DB6DE4"/>
    <w:rsid w:val="00DB6E4B"/>
    <w:rsid w:val="00DB6E86"/>
    <w:rsid w:val="00DB6EAC"/>
    <w:rsid w:val="00DB6EF6"/>
    <w:rsid w:val="00DB7095"/>
    <w:rsid w:val="00DB7219"/>
    <w:rsid w:val="00DB7299"/>
    <w:rsid w:val="00DB7314"/>
    <w:rsid w:val="00DB74C6"/>
    <w:rsid w:val="00DB773F"/>
    <w:rsid w:val="00DB7769"/>
    <w:rsid w:val="00DB787B"/>
    <w:rsid w:val="00DB7930"/>
    <w:rsid w:val="00DB7B2E"/>
    <w:rsid w:val="00DB7B43"/>
    <w:rsid w:val="00DB7DAD"/>
    <w:rsid w:val="00DB7F09"/>
    <w:rsid w:val="00DB7FFE"/>
    <w:rsid w:val="00DC00E8"/>
    <w:rsid w:val="00DC018B"/>
    <w:rsid w:val="00DC0451"/>
    <w:rsid w:val="00DC052D"/>
    <w:rsid w:val="00DC05F1"/>
    <w:rsid w:val="00DC07B9"/>
    <w:rsid w:val="00DC07BD"/>
    <w:rsid w:val="00DC07EF"/>
    <w:rsid w:val="00DC0921"/>
    <w:rsid w:val="00DC094D"/>
    <w:rsid w:val="00DC097A"/>
    <w:rsid w:val="00DC0C4E"/>
    <w:rsid w:val="00DC0CC1"/>
    <w:rsid w:val="00DC0D1B"/>
    <w:rsid w:val="00DC0D61"/>
    <w:rsid w:val="00DC0E32"/>
    <w:rsid w:val="00DC0EED"/>
    <w:rsid w:val="00DC0F76"/>
    <w:rsid w:val="00DC111F"/>
    <w:rsid w:val="00DC116D"/>
    <w:rsid w:val="00DC135D"/>
    <w:rsid w:val="00DC135E"/>
    <w:rsid w:val="00DC1438"/>
    <w:rsid w:val="00DC14AA"/>
    <w:rsid w:val="00DC14B0"/>
    <w:rsid w:val="00DC14B8"/>
    <w:rsid w:val="00DC15F0"/>
    <w:rsid w:val="00DC161A"/>
    <w:rsid w:val="00DC188D"/>
    <w:rsid w:val="00DC197E"/>
    <w:rsid w:val="00DC1A19"/>
    <w:rsid w:val="00DC1B96"/>
    <w:rsid w:val="00DC1C0D"/>
    <w:rsid w:val="00DC1E21"/>
    <w:rsid w:val="00DC1E2B"/>
    <w:rsid w:val="00DC2160"/>
    <w:rsid w:val="00DC2199"/>
    <w:rsid w:val="00DC244E"/>
    <w:rsid w:val="00DC25BB"/>
    <w:rsid w:val="00DC25ED"/>
    <w:rsid w:val="00DC2662"/>
    <w:rsid w:val="00DC27A7"/>
    <w:rsid w:val="00DC2858"/>
    <w:rsid w:val="00DC28A8"/>
    <w:rsid w:val="00DC28AE"/>
    <w:rsid w:val="00DC28D6"/>
    <w:rsid w:val="00DC294A"/>
    <w:rsid w:val="00DC2951"/>
    <w:rsid w:val="00DC29F8"/>
    <w:rsid w:val="00DC29FC"/>
    <w:rsid w:val="00DC2B0A"/>
    <w:rsid w:val="00DC2C27"/>
    <w:rsid w:val="00DC2E8B"/>
    <w:rsid w:val="00DC301B"/>
    <w:rsid w:val="00DC3042"/>
    <w:rsid w:val="00DC3148"/>
    <w:rsid w:val="00DC315B"/>
    <w:rsid w:val="00DC3451"/>
    <w:rsid w:val="00DC3498"/>
    <w:rsid w:val="00DC3520"/>
    <w:rsid w:val="00DC3807"/>
    <w:rsid w:val="00DC380A"/>
    <w:rsid w:val="00DC3927"/>
    <w:rsid w:val="00DC39BC"/>
    <w:rsid w:val="00DC3C38"/>
    <w:rsid w:val="00DC3C87"/>
    <w:rsid w:val="00DC3DA4"/>
    <w:rsid w:val="00DC3DDF"/>
    <w:rsid w:val="00DC3E3F"/>
    <w:rsid w:val="00DC3E71"/>
    <w:rsid w:val="00DC3F37"/>
    <w:rsid w:val="00DC3FD7"/>
    <w:rsid w:val="00DC4257"/>
    <w:rsid w:val="00DC42BC"/>
    <w:rsid w:val="00DC461C"/>
    <w:rsid w:val="00DC4769"/>
    <w:rsid w:val="00DC495B"/>
    <w:rsid w:val="00DC4C04"/>
    <w:rsid w:val="00DC4C7A"/>
    <w:rsid w:val="00DC50DB"/>
    <w:rsid w:val="00DC5153"/>
    <w:rsid w:val="00DC515E"/>
    <w:rsid w:val="00DC530A"/>
    <w:rsid w:val="00DC5342"/>
    <w:rsid w:val="00DC5350"/>
    <w:rsid w:val="00DC5475"/>
    <w:rsid w:val="00DC554D"/>
    <w:rsid w:val="00DC5785"/>
    <w:rsid w:val="00DC57ED"/>
    <w:rsid w:val="00DC5B02"/>
    <w:rsid w:val="00DC5CB7"/>
    <w:rsid w:val="00DC5DA0"/>
    <w:rsid w:val="00DC5DB2"/>
    <w:rsid w:val="00DC5F69"/>
    <w:rsid w:val="00DC5FF4"/>
    <w:rsid w:val="00DC609D"/>
    <w:rsid w:val="00DC616B"/>
    <w:rsid w:val="00DC61E2"/>
    <w:rsid w:val="00DC64B8"/>
    <w:rsid w:val="00DC6524"/>
    <w:rsid w:val="00DC65F0"/>
    <w:rsid w:val="00DC6651"/>
    <w:rsid w:val="00DC667D"/>
    <w:rsid w:val="00DC6723"/>
    <w:rsid w:val="00DC6727"/>
    <w:rsid w:val="00DC6AB1"/>
    <w:rsid w:val="00DC6C3B"/>
    <w:rsid w:val="00DC6C40"/>
    <w:rsid w:val="00DC7101"/>
    <w:rsid w:val="00DC71BE"/>
    <w:rsid w:val="00DC7514"/>
    <w:rsid w:val="00DC7787"/>
    <w:rsid w:val="00DC783E"/>
    <w:rsid w:val="00DC788D"/>
    <w:rsid w:val="00DC78EF"/>
    <w:rsid w:val="00DC7A7A"/>
    <w:rsid w:val="00DC7B31"/>
    <w:rsid w:val="00DC7B6B"/>
    <w:rsid w:val="00DC7DC5"/>
    <w:rsid w:val="00DD016D"/>
    <w:rsid w:val="00DD0556"/>
    <w:rsid w:val="00DD05B1"/>
    <w:rsid w:val="00DD0CCC"/>
    <w:rsid w:val="00DD0CE7"/>
    <w:rsid w:val="00DD0CF6"/>
    <w:rsid w:val="00DD0D1F"/>
    <w:rsid w:val="00DD0DD4"/>
    <w:rsid w:val="00DD0E3E"/>
    <w:rsid w:val="00DD0EA2"/>
    <w:rsid w:val="00DD0FF4"/>
    <w:rsid w:val="00DD1172"/>
    <w:rsid w:val="00DD1775"/>
    <w:rsid w:val="00DD1887"/>
    <w:rsid w:val="00DD1A2C"/>
    <w:rsid w:val="00DD1AFB"/>
    <w:rsid w:val="00DD1CA0"/>
    <w:rsid w:val="00DD1D18"/>
    <w:rsid w:val="00DD1F3A"/>
    <w:rsid w:val="00DD2233"/>
    <w:rsid w:val="00DD22F7"/>
    <w:rsid w:val="00DD2310"/>
    <w:rsid w:val="00DD23BB"/>
    <w:rsid w:val="00DD24B5"/>
    <w:rsid w:val="00DD2621"/>
    <w:rsid w:val="00DD26BE"/>
    <w:rsid w:val="00DD27F5"/>
    <w:rsid w:val="00DD297A"/>
    <w:rsid w:val="00DD29EB"/>
    <w:rsid w:val="00DD2C45"/>
    <w:rsid w:val="00DD2D87"/>
    <w:rsid w:val="00DD2D8D"/>
    <w:rsid w:val="00DD2E2A"/>
    <w:rsid w:val="00DD303E"/>
    <w:rsid w:val="00DD30EE"/>
    <w:rsid w:val="00DD3318"/>
    <w:rsid w:val="00DD33CF"/>
    <w:rsid w:val="00DD3410"/>
    <w:rsid w:val="00DD3441"/>
    <w:rsid w:val="00DD3689"/>
    <w:rsid w:val="00DD37AD"/>
    <w:rsid w:val="00DD3AC7"/>
    <w:rsid w:val="00DD3AF5"/>
    <w:rsid w:val="00DD3EFE"/>
    <w:rsid w:val="00DD3FC5"/>
    <w:rsid w:val="00DD4027"/>
    <w:rsid w:val="00DD41C5"/>
    <w:rsid w:val="00DD4213"/>
    <w:rsid w:val="00DD4571"/>
    <w:rsid w:val="00DD45B4"/>
    <w:rsid w:val="00DD49A0"/>
    <w:rsid w:val="00DD49E6"/>
    <w:rsid w:val="00DD4AFB"/>
    <w:rsid w:val="00DD4C76"/>
    <w:rsid w:val="00DD4CC0"/>
    <w:rsid w:val="00DD4D05"/>
    <w:rsid w:val="00DD4E77"/>
    <w:rsid w:val="00DD51D5"/>
    <w:rsid w:val="00DD5344"/>
    <w:rsid w:val="00DD5589"/>
    <w:rsid w:val="00DD56B7"/>
    <w:rsid w:val="00DD5708"/>
    <w:rsid w:val="00DD5731"/>
    <w:rsid w:val="00DD5970"/>
    <w:rsid w:val="00DD5982"/>
    <w:rsid w:val="00DD5990"/>
    <w:rsid w:val="00DD59DC"/>
    <w:rsid w:val="00DD5B06"/>
    <w:rsid w:val="00DD5C12"/>
    <w:rsid w:val="00DD5F38"/>
    <w:rsid w:val="00DD5F6E"/>
    <w:rsid w:val="00DD610F"/>
    <w:rsid w:val="00DD62CC"/>
    <w:rsid w:val="00DD62D1"/>
    <w:rsid w:val="00DD642B"/>
    <w:rsid w:val="00DD6473"/>
    <w:rsid w:val="00DD6673"/>
    <w:rsid w:val="00DD6704"/>
    <w:rsid w:val="00DD686D"/>
    <w:rsid w:val="00DD6B07"/>
    <w:rsid w:val="00DD6CBD"/>
    <w:rsid w:val="00DD727F"/>
    <w:rsid w:val="00DD72CB"/>
    <w:rsid w:val="00DD758A"/>
    <w:rsid w:val="00DD779D"/>
    <w:rsid w:val="00DD77B8"/>
    <w:rsid w:val="00DD783D"/>
    <w:rsid w:val="00DD7941"/>
    <w:rsid w:val="00DD794F"/>
    <w:rsid w:val="00DD7A9C"/>
    <w:rsid w:val="00DE04EF"/>
    <w:rsid w:val="00DE0540"/>
    <w:rsid w:val="00DE055F"/>
    <w:rsid w:val="00DE06F3"/>
    <w:rsid w:val="00DE0768"/>
    <w:rsid w:val="00DE09C4"/>
    <w:rsid w:val="00DE0A4C"/>
    <w:rsid w:val="00DE0B38"/>
    <w:rsid w:val="00DE0D15"/>
    <w:rsid w:val="00DE11C5"/>
    <w:rsid w:val="00DE1347"/>
    <w:rsid w:val="00DE1483"/>
    <w:rsid w:val="00DE17D1"/>
    <w:rsid w:val="00DE1861"/>
    <w:rsid w:val="00DE199B"/>
    <w:rsid w:val="00DE1B7A"/>
    <w:rsid w:val="00DE1B89"/>
    <w:rsid w:val="00DE1D63"/>
    <w:rsid w:val="00DE2098"/>
    <w:rsid w:val="00DE217B"/>
    <w:rsid w:val="00DE21F2"/>
    <w:rsid w:val="00DE224D"/>
    <w:rsid w:val="00DE23C4"/>
    <w:rsid w:val="00DE240E"/>
    <w:rsid w:val="00DE24B8"/>
    <w:rsid w:val="00DE24F4"/>
    <w:rsid w:val="00DE26B8"/>
    <w:rsid w:val="00DE2B52"/>
    <w:rsid w:val="00DE2C03"/>
    <w:rsid w:val="00DE2E8A"/>
    <w:rsid w:val="00DE31F2"/>
    <w:rsid w:val="00DE33A1"/>
    <w:rsid w:val="00DE33CF"/>
    <w:rsid w:val="00DE35C0"/>
    <w:rsid w:val="00DE3698"/>
    <w:rsid w:val="00DE3790"/>
    <w:rsid w:val="00DE3893"/>
    <w:rsid w:val="00DE3A8B"/>
    <w:rsid w:val="00DE3DC4"/>
    <w:rsid w:val="00DE3E7C"/>
    <w:rsid w:val="00DE3FC2"/>
    <w:rsid w:val="00DE4033"/>
    <w:rsid w:val="00DE40D6"/>
    <w:rsid w:val="00DE432D"/>
    <w:rsid w:val="00DE45D2"/>
    <w:rsid w:val="00DE474B"/>
    <w:rsid w:val="00DE4A91"/>
    <w:rsid w:val="00DE4AF4"/>
    <w:rsid w:val="00DE4B15"/>
    <w:rsid w:val="00DE4BA6"/>
    <w:rsid w:val="00DE4BAD"/>
    <w:rsid w:val="00DE4EE4"/>
    <w:rsid w:val="00DE525D"/>
    <w:rsid w:val="00DE5352"/>
    <w:rsid w:val="00DE537A"/>
    <w:rsid w:val="00DE552A"/>
    <w:rsid w:val="00DE558C"/>
    <w:rsid w:val="00DE5592"/>
    <w:rsid w:val="00DE573E"/>
    <w:rsid w:val="00DE5811"/>
    <w:rsid w:val="00DE5887"/>
    <w:rsid w:val="00DE5C50"/>
    <w:rsid w:val="00DE5E2E"/>
    <w:rsid w:val="00DE630C"/>
    <w:rsid w:val="00DE641B"/>
    <w:rsid w:val="00DE64E7"/>
    <w:rsid w:val="00DE6863"/>
    <w:rsid w:val="00DE68A7"/>
    <w:rsid w:val="00DE6A32"/>
    <w:rsid w:val="00DE6A7A"/>
    <w:rsid w:val="00DE73BC"/>
    <w:rsid w:val="00DE748E"/>
    <w:rsid w:val="00DE74EC"/>
    <w:rsid w:val="00DE766C"/>
    <w:rsid w:val="00DE768E"/>
    <w:rsid w:val="00DE79B0"/>
    <w:rsid w:val="00DE79ED"/>
    <w:rsid w:val="00DE79F6"/>
    <w:rsid w:val="00DE7A44"/>
    <w:rsid w:val="00DE7ACC"/>
    <w:rsid w:val="00DE7CEA"/>
    <w:rsid w:val="00DE7D1D"/>
    <w:rsid w:val="00DE7D41"/>
    <w:rsid w:val="00DE7F44"/>
    <w:rsid w:val="00DF002C"/>
    <w:rsid w:val="00DF01D2"/>
    <w:rsid w:val="00DF0534"/>
    <w:rsid w:val="00DF0535"/>
    <w:rsid w:val="00DF07FC"/>
    <w:rsid w:val="00DF0879"/>
    <w:rsid w:val="00DF0990"/>
    <w:rsid w:val="00DF099C"/>
    <w:rsid w:val="00DF0A6A"/>
    <w:rsid w:val="00DF0BD7"/>
    <w:rsid w:val="00DF0E9C"/>
    <w:rsid w:val="00DF0F63"/>
    <w:rsid w:val="00DF0F81"/>
    <w:rsid w:val="00DF114F"/>
    <w:rsid w:val="00DF134C"/>
    <w:rsid w:val="00DF15D4"/>
    <w:rsid w:val="00DF1724"/>
    <w:rsid w:val="00DF1777"/>
    <w:rsid w:val="00DF1916"/>
    <w:rsid w:val="00DF1950"/>
    <w:rsid w:val="00DF19CA"/>
    <w:rsid w:val="00DF1A35"/>
    <w:rsid w:val="00DF1AA4"/>
    <w:rsid w:val="00DF1B21"/>
    <w:rsid w:val="00DF1B6A"/>
    <w:rsid w:val="00DF1C5E"/>
    <w:rsid w:val="00DF1CB5"/>
    <w:rsid w:val="00DF1D25"/>
    <w:rsid w:val="00DF1D39"/>
    <w:rsid w:val="00DF1D5A"/>
    <w:rsid w:val="00DF1E4F"/>
    <w:rsid w:val="00DF2092"/>
    <w:rsid w:val="00DF20BD"/>
    <w:rsid w:val="00DF21C6"/>
    <w:rsid w:val="00DF2302"/>
    <w:rsid w:val="00DF242D"/>
    <w:rsid w:val="00DF24F7"/>
    <w:rsid w:val="00DF2591"/>
    <w:rsid w:val="00DF2649"/>
    <w:rsid w:val="00DF2703"/>
    <w:rsid w:val="00DF2730"/>
    <w:rsid w:val="00DF27B1"/>
    <w:rsid w:val="00DF27C0"/>
    <w:rsid w:val="00DF28B3"/>
    <w:rsid w:val="00DF2B32"/>
    <w:rsid w:val="00DF2D7E"/>
    <w:rsid w:val="00DF2E65"/>
    <w:rsid w:val="00DF2E94"/>
    <w:rsid w:val="00DF2E9B"/>
    <w:rsid w:val="00DF2FDE"/>
    <w:rsid w:val="00DF3040"/>
    <w:rsid w:val="00DF3110"/>
    <w:rsid w:val="00DF318E"/>
    <w:rsid w:val="00DF34FA"/>
    <w:rsid w:val="00DF35CB"/>
    <w:rsid w:val="00DF36F0"/>
    <w:rsid w:val="00DF3A02"/>
    <w:rsid w:val="00DF3AF6"/>
    <w:rsid w:val="00DF3DF0"/>
    <w:rsid w:val="00DF41C6"/>
    <w:rsid w:val="00DF4234"/>
    <w:rsid w:val="00DF4384"/>
    <w:rsid w:val="00DF44DA"/>
    <w:rsid w:val="00DF45EC"/>
    <w:rsid w:val="00DF45F3"/>
    <w:rsid w:val="00DF47AB"/>
    <w:rsid w:val="00DF4A74"/>
    <w:rsid w:val="00DF4C9B"/>
    <w:rsid w:val="00DF4D0A"/>
    <w:rsid w:val="00DF4E75"/>
    <w:rsid w:val="00DF5123"/>
    <w:rsid w:val="00DF541F"/>
    <w:rsid w:val="00DF54DD"/>
    <w:rsid w:val="00DF56E2"/>
    <w:rsid w:val="00DF589D"/>
    <w:rsid w:val="00DF58CC"/>
    <w:rsid w:val="00DF5A0B"/>
    <w:rsid w:val="00DF5AAC"/>
    <w:rsid w:val="00DF5C51"/>
    <w:rsid w:val="00DF5D5E"/>
    <w:rsid w:val="00DF5E77"/>
    <w:rsid w:val="00DF5F5D"/>
    <w:rsid w:val="00DF636A"/>
    <w:rsid w:val="00DF6575"/>
    <w:rsid w:val="00DF661B"/>
    <w:rsid w:val="00DF6673"/>
    <w:rsid w:val="00DF66BC"/>
    <w:rsid w:val="00DF69DA"/>
    <w:rsid w:val="00DF6E03"/>
    <w:rsid w:val="00DF7007"/>
    <w:rsid w:val="00DF7031"/>
    <w:rsid w:val="00DF7147"/>
    <w:rsid w:val="00DF7667"/>
    <w:rsid w:val="00DF7796"/>
    <w:rsid w:val="00DF779B"/>
    <w:rsid w:val="00DF78ED"/>
    <w:rsid w:val="00DF7952"/>
    <w:rsid w:val="00DF7A2A"/>
    <w:rsid w:val="00DF7CA9"/>
    <w:rsid w:val="00DF7CCA"/>
    <w:rsid w:val="00DF7E83"/>
    <w:rsid w:val="00E002A5"/>
    <w:rsid w:val="00E00311"/>
    <w:rsid w:val="00E003A7"/>
    <w:rsid w:val="00E0064A"/>
    <w:rsid w:val="00E006D9"/>
    <w:rsid w:val="00E008B1"/>
    <w:rsid w:val="00E00916"/>
    <w:rsid w:val="00E00AC8"/>
    <w:rsid w:val="00E00AF4"/>
    <w:rsid w:val="00E00B0B"/>
    <w:rsid w:val="00E00B60"/>
    <w:rsid w:val="00E00CAB"/>
    <w:rsid w:val="00E00D0B"/>
    <w:rsid w:val="00E00D1B"/>
    <w:rsid w:val="00E00D75"/>
    <w:rsid w:val="00E00F8C"/>
    <w:rsid w:val="00E01004"/>
    <w:rsid w:val="00E0101C"/>
    <w:rsid w:val="00E0112C"/>
    <w:rsid w:val="00E01298"/>
    <w:rsid w:val="00E01342"/>
    <w:rsid w:val="00E0135A"/>
    <w:rsid w:val="00E01522"/>
    <w:rsid w:val="00E0187A"/>
    <w:rsid w:val="00E018BB"/>
    <w:rsid w:val="00E019DC"/>
    <w:rsid w:val="00E01A49"/>
    <w:rsid w:val="00E01A96"/>
    <w:rsid w:val="00E01AA4"/>
    <w:rsid w:val="00E01B17"/>
    <w:rsid w:val="00E01B93"/>
    <w:rsid w:val="00E01BDF"/>
    <w:rsid w:val="00E01C48"/>
    <w:rsid w:val="00E01CEF"/>
    <w:rsid w:val="00E01CFF"/>
    <w:rsid w:val="00E01E84"/>
    <w:rsid w:val="00E01F1B"/>
    <w:rsid w:val="00E023FA"/>
    <w:rsid w:val="00E024DC"/>
    <w:rsid w:val="00E0259B"/>
    <w:rsid w:val="00E0298A"/>
    <w:rsid w:val="00E02A65"/>
    <w:rsid w:val="00E02AA2"/>
    <w:rsid w:val="00E02B2E"/>
    <w:rsid w:val="00E02B6E"/>
    <w:rsid w:val="00E02BC2"/>
    <w:rsid w:val="00E02E42"/>
    <w:rsid w:val="00E02E86"/>
    <w:rsid w:val="00E02F97"/>
    <w:rsid w:val="00E032C8"/>
    <w:rsid w:val="00E034C6"/>
    <w:rsid w:val="00E03E37"/>
    <w:rsid w:val="00E03E4C"/>
    <w:rsid w:val="00E03E82"/>
    <w:rsid w:val="00E03F38"/>
    <w:rsid w:val="00E03FD9"/>
    <w:rsid w:val="00E0402C"/>
    <w:rsid w:val="00E0419D"/>
    <w:rsid w:val="00E041DF"/>
    <w:rsid w:val="00E04393"/>
    <w:rsid w:val="00E043F0"/>
    <w:rsid w:val="00E045EC"/>
    <w:rsid w:val="00E0462B"/>
    <w:rsid w:val="00E046A7"/>
    <w:rsid w:val="00E04708"/>
    <w:rsid w:val="00E04769"/>
    <w:rsid w:val="00E04869"/>
    <w:rsid w:val="00E049AF"/>
    <w:rsid w:val="00E04AB8"/>
    <w:rsid w:val="00E0506A"/>
    <w:rsid w:val="00E0508F"/>
    <w:rsid w:val="00E052A6"/>
    <w:rsid w:val="00E05474"/>
    <w:rsid w:val="00E05637"/>
    <w:rsid w:val="00E05A01"/>
    <w:rsid w:val="00E05A23"/>
    <w:rsid w:val="00E05A8E"/>
    <w:rsid w:val="00E05BA9"/>
    <w:rsid w:val="00E05CA0"/>
    <w:rsid w:val="00E05CC2"/>
    <w:rsid w:val="00E05CF7"/>
    <w:rsid w:val="00E05DDF"/>
    <w:rsid w:val="00E05EE0"/>
    <w:rsid w:val="00E062B4"/>
    <w:rsid w:val="00E06376"/>
    <w:rsid w:val="00E06453"/>
    <w:rsid w:val="00E0652D"/>
    <w:rsid w:val="00E06739"/>
    <w:rsid w:val="00E06A7C"/>
    <w:rsid w:val="00E06AEF"/>
    <w:rsid w:val="00E06B34"/>
    <w:rsid w:val="00E06C19"/>
    <w:rsid w:val="00E06EE4"/>
    <w:rsid w:val="00E071DE"/>
    <w:rsid w:val="00E07357"/>
    <w:rsid w:val="00E074C5"/>
    <w:rsid w:val="00E074FB"/>
    <w:rsid w:val="00E0750E"/>
    <w:rsid w:val="00E0766B"/>
    <w:rsid w:val="00E076EC"/>
    <w:rsid w:val="00E077AE"/>
    <w:rsid w:val="00E078E0"/>
    <w:rsid w:val="00E079B0"/>
    <w:rsid w:val="00E07B9B"/>
    <w:rsid w:val="00E07D8A"/>
    <w:rsid w:val="00E07D96"/>
    <w:rsid w:val="00E10013"/>
    <w:rsid w:val="00E10199"/>
    <w:rsid w:val="00E10472"/>
    <w:rsid w:val="00E10645"/>
    <w:rsid w:val="00E106CF"/>
    <w:rsid w:val="00E10A0D"/>
    <w:rsid w:val="00E10B37"/>
    <w:rsid w:val="00E10C31"/>
    <w:rsid w:val="00E10CAB"/>
    <w:rsid w:val="00E10D39"/>
    <w:rsid w:val="00E11195"/>
    <w:rsid w:val="00E111B8"/>
    <w:rsid w:val="00E11306"/>
    <w:rsid w:val="00E1130A"/>
    <w:rsid w:val="00E11339"/>
    <w:rsid w:val="00E1136B"/>
    <w:rsid w:val="00E1138E"/>
    <w:rsid w:val="00E11619"/>
    <w:rsid w:val="00E1161D"/>
    <w:rsid w:val="00E116C2"/>
    <w:rsid w:val="00E117B6"/>
    <w:rsid w:val="00E118AA"/>
    <w:rsid w:val="00E1196A"/>
    <w:rsid w:val="00E119F5"/>
    <w:rsid w:val="00E11AA1"/>
    <w:rsid w:val="00E11D50"/>
    <w:rsid w:val="00E11F61"/>
    <w:rsid w:val="00E120CE"/>
    <w:rsid w:val="00E12272"/>
    <w:rsid w:val="00E122F8"/>
    <w:rsid w:val="00E12651"/>
    <w:rsid w:val="00E1275E"/>
    <w:rsid w:val="00E12829"/>
    <w:rsid w:val="00E1294A"/>
    <w:rsid w:val="00E12ADA"/>
    <w:rsid w:val="00E12B6D"/>
    <w:rsid w:val="00E12CC3"/>
    <w:rsid w:val="00E12CD9"/>
    <w:rsid w:val="00E12DB5"/>
    <w:rsid w:val="00E12ED3"/>
    <w:rsid w:val="00E13131"/>
    <w:rsid w:val="00E13283"/>
    <w:rsid w:val="00E13517"/>
    <w:rsid w:val="00E13530"/>
    <w:rsid w:val="00E1376C"/>
    <w:rsid w:val="00E1387E"/>
    <w:rsid w:val="00E1388A"/>
    <w:rsid w:val="00E13971"/>
    <w:rsid w:val="00E139C0"/>
    <w:rsid w:val="00E13A17"/>
    <w:rsid w:val="00E13AE7"/>
    <w:rsid w:val="00E13C1C"/>
    <w:rsid w:val="00E13C33"/>
    <w:rsid w:val="00E13C34"/>
    <w:rsid w:val="00E13CDF"/>
    <w:rsid w:val="00E13CEE"/>
    <w:rsid w:val="00E13E7B"/>
    <w:rsid w:val="00E13E90"/>
    <w:rsid w:val="00E13EA3"/>
    <w:rsid w:val="00E13F0F"/>
    <w:rsid w:val="00E13F91"/>
    <w:rsid w:val="00E1416C"/>
    <w:rsid w:val="00E141FF"/>
    <w:rsid w:val="00E14277"/>
    <w:rsid w:val="00E1430A"/>
    <w:rsid w:val="00E147C2"/>
    <w:rsid w:val="00E1497E"/>
    <w:rsid w:val="00E14B3A"/>
    <w:rsid w:val="00E14C34"/>
    <w:rsid w:val="00E14D3F"/>
    <w:rsid w:val="00E14D4C"/>
    <w:rsid w:val="00E14D5F"/>
    <w:rsid w:val="00E14D82"/>
    <w:rsid w:val="00E14DAF"/>
    <w:rsid w:val="00E14EE4"/>
    <w:rsid w:val="00E14EFD"/>
    <w:rsid w:val="00E14FB4"/>
    <w:rsid w:val="00E14FE5"/>
    <w:rsid w:val="00E150A3"/>
    <w:rsid w:val="00E150E7"/>
    <w:rsid w:val="00E151C2"/>
    <w:rsid w:val="00E154A7"/>
    <w:rsid w:val="00E15643"/>
    <w:rsid w:val="00E15935"/>
    <w:rsid w:val="00E15ACA"/>
    <w:rsid w:val="00E15BF0"/>
    <w:rsid w:val="00E15F27"/>
    <w:rsid w:val="00E16382"/>
    <w:rsid w:val="00E16B31"/>
    <w:rsid w:val="00E16B46"/>
    <w:rsid w:val="00E16F60"/>
    <w:rsid w:val="00E16FB7"/>
    <w:rsid w:val="00E1717D"/>
    <w:rsid w:val="00E171A0"/>
    <w:rsid w:val="00E173BF"/>
    <w:rsid w:val="00E1741A"/>
    <w:rsid w:val="00E1756C"/>
    <w:rsid w:val="00E17597"/>
    <w:rsid w:val="00E17665"/>
    <w:rsid w:val="00E176E7"/>
    <w:rsid w:val="00E176FE"/>
    <w:rsid w:val="00E17733"/>
    <w:rsid w:val="00E177C8"/>
    <w:rsid w:val="00E178B1"/>
    <w:rsid w:val="00E179D3"/>
    <w:rsid w:val="00E17AEB"/>
    <w:rsid w:val="00E17E01"/>
    <w:rsid w:val="00E17E78"/>
    <w:rsid w:val="00E17EBB"/>
    <w:rsid w:val="00E17EC2"/>
    <w:rsid w:val="00E20097"/>
    <w:rsid w:val="00E200D2"/>
    <w:rsid w:val="00E20129"/>
    <w:rsid w:val="00E203F5"/>
    <w:rsid w:val="00E2043F"/>
    <w:rsid w:val="00E2065E"/>
    <w:rsid w:val="00E20907"/>
    <w:rsid w:val="00E20A20"/>
    <w:rsid w:val="00E20C59"/>
    <w:rsid w:val="00E20D2D"/>
    <w:rsid w:val="00E20D50"/>
    <w:rsid w:val="00E20F06"/>
    <w:rsid w:val="00E20F1E"/>
    <w:rsid w:val="00E21062"/>
    <w:rsid w:val="00E210B9"/>
    <w:rsid w:val="00E215D9"/>
    <w:rsid w:val="00E216EB"/>
    <w:rsid w:val="00E21795"/>
    <w:rsid w:val="00E21888"/>
    <w:rsid w:val="00E218A4"/>
    <w:rsid w:val="00E2190F"/>
    <w:rsid w:val="00E21ADE"/>
    <w:rsid w:val="00E21B43"/>
    <w:rsid w:val="00E21C69"/>
    <w:rsid w:val="00E21F00"/>
    <w:rsid w:val="00E21F1C"/>
    <w:rsid w:val="00E22023"/>
    <w:rsid w:val="00E22085"/>
    <w:rsid w:val="00E2215F"/>
    <w:rsid w:val="00E22299"/>
    <w:rsid w:val="00E2238A"/>
    <w:rsid w:val="00E22461"/>
    <w:rsid w:val="00E225AF"/>
    <w:rsid w:val="00E227E0"/>
    <w:rsid w:val="00E22B63"/>
    <w:rsid w:val="00E22CDF"/>
    <w:rsid w:val="00E22D36"/>
    <w:rsid w:val="00E22D51"/>
    <w:rsid w:val="00E22DA7"/>
    <w:rsid w:val="00E22F24"/>
    <w:rsid w:val="00E22F66"/>
    <w:rsid w:val="00E234FA"/>
    <w:rsid w:val="00E2357F"/>
    <w:rsid w:val="00E2374D"/>
    <w:rsid w:val="00E23789"/>
    <w:rsid w:val="00E2385D"/>
    <w:rsid w:val="00E23974"/>
    <w:rsid w:val="00E239EB"/>
    <w:rsid w:val="00E23BE8"/>
    <w:rsid w:val="00E23DA4"/>
    <w:rsid w:val="00E23F7A"/>
    <w:rsid w:val="00E2421D"/>
    <w:rsid w:val="00E24339"/>
    <w:rsid w:val="00E24480"/>
    <w:rsid w:val="00E245E6"/>
    <w:rsid w:val="00E24609"/>
    <w:rsid w:val="00E246F2"/>
    <w:rsid w:val="00E248F5"/>
    <w:rsid w:val="00E24C59"/>
    <w:rsid w:val="00E24D0D"/>
    <w:rsid w:val="00E24DA6"/>
    <w:rsid w:val="00E24EC3"/>
    <w:rsid w:val="00E25197"/>
    <w:rsid w:val="00E25239"/>
    <w:rsid w:val="00E2525F"/>
    <w:rsid w:val="00E252BF"/>
    <w:rsid w:val="00E25314"/>
    <w:rsid w:val="00E254B5"/>
    <w:rsid w:val="00E257ED"/>
    <w:rsid w:val="00E2589E"/>
    <w:rsid w:val="00E25A87"/>
    <w:rsid w:val="00E25BC3"/>
    <w:rsid w:val="00E25C70"/>
    <w:rsid w:val="00E25CCA"/>
    <w:rsid w:val="00E25E02"/>
    <w:rsid w:val="00E25E89"/>
    <w:rsid w:val="00E26109"/>
    <w:rsid w:val="00E262E2"/>
    <w:rsid w:val="00E26410"/>
    <w:rsid w:val="00E26471"/>
    <w:rsid w:val="00E265B9"/>
    <w:rsid w:val="00E2667C"/>
    <w:rsid w:val="00E26685"/>
    <w:rsid w:val="00E26781"/>
    <w:rsid w:val="00E267AC"/>
    <w:rsid w:val="00E26801"/>
    <w:rsid w:val="00E269FA"/>
    <w:rsid w:val="00E26B4B"/>
    <w:rsid w:val="00E26BFB"/>
    <w:rsid w:val="00E26E53"/>
    <w:rsid w:val="00E26E6A"/>
    <w:rsid w:val="00E26F09"/>
    <w:rsid w:val="00E2706A"/>
    <w:rsid w:val="00E270AA"/>
    <w:rsid w:val="00E2732F"/>
    <w:rsid w:val="00E273B1"/>
    <w:rsid w:val="00E27819"/>
    <w:rsid w:val="00E2789B"/>
    <w:rsid w:val="00E27947"/>
    <w:rsid w:val="00E27986"/>
    <w:rsid w:val="00E27D1F"/>
    <w:rsid w:val="00E27DF5"/>
    <w:rsid w:val="00E27F64"/>
    <w:rsid w:val="00E30038"/>
    <w:rsid w:val="00E3009E"/>
    <w:rsid w:val="00E300F7"/>
    <w:rsid w:val="00E3023C"/>
    <w:rsid w:val="00E30546"/>
    <w:rsid w:val="00E3083F"/>
    <w:rsid w:val="00E309A9"/>
    <w:rsid w:val="00E30AC8"/>
    <w:rsid w:val="00E30B98"/>
    <w:rsid w:val="00E30B9A"/>
    <w:rsid w:val="00E30BC8"/>
    <w:rsid w:val="00E30D1C"/>
    <w:rsid w:val="00E30D3C"/>
    <w:rsid w:val="00E30D72"/>
    <w:rsid w:val="00E30E0B"/>
    <w:rsid w:val="00E30F55"/>
    <w:rsid w:val="00E30FEB"/>
    <w:rsid w:val="00E310BD"/>
    <w:rsid w:val="00E310FA"/>
    <w:rsid w:val="00E312DB"/>
    <w:rsid w:val="00E313CD"/>
    <w:rsid w:val="00E313D7"/>
    <w:rsid w:val="00E3172D"/>
    <w:rsid w:val="00E317BD"/>
    <w:rsid w:val="00E31992"/>
    <w:rsid w:val="00E31A06"/>
    <w:rsid w:val="00E31A4F"/>
    <w:rsid w:val="00E31A53"/>
    <w:rsid w:val="00E31A60"/>
    <w:rsid w:val="00E31A7A"/>
    <w:rsid w:val="00E31AA2"/>
    <w:rsid w:val="00E31B6F"/>
    <w:rsid w:val="00E31CF8"/>
    <w:rsid w:val="00E3207E"/>
    <w:rsid w:val="00E321D2"/>
    <w:rsid w:val="00E32301"/>
    <w:rsid w:val="00E3245C"/>
    <w:rsid w:val="00E3254A"/>
    <w:rsid w:val="00E32703"/>
    <w:rsid w:val="00E32797"/>
    <w:rsid w:val="00E3290E"/>
    <w:rsid w:val="00E329EA"/>
    <w:rsid w:val="00E32F05"/>
    <w:rsid w:val="00E32F51"/>
    <w:rsid w:val="00E33388"/>
    <w:rsid w:val="00E335A3"/>
    <w:rsid w:val="00E337BA"/>
    <w:rsid w:val="00E338C6"/>
    <w:rsid w:val="00E3391D"/>
    <w:rsid w:val="00E33C75"/>
    <w:rsid w:val="00E33DA1"/>
    <w:rsid w:val="00E341DA"/>
    <w:rsid w:val="00E34378"/>
    <w:rsid w:val="00E3447B"/>
    <w:rsid w:val="00E34489"/>
    <w:rsid w:val="00E344C7"/>
    <w:rsid w:val="00E3469B"/>
    <w:rsid w:val="00E34A85"/>
    <w:rsid w:val="00E34AD3"/>
    <w:rsid w:val="00E34B42"/>
    <w:rsid w:val="00E34BF1"/>
    <w:rsid w:val="00E34C2F"/>
    <w:rsid w:val="00E34CB1"/>
    <w:rsid w:val="00E34CCC"/>
    <w:rsid w:val="00E34CD0"/>
    <w:rsid w:val="00E34D23"/>
    <w:rsid w:val="00E34D8C"/>
    <w:rsid w:val="00E34FEB"/>
    <w:rsid w:val="00E351C6"/>
    <w:rsid w:val="00E35278"/>
    <w:rsid w:val="00E3531C"/>
    <w:rsid w:val="00E353C5"/>
    <w:rsid w:val="00E353DE"/>
    <w:rsid w:val="00E353F4"/>
    <w:rsid w:val="00E35852"/>
    <w:rsid w:val="00E35902"/>
    <w:rsid w:val="00E35946"/>
    <w:rsid w:val="00E35A63"/>
    <w:rsid w:val="00E35A7A"/>
    <w:rsid w:val="00E35B8A"/>
    <w:rsid w:val="00E35F99"/>
    <w:rsid w:val="00E35FA1"/>
    <w:rsid w:val="00E36026"/>
    <w:rsid w:val="00E36091"/>
    <w:rsid w:val="00E360B0"/>
    <w:rsid w:val="00E3629D"/>
    <w:rsid w:val="00E36399"/>
    <w:rsid w:val="00E36440"/>
    <w:rsid w:val="00E3653F"/>
    <w:rsid w:val="00E36618"/>
    <w:rsid w:val="00E36641"/>
    <w:rsid w:val="00E36643"/>
    <w:rsid w:val="00E366F6"/>
    <w:rsid w:val="00E36784"/>
    <w:rsid w:val="00E367B3"/>
    <w:rsid w:val="00E36859"/>
    <w:rsid w:val="00E36C58"/>
    <w:rsid w:val="00E36F2F"/>
    <w:rsid w:val="00E370AF"/>
    <w:rsid w:val="00E37245"/>
    <w:rsid w:val="00E372E5"/>
    <w:rsid w:val="00E374CB"/>
    <w:rsid w:val="00E37525"/>
    <w:rsid w:val="00E37544"/>
    <w:rsid w:val="00E37665"/>
    <w:rsid w:val="00E378D6"/>
    <w:rsid w:val="00E37AE6"/>
    <w:rsid w:val="00E37B57"/>
    <w:rsid w:val="00E37BEE"/>
    <w:rsid w:val="00E37D1A"/>
    <w:rsid w:val="00E37D58"/>
    <w:rsid w:val="00E37D87"/>
    <w:rsid w:val="00E37DA0"/>
    <w:rsid w:val="00E37F30"/>
    <w:rsid w:val="00E40243"/>
    <w:rsid w:val="00E40249"/>
    <w:rsid w:val="00E40295"/>
    <w:rsid w:val="00E402D5"/>
    <w:rsid w:val="00E403BC"/>
    <w:rsid w:val="00E403FA"/>
    <w:rsid w:val="00E405D9"/>
    <w:rsid w:val="00E40785"/>
    <w:rsid w:val="00E408A5"/>
    <w:rsid w:val="00E40B41"/>
    <w:rsid w:val="00E40C28"/>
    <w:rsid w:val="00E40D2C"/>
    <w:rsid w:val="00E40D5D"/>
    <w:rsid w:val="00E41068"/>
    <w:rsid w:val="00E411BF"/>
    <w:rsid w:val="00E4123E"/>
    <w:rsid w:val="00E414E1"/>
    <w:rsid w:val="00E416B3"/>
    <w:rsid w:val="00E41716"/>
    <w:rsid w:val="00E4173D"/>
    <w:rsid w:val="00E41783"/>
    <w:rsid w:val="00E418D9"/>
    <w:rsid w:val="00E41BDF"/>
    <w:rsid w:val="00E41C98"/>
    <w:rsid w:val="00E41E0E"/>
    <w:rsid w:val="00E41ED8"/>
    <w:rsid w:val="00E41F25"/>
    <w:rsid w:val="00E41F84"/>
    <w:rsid w:val="00E420B1"/>
    <w:rsid w:val="00E420C8"/>
    <w:rsid w:val="00E420D3"/>
    <w:rsid w:val="00E4243F"/>
    <w:rsid w:val="00E424FE"/>
    <w:rsid w:val="00E427EA"/>
    <w:rsid w:val="00E42902"/>
    <w:rsid w:val="00E42906"/>
    <w:rsid w:val="00E429CF"/>
    <w:rsid w:val="00E42A0A"/>
    <w:rsid w:val="00E42A9E"/>
    <w:rsid w:val="00E42E09"/>
    <w:rsid w:val="00E42EBC"/>
    <w:rsid w:val="00E43194"/>
    <w:rsid w:val="00E431E7"/>
    <w:rsid w:val="00E4320C"/>
    <w:rsid w:val="00E4343C"/>
    <w:rsid w:val="00E437A5"/>
    <w:rsid w:val="00E437EE"/>
    <w:rsid w:val="00E439E7"/>
    <w:rsid w:val="00E43CAA"/>
    <w:rsid w:val="00E43EC2"/>
    <w:rsid w:val="00E44126"/>
    <w:rsid w:val="00E44437"/>
    <w:rsid w:val="00E4457C"/>
    <w:rsid w:val="00E44639"/>
    <w:rsid w:val="00E448AA"/>
    <w:rsid w:val="00E448D1"/>
    <w:rsid w:val="00E4495F"/>
    <w:rsid w:val="00E44A33"/>
    <w:rsid w:val="00E44AA9"/>
    <w:rsid w:val="00E44AB4"/>
    <w:rsid w:val="00E44BF2"/>
    <w:rsid w:val="00E44C30"/>
    <w:rsid w:val="00E44E68"/>
    <w:rsid w:val="00E44E79"/>
    <w:rsid w:val="00E44F8C"/>
    <w:rsid w:val="00E4504D"/>
    <w:rsid w:val="00E45090"/>
    <w:rsid w:val="00E450A1"/>
    <w:rsid w:val="00E4527F"/>
    <w:rsid w:val="00E453FE"/>
    <w:rsid w:val="00E454E5"/>
    <w:rsid w:val="00E45766"/>
    <w:rsid w:val="00E45B0C"/>
    <w:rsid w:val="00E45C26"/>
    <w:rsid w:val="00E46010"/>
    <w:rsid w:val="00E4608F"/>
    <w:rsid w:val="00E46272"/>
    <w:rsid w:val="00E4635C"/>
    <w:rsid w:val="00E466E0"/>
    <w:rsid w:val="00E4680B"/>
    <w:rsid w:val="00E468F9"/>
    <w:rsid w:val="00E46909"/>
    <w:rsid w:val="00E46A9C"/>
    <w:rsid w:val="00E46B5F"/>
    <w:rsid w:val="00E46BA7"/>
    <w:rsid w:val="00E46D33"/>
    <w:rsid w:val="00E46DD9"/>
    <w:rsid w:val="00E46E92"/>
    <w:rsid w:val="00E46EF2"/>
    <w:rsid w:val="00E46F30"/>
    <w:rsid w:val="00E46F5A"/>
    <w:rsid w:val="00E46F8B"/>
    <w:rsid w:val="00E470CF"/>
    <w:rsid w:val="00E47100"/>
    <w:rsid w:val="00E471B8"/>
    <w:rsid w:val="00E471E6"/>
    <w:rsid w:val="00E475A5"/>
    <w:rsid w:val="00E47774"/>
    <w:rsid w:val="00E47927"/>
    <w:rsid w:val="00E47AC0"/>
    <w:rsid w:val="00E47AC7"/>
    <w:rsid w:val="00E47BBA"/>
    <w:rsid w:val="00E47C42"/>
    <w:rsid w:val="00E47CA7"/>
    <w:rsid w:val="00E47FDA"/>
    <w:rsid w:val="00E500A9"/>
    <w:rsid w:val="00E5016D"/>
    <w:rsid w:val="00E501DD"/>
    <w:rsid w:val="00E502AA"/>
    <w:rsid w:val="00E502CA"/>
    <w:rsid w:val="00E502CB"/>
    <w:rsid w:val="00E50326"/>
    <w:rsid w:val="00E50629"/>
    <w:rsid w:val="00E5067E"/>
    <w:rsid w:val="00E506CF"/>
    <w:rsid w:val="00E50984"/>
    <w:rsid w:val="00E50B60"/>
    <w:rsid w:val="00E50BF5"/>
    <w:rsid w:val="00E50E0D"/>
    <w:rsid w:val="00E50E7C"/>
    <w:rsid w:val="00E51545"/>
    <w:rsid w:val="00E515A2"/>
    <w:rsid w:val="00E51685"/>
    <w:rsid w:val="00E51799"/>
    <w:rsid w:val="00E51923"/>
    <w:rsid w:val="00E519EB"/>
    <w:rsid w:val="00E51C03"/>
    <w:rsid w:val="00E51C3B"/>
    <w:rsid w:val="00E51D0F"/>
    <w:rsid w:val="00E52441"/>
    <w:rsid w:val="00E52A81"/>
    <w:rsid w:val="00E52B6A"/>
    <w:rsid w:val="00E52B72"/>
    <w:rsid w:val="00E52DF5"/>
    <w:rsid w:val="00E5315B"/>
    <w:rsid w:val="00E5328C"/>
    <w:rsid w:val="00E535D8"/>
    <w:rsid w:val="00E535F9"/>
    <w:rsid w:val="00E53966"/>
    <w:rsid w:val="00E53A81"/>
    <w:rsid w:val="00E53C5F"/>
    <w:rsid w:val="00E53D12"/>
    <w:rsid w:val="00E53E94"/>
    <w:rsid w:val="00E53F3E"/>
    <w:rsid w:val="00E53FB1"/>
    <w:rsid w:val="00E54029"/>
    <w:rsid w:val="00E5414B"/>
    <w:rsid w:val="00E54301"/>
    <w:rsid w:val="00E5454E"/>
    <w:rsid w:val="00E547C8"/>
    <w:rsid w:val="00E5480F"/>
    <w:rsid w:val="00E54875"/>
    <w:rsid w:val="00E548B6"/>
    <w:rsid w:val="00E548E3"/>
    <w:rsid w:val="00E54901"/>
    <w:rsid w:val="00E54927"/>
    <w:rsid w:val="00E54AB3"/>
    <w:rsid w:val="00E54BEF"/>
    <w:rsid w:val="00E54EAC"/>
    <w:rsid w:val="00E54ED0"/>
    <w:rsid w:val="00E54F02"/>
    <w:rsid w:val="00E55072"/>
    <w:rsid w:val="00E55302"/>
    <w:rsid w:val="00E55326"/>
    <w:rsid w:val="00E554F1"/>
    <w:rsid w:val="00E55523"/>
    <w:rsid w:val="00E556F9"/>
    <w:rsid w:val="00E557E1"/>
    <w:rsid w:val="00E55AD6"/>
    <w:rsid w:val="00E55F4C"/>
    <w:rsid w:val="00E55F70"/>
    <w:rsid w:val="00E56157"/>
    <w:rsid w:val="00E563B4"/>
    <w:rsid w:val="00E563F4"/>
    <w:rsid w:val="00E564EA"/>
    <w:rsid w:val="00E56650"/>
    <w:rsid w:val="00E566CC"/>
    <w:rsid w:val="00E566D3"/>
    <w:rsid w:val="00E5684F"/>
    <w:rsid w:val="00E569B1"/>
    <w:rsid w:val="00E56BD4"/>
    <w:rsid w:val="00E56DC4"/>
    <w:rsid w:val="00E56EE7"/>
    <w:rsid w:val="00E57062"/>
    <w:rsid w:val="00E57349"/>
    <w:rsid w:val="00E574F0"/>
    <w:rsid w:val="00E575C0"/>
    <w:rsid w:val="00E5767B"/>
    <w:rsid w:val="00E57746"/>
    <w:rsid w:val="00E577C0"/>
    <w:rsid w:val="00E579DA"/>
    <w:rsid w:val="00E57D7C"/>
    <w:rsid w:val="00E60090"/>
    <w:rsid w:val="00E600A2"/>
    <w:rsid w:val="00E60227"/>
    <w:rsid w:val="00E604B9"/>
    <w:rsid w:val="00E6059C"/>
    <w:rsid w:val="00E605A2"/>
    <w:rsid w:val="00E605BB"/>
    <w:rsid w:val="00E606D0"/>
    <w:rsid w:val="00E607FB"/>
    <w:rsid w:val="00E6090D"/>
    <w:rsid w:val="00E609C3"/>
    <w:rsid w:val="00E60ACB"/>
    <w:rsid w:val="00E60B60"/>
    <w:rsid w:val="00E60B69"/>
    <w:rsid w:val="00E60C31"/>
    <w:rsid w:val="00E60C8F"/>
    <w:rsid w:val="00E60CEF"/>
    <w:rsid w:val="00E60D33"/>
    <w:rsid w:val="00E60D65"/>
    <w:rsid w:val="00E60E1E"/>
    <w:rsid w:val="00E61177"/>
    <w:rsid w:val="00E611B5"/>
    <w:rsid w:val="00E6122F"/>
    <w:rsid w:val="00E612CF"/>
    <w:rsid w:val="00E613D1"/>
    <w:rsid w:val="00E61420"/>
    <w:rsid w:val="00E61471"/>
    <w:rsid w:val="00E6148D"/>
    <w:rsid w:val="00E6180B"/>
    <w:rsid w:val="00E618FA"/>
    <w:rsid w:val="00E61D10"/>
    <w:rsid w:val="00E61E4E"/>
    <w:rsid w:val="00E6222A"/>
    <w:rsid w:val="00E623C9"/>
    <w:rsid w:val="00E624D5"/>
    <w:rsid w:val="00E6271F"/>
    <w:rsid w:val="00E627A9"/>
    <w:rsid w:val="00E6286C"/>
    <w:rsid w:val="00E62B75"/>
    <w:rsid w:val="00E62CF0"/>
    <w:rsid w:val="00E62DBB"/>
    <w:rsid w:val="00E62E14"/>
    <w:rsid w:val="00E62E50"/>
    <w:rsid w:val="00E62FAD"/>
    <w:rsid w:val="00E630E6"/>
    <w:rsid w:val="00E63297"/>
    <w:rsid w:val="00E632B0"/>
    <w:rsid w:val="00E633B5"/>
    <w:rsid w:val="00E63401"/>
    <w:rsid w:val="00E63437"/>
    <w:rsid w:val="00E63499"/>
    <w:rsid w:val="00E63533"/>
    <w:rsid w:val="00E636C5"/>
    <w:rsid w:val="00E63739"/>
    <w:rsid w:val="00E63940"/>
    <w:rsid w:val="00E639A7"/>
    <w:rsid w:val="00E63B55"/>
    <w:rsid w:val="00E63F14"/>
    <w:rsid w:val="00E64196"/>
    <w:rsid w:val="00E6437C"/>
    <w:rsid w:val="00E643EC"/>
    <w:rsid w:val="00E643FB"/>
    <w:rsid w:val="00E645DF"/>
    <w:rsid w:val="00E645E5"/>
    <w:rsid w:val="00E648D8"/>
    <w:rsid w:val="00E649FF"/>
    <w:rsid w:val="00E64A30"/>
    <w:rsid w:val="00E64A9A"/>
    <w:rsid w:val="00E64AFE"/>
    <w:rsid w:val="00E64ED8"/>
    <w:rsid w:val="00E64F94"/>
    <w:rsid w:val="00E64FCD"/>
    <w:rsid w:val="00E65001"/>
    <w:rsid w:val="00E650D9"/>
    <w:rsid w:val="00E6523D"/>
    <w:rsid w:val="00E6525B"/>
    <w:rsid w:val="00E6534C"/>
    <w:rsid w:val="00E653AA"/>
    <w:rsid w:val="00E65484"/>
    <w:rsid w:val="00E65520"/>
    <w:rsid w:val="00E655A1"/>
    <w:rsid w:val="00E65759"/>
    <w:rsid w:val="00E657D6"/>
    <w:rsid w:val="00E657D9"/>
    <w:rsid w:val="00E657F1"/>
    <w:rsid w:val="00E65930"/>
    <w:rsid w:val="00E659AD"/>
    <w:rsid w:val="00E65A66"/>
    <w:rsid w:val="00E65C36"/>
    <w:rsid w:val="00E65C98"/>
    <w:rsid w:val="00E65CD6"/>
    <w:rsid w:val="00E65CE5"/>
    <w:rsid w:val="00E65E91"/>
    <w:rsid w:val="00E65F39"/>
    <w:rsid w:val="00E65F59"/>
    <w:rsid w:val="00E660F5"/>
    <w:rsid w:val="00E660FD"/>
    <w:rsid w:val="00E6618B"/>
    <w:rsid w:val="00E66576"/>
    <w:rsid w:val="00E666AB"/>
    <w:rsid w:val="00E66727"/>
    <w:rsid w:val="00E66ADD"/>
    <w:rsid w:val="00E66C9A"/>
    <w:rsid w:val="00E66D1C"/>
    <w:rsid w:val="00E66E48"/>
    <w:rsid w:val="00E66E54"/>
    <w:rsid w:val="00E6731C"/>
    <w:rsid w:val="00E67529"/>
    <w:rsid w:val="00E67799"/>
    <w:rsid w:val="00E677A9"/>
    <w:rsid w:val="00E677FD"/>
    <w:rsid w:val="00E6780A"/>
    <w:rsid w:val="00E67A94"/>
    <w:rsid w:val="00E67BF3"/>
    <w:rsid w:val="00E67C52"/>
    <w:rsid w:val="00E70034"/>
    <w:rsid w:val="00E702E5"/>
    <w:rsid w:val="00E704BC"/>
    <w:rsid w:val="00E70874"/>
    <w:rsid w:val="00E70CE2"/>
    <w:rsid w:val="00E70E8E"/>
    <w:rsid w:val="00E70EBD"/>
    <w:rsid w:val="00E70F9F"/>
    <w:rsid w:val="00E710F3"/>
    <w:rsid w:val="00E711D7"/>
    <w:rsid w:val="00E712E2"/>
    <w:rsid w:val="00E71400"/>
    <w:rsid w:val="00E71614"/>
    <w:rsid w:val="00E71904"/>
    <w:rsid w:val="00E7190D"/>
    <w:rsid w:val="00E71918"/>
    <w:rsid w:val="00E71960"/>
    <w:rsid w:val="00E71B18"/>
    <w:rsid w:val="00E71C30"/>
    <w:rsid w:val="00E71DCE"/>
    <w:rsid w:val="00E71FB6"/>
    <w:rsid w:val="00E7212D"/>
    <w:rsid w:val="00E7225C"/>
    <w:rsid w:val="00E72297"/>
    <w:rsid w:val="00E7261F"/>
    <w:rsid w:val="00E72A3A"/>
    <w:rsid w:val="00E72BC5"/>
    <w:rsid w:val="00E72C37"/>
    <w:rsid w:val="00E72CBE"/>
    <w:rsid w:val="00E72D41"/>
    <w:rsid w:val="00E72F3A"/>
    <w:rsid w:val="00E72F4A"/>
    <w:rsid w:val="00E731AB"/>
    <w:rsid w:val="00E731FB"/>
    <w:rsid w:val="00E732FC"/>
    <w:rsid w:val="00E73360"/>
    <w:rsid w:val="00E733E6"/>
    <w:rsid w:val="00E73746"/>
    <w:rsid w:val="00E737F4"/>
    <w:rsid w:val="00E7387A"/>
    <w:rsid w:val="00E73968"/>
    <w:rsid w:val="00E73A0A"/>
    <w:rsid w:val="00E73AA7"/>
    <w:rsid w:val="00E73B32"/>
    <w:rsid w:val="00E73BA2"/>
    <w:rsid w:val="00E73BBA"/>
    <w:rsid w:val="00E73C50"/>
    <w:rsid w:val="00E73CB4"/>
    <w:rsid w:val="00E73CBE"/>
    <w:rsid w:val="00E73E8E"/>
    <w:rsid w:val="00E73E9D"/>
    <w:rsid w:val="00E73EE4"/>
    <w:rsid w:val="00E73F0E"/>
    <w:rsid w:val="00E73F3E"/>
    <w:rsid w:val="00E740CA"/>
    <w:rsid w:val="00E741EB"/>
    <w:rsid w:val="00E74391"/>
    <w:rsid w:val="00E74419"/>
    <w:rsid w:val="00E747E8"/>
    <w:rsid w:val="00E748F5"/>
    <w:rsid w:val="00E74B06"/>
    <w:rsid w:val="00E74C69"/>
    <w:rsid w:val="00E74CA8"/>
    <w:rsid w:val="00E74CCD"/>
    <w:rsid w:val="00E74D18"/>
    <w:rsid w:val="00E74E28"/>
    <w:rsid w:val="00E75306"/>
    <w:rsid w:val="00E7544A"/>
    <w:rsid w:val="00E755C1"/>
    <w:rsid w:val="00E7566A"/>
    <w:rsid w:val="00E75814"/>
    <w:rsid w:val="00E7590B"/>
    <w:rsid w:val="00E759B0"/>
    <w:rsid w:val="00E75AA1"/>
    <w:rsid w:val="00E75D73"/>
    <w:rsid w:val="00E75ED3"/>
    <w:rsid w:val="00E760C5"/>
    <w:rsid w:val="00E76226"/>
    <w:rsid w:val="00E76517"/>
    <w:rsid w:val="00E765E5"/>
    <w:rsid w:val="00E766D6"/>
    <w:rsid w:val="00E76820"/>
    <w:rsid w:val="00E7691D"/>
    <w:rsid w:val="00E76B30"/>
    <w:rsid w:val="00E77066"/>
    <w:rsid w:val="00E77098"/>
    <w:rsid w:val="00E771B5"/>
    <w:rsid w:val="00E772D3"/>
    <w:rsid w:val="00E7732C"/>
    <w:rsid w:val="00E7734E"/>
    <w:rsid w:val="00E77466"/>
    <w:rsid w:val="00E777A2"/>
    <w:rsid w:val="00E777BB"/>
    <w:rsid w:val="00E77816"/>
    <w:rsid w:val="00E778A2"/>
    <w:rsid w:val="00E77CD5"/>
    <w:rsid w:val="00E77DBA"/>
    <w:rsid w:val="00E77DEE"/>
    <w:rsid w:val="00E77EF4"/>
    <w:rsid w:val="00E80023"/>
    <w:rsid w:val="00E804CF"/>
    <w:rsid w:val="00E804FA"/>
    <w:rsid w:val="00E80805"/>
    <w:rsid w:val="00E808A6"/>
    <w:rsid w:val="00E808B5"/>
    <w:rsid w:val="00E80A26"/>
    <w:rsid w:val="00E80A6F"/>
    <w:rsid w:val="00E80D04"/>
    <w:rsid w:val="00E80E41"/>
    <w:rsid w:val="00E80E61"/>
    <w:rsid w:val="00E80ED4"/>
    <w:rsid w:val="00E80FE7"/>
    <w:rsid w:val="00E8127B"/>
    <w:rsid w:val="00E8134B"/>
    <w:rsid w:val="00E813B6"/>
    <w:rsid w:val="00E81567"/>
    <w:rsid w:val="00E815A0"/>
    <w:rsid w:val="00E81782"/>
    <w:rsid w:val="00E8192E"/>
    <w:rsid w:val="00E819D2"/>
    <w:rsid w:val="00E81A36"/>
    <w:rsid w:val="00E81A40"/>
    <w:rsid w:val="00E81BB1"/>
    <w:rsid w:val="00E81F3D"/>
    <w:rsid w:val="00E82413"/>
    <w:rsid w:val="00E82447"/>
    <w:rsid w:val="00E82589"/>
    <w:rsid w:val="00E825A2"/>
    <w:rsid w:val="00E825C6"/>
    <w:rsid w:val="00E826D5"/>
    <w:rsid w:val="00E826ED"/>
    <w:rsid w:val="00E82857"/>
    <w:rsid w:val="00E82AC8"/>
    <w:rsid w:val="00E82E62"/>
    <w:rsid w:val="00E830C2"/>
    <w:rsid w:val="00E831DF"/>
    <w:rsid w:val="00E8330A"/>
    <w:rsid w:val="00E83398"/>
    <w:rsid w:val="00E83565"/>
    <w:rsid w:val="00E83607"/>
    <w:rsid w:val="00E83649"/>
    <w:rsid w:val="00E836C8"/>
    <w:rsid w:val="00E8372D"/>
    <w:rsid w:val="00E8374E"/>
    <w:rsid w:val="00E83987"/>
    <w:rsid w:val="00E839FF"/>
    <w:rsid w:val="00E83B90"/>
    <w:rsid w:val="00E83BA8"/>
    <w:rsid w:val="00E83BF9"/>
    <w:rsid w:val="00E83C01"/>
    <w:rsid w:val="00E83C2A"/>
    <w:rsid w:val="00E83F97"/>
    <w:rsid w:val="00E8430C"/>
    <w:rsid w:val="00E844B7"/>
    <w:rsid w:val="00E84538"/>
    <w:rsid w:val="00E84638"/>
    <w:rsid w:val="00E846DE"/>
    <w:rsid w:val="00E84953"/>
    <w:rsid w:val="00E84C27"/>
    <w:rsid w:val="00E84E13"/>
    <w:rsid w:val="00E84E73"/>
    <w:rsid w:val="00E84EE1"/>
    <w:rsid w:val="00E84FDF"/>
    <w:rsid w:val="00E850A9"/>
    <w:rsid w:val="00E851B7"/>
    <w:rsid w:val="00E852E0"/>
    <w:rsid w:val="00E85360"/>
    <w:rsid w:val="00E853F4"/>
    <w:rsid w:val="00E854D2"/>
    <w:rsid w:val="00E85554"/>
    <w:rsid w:val="00E8555D"/>
    <w:rsid w:val="00E855D3"/>
    <w:rsid w:val="00E85671"/>
    <w:rsid w:val="00E856EF"/>
    <w:rsid w:val="00E858AD"/>
    <w:rsid w:val="00E858B8"/>
    <w:rsid w:val="00E85C79"/>
    <w:rsid w:val="00E85F3E"/>
    <w:rsid w:val="00E85FC8"/>
    <w:rsid w:val="00E86060"/>
    <w:rsid w:val="00E860EB"/>
    <w:rsid w:val="00E8616A"/>
    <w:rsid w:val="00E863DB"/>
    <w:rsid w:val="00E8646C"/>
    <w:rsid w:val="00E8646D"/>
    <w:rsid w:val="00E86495"/>
    <w:rsid w:val="00E864A9"/>
    <w:rsid w:val="00E867B2"/>
    <w:rsid w:val="00E86A86"/>
    <w:rsid w:val="00E86C68"/>
    <w:rsid w:val="00E86DF5"/>
    <w:rsid w:val="00E87668"/>
    <w:rsid w:val="00E876B3"/>
    <w:rsid w:val="00E87708"/>
    <w:rsid w:val="00E8787F"/>
    <w:rsid w:val="00E878D7"/>
    <w:rsid w:val="00E87AAB"/>
    <w:rsid w:val="00E87B73"/>
    <w:rsid w:val="00E87B9F"/>
    <w:rsid w:val="00E87CDF"/>
    <w:rsid w:val="00E87D3C"/>
    <w:rsid w:val="00E87DE0"/>
    <w:rsid w:val="00E9004B"/>
    <w:rsid w:val="00E902B0"/>
    <w:rsid w:val="00E902E8"/>
    <w:rsid w:val="00E90310"/>
    <w:rsid w:val="00E90912"/>
    <w:rsid w:val="00E909B6"/>
    <w:rsid w:val="00E90A17"/>
    <w:rsid w:val="00E90A2D"/>
    <w:rsid w:val="00E90BF8"/>
    <w:rsid w:val="00E90D14"/>
    <w:rsid w:val="00E91032"/>
    <w:rsid w:val="00E911DB"/>
    <w:rsid w:val="00E913A4"/>
    <w:rsid w:val="00E91417"/>
    <w:rsid w:val="00E91541"/>
    <w:rsid w:val="00E917BE"/>
    <w:rsid w:val="00E91918"/>
    <w:rsid w:val="00E91926"/>
    <w:rsid w:val="00E9195F"/>
    <w:rsid w:val="00E91DB8"/>
    <w:rsid w:val="00E91E3D"/>
    <w:rsid w:val="00E91E63"/>
    <w:rsid w:val="00E91EE6"/>
    <w:rsid w:val="00E91F00"/>
    <w:rsid w:val="00E9207A"/>
    <w:rsid w:val="00E92161"/>
    <w:rsid w:val="00E921FE"/>
    <w:rsid w:val="00E922A3"/>
    <w:rsid w:val="00E92382"/>
    <w:rsid w:val="00E92404"/>
    <w:rsid w:val="00E92498"/>
    <w:rsid w:val="00E92551"/>
    <w:rsid w:val="00E92743"/>
    <w:rsid w:val="00E9277A"/>
    <w:rsid w:val="00E92832"/>
    <w:rsid w:val="00E92845"/>
    <w:rsid w:val="00E92958"/>
    <w:rsid w:val="00E92966"/>
    <w:rsid w:val="00E92A69"/>
    <w:rsid w:val="00E92B87"/>
    <w:rsid w:val="00E92BD0"/>
    <w:rsid w:val="00E92C5C"/>
    <w:rsid w:val="00E92D38"/>
    <w:rsid w:val="00E92D7E"/>
    <w:rsid w:val="00E92F0B"/>
    <w:rsid w:val="00E93086"/>
    <w:rsid w:val="00E9314A"/>
    <w:rsid w:val="00E9325A"/>
    <w:rsid w:val="00E93335"/>
    <w:rsid w:val="00E9382A"/>
    <w:rsid w:val="00E9391B"/>
    <w:rsid w:val="00E93927"/>
    <w:rsid w:val="00E93957"/>
    <w:rsid w:val="00E939D3"/>
    <w:rsid w:val="00E93B5F"/>
    <w:rsid w:val="00E93C16"/>
    <w:rsid w:val="00E93CA9"/>
    <w:rsid w:val="00E941B6"/>
    <w:rsid w:val="00E941B7"/>
    <w:rsid w:val="00E94222"/>
    <w:rsid w:val="00E9436A"/>
    <w:rsid w:val="00E944C2"/>
    <w:rsid w:val="00E944EE"/>
    <w:rsid w:val="00E94566"/>
    <w:rsid w:val="00E9473E"/>
    <w:rsid w:val="00E94872"/>
    <w:rsid w:val="00E94A32"/>
    <w:rsid w:val="00E94D5C"/>
    <w:rsid w:val="00E94E6B"/>
    <w:rsid w:val="00E95017"/>
    <w:rsid w:val="00E950C8"/>
    <w:rsid w:val="00E95392"/>
    <w:rsid w:val="00E953CA"/>
    <w:rsid w:val="00E9540B"/>
    <w:rsid w:val="00E95437"/>
    <w:rsid w:val="00E9546E"/>
    <w:rsid w:val="00E95502"/>
    <w:rsid w:val="00E957B7"/>
    <w:rsid w:val="00E957D2"/>
    <w:rsid w:val="00E9580C"/>
    <w:rsid w:val="00E958D2"/>
    <w:rsid w:val="00E95B33"/>
    <w:rsid w:val="00E95D01"/>
    <w:rsid w:val="00E96267"/>
    <w:rsid w:val="00E963B3"/>
    <w:rsid w:val="00E9648B"/>
    <w:rsid w:val="00E96532"/>
    <w:rsid w:val="00E96568"/>
    <w:rsid w:val="00E96800"/>
    <w:rsid w:val="00E968D7"/>
    <w:rsid w:val="00E96C96"/>
    <w:rsid w:val="00E96FA8"/>
    <w:rsid w:val="00E9700C"/>
    <w:rsid w:val="00E9702C"/>
    <w:rsid w:val="00E9718C"/>
    <w:rsid w:val="00E97244"/>
    <w:rsid w:val="00E972E9"/>
    <w:rsid w:val="00E973FC"/>
    <w:rsid w:val="00E9761F"/>
    <w:rsid w:val="00E97789"/>
    <w:rsid w:val="00E9791E"/>
    <w:rsid w:val="00E9796D"/>
    <w:rsid w:val="00E979A4"/>
    <w:rsid w:val="00E97AAB"/>
    <w:rsid w:val="00E97B31"/>
    <w:rsid w:val="00E97BD0"/>
    <w:rsid w:val="00E97C97"/>
    <w:rsid w:val="00E97F88"/>
    <w:rsid w:val="00EA0075"/>
    <w:rsid w:val="00EA00A1"/>
    <w:rsid w:val="00EA03A3"/>
    <w:rsid w:val="00EA09DA"/>
    <w:rsid w:val="00EA0B7D"/>
    <w:rsid w:val="00EA0C4F"/>
    <w:rsid w:val="00EA0CED"/>
    <w:rsid w:val="00EA0CFF"/>
    <w:rsid w:val="00EA0DE4"/>
    <w:rsid w:val="00EA0E2C"/>
    <w:rsid w:val="00EA117C"/>
    <w:rsid w:val="00EA1475"/>
    <w:rsid w:val="00EA14D6"/>
    <w:rsid w:val="00EA158F"/>
    <w:rsid w:val="00EA1658"/>
    <w:rsid w:val="00EA17A4"/>
    <w:rsid w:val="00EA18C8"/>
    <w:rsid w:val="00EA1ADF"/>
    <w:rsid w:val="00EA1BCF"/>
    <w:rsid w:val="00EA1D34"/>
    <w:rsid w:val="00EA1DC3"/>
    <w:rsid w:val="00EA1E15"/>
    <w:rsid w:val="00EA1EA7"/>
    <w:rsid w:val="00EA1F6C"/>
    <w:rsid w:val="00EA20E0"/>
    <w:rsid w:val="00EA220B"/>
    <w:rsid w:val="00EA2502"/>
    <w:rsid w:val="00EA25A3"/>
    <w:rsid w:val="00EA26B7"/>
    <w:rsid w:val="00EA26C9"/>
    <w:rsid w:val="00EA2755"/>
    <w:rsid w:val="00EA2B09"/>
    <w:rsid w:val="00EA2D44"/>
    <w:rsid w:val="00EA2DD0"/>
    <w:rsid w:val="00EA2DD3"/>
    <w:rsid w:val="00EA2EF5"/>
    <w:rsid w:val="00EA317C"/>
    <w:rsid w:val="00EA31BA"/>
    <w:rsid w:val="00EA361B"/>
    <w:rsid w:val="00EA36D1"/>
    <w:rsid w:val="00EA372C"/>
    <w:rsid w:val="00EA39FB"/>
    <w:rsid w:val="00EA3AB8"/>
    <w:rsid w:val="00EA3B1B"/>
    <w:rsid w:val="00EA3F89"/>
    <w:rsid w:val="00EA4051"/>
    <w:rsid w:val="00EA43ED"/>
    <w:rsid w:val="00EA4556"/>
    <w:rsid w:val="00EA482C"/>
    <w:rsid w:val="00EA4AE1"/>
    <w:rsid w:val="00EA4BCC"/>
    <w:rsid w:val="00EA4D5F"/>
    <w:rsid w:val="00EA4EB4"/>
    <w:rsid w:val="00EA4EB5"/>
    <w:rsid w:val="00EA4F72"/>
    <w:rsid w:val="00EA501A"/>
    <w:rsid w:val="00EA511A"/>
    <w:rsid w:val="00EA5313"/>
    <w:rsid w:val="00EA5456"/>
    <w:rsid w:val="00EA5505"/>
    <w:rsid w:val="00EA5565"/>
    <w:rsid w:val="00EA56AF"/>
    <w:rsid w:val="00EA5814"/>
    <w:rsid w:val="00EA59B2"/>
    <w:rsid w:val="00EA5A8F"/>
    <w:rsid w:val="00EA5D37"/>
    <w:rsid w:val="00EA5FB8"/>
    <w:rsid w:val="00EA61D2"/>
    <w:rsid w:val="00EA61E6"/>
    <w:rsid w:val="00EA6350"/>
    <w:rsid w:val="00EA6403"/>
    <w:rsid w:val="00EA6640"/>
    <w:rsid w:val="00EA66C4"/>
    <w:rsid w:val="00EA685B"/>
    <w:rsid w:val="00EA68C8"/>
    <w:rsid w:val="00EA6973"/>
    <w:rsid w:val="00EA69DC"/>
    <w:rsid w:val="00EA6DDF"/>
    <w:rsid w:val="00EA6F87"/>
    <w:rsid w:val="00EA6FB1"/>
    <w:rsid w:val="00EA716D"/>
    <w:rsid w:val="00EA7356"/>
    <w:rsid w:val="00EA73FB"/>
    <w:rsid w:val="00EA7409"/>
    <w:rsid w:val="00EA75E6"/>
    <w:rsid w:val="00EA7751"/>
    <w:rsid w:val="00EA78E9"/>
    <w:rsid w:val="00EA7A04"/>
    <w:rsid w:val="00EA7A5A"/>
    <w:rsid w:val="00EA7C2A"/>
    <w:rsid w:val="00EA7C2D"/>
    <w:rsid w:val="00EA7E20"/>
    <w:rsid w:val="00EA7F2B"/>
    <w:rsid w:val="00EA7F62"/>
    <w:rsid w:val="00EB02AF"/>
    <w:rsid w:val="00EB02F0"/>
    <w:rsid w:val="00EB030F"/>
    <w:rsid w:val="00EB03A6"/>
    <w:rsid w:val="00EB064C"/>
    <w:rsid w:val="00EB0883"/>
    <w:rsid w:val="00EB0E60"/>
    <w:rsid w:val="00EB0F35"/>
    <w:rsid w:val="00EB1424"/>
    <w:rsid w:val="00EB1469"/>
    <w:rsid w:val="00EB1C86"/>
    <w:rsid w:val="00EB1FB0"/>
    <w:rsid w:val="00EB1FFC"/>
    <w:rsid w:val="00EB22FA"/>
    <w:rsid w:val="00EB2323"/>
    <w:rsid w:val="00EB2325"/>
    <w:rsid w:val="00EB235A"/>
    <w:rsid w:val="00EB237C"/>
    <w:rsid w:val="00EB2420"/>
    <w:rsid w:val="00EB2466"/>
    <w:rsid w:val="00EB2483"/>
    <w:rsid w:val="00EB24B7"/>
    <w:rsid w:val="00EB250D"/>
    <w:rsid w:val="00EB25B1"/>
    <w:rsid w:val="00EB2600"/>
    <w:rsid w:val="00EB2891"/>
    <w:rsid w:val="00EB2A6F"/>
    <w:rsid w:val="00EB2B5F"/>
    <w:rsid w:val="00EB2B61"/>
    <w:rsid w:val="00EB2CBF"/>
    <w:rsid w:val="00EB2E10"/>
    <w:rsid w:val="00EB2EEC"/>
    <w:rsid w:val="00EB30DD"/>
    <w:rsid w:val="00EB3146"/>
    <w:rsid w:val="00EB315C"/>
    <w:rsid w:val="00EB3254"/>
    <w:rsid w:val="00EB32E6"/>
    <w:rsid w:val="00EB3679"/>
    <w:rsid w:val="00EB391C"/>
    <w:rsid w:val="00EB399B"/>
    <w:rsid w:val="00EB3B15"/>
    <w:rsid w:val="00EB3CC8"/>
    <w:rsid w:val="00EB3CD3"/>
    <w:rsid w:val="00EB3F89"/>
    <w:rsid w:val="00EB3FBE"/>
    <w:rsid w:val="00EB3FE3"/>
    <w:rsid w:val="00EB40D1"/>
    <w:rsid w:val="00EB421B"/>
    <w:rsid w:val="00EB421F"/>
    <w:rsid w:val="00EB4443"/>
    <w:rsid w:val="00EB463F"/>
    <w:rsid w:val="00EB464A"/>
    <w:rsid w:val="00EB4722"/>
    <w:rsid w:val="00EB4804"/>
    <w:rsid w:val="00EB4925"/>
    <w:rsid w:val="00EB4A8B"/>
    <w:rsid w:val="00EB4B18"/>
    <w:rsid w:val="00EB4B64"/>
    <w:rsid w:val="00EB4C6B"/>
    <w:rsid w:val="00EB4D03"/>
    <w:rsid w:val="00EB4E4E"/>
    <w:rsid w:val="00EB4F11"/>
    <w:rsid w:val="00EB5172"/>
    <w:rsid w:val="00EB5173"/>
    <w:rsid w:val="00EB533D"/>
    <w:rsid w:val="00EB5958"/>
    <w:rsid w:val="00EB5974"/>
    <w:rsid w:val="00EB5ACD"/>
    <w:rsid w:val="00EB5B7E"/>
    <w:rsid w:val="00EB5C54"/>
    <w:rsid w:val="00EB5E91"/>
    <w:rsid w:val="00EB5F08"/>
    <w:rsid w:val="00EB60C5"/>
    <w:rsid w:val="00EB6124"/>
    <w:rsid w:val="00EB615B"/>
    <w:rsid w:val="00EB6211"/>
    <w:rsid w:val="00EB6259"/>
    <w:rsid w:val="00EB62FF"/>
    <w:rsid w:val="00EB6311"/>
    <w:rsid w:val="00EB63A3"/>
    <w:rsid w:val="00EB642C"/>
    <w:rsid w:val="00EB64BD"/>
    <w:rsid w:val="00EB6508"/>
    <w:rsid w:val="00EB650A"/>
    <w:rsid w:val="00EB66EE"/>
    <w:rsid w:val="00EB674E"/>
    <w:rsid w:val="00EB6A7C"/>
    <w:rsid w:val="00EB6DB2"/>
    <w:rsid w:val="00EB6DFF"/>
    <w:rsid w:val="00EB70B1"/>
    <w:rsid w:val="00EB7258"/>
    <w:rsid w:val="00EB7278"/>
    <w:rsid w:val="00EB72EB"/>
    <w:rsid w:val="00EB7306"/>
    <w:rsid w:val="00EB73D0"/>
    <w:rsid w:val="00EB740E"/>
    <w:rsid w:val="00EB74D3"/>
    <w:rsid w:val="00EB74EF"/>
    <w:rsid w:val="00EB74F5"/>
    <w:rsid w:val="00EB7542"/>
    <w:rsid w:val="00EB7608"/>
    <w:rsid w:val="00EB778C"/>
    <w:rsid w:val="00EB7938"/>
    <w:rsid w:val="00EB7946"/>
    <w:rsid w:val="00EB79ED"/>
    <w:rsid w:val="00EB7C21"/>
    <w:rsid w:val="00EB7C2A"/>
    <w:rsid w:val="00EB7D04"/>
    <w:rsid w:val="00EB7D8B"/>
    <w:rsid w:val="00EC02BF"/>
    <w:rsid w:val="00EC0483"/>
    <w:rsid w:val="00EC04B9"/>
    <w:rsid w:val="00EC05F6"/>
    <w:rsid w:val="00EC080A"/>
    <w:rsid w:val="00EC0B35"/>
    <w:rsid w:val="00EC0D09"/>
    <w:rsid w:val="00EC106A"/>
    <w:rsid w:val="00EC10C2"/>
    <w:rsid w:val="00EC10C5"/>
    <w:rsid w:val="00EC11E8"/>
    <w:rsid w:val="00EC1876"/>
    <w:rsid w:val="00EC18E8"/>
    <w:rsid w:val="00EC19E9"/>
    <w:rsid w:val="00EC1B22"/>
    <w:rsid w:val="00EC1B96"/>
    <w:rsid w:val="00EC1C56"/>
    <w:rsid w:val="00EC1CD4"/>
    <w:rsid w:val="00EC1DA8"/>
    <w:rsid w:val="00EC1E37"/>
    <w:rsid w:val="00EC1E62"/>
    <w:rsid w:val="00EC20AF"/>
    <w:rsid w:val="00EC2236"/>
    <w:rsid w:val="00EC227E"/>
    <w:rsid w:val="00EC281D"/>
    <w:rsid w:val="00EC2874"/>
    <w:rsid w:val="00EC298F"/>
    <w:rsid w:val="00EC2E34"/>
    <w:rsid w:val="00EC30B4"/>
    <w:rsid w:val="00EC3137"/>
    <w:rsid w:val="00EC31A0"/>
    <w:rsid w:val="00EC31B6"/>
    <w:rsid w:val="00EC3246"/>
    <w:rsid w:val="00EC329C"/>
    <w:rsid w:val="00EC333F"/>
    <w:rsid w:val="00EC3584"/>
    <w:rsid w:val="00EC35B9"/>
    <w:rsid w:val="00EC35C0"/>
    <w:rsid w:val="00EC3650"/>
    <w:rsid w:val="00EC3692"/>
    <w:rsid w:val="00EC36A3"/>
    <w:rsid w:val="00EC3781"/>
    <w:rsid w:val="00EC37C9"/>
    <w:rsid w:val="00EC3839"/>
    <w:rsid w:val="00EC38E4"/>
    <w:rsid w:val="00EC39F4"/>
    <w:rsid w:val="00EC3B1C"/>
    <w:rsid w:val="00EC3B55"/>
    <w:rsid w:val="00EC3C67"/>
    <w:rsid w:val="00EC3CD9"/>
    <w:rsid w:val="00EC3F96"/>
    <w:rsid w:val="00EC4066"/>
    <w:rsid w:val="00EC41B0"/>
    <w:rsid w:val="00EC4415"/>
    <w:rsid w:val="00EC4518"/>
    <w:rsid w:val="00EC4605"/>
    <w:rsid w:val="00EC4971"/>
    <w:rsid w:val="00EC4B94"/>
    <w:rsid w:val="00EC4D7F"/>
    <w:rsid w:val="00EC4E89"/>
    <w:rsid w:val="00EC51D7"/>
    <w:rsid w:val="00EC52A3"/>
    <w:rsid w:val="00EC535A"/>
    <w:rsid w:val="00EC53CA"/>
    <w:rsid w:val="00EC54CE"/>
    <w:rsid w:val="00EC5632"/>
    <w:rsid w:val="00EC5772"/>
    <w:rsid w:val="00EC597E"/>
    <w:rsid w:val="00EC5CAF"/>
    <w:rsid w:val="00EC5CDF"/>
    <w:rsid w:val="00EC5FCD"/>
    <w:rsid w:val="00EC6118"/>
    <w:rsid w:val="00EC639F"/>
    <w:rsid w:val="00EC6496"/>
    <w:rsid w:val="00EC649C"/>
    <w:rsid w:val="00EC655F"/>
    <w:rsid w:val="00EC65B6"/>
    <w:rsid w:val="00EC6630"/>
    <w:rsid w:val="00EC669D"/>
    <w:rsid w:val="00EC66E8"/>
    <w:rsid w:val="00EC67D7"/>
    <w:rsid w:val="00EC68AA"/>
    <w:rsid w:val="00EC69CF"/>
    <w:rsid w:val="00EC6A16"/>
    <w:rsid w:val="00EC6A77"/>
    <w:rsid w:val="00EC6B16"/>
    <w:rsid w:val="00EC6C3E"/>
    <w:rsid w:val="00EC6CEF"/>
    <w:rsid w:val="00EC6DCA"/>
    <w:rsid w:val="00EC6DD2"/>
    <w:rsid w:val="00EC6E1D"/>
    <w:rsid w:val="00EC6F9A"/>
    <w:rsid w:val="00EC769A"/>
    <w:rsid w:val="00EC76EA"/>
    <w:rsid w:val="00EC7AC7"/>
    <w:rsid w:val="00EC7B5E"/>
    <w:rsid w:val="00EC7BEB"/>
    <w:rsid w:val="00EC7CAC"/>
    <w:rsid w:val="00EC7D5C"/>
    <w:rsid w:val="00EC7D9C"/>
    <w:rsid w:val="00EC7E00"/>
    <w:rsid w:val="00EC7E42"/>
    <w:rsid w:val="00EC7E94"/>
    <w:rsid w:val="00EC7EAF"/>
    <w:rsid w:val="00ED0184"/>
    <w:rsid w:val="00ED0216"/>
    <w:rsid w:val="00ED02C9"/>
    <w:rsid w:val="00ED03DC"/>
    <w:rsid w:val="00ED0456"/>
    <w:rsid w:val="00ED055E"/>
    <w:rsid w:val="00ED0746"/>
    <w:rsid w:val="00ED0828"/>
    <w:rsid w:val="00ED0969"/>
    <w:rsid w:val="00ED0E2A"/>
    <w:rsid w:val="00ED0EB3"/>
    <w:rsid w:val="00ED0EE7"/>
    <w:rsid w:val="00ED1002"/>
    <w:rsid w:val="00ED101D"/>
    <w:rsid w:val="00ED1031"/>
    <w:rsid w:val="00ED1095"/>
    <w:rsid w:val="00ED121D"/>
    <w:rsid w:val="00ED1365"/>
    <w:rsid w:val="00ED13C9"/>
    <w:rsid w:val="00ED1485"/>
    <w:rsid w:val="00ED14C5"/>
    <w:rsid w:val="00ED14FB"/>
    <w:rsid w:val="00ED15D0"/>
    <w:rsid w:val="00ED1973"/>
    <w:rsid w:val="00ED1A2F"/>
    <w:rsid w:val="00ED1A72"/>
    <w:rsid w:val="00ED1B86"/>
    <w:rsid w:val="00ED1F2B"/>
    <w:rsid w:val="00ED21FF"/>
    <w:rsid w:val="00ED228B"/>
    <w:rsid w:val="00ED2339"/>
    <w:rsid w:val="00ED247D"/>
    <w:rsid w:val="00ED24F4"/>
    <w:rsid w:val="00ED25E3"/>
    <w:rsid w:val="00ED2826"/>
    <w:rsid w:val="00ED29AD"/>
    <w:rsid w:val="00ED29E9"/>
    <w:rsid w:val="00ED2E6F"/>
    <w:rsid w:val="00ED2E9C"/>
    <w:rsid w:val="00ED3261"/>
    <w:rsid w:val="00ED3469"/>
    <w:rsid w:val="00ED35F9"/>
    <w:rsid w:val="00ED36E9"/>
    <w:rsid w:val="00ED3768"/>
    <w:rsid w:val="00ED37DD"/>
    <w:rsid w:val="00ED3CD6"/>
    <w:rsid w:val="00ED3D35"/>
    <w:rsid w:val="00ED3EE3"/>
    <w:rsid w:val="00ED409D"/>
    <w:rsid w:val="00ED41CE"/>
    <w:rsid w:val="00ED4290"/>
    <w:rsid w:val="00ED4383"/>
    <w:rsid w:val="00ED4421"/>
    <w:rsid w:val="00ED4479"/>
    <w:rsid w:val="00ED44DB"/>
    <w:rsid w:val="00ED49FE"/>
    <w:rsid w:val="00ED4B88"/>
    <w:rsid w:val="00ED4BB2"/>
    <w:rsid w:val="00ED4C1B"/>
    <w:rsid w:val="00ED4EA9"/>
    <w:rsid w:val="00ED4ED3"/>
    <w:rsid w:val="00ED5028"/>
    <w:rsid w:val="00ED5376"/>
    <w:rsid w:val="00ED55E3"/>
    <w:rsid w:val="00ED58C8"/>
    <w:rsid w:val="00ED5BB5"/>
    <w:rsid w:val="00ED5C4B"/>
    <w:rsid w:val="00ED5D38"/>
    <w:rsid w:val="00ED5EFD"/>
    <w:rsid w:val="00ED5F19"/>
    <w:rsid w:val="00ED5F38"/>
    <w:rsid w:val="00ED63A3"/>
    <w:rsid w:val="00ED6848"/>
    <w:rsid w:val="00ED6A1F"/>
    <w:rsid w:val="00ED6C3E"/>
    <w:rsid w:val="00ED6D0B"/>
    <w:rsid w:val="00ED6D3D"/>
    <w:rsid w:val="00ED6DA0"/>
    <w:rsid w:val="00ED6DCD"/>
    <w:rsid w:val="00ED6F77"/>
    <w:rsid w:val="00ED6F94"/>
    <w:rsid w:val="00ED73CF"/>
    <w:rsid w:val="00ED7450"/>
    <w:rsid w:val="00ED7495"/>
    <w:rsid w:val="00ED74D2"/>
    <w:rsid w:val="00ED7574"/>
    <w:rsid w:val="00ED765D"/>
    <w:rsid w:val="00ED7745"/>
    <w:rsid w:val="00ED7797"/>
    <w:rsid w:val="00ED7A1C"/>
    <w:rsid w:val="00ED7C8D"/>
    <w:rsid w:val="00ED7C94"/>
    <w:rsid w:val="00ED7C9A"/>
    <w:rsid w:val="00EE00E7"/>
    <w:rsid w:val="00EE035A"/>
    <w:rsid w:val="00EE058B"/>
    <w:rsid w:val="00EE0620"/>
    <w:rsid w:val="00EE06D7"/>
    <w:rsid w:val="00EE1060"/>
    <w:rsid w:val="00EE10AF"/>
    <w:rsid w:val="00EE10DB"/>
    <w:rsid w:val="00EE138D"/>
    <w:rsid w:val="00EE13F9"/>
    <w:rsid w:val="00EE14B9"/>
    <w:rsid w:val="00EE16B8"/>
    <w:rsid w:val="00EE1905"/>
    <w:rsid w:val="00EE191A"/>
    <w:rsid w:val="00EE1B93"/>
    <w:rsid w:val="00EE1C91"/>
    <w:rsid w:val="00EE1FA2"/>
    <w:rsid w:val="00EE2184"/>
    <w:rsid w:val="00EE2191"/>
    <w:rsid w:val="00EE21D9"/>
    <w:rsid w:val="00EE243D"/>
    <w:rsid w:val="00EE255B"/>
    <w:rsid w:val="00EE2658"/>
    <w:rsid w:val="00EE2709"/>
    <w:rsid w:val="00EE272D"/>
    <w:rsid w:val="00EE2741"/>
    <w:rsid w:val="00EE2742"/>
    <w:rsid w:val="00EE2909"/>
    <w:rsid w:val="00EE2BFF"/>
    <w:rsid w:val="00EE2E1C"/>
    <w:rsid w:val="00EE2FD7"/>
    <w:rsid w:val="00EE311C"/>
    <w:rsid w:val="00EE323D"/>
    <w:rsid w:val="00EE33D5"/>
    <w:rsid w:val="00EE3485"/>
    <w:rsid w:val="00EE34D7"/>
    <w:rsid w:val="00EE38E2"/>
    <w:rsid w:val="00EE3AAB"/>
    <w:rsid w:val="00EE3BA0"/>
    <w:rsid w:val="00EE3C0E"/>
    <w:rsid w:val="00EE3CD0"/>
    <w:rsid w:val="00EE3CD9"/>
    <w:rsid w:val="00EE3D55"/>
    <w:rsid w:val="00EE3DCD"/>
    <w:rsid w:val="00EE3FFC"/>
    <w:rsid w:val="00EE412F"/>
    <w:rsid w:val="00EE41A4"/>
    <w:rsid w:val="00EE4200"/>
    <w:rsid w:val="00EE4383"/>
    <w:rsid w:val="00EE4450"/>
    <w:rsid w:val="00EE446C"/>
    <w:rsid w:val="00EE468F"/>
    <w:rsid w:val="00EE4695"/>
    <w:rsid w:val="00EE47F1"/>
    <w:rsid w:val="00EE4818"/>
    <w:rsid w:val="00EE4834"/>
    <w:rsid w:val="00EE49E8"/>
    <w:rsid w:val="00EE4B28"/>
    <w:rsid w:val="00EE4CB7"/>
    <w:rsid w:val="00EE4E1D"/>
    <w:rsid w:val="00EE4E7C"/>
    <w:rsid w:val="00EE5072"/>
    <w:rsid w:val="00EE5080"/>
    <w:rsid w:val="00EE5136"/>
    <w:rsid w:val="00EE522D"/>
    <w:rsid w:val="00EE53FA"/>
    <w:rsid w:val="00EE549E"/>
    <w:rsid w:val="00EE54E4"/>
    <w:rsid w:val="00EE56D0"/>
    <w:rsid w:val="00EE5794"/>
    <w:rsid w:val="00EE580D"/>
    <w:rsid w:val="00EE5877"/>
    <w:rsid w:val="00EE59B7"/>
    <w:rsid w:val="00EE5C1C"/>
    <w:rsid w:val="00EE5DDB"/>
    <w:rsid w:val="00EE6222"/>
    <w:rsid w:val="00EE64A1"/>
    <w:rsid w:val="00EE64DE"/>
    <w:rsid w:val="00EE6590"/>
    <w:rsid w:val="00EE675E"/>
    <w:rsid w:val="00EE677F"/>
    <w:rsid w:val="00EE67AF"/>
    <w:rsid w:val="00EE6870"/>
    <w:rsid w:val="00EE6A52"/>
    <w:rsid w:val="00EE6DF8"/>
    <w:rsid w:val="00EE6FB5"/>
    <w:rsid w:val="00EE6FE0"/>
    <w:rsid w:val="00EE6FED"/>
    <w:rsid w:val="00EE7075"/>
    <w:rsid w:val="00EE71A6"/>
    <w:rsid w:val="00EE738E"/>
    <w:rsid w:val="00EE746D"/>
    <w:rsid w:val="00EE7551"/>
    <w:rsid w:val="00EE7586"/>
    <w:rsid w:val="00EE76D3"/>
    <w:rsid w:val="00EE7A08"/>
    <w:rsid w:val="00EE7DE6"/>
    <w:rsid w:val="00EF0117"/>
    <w:rsid w:val="00EF02C8"/>
    <w:rsid w:val="00EF0393"/>
    <w:rsid w:val="00EF052E"/>
    <w:rsid w:val="00EF0590"/>
    <w:rsid w:val="00EF0655"/>
    <w:rsid w:val="00EF07B8"/>
    <w:rsid w:val="00EF0AF6"/>
    <w:rsid w:val="00EF0AFC"/>
    <w:rsid w:val="00EF0C8C"/>
    <w:rsid w:val="00EF0CC9"/>
    <w:rsid w:val="00EF0E95"/>
    <w:rsid w:val="00EF0EA4"/>
    <w:rsid w:val="00EF0EDE"/>
    <w:rsid w:val="00EF1034"/>
    <w:rsid w:val="00EF10C4"/>
    <w:rsid w:val="00EF1106"/>
    <w:rsid w:val="00EF1174"/>
    <w:rsid w:val="00EF13BF"/>
    <w:rsid w:val="00EF1534"/>
    <w:rsid w:val="00EF1587"/>
    <w:rsid w:val="00EF16D6"/>
    <w:rsid w:val="00EF1735"/>
    <w:rsid w:val="00EF193A"/>
    <w:rsid w:val="00EF1A76"/>
    <w:rsid w:val="00EF1A7D"/>
    <w:rsid w:val="00EF1AD9"/>
    <w:rsid w:val="00EF1DC7"/>
    <w:rsid w:val="00EF1ED2"/>
    <w:rsid w:val="00EF1F8F"/>
    <w:rsid w:val="00EF2049"/>
    <w:rsid w:val="00EF2148"/>
    <w:rsid w:val="00EF2299"/>
    <w:rsid w:val="00EF22E4"/>
    <w:rsid w:val="00EF23AC"/>
    <w:rsid w:val="00EF24DB"/>
    <w:rsid w:val="00EF28BF"/>
    <w:rsid w:val="00EF2999"/>
    <w:rsid w:val="00EF29C7"/>
    <w:rsid w:val="00EF2B46"/>
    <w:rsid w:val="00EF2BA0"/>
    <w:rsid w:val="00EF2CC1"/>
    <w:rsid w:val="00EF2DE0"/>
    <w:rsid w:val="00EF2EF8"/>
    <w:rsid w:val="00EF2FBF"/>
    <w:rsid w:val="00EF2FF1"/>
    <w:rsid w:val="00EF2FFC"/>
    <w:rsid w:val="00EF3471"/>
    <w:rsid w:val="00EF36CE"/>
    <w:rsid w:val="00EF3717"/>
    <w:rsid w:val="00EF37E6"/>
    <w:rsid w:val="00EF3837"/>
    <w:rsid w:val="00EF3959"/>
    <w:rsid w:val="00EF3962"/>
    <w:rsid w:val="00EF39A5"/>
    <w:rsid w:val="00EF39EB"/>
    <w:rsid w:val="00EF3A8E"/>
    <w:rsid w:val="00EF3BF9"/>
    <w:rsid w:val="00EF3EF3"/>
    <w:rsid w:val="00EF3F54"/>
    <w:rsid w:val="00EF4034"/>
    <w:rsid w:val="00EF40FA"/>
    <w:rsid w:val="00EF40FD"/>
    <w:rsid w:val="00EF410D"/>
    <w:rsid w:val="00EF4294"/>
    <w:rsid w:val="00EF451C"/>
    <w:rsid w:val="00EF49A0"/>
    <w:rsid w:val="00EF4AA5"/>
    <w:rsid w:val="00EF4B87"/>
    <w:rsid w:val="00EF541E"/>
    <w:rsid w:val="00EF5430"/>
    <w:rsid w:val="00EF5493"/>
    <w:rsid w:val="00EF5549"/>
    <w:rsid w:val="00EF55A6"/>
    <w:rsid w:val="00EF56A8"/>
    <w:rsid w:val="00EF57BE"/>
    <w:rsid w:val="00EF58A7"/>
    <w:rsid w:val="00EF5991"/>
    <w:rsid w:val="00EF5994"/>
    <w:rsid w:val="00EF59F6"/>
    <w:rsid w:val="00EF5B8F"/>
    <w:rsid w:val="00EF5C11"/>
    <w:rsid w:val="00EF6068"/>
    <w:rsid w:val="00EF61B7"/>
    <w:rsid w:val="00EF61C4"/>
    <w:rsid w:val="00EF620A"/>
    <w:rsid w:val="00EF6474"/>
    <w:rsid w:val="00EF68B0"/>
    <w:rsid w:val="00EF6911"/>
    <w:rsid w:val="00EF69E5"/>
    <w:rsid w:val="00EF6AEC"/>
    <w:rsid w:val="00EF6B1F"/>
    <w:rsid w:val="00EF6BDB"/>
    <w:rsid w:val="00EF6FEC"/>
    <w:rsid w:val="00EF73CA"/>
    <w:rsid w:val="00EF7575"/>
    <w:rsid w:val="00EF75B7"/>
    <w:rsid w:val="00EF79AC"/>
    <w:rsid w:val="00EF7A11"/>
    <w:rsid w:val="00EF7AC3"/>
    <w:rsid w:val="00EF7B08"/>
    <w:rsid w:val="00EF7BA6"/>
    <w:rsid w:val="00EF7E2B"/>
    <w:rsid w:val="00F00019"/>
    <w:rsid w:val="00F00209"/>
    <w:rsid w:val="00F00533"/>
    <w:rsid w:val="00F0058B"/>
    <w:rsid w:val="00F0071E"/>
    <w:rsid w:val="00F0082D"/>
    <w:rsid w:val="00F0082E"/>
    <w:rsid w:val="00F00C46"/>
    <w:rsid w:val="00F00D69"/>
    <w:rsid w:val="00F00DDD"/>
    <w:rsid w:val="00F00E05"/>
    <w:rsid w:val="00F0110C"/>
    <w:rsid w:val="00F0156B"/>
    <w:rsid w:val="00F0158D"/>
    <w:rsid w:val="00F018BD"/>
    <w:rsid w:val="00F01969"/>
    <w:rsid w:val="00F01A19"/>
    <w:rsid w:val="00F01C53"/>
    <w:rsid w:val="00F02166"/>
    <w:rsid w:val="00F02376"/>
    <w:rsid w:val="00F023D3"/>
    <w:rsid w:val="00F0265F"/>
    <w:rsid w:val="00F026CB"/>
    <w:rsid w:val="00F028E8"/>
    <w:rsid w:val="00F0291E"/>
    <w:rsid w:val="00F02B3E"/>
    <w:rsid w:val="00F02B99"/>
    <w:rsid w:val="00F02DED"/>
    <w:rsid w:val="00F03019"/>
    <w:rsid w:val="00F03070"/>
    <w:rsid w:val="00F032FF"/>
    <w:rsid w:val="00F0337F"/>
    <w:rsid w:val="00F033AF"/>
    <w:rsid w:val="00F03449"/>
    <w:rsid w:val="00F035E2"/>
    <w:rsid w:val="00F03849"/>
    <w:rsid w:val="00F03D56"/>
    <w:rsid w:val="00F03DE6"/>
    <w:rsid w:val="00F03FBB"/>
    <w:rsid w:val="00F03FC1"/>
    <w:rsid w:val="00F043B8"/>
    <w:rsid w:val="00F044AC"/>
    <w:rsid w:val="00F04638"/>
    <w:rsid w:val="00F046C1"/>
    <w:rsid w:val="00F048FB"/>
    <w:rsid w:val="00F04920"/>
    <w:rsid w:val="00F04A6E"/>
    <w:rsid w:val="00F04CB1"/>
    <w:rsid w:val="00F04D38"/>
    <w:rsid w:val="00F04E9D"/>
    <w:rsid w:val="00F04F18"/>
    <w:rsid w:val="00F04F9C"/>
    <w:rsid w:val="00F04FA4"/>
    <w:rsid w:val="00F050DD"/>
    <w:rsid w:val="00F0515B"/>
    <w:rsid w:val="00F051F8"/>
    <w:rsid w:val="00F05263"/>
    <w:rsid w:val="00F052F2"/>
    <w:rsid w:val="00F0538F"/>
    <w:rsid w:val="00F056E1"/>
    <w:rsid w:val="00F05B0F"/>
    <w:rsid w:val="00F05BFF"/>
    <w:rsid w:val="00F05C32"/>
    <w:rsid w:val="00F05EAC"/>
    <w:rsid w:val="00F06070"/>
    <w:rsid w:val="00F060B1"/>
    <w:rsid w:val="00F0676F"/>
    <w:rsid w:val="00F06771"/>
    <w:rsid w:val="00F0677E"/>
    <w:rsid w:val="00F06795"/>
    <w:rsid w:val="00F06947"/>
    <w:rsid w:val="00F069BE"/>
    <w:rsid w:val="00F06A36"/>
    <w:rsid w:val="00F06AE9"/>
    <w:rsid w:val="00F06B02"/>
    <w:rsid w:val="00F06B26"/>
    <w:rsid w:val="00F06B62"/>
    <w:rsid w:val="00F06CE5"/>
    <w:rsid w:val="00F06F1D"/>
    <w:rsid w:val="00F0710F"/>
    <w:rsid w:val="00F0713A"/>
    <w:rsid w:val="00F07164"/>
    <w:rsid w:val="00F071F1"/>
    <w:rsid w:val="00F07284"/>
    <w:rsid w:val="00F0747F"/>
    <w:rsid w:val="00F076D4"/>
    <w:rsid w:val="00F077B3"/>
    <w:rsid w:val="00F0785A"/>
    <w:rsid w:val="00F07C7A"/>
    <w:rsid w:val="00F07C90"/>
    <w:rsid w:val="00F07CAB"/>
    <w:rsid w:val="00F07D16"/>
    <w:rsid w:val="00F07D8F"/>
    <w:rsid w:val="00F100B6"/>
    <w:rsid w:val="00F101ED"/>
    <w:rsid w:val="00F10298"/>
    <w:rsid w:val="00F1039F"/>
    <w:rsid w:val="00F104FF"/>
    <w:rsid w:val="00F10812"/>
    <w:rsid w:val="00F1090A"/>
    <w:rsid w:val="00F109F5"/>
    <w:rsid w:val="00F10B33"/>
    <w:rsid w:val="00F10D01"/>
    <w:rsid w:val="00F10D73"/>
    <w:rsid w:val="00F10D84"/>
    <w:rsid w:val="00F10DAB"/>
    <w:rsid w:val="00F10FC3"/>
    <w:rsid w:val="00F11101"/>
    <w:rsid w:val="00F1115D"/>
    <w:rsid w:val="00F111A1"/>
    <w:rsid w:val="00F111D4"/>
    <w:rsid w:val="00F112C5"/>
    <w:rsid w:val="00F113E3"/>
    <w:rsid w:val="00F1165D"/>
    <w:rsid w:val="00F1167E"/>
    <w:rsid w:val="00F11697"/>
    <w:rsid w:val="00F1179B"/>
    <w:rsid w:val="00F117C4"/>
    <w:rsid w:val="00F118B0"/>
    <w:rsid w:val="00F11CCD"/>
    <w:rsid w:val="00F11EFA"/>
    <w:rsid w:val="00F11FF0"/>
    <w:rsid w:val="00F12204"/>
    <w:rsid w:val="00F122A5"/>
    <w:rsid w:val="00F12349"/>
    <w:rsid w:val="00F12483"/>
    <w:rsid w:val="00F124DC"/>
    <w:rsid w:val="00F12516"/>
    <w:rsid w:val="00F12600"/>
    <w:rsid w:val="00F12612"/>
    <w:rsid w:val="00F12759"/>
    <w:rsid w:val="00F127BF"/>
    <w:rsid w:val="00F12882"/>
    <w:rsid w:val="00F12C63"/>
    <w:rsid w:val="00F12D29"/>
    <w:rsid w:val="00F12F3E"/>
    <w:rsid w:val="00F13040"/>
    <w:rsid w:val="00F13122"/>
    <w:rsid w:val="00F1316D"/>
    <w:rsid w:val="00F132A8"/>
    <w:rsid w:val="00F132B6"/>
    <w:rsid w:val="00F1333D"/>
    <w:rsid w:val="00F1341D"/>
    <w:rsid w:val="00F134C8"/>
    <w:rsid w:val="00F135B3"/>
    <w:rsid w:val="00F136F5"/>
    <w:rsid w:val="00F13878"/>
    <w:rsid w:val="00F139C5"/>
    <w:rsid w:val="00F13A17"/>
    <w:rsid w:val="00F13AB5"/>
    <w:rsid w:val="00F13B09"/>
    <w:rsid w:val="00F13BDF"/>
    <w:rsid w:val="00F13D2E"/>
    <w:rsid w:val="00F13FF8"/>
    <w:rsid w:val="00F1404E"/>
    <w:rsid w:val="00F1414D"/>
    <w:rsid w:val="00F141B7"/>
    <w:rsid w:val="00F14451"/>
    <w:rsid w:val="00F144E7"/>
    <w:rsid w:val="00F14611"/>
    <w:rsid w:val="00F1463C"/>
    <w:rsid w:val="00F14726"/>
    <w:rsid w:val="00F147ED"/>
    <w:rsid w:val="00F14808"/>
    <w:rsid w:val="00F1481E"/>
    <w:rsid w:val="00F14863"/>
    <w:rsid w:val="00F14ADE"/>
    <w:rsid w:val="00F14CCC"/>
    <w:rsid w:val="00F14E6C"/>
    <w:rsid w:val="00F14E7D"/>
    <w:rsid w:val="00F14EF8"/>
    <w:rsid w:val="00F14F0B"/>
    <w:rsid w:val="00F14FF8"/>
    <w:rsid w:val="00F150DD"/>
    <w:rsid w:val="00F1537C"/>
    <w:rsid w:val="00F1539C"/>
    <w:rsid w:val="00F153E4"/>
    <w:rsid w:val="00F15499"/>
    <w:rsid w:val="00F15560"/>
    <w:rsid w:val="00F15600"/>
    <w:rsid w:val="00F15673"/>
    <w:rsid w:val="00F156D4"/>
    <w:rsid w:val="00F157E5"/>
    <w:rsid w:val="00F15861"/>
    <w:rsid w:val="00F1596E"/>
    <w:rsid w:val="00F159DB"/>
    <w:rsid w:val="00F15B34"/>
    <w:rsid w:val="00F15B76"/>
    <w:rsid w:val="00F15B95"/>
    <w:rsid w:val="00F15CA8"/>
    <w:rsid w:val="00F15D7D"/>
    <w:rsid w:val="00F15DAF"/>
    <w:rsid w:val="00F15F8B"/>
    <w:rsid w:val="00F15F9A"/>
    <w:rsid w:val="00F16012"/>
    <w:rsid w:val="00F1601F"/>
    <w:rsid w:val="00F161B5"/>
    <w:rsid w:val="00F163B5"/>
    <w:rsid w:val="00F16597"/>
    <w:rsid w:val="00F165A1"/>
    <w:rsid w:val="00F166CC"/>
    <w:rsid w:val="00F16735"/>
    <w:rsid w:val="00F16ACF"/>
    <w:rsid w:val="00F16B4A"/>
    <w:rsid w:val="00F16B97"/>
    <w:rsid w:val="00F16D47"/>
    <w:rsid w:val="00F17003"/>
    <w:rsid w:val="00F17036"/>
    <w:rsid w:val="00F173F0"/>
    <w:rsid w:val="00F17587"/>
    <w:rsid w:val="00F17679"/>
    <w:rsid w:val="00F179B1"/>
    <w:rsid w:val="00F17AB4"/>
    <w:rsid w:val="00F17AC2"/>
    <w:rsid w:val="00F17D98"/>
    <w:rsid w:val="00F17F4D"/>
    <w:rsid w:val="00F2018E"/>
    <w:rsid w:val="00F20469"/>
    <w:rsid w:val="00F204E5"/>
    <w:rsid w:val="00F2061A"/>
    <w:rsid w:val="00F20670"/>
    <w:rsid w:val="00F20743"/>
    <w:rsid w:val="00F20784"/>
    <w:rsid w:val="00F209DD"/>
    <w:rsid w:val="00F209F5"/>
    <w:rsid w:val="00F20C90"/>
    <w:rsid w:val="00F20C94"/>
    <w:rsid w:val="00F20D03"/>
    <w:rsid w:val="00F20D53"/>
    <w:rsid w:val="00F20DF9"/>
    <w:rsid w:val="00F21015"/>
    <w:rsid w:val="00F2107E"/>
    <w:rsid w:val="00F211AD"/>
    <w:rsid w:val="00F2125C"/>
    <w:rsid w:val="00F2128F"/>
    <w:rsid w:val="00F214FD"/>
    <w:rsid w:val="00F21678"/>
    <w:rsid w:val="00F216BE"/>
    <w:rsid w:val="00F2180B"/>
    <w:rsid w:val="00F21920"/>
    <w:rsid w:val="00F21E78"/>
    <w:rsid w:val="00F220A8"/>
    <w:rsid w:val="00F22127"/>
    <w:rsid w:val="00F222AA"/>
    <w:rsid w:val="00F22354"/>
    <w:rsid w:val="00F223BA"/>
    <w:rsid w:val="00F22461"/>
    <w:rsid w:val="00F22495"/>
    <w:rsid w:val="00F2256B"/>
    <w:rsid w:val="00F22905"/>
    <w:rsid w:val="00F22A2E"/>
    <w:rsid w:val="00F22A9E"/>
    <w:rsid w:val="00F22B67"/>
    <w:rsid w:val="00F22F65"/>
    <w:rsid w:val="00F22F81"/>
    <w:rsid w:val="00F22F88"/>
    <w:rsid w:val="00F2315E"/>
    <w:rsid w:val="00F235B3"/>
    <w:rsid w:val="00F23ACD"/>
    <w:rsid w:val="00F23ADC"/>
    <w:rsid w:val="00F23C82"/>
    <w:rsid w:val="00F23EDA"/>
    <w:rsid w:val="00F23F94"/>
    <w:rsid w:val="00F24164"/>
    <w:rsid w:val="00F2427E"/>
    <w:rsid w:val="00F24353"/>
    <w:rsid w:val="00F243EE"/>
    <w:rsid w:val="00F24627"/>
    <w:rsid w:val="00F24808"/>
    <w:rsid w:val="00F24815"/>
    <w:rsid w:val="00F2499A"/>
    <w:rsid w:val="00F24A16"/>
    <w:rsid w:val="00F24B4A"/>
    <w:rsid w:val="00F24B84"/>
    <w:rsid w:val="00F24C08"/>
    <w:rsid w:val="00F24CFB"/>
    <w:rsid w:val="00F24DB4"/>
    <w:rsid w:val="00F24DF8"/>
    <w:rsid w:val="00F24EB1"/>
    <w:rsid w:val="00F24EB2"/>
    <w:rsid w:val="00F2514F"/>
    <w:rsid w:val="00F251CF"/>
    <w:rsid w:val="00F25216"/>
    <w:rsid w:val="00F252DB"/>
    <w:rsid w:val="00F25350"/>
    <w:rsid w:val="00F254CE"/>
    <w:rsid w:val="00F25745"/>
    <w:rsid w:val="00F2592D"/>
    <w:rsid w:val="00F25965"/>
    <w:rsid w:val="00F25A82"/>
    <w:rsid w:val="00F25AC6"/>
    <w:rsid w:val="00F25B55"/>
    <w:rsid w:val="00F25B73"/>
    <w:rsid w:val="00F25D41"/>
    <w:rsid w:val="00F25D8A"/>
    <w:rsid w:val="00F26103"/>
    <w:rsid w:val="00F26208"/>
    <w:rsid w:val="00F26276"/>
    <w:rsid w:val="00F263CC"/>
    <w:rsid w:val="00F26435"/>
    <w:rsid w:val="00F26447"/>
    <w:rsid w:val="00F266AE"/>
    <w:rsid w:val="00F26881"/>
    <w:rsid w:val="00F26949"/>
    <w:rsid w:val="00F26A04"/>
    <w:rsid w:val="00F26AB0"/>
    <w:rsid w:val="00F26B0E"/>
    <w:rsid w:val="00F26B91"/>
    <w:rsid w:val="00F26C6B"/>
    <w:rsid w:val="00F26E26"/>
    <w:rsid w:val="00F26EB7"/>
    <w:rsid w:val="00F2707D"/>
    <w:rsid w:val="00F27081"/>
    <w:rsid w:val="00F270C5"/>
    <w:rsid w:val="00F270C7"/>
    <w:rsid w:val="00F27613"/>
    <w:rsid w:val="00F27A5B"/>
    <w:rsid w:val="00F27BA6"/>
    <w:rsid w:val="00F27D58"/>
    <w:rsid w:val="00F27DBB"/>
    <w:rsid w:val="00F27E93"/>
    <w:rsid w:val="00F27F34"/>
    <w:rsid w:val="00F27F39"/>
    <w:rsid w:val="00F303FB"/>
    <w:rsid w:val="00F304EF"/>
    <w:rsid w:val="00F30918"/>
    <w:rsid w:val="00F30A49"/>
    <w:rsid w:val="00F30E3F"/>
    <w:rsid w:val="00F30F6B"/>
    <w:rsid w:val="00F31158"/>
    <w:rsid w:val="00F3144A"/>
    <w:rsid w:val="00F314B4"/>
    <w:rsid w:val="00F31546"/>
    <w:rsid w:val="00F31599"/>
    <w:rsid w:val="00F31618"/>
    <w:rsid w:val="00F31654"/>
    <w:rsid w:val="00F31822"/>
    <w:rsid w:val="00F31961"/>
    <w:rsid w:val="00F31D6E"/>
    <w:rsid w:val="00F3246C"/>
    <w:rsid w:val="00F32535"/>
    <w:rsid w:val="00F32814"/>
    <w:rsid w:val="00F3282C"/>
    <w:rsid w:val="00F32950"/>
    <w:rsid w:val="00F329EA"/>
    <w:rsid w:val="00F329FB"/>
    <w:rsid w:val="00F32CC1"/>
    <w:rsid w:val="00F32D0B"/>
    <w:rsid w:val="00F32E38"/>
    <w:rsid w:val="00F32FD8"/>
    <w:rsid w:val="00F32FEC"/>
    <w:rsid w:val="00F33030"/>
    <w:rsid w:val="00F332E1"/>
    <w:rsid w:val="00F33516"/>
    <w:rsid w:val="00F3375B"/>
    <w:rsid w:val="00F33880"/>
    <w:rsid w:val="00F338B5"/>
    <w:rsid w:val="00F33BC4"/>
    <w:rsid w:val="00F33D84"/>
    <w:rsid w:val="00F34128"/>
    <w:rsid w:val="00F34331"/>
    <w:rsid w:val="00F346CC"/>
    <w:rsid w:val="00F347A4"/>
    <w:rsid w:val="00F349C1"/>
    <w:rsid w:val="00F34BF1"/>
    <w:rsid w:val="00F34C46"/>
    <w:rsid w:val="00F34CDB"/>
    <w:rsid w:val="00F34D81"/>
    <w:rsid w:val="00F34F99"/>
    <w:rsid w:val="00F35091"/>
    <w:rsid w:val="00F352FD"/>
    <w:rsid w:val="00F35472"/>
    <w:rsid w:val="00F3575A"/>
    <w:rsid w:val="00F35830"/>
    <w:rsid w:val="00F35883"/>
    <w:rsid w:val="00F35902"/>
    <w:rsid w:val="00F35965"/>
    <w:rsid w:val="00F35A54"/>
    <w:rsid w:val="00F35A5F"/>
    <w:rsid w:val="00F35A90"/>
    <w:rsid w:val="00F35B76"/>
    <w:rsid w:val="00F35D31"/>
    <w:rsid w:val="00F35DFF"/>
    <w:rsid w:val="00F35EF8"/>
    <w:rsid w:val="00F35F8B"/>
    <w:rsid w:val="00F36174"/>
    <w:rsid w:val="00F36298"/>
    <w:rsid w:val="00F36424"/>
    <w:rsid w:val="00F3665B"/>
    <w:rsid w:val="00F366AA"/>
    <w:rsid w:val="00F367D8"/>
    <w:rsid w:val="00F367DC"/>
    <w:rsid w:val="00F369DE"/>
    <w:rsid w:val="00F36A9C"/>
    <w:rsid w:val="00F36B69"/>
    <w:rsid w:val="00F36B8B"/>
    <w:rsid w:val="00F36C89"/>
    <w:rsid w:val="00F370F9"/>
    <w:rsid w:val="00F3739D"/>
    <w:rsid w:val="00F3744C"/>
    <w:rsid w:val="00F377B5"/>
    <w:rsid w:val="00F377C4"/>
    <w:rsid w:val="00F37860"/>
    <w:rsid w:val="00F378DA"/>
    <w:rsid w:val="00F37B03"/>
    <w:rsid w:val="00F37B16"/>
    <w:rsid w:val="00F37C3A"/>
    <w:rsid w:val="00F37D50"/>
    <w:rsid w:val="00F37D91"/>
    <w:rsid w:val="00F37F68"/>
    <w:rsid w:val="00F40188"/>
    <w:rsid w:val="00F401A3"/>
    <w:rsid w:val="00F401BD"/>
    <w:rsid w:val="00F4029E"/>
    <w:rsid w:val="00F40507"/>
    <w:rsid w:val="00F4057F"/>
    <w:rsid w:val="00F408B4"/>
    <w:rsid w:val="00F40AD9"/>
    <w:rsid w:val="00F40B16"/>
    <w:rsid w:val="00F40B1D"/>
    <w:rsid w:val="00F40D04"/>
    <w:rsid w:val="00F40E73"/>
    <w:rsid w:val="00F4115B"/>
    <w:rsid w:val="00F412C4"/>
    <w:rsid w:val="00F41448"/>
    <w:rsid w:val="00F4149F"/>
    <w:rsid w:val="00F41C8E"/>
    <w:rsid w:val="00F41CE2"/>
    <w:rsid w:val="00F41E44"/>
    <w:rsid w:val="00F41EAD"/>
    <w:rsid w:val="00F41F56"/>
    <w:rsid w:val="00F41F87"/>
    <w:rsid w:val="00F41FBD"/>
    <w:rsid w:val="00F421BB"/>
    <w:rsid w:val="00F421E4"/>
    <w:rsid w:val="00F42406"/>
    <w:rsid w:val="00F42512"/>
    <w:rsid w:val="00F426D9"/>
    <w:rsid w:val="00F42798"/>
    <w:rsid w:val="00F42AB3"/>
    <w:rsid w:val="00F42AC6"/>
    <w:rsid w:val="00F42DA0"/>
    <w:rsid w:val="00F42DAB"/>
    <w:rsid w:val="00F42DDA"/>
    <w:rsid w:val="00F43102"/>
    <w:rsid w:val="00F4314A"/>
    <w:rsid w:val="00F43241"/>
    <w:rsid w:val="00F432E1"/>
    <w:rsid w:val="00F43467"/>
    <w:rsid w:val="00F43632"/>
    <w:rsid w:val="00F43881"/>
    <w:rsid w:val="00F4389E"/>
    <w:rsid w:val="00F43981"/>
    <w:rsid w:val="00F43BE6"/>
    <w:rsid w:val="00F43C21"/>
    <w:rsid w:val="00F43C24"/>
    <w:rsid w:val="00F43C2E"/>
    <w:rsid w:val="00F43C3F"/>
    <w:rsid w:val="00F43DEC"/>
    <w:rsid w:val="00F43F23"/>
    <w:rsid w:val="00F444AE"/>
    <w:rsid w:val="00F444C6"/>
    <w:rsid w:val="00F445E6"/>
    <w:rsid w:val="00F448DF"/>
    <w:rsid w:val="00F4498C"/>
    <w:rsid w:val="00F44D32"/>
    <w:rsid w:val="00F44DC8"/>
    <w:rsid w:val="00F44E5A"/>
    <w:rsid w:val="00F44F8C"/>
    <w:rsid w:val="00F451E4"/>
    <w:rsid w:val="00F45356"/>
    <w:rsid w:val="00F453EF"/>
    <w:rsid w:val="00F4586D"/>
    <w:rsid w:val="00F458DE"/>
    <w:rsid w:val="00F45956"/>
    <w:rsid w:val="00F45A84"/>
    <w:rsid w:val="00F45AF4"/>
    <w:rsid w:val="00F45CF0"/>
    <w:rsid w:val="00F45FDC"/>
    <w:rsid w:val="00F461E0"/>
    <w:rsid w:val="00F46315"/>
    <w:rsid w:val="00F463BB"/>
    <w:rsid w:val="00F464A7"/>
    <w:rsid w:val="00F4683B"/>
    <w:rsid w:val="00F46920"/>
    <w:rsid w:val="00F46B46"/>
    <w:rsid w:val="00F46B6B"/>
    <w:rsid w:val="00F46C15"/>
    <w:rsid w:val="00F46C56"/>
    <w:rsid w:val="00F46CED"/>
    <w:rsid w:val="00F46D90"/>
    <w:rsid w:val="00F46E7B"/>
    <w:rsid w:val="00F46F44"/>
    <w:rsid w:val="00F46FD4"/>
    <w:rsid w:val="00F46FE4"/>
    <w:rsid w:val="00F47019"/>
    <w:rsid w:val="00F4729A"/>
    <w:rsid w:val="00F477DD"/>
    <w:rsid w:val="00F47801"/>
    <w:rsid w:val="00F47836"/>
    <w:rsid w:val="00F478B2"/>
    <w:rsid w:val="00F479B1"/>
    <w:rsid w:val="00F479B2"/>
    <w:rsid w:val="00F47CDB"/>
    <w:rsid w:val="00F50036"/>
    <w:rsid w:val="00F50153"/>
    <w:rsid w:val="00F5029D"/>
    <w:rsid w:val="00F502B9"/>
    <w:rsid w:val="00F50301"/>
    <w:rsid w:val="00F50482"/>
    <w:rsid w:val="00F50585"/>
    <w:rsid w:val="00F507A9"/>
    <w:rsid w:val="00F507C8"/>
    <w:rsid w:val="00F508F7"/>
    <w:rsid w:val="00F509D9"/>
    <w:rsid w:val="00F509F8"/>
    <w:rsid w:val="00F50D92"/>
    <w:rsid w:val="00F50E0D"/>
    <w:rsid w:val="00F50E0E"/>
    <w:rsid w:val="00F51085"/>
    <w:rsid w:val="00F51176"/>
    <w:rsid w:val="00F511D7"/>
    <w:rsid w:val="00F5129C"/>
    <w:rsid w:val="00F512CE"/>
    <w:rsid w:val="00F5131E"/>
    <w:rsid w:val="00F5138B"/>
    <w:rsid w:val="00F51492"/>
    <w:rsid w:val="00F5166E"/>
    <w:rsid w:val="00F517E2"/>
    <w:rsid w:val="00F51843"/>
    <w:rsid w:val="00F51A55"/>
    <w:rsid w:val="00F51B6A"/>
    <w:rsid w:val="00F51E55"/>
    <w:rsid w:val="00F51F95"/>
    <w:rsid w:val="00F51FEA"/>
    <w:rsid w:val="00F52149"/>
    <w:rsid w:val="00F52150"/>
    <w:rsid w:val="00F521F5"/>
    <w:rsid w:val="00F52365"/>
    <w:rsid w:val="00F524BB"/>
    <w:rsid w:val="00F5264B"/>
    <w:rsid w:val="00F52719"/>
    <w:rsid w:val="00F5274E"/>
    <w:rsid w:val="00F52B77"/>
    <w:rsid w:val="00F52CA7"/>
    <w:rsid w:val="00F52E2C"/>
    <w:rsid w:val="00F5321D"/>
    <w:rsid w:val="00F532A6"/>
    <w:rsid w:val="00F5330E"/>
    <w:rsid w:val="00F533E4"/>
    <w:rsid w:val="00F53432"/>
    <w:rsid w:val="00F53546"/>
    <w:rsid w:val="00F53643"/>
    <w:rsid w:val="00F5365B"/>
    <w:rsid w:val="00F536FD"/>
    <w:rsid w:val="00F53822"/>
    <w:rsid w:val="00F538CC"/>
    <w:rsid w:val="00F53913"/>
    <w:rsid w:val="00F53B0F"/>
    <w:rsid w:val="00F53D89"/>
    <w:rsid w:val="00F53EAA"/>
    <w:rsid w:val="00F541DB"/>
    <w:rsid w:val="00F5435B"/>
    <w:rsid w:val="00F54411"/>
    <w:rsid w:val="00F54594"/>
    <w:rsid w:val="00F5479F"/>
    <w:rsid w:val="00F54833"/>
    <w:rsid w:val="00F54D8B"/>
    <w:rsid w:val="00F54EE8"/>
    <w:rsid w:val="00F5510C"/>
    <w:rsid w:val="00F55119"/>
    <w:rsid w:val="00F55178"/>
    <w:rsid w:val="00F551AF"/>
    <w:rsid w:val="00F5528C"/>
    <w:rsid w:val="00F5534E"/>
    <w:rsid w:val="00F553AB"/>
    <w:rsid w:val="00F5576D"/>
    <w:rsid w:val="00F558E5"/>
    <w:rsid w:val="00F55976"/>
    <w:rsid w:val="00F559BE"/>
    <w:rsid w:val="00F55A01"/>
    <w:rsid w:val="00F55B67"/>
    <w:rsid w:val="00F55DFA"/>
    <w:rsid w:val="00F55E0E"/>
    <w:rsid w:val="00F55E38"/>
    <w:rsid w:val="00F55E47"/>
    <w:rsid w:val="00F55FC2"/>
    <w:rsid w:val="00F5600B"/>
    <w:rsid w:val="00F56011"/>
    <w:rsid w:val="00F560ED"/>
    <w:rsid w:val="00F561F8"/>
    <w:rsid w:val="00F56362"/>
    <w:rsid w:val="00F563BE"/>
    <w:rsid w:val="00F56719"/>
    <w:rsid w:val="00F569CC"/>
    <w:rsid w:val="00F56B7E"/>
    <w:rsid w:val="00F56BEC"/>
    <w:rsid w:val="00F56CBA"/>
    <w:rsid w:val="00F56D9C"/>
    <w:rsid w:val="00F570CA"/>
    <w:rsid w:val="00F57217"/>
    <w:rsid w:val="00F5724D"/>
    <w:rsid w:val="00F5739A"/>
    <w:rsid w:val="00F57584"/>
    <w:rsid w:val="00F57648"/>
    <w:rsid w:val="00F57693"/>
    <w:rsid w:val="00F578FD"/>
    <w:rsid w:val="00F579E8"/>
    <w:rsid w:val="00F57C87"/>
    <w:rsid w:val="00F57D2B"/>
    <w:rsid w:val="00F57F41"/>
    <w:rsid w:val="00F57FDD"/>
    <w:rsid w:val="00F6017F"/>
    <w:rsid w:val="00F601DB"/>
    <w:rsid w:val="00F60377"/>
    <w:rsid w:val="00F60462"/>
    <w:rsid w:val="00F604B9"/>
    <w:rsid w:val="00F60506"/>
    <w:rsid w:val="00F60751"/>
    <w:rsid w:val="00F608BA"/>
    <w:rsid w:val="00F608F3"/>
    <w:rsid w:val="00F60A1A"/>
    <w:rsid w:val="00F60A86"/>
    <w:rsid w:val="00F60BEB"/>
    <w:rsid w:val="00F60F59"/>
    <w:rsid w:val="00F61033"/>
    <w:rsid w:val="00F61066"/>
    <w:rsid w:val="00F61132"/>
    <w:rsid w:val="00F6113E"/>
    <w:rsid w:val="00F611CF"/>
    <w:rsid w:val="00F6156E"/>
    <w:rsid w:val="00F615BD"/>
    <w:rsid w:val="00F615D2"/>
    <w:rsid w:val="00F619CD"/>
    <w:rsid w:val="00F61A69"/>
    <w:rsid w:val="00F61A8D"/>
    <w:rsid w:val="00F61A9F"/>
    <w:rsid w:val="00F61EF3"/>
    <w:rsid w:val="00F621B5"/>
    <w:rsid w:val="00F6225E"/>
    <w:rsid w:val="00F62265"/>
    <w:rsid w:val="00F62284"/>
    <w:rsid w:val="00F62354"/>
    <w:rsid w:val="00F62507"/>
    <w:rsid w:val="00F626F0"/>
    <w:rsid w:val="00F627CE"/>
    <w:rsid w:val="00F62988"/>
    <w:rsid w:val="00F62A24"/>
    <w:rsid w:val="00F62A53"/>
    <w:rsid w:val="00F62F57"/>
    <w:rsid w:val="00F62FAC"/>
    <w:rsid w:val="00F62FCD"/>
    <w:rsid w:val="00F63090"/>
    <w:rsid w:val="00F63140"/>
    <w:rsid w:val="00F63156"/>
    <w:rsid w:val="00F631CD"/>
    <w:rsid w:val="00F6356B"/>
    <w:rsid w:val="00F6364F"/>
    <w:rsid w:val="00F636A9"/>
    <w:rsid w:val="00F637C0"/>
    <w:rsid w:val="00F638EB"/>
    <w:rsid w:val="00F6392B"/>
    <w:rsid w:val="00F63AD4"/>
    <w:rsid w:val="00F63AE6"/>
    <w:rsid w:val="00F63B7F"/>
    <w:rsid w:val="00F63C5C"/>
    <w:rsid w:val="00F63CD5"/>
    <w:rsid w:val="00F63D7D"/>
    <w:rsid w:val="00F63DBF"/>
    <w:rsid w:val="00F64075"/>
    <w:rsid w:val="00F6423E"/>
    <w:rsid w:val="00F64422"/>
    <w:rsid w:val="00F64725"/>
    <w:rsid w:val="00F64794"/>
    <w:rsid w:val="00F6486E"/>
    <w:rsid w:val="00F649B6"/>
    <w:rsid w:val="00F64A34"/>
    <w:rsid w:val="00F64AFE"/>
    <w:rsid w:val="00F64C83"/>
    <w:rsid w:val="00F64DDB"/>
    <w:rsid w:val="00F65100"/>
    <w:rsid w:val="00F65180"/>
    <w:rsid w:val="00F65428"/>
    <w:rsid w:val="00F6552A"/>
    <w:rsid w:val="00F655A9"/>
    <w:rsid w:val="00F6572D"/>
    <w:rsid w:val="00F6573D"/>
    <w:rsid w:val="00F65891"/>
    <w:rsid w:val="00F65946"/>
    <w:rsid w:val="00F6594D"/>
    <w:rsid w:val="00F6596A"/>
    <w:rsid w:val="00F65A2F"/>
    <w:rsid w:val="00F65A53"/>
    <w:rsid w:val="00F65AAF"/>
    <w:rsid w:val="00F65B02"/>
    <w:rsid w:val="00F65BD2"/>
    <w:rsid w:val="00F65BED"/>
    <w:rsid w:val="00F65BF8"/>
    <w:rsid w:val="00F65CBE"/>
    <w:rsid w:val="00F65CE2"/>
    <w:rsid w:val="00F65DB8"/>
    <w:rsid w:val="00F65DBE"/>
    <w:rsid w:val="00F65E79"/>
    <w:rsid w:val="00F65EBF"/>
    <w:rsid w:val="00F66192"/>
    <w:rsid w:val="00F661CE"/>
    <w:rsid w:val="00F66379"/>
    <w:rsid w:val="00F663A5"/>
    <w:rsid w:val="00F66532"/>
    <w:rsid w:val="00F665EE"/>
    <w:rsid w:val="00F668D4"/>
    <w:rsid w:val="00F668F2"/>
    <w:rsid w:val="00F66995"/>
    <w:rsid w:val="00F669DA"/>
    <w:rsid w:val="00F66B9F"/>
    <w:rsid w:val="00F66C78"/>
    <w:rsid w:val="00F67199"/>
    <w:rsid w:val="00F6723E"/>
    <w:rsid w:val="00F6744E"/>
    <w:rsid w:val="00F6768B"/>
    <w:rsid w:val="00F678A8"/>
    <w:rsid w:val="00F6797F"/>
    <w:rsid w:val="00F67A34"/>
    <w:rsid w:val="00F67A88"/>
    <w:rsid w:val="00F67B8C"/>
    <w:rsid w:val="00F67DD6"/>
    <w:rsid w:val="00F70024"/>
    <w:rsid w:val="00F70070"/>
    <w:rsid w:val="00F700DF"/>
    <w:rsid w:val="00F701AC"/>
    <w:rsid w:val="00F70255"/>
    <w:rsid w:val="00F702F2"/>
    <w:rsid w:val="00F704AD"/>
    <w:rsid w:val="00F705FE"/>
    <w:rsid w:val="00F709F5"/>
    <w:rsid w:val="00F70A27"/>
    <w:rsid w:val="00F70A4F"/>
    <w:rsid w:val="00F70A8B"/>
    <w:rsid w:val="00F70BA8"/>
    <w:rsid w:val="00F70E6B"/>
    <w:rsid w:val="00F70EA8"/>
    <w:rsid w:val="00F71012"/>
    <w:rsid w:val="00F710E5"/>
    <w:rsid w:val="00F71123"/>
    <w:rsid w:val="00F71512"/>
    <w:rsid w:val="00F7164E"/>
    <w:rsid w:val="00F717D6"/>
    <w:rsid w:val="00F71A0E"/>
    <w:rsid w:val="00F71B0F"/>
    <w:rsid w:val="00F71B19"/>
    <w:rsid w:val="00F71C1A"/>
    <w:rsid w:val="00F71C1E"/>
    <w:rsid w:val="00F71C50"/>
    <w:rsid w:val="00F71EAF"/>
    <w:rsid w:val="00F71F3C"/>
    <w:rsid w:val="00F72287"/>
    <w:rsid w:val="00F72298"/>
    <w:rsid w:val="00F72407"/>
    <w:rsid w:val="00F72425"/>
    <w:rsid w:val="00F7249D"/>
    <w:rsid w:val="00F72628"/>
    <w:rsid w:val="00F7298F"/>
    <w:rsid w:val="00F72BCF"/>
    <w:rsid w:val="00F72CFD"/>
    <w:rsid w:val="00F72DBF"/>
    <w:rsid w:val="00F72DF0"/>
    <w:rsid w:val="00F731DE"/>
    <w:rsid w:val="00F7337B"/>
    <w:rsid w:val="00F734D1"/>
    <w:rsid w:val="00F73615"/>
    <w:rsid w:val="00F736C2"/>
    <w:rsid w:val="00F738E8"/>
    <w:rsid w:val="00F73D47"/>
    <w:rsid w:val="00F73D5F"/>
    <w:rsid w:val="00F740FC"/>
    <w:rsid w:val="00F74139"/>
    <w:rsid w:val="00F741BC"/>
    <w:rsid w:val="00F7433B"/>
    <w:rsid w:val="00F74536"/>
    <w:rsid w:val="00F74586"/>
    <w:rsid w:val="00F745C0"/>
    <w:rsid w:val="00F74676"/>
    <w:rsid w:val="00F7475E"/>
    <w:rsid w:val="00F7488C"/>
    <w:rsid w:val="00F74CAC"/>
    <w:rsid w:val="00F74CBB"/>
    <w:rsid w:val="00F74DFA"/>
    <w:rsid w:val="00F74EBD"/>
    <w:rsid w:val="00F750D8"/>
    <w:rsid w:val="00F75166"/>
    <w:rsid w:val="00F751AE"/>
    <w:rsid w:val="00F752D8"/>
    <w:rsid w:val="00F755FC"/>
    <w:rsid w:val="00F756DB"/>
    <w:rsid w:val="00F7581B"/>
    <w:rsid w:val="00F75919"/>
    <w:rsid w:val="00F75AFE"/>
    <w:rsid w:val="00F75C69"/>
    <w:rsid w:val="00F75C76"/>
    <w:rsid w:val="00F75CC6"/>
    <w:rsid w:val="00F75D49"/>
    <w:rsid w:val="00F76125"/>
    <w:rsid w:val="00F76252"/>
    <w:rsid w:val="00F76313"/>
    <w:rsid w:val="00F764CD"/>
    <w:rsid w:val="00F7662D"/>
    <w:rsid w:val="00F76ACE"/>
    <w:rsid w:val="00F76C0E"/>
    <w:rsid w:val="00F7709D"/>
    <w:rsid w:val="00F771A3"/>
    <w:rsid w:val="00F771B3"/>
    <w:rsid w:val="00F772BB"/>
    <w:rsid w:val="00F77422"/>
    <w:rsid w:val="00F774C5"/>
    <w:rsid w:val="00F7763A"/>
    <w:rsid w:val="00F776C0"/>
    <w:rsid w:val="00F7782F"/>
    <w:rsid w:val="00F778B3"/>
    <w:rsid w:val="00F779B7"/>
    <w:rsid w:val="00F77BBE"/>
    <w:rsid w:val="00F77E9C"/>
    <w:rsid w:val="00F77EBB"/>
    <w:rsid w:val="00F77EDA"/>
    <w:rsid w:val="00F77F77"/>
    <w:rsid w:val="00F77FE7"/>
    <w:rsid w:val="00F80173"/>
    <w:rsid w:val="00F801EF"/>
    <w:rsid w:val="00F803E7"/>
    <w:rsid w:val="00F80560"/>
    <w:rsid w:val="00F806CA"/>
    <w:rsid w:val="00F8071E"/>
    <w:rsid w:val="00F8097B"/>
    <w:rsid w:val="00F80AB2"/>
    <w:rsid w:val="00F80DC7"/>
    <w:rsid w:val="00F80EEA"/>
    <w:rsid w:val="00F81381"/>
    <w:rsid w:val="00F815D1"/>
    <w:rsid w:val="00F817FD"/>
    <w:rsid w:val="00F81962"/>
    <w:rsid w:val="00F8197D"/>
    <w:rsid w:val="00F81AF1"/>
    <w:rsid w:val="00F81BD0"/>
    <w:rsid w:val="00F81D42"/>
    <w:rsid w:val="00F81EEF"/>
    <w:rsid w:val="00F825B0"/>
    <w:rsid w:val="00F82A30"/>
    <w:rsid w:val="00F82B29"/>
    <w:rsid w:val="00F82C33"/>
    <w:rsid w:val="00F82C44"/>
    <w:rsid w:val="00F82D63"/>
    <w:rsid w:val="00F82DD1"/>
    <w:rsid w:val="00F835E3"/>
    <w:rsid w:val="00F83691"/>
    <w:rsid w:val="00F83764"/>
    <w:rsid w:val="00F837F4"/>
    <w:rsid w:val="00F8383C"/>
    <w:rsid w:val="00F83A29"/>
    <w:rsid w:val="00F83AC8"/>
    <w:rsid w:val="00F83BB4"/>
    <w:rsid w:val="00F83BBF"/>
    <w:rsid w:val="00F83DD7"/>
    <w:rsid w:val="00F83F97"/>
    <w:rsid w:val="00F84195"/>
    <w:rsid w:val="00F84367"/>
    <w:rsid w:val="00F84385"/>
    <w:rsid w:val="00F8450A"/>
    <w:rsid w:val="00F8455E"/>
    <w:rsid w:val="00F8462C"/>
    <w:rsid w:val="00F848F3"/>
    <w:rsid w:val="00F84AA5"/>
    <w:rsid w:val="00F84D5D"/>
    <w:rsid w:val="00F84DE4"/>
    <w:rsid w:val="00F84ED1"/>
    <w:rsid w:val="00F84F00"/>
    <w:rsid w:val="00F84F55"/>
    <w:rsid w:val="00F84FBF"/>
    <w:rsid w:val="00F85202"/>
    <w:rsid w:val="00F85250"/>
    <w:rsid w:val="00F854B9"/>
    <w:rsid w:val="00F854F9"/>
    <w:rsid w:val="00F8551C"/>
    <w:rsid w:val="00F8556A"/>
    <w:rsid w:val="00F856EE"/>
    <w:rsid w:val="00F85772"/>
    <w:rsid w:val="00F85BD5"/>
    <w:rsid w:val="00F85CBB"/>
    <w:rsid w:val="00F85CCB"/>
    <w:rsid w:val="00F85D6B"/>
    <w:rsid w:val="00F85E00"/>
    <w:rsid w:val="00F85E86"/>
    <w:rsid w:val="00F85F5B"/>
    <w:rsid w:val="00F85F97"/>
    <w:rsid w:val="00F8610C"/>
    <w:rsid w:val="00F861FC"/>
    <w:rsid w:val="00F8632C"/>
    <w:rsid w:val="00F863CB"/>
    <w:rsid w:val="00F86445"/>
    <w:rsid w:val="00F86702"/>
    <w:rsid w:val="00F86723"/>
    <w:rsid w:val="00F8687F"/>
    <w:rsid w:val="00F86926"/>
    <w:rsid w:val="00F869A5"/>
    <w:rsid w:val="00F86A23"/>
    <w:rsid w:val="00F86A47"/>
    <w:rsid w:val="00F86AF6"/>
    <w:rsid w:val="00F86B91"/>
    <w:rsid w:val="00F86BA8"/>
    <w:rsid w:val="00F86BC8"/>
    <w:rsid w:val="00F86D5E"/>
    <w:rsid w:val="00F86E3A"/>
    <w:rsid w:val="00F8715C"/>
    <w:rsid w:val="00F873C9"/>
    <w:rsid w:val="00F87463"/>
    <w:rsid w:val="00F8749D"/>
    <w:rsid w:val="00F87504"/>
    <w:rsid w:val="00F878C3"/>
    <w:rsid w:val="00F87959"/>
    <w:rsid w:val="00F879D1"/>
    <w:rsid w:val="00F879D6"/>
    <w:rsid w:val="00F879E3"/>
    <w:rsid w:val="00F87A2E"/>
    <w:rsid w:val="00F87A5D"/>
    <w:rsid w:val="00F87C65"/>
    <w:rsid w:val="00F87D56"/>
    <w:rsid w:val="00F87E0B"/>
    <w:rsid w:val="00F87E34"/>
    <w:rsid w:val="00F87E4A"/>
    <w:rsid w:val="00F87EAC"/>
    <w:rsid w:val="00F87EDE"/>
    <w:rsid w:val="00F9008E"/>
    <w:rsid w:val="00F902A7"/>
    <w:rsid w:val="00F902C9"/>
    <w:rsid w:val="00F90351"/>
    <w:rsid w:val="00F9063E"/>
    <w:rsid w:val="00F90667"/>
    <w:rsid w:val="00F908A3"/>
    <w:rsid w:val="00F908D7"/>
    <w:rsid w:val="00F90913"/>
    <w:rsid w:val="00F90994"/>
    <w:rsid w:val="00F90A60"/>
    <w:rsid w:val="00F90B83"/>
    <w:rsid w:val="00F90C18"/>
    <w:rsid w:val="00F90C28"/>
    <w:rsid w:val="00F90C83"/>
    <w:rsid w:val="00F90FE0"/>
    <w:rsid w:val="00F9105C"/>
    <w:rsid w:val="00F9146A"/>
    <w:rsid w:val="00F915E1"/>
    <w:rsid w:val="00F916EC"/>
    <w:rsid w:val="00F91755"/>
    <w:rsid w:val="00F91850"/>
    <w:rsid w:val="00F91A63"/>
    <w:rsid w:val="00F91C19"/>
    <w:rsid w:val="00F91C84"/>
    <w:rsid w:val="00F91CD6"/>
    <w:rsid w:val="00F91DB2"/>
    <w:rsid w:val="00F92279"/>
    <w:rsid w:val="00F922EF"/>
    <w:rsid w:val="00F9230B"/>
    <w:rsid w:val="00F92328"/>
    <w:rsid w:val="00F924DA"/>
    <w:rsid w:val="00F92518"/>
    <w:rsid w:val="00F925C1"/>
    <w:rsid w:val="00F92647"/>
    <w:rsid w:val="00F92878"/>
    <w:rsid w:val="00F92889"/>
    <w:rsid w:val="00F929AD"/>
    <w:rsid w:val="00F92A12"/>
    <w:rsid w:val="00F92DFF"/>
    <w:rsid w:val="00F92FDC"/>
    <w:rsid w:val="00F93016"/>
    <w:rsid w:val="00F93023"/>
    <w:rsid w:val="00F93044"/>
    <w:rsid w:val="00F930BD"/>
    <w:rsid w:val="00F930CD"/>
    <w:rsid w:val="00F931F2"/>
    <w:rsid w:val="00F9328A"/>
    <w:rsid w:val="00F934BB"/>
    <w:rsid w:val="00F935CB"/>
    <w:rsid w:val="00F9370E"/>
    <w:rsid w:val="00F93877"/>
    <w:rsid w:val="00F939A0"/>
    <w:rsid w:val="00F93A25"/>
    <w:rsid w:val="00F93AE7"/>
    <w:rsid w:val="00F93B19"/>
    <w:rsid w:val="00F93C7F"/>
    <w:rsid w:val="00F94510"/>
    <w:rsid w:val="00F945AF"/>
    <w:rsid w:val="00F9464C"/>
    <w:rsid w:val="00F947A1"/>
    <w:rsid w:val="00F94822"/>
    <w:rsid w:val="00F949B0"/>
    <w:rsid w:val="00F949F4"/>
    <w:rsid w:val="00F94AE4"/>
    <w:rsid w:val="00F94B84"/>
    <w:rsid w:val="00F94DB1"/>
    <w:rsid w:val="00F950FC"/>
    <w:rsid w:val="00F95345"/>
    <w:rsid w:val="00F953F0"/>
    <w:rsid w:val="00F95456"/>
    <w:rsid w:val="00F9545F"/>
    <w:rsid w:val="00F9560C"/>
    <w:rsid w:val="00F956BA"/>
    <w:rsid w:val="00F95A7F"/>
    <w:rsid w:val="00F95D7A"/>
    <w:rsid w:val="00F95F29"/>
    <w:rsid w:val="00F9606D"/>
    <w:rsid w:val="00F960DE"/>
    <w:rsid w:val="00F962EA"/>
    <w:rsid w:val="00F96322"/>
    <w:rsid w:val="00F963E9"/>
    <w:rsid w:val="00F96562"/>
    <w:rsid w:val="00F965D2"/>
    <w:rsid w:val="00F96792"/>
    <w:rsid w:val="00F968E8"/>
    <w:rsid w:val="00F96918"/>
    <w:rsid w:val="00F96A73"/>
    <w:rsid w:val="00F96BA1"/>
    <w:rsid w:val="00F96C66"/>
    <w:rsid w:val="00F96C8E"/>
    <w:rsid w:val="00F96D46"/>
    <w:rsid w:val="00F96D96"/>
    <w:rsid w:val="00F96E34"/>
    <w:rsid w:val="00F9731E"/>
    <w:rsid w:val="00F97393"/>
    <w:rsid w:val="00F974DD"/>
    <w:rsid w:val="00F978C4"/>
    <w:rsid w:val="00F9792C"/>
    <w:rsid w:val="00F97FEC"/>
    <w:rsid w:val="00FA00BF"/>
    <w:rsid w:val="00FA045B"/>
    <w:rsid w:val="00FA04CC"/>
    <w:rsid w:val="00FA0626"/>
    <w:rsid w:val="00FA085F"/>
    <w:rsid w:val="00FA0A30"/>
    <w:rsid w:val="00FA0B2A"/>
    <w:rsid w:val="00FA0D45"/>
    <w:rsid w:val="00FA0D82"/>
    <w:rsid w:val="00FA0F89"/>
    <w:rsid w:val="00FA10AF"/>
    <w:rsid w:val="00FA10DD"/>
    <w:rsid w:val="00FA1232"/>
    <w:rsid w:val="00FA12F7"/>
    <w:rsid w:val="00FA163C"/>
    <w:rsid w:val="00FA1746"/>
    <w:rsid w:val="00FA1AC5"/>
    <w:rsid w:val="00FA1E20"/>
    <w:rsid w:val="00FA2158"/>
    <w:rsid w:val="00FA2372"/>
    <w:rsid w:val="00FA24D2"/>
    <w:rsid w:val="00FA2869"/>
    <w:rsid w:val="00FA2885"/>
    <w:rsid w:val="00FA29BE"/>
    <w:rsid w:val="00FA29C2"/>
    <w:rsid w:val="00FA2BBF"/>
    <w:rsid w:val="00FA2DA0"/>
    <w:rsid w:val="00FA3056"/>
    <w:rsid w:val="00FA30C8"/>
    <w:rsid w:val="00FA3138"/>
    <w:rsid w:val="00FA358B"/>
    <w:rsid w:val="00FA3778"/>
    <w:rsid w:val="00FA38EE"/>
    <w:rsid w:val="00FA3A49"/>
    <w:rsid w:val="00FA3C11"/>
    <w:rsid w:val="00FA3C18"/>
    <w:rsid w:val="00FA3E46"/>
    <w:rsid w:val="00FA3F45"/>
    <w:rsid w:val="00FA3FFC"/>
    <w:rsid w:val="00FA40B6"/>
    <w:rsid w:val="00FA421C"/>
    <w:rsid w:val="00FA42C7"/>
    <w:rsid w:val="00FA4349"/>
    <w:rsid w:val="00FA434D"/>
    <w:rsid w:val="00FA4383"/>
    <w:rsid w:val="00FA4408"/>
    <w:rsid w:val="00FA44F8"/>
    <w:rsid w:val="00FA4535"/>
    <w:rsid w:val="00FA465A"/>
    <w:rsid w:val="00FA4884"/>
    <w:rsid w:val="00FA4946"/>
    <w:rsid w:val="00FA4993"/>
    <w:rsid w:val="00FA4DE5"/>
    <w:rsid w:val="00FA4FB0"/>
    <w:rsid w:val="00FA50E0"/>
    <w:rsid w:val="00FA515C"/>
    <w:rsid w:val="00FA5176"/>
    <w:rsid w:val="00FA5368"/>
    <w:rsid w:val="00FA5410"/>
    <w:rsid w:val="00FA5643"/>
    <w:rsid w:val="00FA58E3"/>
    <w:rsid w:val="00FA5D6B"/>
    <w:rsid w:val="00FA5E32"/>
    <w:rsid w:val="00FA5E7B"/>
    <w:rsid w:val="00FA6018"/>
    <w:rsid w:val="00FA6192"/>
    <w:rsid w:val="00FA6375"/>
    <w:rsid w:val="00FA640D"/>
    <w:rsid w:val="00FA64A7"/>
    <w:rsid w:val="00FA6911"/>
    <w:rsid w:val="00FA69EF"/>
    <w:rsid w:val="00FA6B01"/>
    <w:rsid w:val="00FA6B67"/>
    <w:rsid w:val="00FA6BBE"/>
    <w:rsid w:val="00FA6C7F"/>
    <w:rsid w:val="00FA6D9B"/>
    <w:rsid w:val="00FA6DA9"/>
    <w:rsid w:val="00FA6E42"/>
    <w:rsid w:val="00FA6F15"/>
    <w:rsid w:val="00FA7061"/>
    <w:rsid w:val="00FA720E"/>
    <w:rsid w:val="00FA7303"/>
    <w:rsid w:val="00FA748D"/>
    <w:rsid w:val="00FA75FE"/>
    <w:rsid w:val="00FA7692"/>
    <w:rsid w:val="00FA7704"/>
    <w:rsid w:val="00FA7803"/>
    <w:rsid w:val="00FA7A2C"/>
    <w:rsid w:val="00FA7B34"/>
    <w:rsid w:val="00FA7BD8"/>
    <w:rsid w:val="00FA7F95"/>
    <w:rsid w:val="00FB014B"/>
    <w:rsid w:val="00FB0184"/>
    <w:rsid w:val="00FB03A9"/>
    <w:rsid w:val="00FB05BC"/>
    <w:rsid w:val="00FB0678"/>
    <w:rsid w:val="00FB0681"/>
    <w:rsid w:val="00FB07D7"/>
    <w:rsid w:val="00FB088A"/>
    <w:rsid w:val="00FB088D"/>
    <w:rsid w:val="00FB0A38"/>
    <w:rsid w:val="00FB0BE1"/>
    <w:rsid w:val="00FB0C25"/>
    <w:rsid w:val="00FB0E77"/>
    <w:rsid w:val="00FB112F"/>
    <w:rsid w:val="00FB116A"/>
    <w:rsid w:val="00FB1183"/>
    <w:rsid w:val="00FB11EA"/>
    <w:rsid w:val="00FB120E"/>
    <w:rsid w:val="00FB149F"/>
    <w:rsid w:val="00FB1707"/>
    <w:rsid w:val="00FB1A2E"/>
    <w:rsid w:val="00FB1B60"/>
    <w:rsid w:val="00FB1C6D"/>
    <w:rsid w:val="00FB1E3E"/>
    <w:rsid w:val="00FB1ECC"/>
    <w:rsid w:val="00FB201A"/>
    <w:rsid w:val="00FB20D8"/>
    <w:rsid w:val="00FB21E7"/>
    <w:rsid w:val="00FB223D"/>
    <w:rsid w:val="00FB23C6"/>
    <w:rsid w:val="00FB263D"/>
    <w:rsid w:val="00FB26A5"/>
    <w:rsid w:val="00FB26E2"/>
    <w:rsid w:val="00FB26E3"/>
    <w:rsid w:val="00FB28D2"/>
    <w:rsid w:val="00FB29BF"/>
    <w:rsid w:val="00FB2A13"/>
    <w:rsid w:val="00FB2A7D"/>
    <w:rsid w:val="00FB2C32"/>
    <w:rsid w:val="00FB2D51"/>
    <w:rsid w:val="00FB2D7F"/>
    <w:rsid w:val="00FB2F47"/>
    <w:rsid w:val="00FB2FCD"/>
    <w:rsid w:val="00FB313F"/>
    <w:rsid w:val="00FB321D"/>
    <w:rsid w:val="00FB33BE"/>
    <w:rsid w:val="00FB33D6"/>
    <w:rsid w:val="00FB350A"/>
    <w:rsid w:val="00FB353B"/>
    <w:rsid w:val="00FB3590"/>
    <w:rsid w:val="00FB375B"/>
    <w:rsid w:val="00FB3A1B"/>
    <w:rsid w:val="00FB3C11"/>
    <w:rsid w:val="00FB3CBB"/>
    <w:rsid w:val="00FB3F57"/>
    <w:rsid w:val="00FB405C"/>
    <w:rsid w:val="00FB416A"/>
    <w:rsid w:val="00FB4275"/>
    <w:rsid w:val="00FB4364"/>
    <w:rsid w:val="00FB43E5"/>
    <w:rsid w:val="00FB45C8"/>
    <w:rsid w:val="00FB45D8"/>
    <w:rsid w:val="00FB47AB"/>
    <w:rsid w:val="00FB48F6"/>
    <w:rsid w:val="00FB490E"/>
    <w:rsid w:val="00FB496B"/>
    <w:rsid w:val="00FB4A0E"/>
    <w:rsid w:val="00FB4BD1"/>
    <w:rsid w:val="00FB4E93"/>
    <w:rsid w:val="00FB5021"/>
    <w:rsid w:val="00FB50D6"/>
    <w:rsid w:val="00FB5128"/>
    <w:rsid w:val="00FB5168"/>
    <w:rsid w:val="00FB52AA"/>
    <w:rsid w:val="00FB53FD"/>
    <w:rsid w:val="00FB544B"/>
    <w:rsid w:val="00FB54D0"/>
    <w:rsid w:val="00FB55AF"/>
    <w:rsid w:val="00FB56F5"/>
    <w:rsid w:val="00FB582C"/>
    <w:rsid w:val="00FB589F"/>
    <w:rsid w:val="00FB59C0"/>
    <w:rsid w:val="00FB5AB7"/>
    <w:rsid w:val="00FB5B12"/>
    <w:rsid w:val="00FB5B74"/>
    <w:rsid w:val="00FB5BA3"/>
    <w:rsid w:val="00FB5C52"/>
    <w:rsid w:val="00FB5C95"/>
    <w:rsid w:val="00FB5DFB"/>
    <w:rsid w:val="00FB5F7D"/>
    <w:rsid w:val="00FB5F9C"/>
    <w:rsid w:val="00FB5FF4"/>
    <w:rsid w:val="00FB60BF"/>
    <w:rsid w:val="00FB6302"/>
    <w:rsid w:val="00FB6331"/>
    <w:rsid w:val="00FB6358"/>
    <w:rsid w:val="00FB6396"/>
    <w:rsid w:val="00FB6453"/>
    <w:rsid w:val="00FB646D"/>
    <w:rsid w:val="00FB646F"/>
    <w:rsid w:val="00FB647F"/>
    <w:rsid w:val="00FB64AA"/>
    <w:rsid w:val="00FB674C"/>
    <w:rsid w:val="00FB67D3"/>
    <w:rsid w:val="00FB6937"/>
    <w:rsid w:val="00FB6983"/>
    <w:rsid w:val="00FB6AB6"/>
    <w:rsid w:val="00FB6B0F"/>
    <w:rsid w:val="00FB6B6E"/>
    <w:rsid w:val="00FB6C13"/>
    <w:rsid w:val="00FB6E13"/>
    <w:rsid w:val="00FB6E9D"/>
    <w:rsid w:val="00FB737E"/>
    <w:rsid w:val="00FB7563"/>
    <w:rsid w:val="00FB75B3"/>
    <w:rsid w:val="00FB75D7"/>
    <w:rsid w:val="00FB7656"/>
    <w:rsid w:val="00FB7673"/>
    <w:rsid w:val="00FB7A66"/>
    <w:rsid w:val="00FB7F63"/>
    <w:rsid w:val="00FB7FA7"/>
    <w:rsid w:val="00FB7FBA"/>
    <w:rsid w:val="00FC01BD"/>
    <w:rsid w:val="00FC027F"/>
    <w:rsid w:val="00FC0306"/>
    <w:rsid w:val="00FC0448"/>
    <w:rsid w:val="00FC04C0"/>
    <w:rsid w:val="00FC0581"/>
    <w:rsid w:val="00FC0700"/>
    <w:rsid w:val="00FC0701"/>
    <w:rsid w:val="00FC07A6"/>
    <w:rsid w:val="00FC097F"/>
    <w:rsid w:val="00FC0A8D"/>
    <w:rsid w:val="00FC0B71"/>
    <w:rsid w:val="00FC0B8D"/>
    <w:rsid w:val="00FC0C2C"/>
    <w:rsid w:val="00FC0CA2"/>
    <w:rsid w:val="00FC0E2D"/>
    <w:rsid w:val="00FC0EC5"/>
    <w:rsid w:val="00FC11A3"/>
    <w:rsid w:val="00FC13C6"/>
    <w:rsid w:val="00FC144E"/>
    <w:rsid w:val="00FC1474"/>
    <w:rsid w:val="00FC1552"/>
    <w:rsid w:val="00FC1583"/>
    <w:rsid w:val="00FC1AA5"/>
    <w:rsid w:val="00FC1AC9"/>
    <w:rsid w:val="00FC1B53"/>
    <w:rsid w:val="00FC1C39"/>
    <w:rsid w:val="00FC1F1E"/>
    <w:rsid w:val="00FC21D2"/>
    <w:rsid w:val="00FC2319"/>
    <w:rsid w:val="00FC252F"/>
    <w:rsid w:val="00FC27A9"/>
    <w:rsid w:val="00FC27DB"/>
    <w:rsid w:val="00FC27F0"/>
    <w:rsid w:val="00FC29C5"/>
    <w:rsid w:val="00FC2B7B"/>
    <w:rsid w:val="00FC2FC8"/>
    <w:rsid w:val="00FC301F"/>
    <w:rsid w:val="00FC3175"/>
    <w:rsid w:val="00FC31DA"/>
    <w:rsid w:val="00FC32B6"/>
    <w:rsid w:val="00FC32CB"/>
    <w:rsid w:val="00FC33AC"/>
    <w:rsid w:val="00FC37A7"/>
    <w:rsid w:val="00FC38E6"/>
    <w:rsid w:val="00FC3907"/>
    <w:rsid w:val="00FC392F"/>
    <w:rsid w:val="00FC3E76"/>
    <w:rsid w:val="00FC4043"/>
    <w:rsid w:val="00FC4094"/>
    <w:rsid w:val="00FC4173"/>
    <w:rsid w:val="00FC4266"/>
    <w:rsid w:val="00FC4443"/>
    <w:rsid w:val="00FC44D0"/>
    <w:rsid w:val="00FC4523"/>
    <w:rsid w:val="00FC46C8"/>
    <w:rsid w:val="00FC4837"/>
    <w:rsid w:val="00FC4982"/>
    <w:rsid w:val="00FC4C19"/>
    <w:rsid w:val="00FC4C2C"/>
    <w:rsid w:val="00FC4F16"/>
    <w:rsid w:val="00FC505A"/>
    <w:rsid w:val="00FC515D"/>
    <w:rsid w:val="00FC5294"/>
    <w:rsid w:val="00FC54C0"/>
    <w:rsid w:val="00FC54CB"/>
    <w:rsid w:val="00FC55A7"/>
    <w:rsid w:val="00FC56B8"/>
    <w:rsid w:val="00FC5719"/>
    <w:rsid w:val="00FC5734"/>
    <w:rsid w:val="00FC5B2A"/>
    <w:rsid w:val="00FC5C70"/>
    <w:rsid w:val="00FC5D16"/>
    <w:rsid w:val="00FC5DFA"/>
    <w:rsid w:val="00FC5F4E"/>
    <w:rsid w:val="00FC6059"/>
    <w:rsid w:val="00FC614E"/>
    <w:rsid w:val="00FC6157"/>
    <w:rsid w:val="00FC6228"/>
    <w:rsid w:val="00FC64AB"/>
    <w:rsid w:val="00FC6611"/>
    <w:rsid w:val="00FC6683"/>
    <w:rsid w:val="00FC66D0"/>
    <w:rsid w:val="00FC6848"/>
    <w:rsid w:val="00FC6A82"/>
    <w:rsid w:val="00FC6ADA"/>
    <w:rsid w:val="00FC6B86"/>
    <w:rsid w:val="00FC6D2D"/>
    <w:rsid w:val="00FC6FF4"/>
    <w:rsid w:val="00FC7143"/>
    <w:rsid w:val="00FC7400"/>
    <w:rsid w:val="00FC751A"/>
    <w:rsid w:val="00FC75C5"/>
    <w:rsid w:val="00FC7781"/>
    <w:rsid w:val="00FC77D4"/>
    <w:rsid w:val="00FC791A"/>
    <w:rsid w:val="00FC79D8"/>
    <w:rsid w:val="00FC7FF1"/>
    <w:rsid w:val="00FD015A"/>
    <w:rsid w:val="00FD03A8"/>
    <w:rsid w:val="00FD043C"/>
    <w:rsid w:val="00FD0832"/>
    <w:rsid w:val="00FD0858"/>
    <w:rsid w:val="00FD08F6"/>
    <w:rsid w:val="00FD09B7"/>
    <w:rsid w:val="00FD0AFA"/>
    <w:rsid w:val="00FD0B4E"/>
    <w:rsid w:val="00FD0DD3"/>
    <w:rsid w:val="00FD0F43"/>
    <w:rsid w:val="00FD0FB0"/>
    <w:rsid w:val="00FD0FEF"/>
    <w:rsid w:val="00FD1084"/>
    <w:rsid w:val="00FD1283"/>
    <w:rsid w:val="00FD1353"/>
    <w:rsid w:val="00FD16AC"/>
    <w:rsid w:val="00FD16F8"/>
    <w:rsid w:val="00FD19B4"/>
    <w:rsid w:val="00FD1A23"/>
    <w:rsid w:val="00FD1ACB"/>
    <w:rsid w:val="00FD1AD0"/>
    <w:rsid w:val="00FD1B38"/>
    <w:rsid w:val="00FD1C0C"/>
    <w:rsid w:val="00FD1D4A"/>
    <w:rsid w:val="00FD1E9B"/>
    <w:rsid w:val="00FD1FF6"/>
    <w:rsid w:val="00FD2166"/>
    <w:rsid w:val="00FD21B2"/>
    <w:rsid w:val="00FD2347"/>
    <w:rsid w:val="00FD23D4"/>
    <w:rsid w:val="00FD2491"/>
    <w:rsid w:val="00FD25D8"/>
    <w:rsid w:val="00FD2757"/>
    <w:rsid w:val="00FD2AB4"/>
    <w:rsid w:val="00FD2C9D"/>
    <w:rsid w:val="00FD2E11"/>
    <w:rsid w:val="00FD2E83"/>
    <w:rsid w:val="00FD2EEE"/>
    <w:rsid w:val="00FD2FB0"/>
    <w:rsid w:val="00FD3018"/>
    <w:rsid w:val="00FD3143"/>
    <w:rsid w:val="00FD3163"/>
    <w:rsid w:val="00FD3318"/>
    <w:rsid w:val="00FD3740"/>
    <w:rsid w:val="00FD37C1"/>
    <w:rsid w:val="00FD3A91"/>
    <w:rsid w:val="00FD3C7A"/>
    <w:rsid w:val="00FD3CB8"/>
    <w:rsid w:val="00FD3CFA"/>
    <w:rsid w:val="00FD3D09"/>
    <w:rsid w:val="00FD3DDC"/>
    <w:rsid w:val="00FD3F38"/>
    <w:rsid w:val="00FD40E3"/>
    <w:rsid w:val="00FD4938"/>
    <w:rsid w:val="00FD4A61"/>
    <w:rsid w:val="00FD4B05"/>
    <w:rsid w:val="00FD4F2F"/>
    <w:rsid w:val="00FD4FAD"/>
    <w:rsid w:val="00FD516B"/>
    <w:rsid w:val="00FD53C9"/>
    <w:rsid w:val="00FD53F8"/>
    <w:rsid w:val="00FD54DC"/>
    <w:rsid w:val="00FD5559"/>
    <w:rsid w:val="00FD56E3"/>
    <w:rsid w:val="00FD586D"/>
    <w:rsid w:val="00FD593C"/>
    <w:rsid w:val="00FD59DE"/>
    <w:rsid w:val="00FD5B8F"/>
    <w:rsid w:val="00FD5DBF"/>
    <w:rsid w:val="00FD5F75"/>
    <w:rsid w:val="00FD60E2"/>
    <w:rsid w:val="00FD612E"/>
    <w:rsid w:val="00FD6214"/>
    <w:rsid w:val="00FD6483"/>
    <w:rsid w:val="00FD64D4"/>
    <w:rsid w:val="00FD651D"/>
    <w:rsid w:val="00FD65EA"/>
    <w:rsid w:val="00FD6623"/>
    <w:rsid w:val="00FD6637"/>
    <w:rsid w:val="00FD6735"/>
    <w:rsid w:val="00FD69AC"/>
    <w:rsid w:val="00FD6A7F"/>
    <w:rsid w:val="00FD6BCA"/>
    <w:rsid w:val="00FD6D16"/>
    <w:rsid w:val="00FD6DD4"/>
    <w:rsid w:val="00FD6EE0"/>
    <w:rsid w:val="00FD6F19"/>
    <w:rsid w:val="00FD6FDF"/>
    <w:rsid w:val="00FD7265"/>
    <w:rsid w:val="00FD7290"/>
    <w:rsid w:val="00FD72F3"/>
    <w:rsid w:val="00FD73C8"/>
    <w:rsid w:val="00FD7531"/>
    <w:rsid w:val="00FD7970"/>
    <w:rsid w:val="00FD7C4A"/>
    <w:rsid w:val="00FD7CE1"/>
    <w:rsid w:val="00FD7D8D"/>
    <w:rsid w:val="00FD7DF1"/>
    <w:rsid w:val="00FD7E63"/>
    <w:rsid w:val="00FD7F2C"/>
    <w:rsid w:val="00FD7FEC"/>
    <w:rsid w:val="00FE026E"/>
    <w:rsid w:val="00FE02D1"/>
    <w:rsid w:val="00FE07BF"/>
    <w:rsid w:val="00FE08DE"/>
    <w:rsid w:val="00FE09FC"/>
    <w:rsid w:val="00FE0CA1"/>
    <w:rsid w:val="00FE0EC2"/>
    <w:rsid w:val="00FE0F4E"/>
    <w:rsid w:val="00FE100F"/>
    <w:rsid w:val="00FE104C"/>
    <w:rsid w:val="00FE1062"/>
    <w:rsid w:val="00FE1076"/>
    <w:rsid w:val="00FE1151"/>
    <w:rsid w:val="00FE12F3"/>
    <w:rsid w:val="00FE16D8"/>
    <w:rsid w:val="00FE1779"/>
    <w:rsid w:val="00FE1861"/>
    <w:rsid w:val="00FE1874"/>
    <w:rsid w:val="00FE1893"/>
    <w:rsid w:val="00FE18BA"/>
    <w:rsid w:val="00FE19A9"/>
    <w:rsid w:val="00FE1BA3"/>
    <w:rsid w:val="00FE1C19"/>
    <w:rsid w:val="00FE2155"/>
    <w:rsid w:val="00FE25D6"/>
    <w:rsid w:val="00FE26A8"/>
    <w:rsid w:val="00FE27E3"/>
    <w:rsid w:val="00FE2AA0"/>
    <w:rsid w:val="00FE2B40"/>
    <w:rsid w:val="00FE2B57"/>
    <w:rsid w:val="00FE2C8C"/>
    <w:rsid w:val="00FE2CA2"/>
    <w:rsid w:val="00FE2CA7"/>
    <w:rsid w:val="00FE2E3C"/>
    <w:rsid w:val="00FE2EC0"/>
    <w:rsid w:val="00FE2F10"/>
    <w:rsid w:val="00FE3066"/>
    <w:rsid w:val="00FE3085"/>
    <w:rsid w:val="00FE31E0"/>
    <w:rsid w:val="00FE3210"/>
    <w:rsid w:val="00FE33A9"/>
    <w:rsid w:val="00FE33AF"/>
    <w:rsid w:val="00FE362A"/>
    <w:rsid w:val="00FE3687"/>
    <w:rsid w:val="00FE3960"/>
    <w:rsid w:val="00FE39B5"/>
    <w:rsid w:val="00FE3B92"/>
    <w:rsid w:val="00FE3DEA"/>
    <w:rsid w:val="00FE3EDF"/>
    <w:rsid w:val="00FE3F5D"/>
    <w:rsid w:val="00FE3FF0"/>
    <w:rsid w:val="00FE408A"/>
    <w:rsid w:val="00FE4134"/>
    <w:rsid w:val="00FE41B5"/>
    <w:rsid w:val="00FE4324"/>
    <w:rsid w:val="00FE45DE"/>
    <w:rsid w:val="00FE479C"/>
    <w:rsid w:val="00FE4A63"/>
    <w:rsid w:val="00FE4AAB"/>
    <w:rsid w:val="00FE4B92"/>
    <w:rsid w:val="00FE4DD3"/>
    <w:rsid w:val="00FE53E4"/>
    <w:rsid w:val="00FE5521"/>
    <w:rsid w:val="00FE563D"/>
    <w:rsid w:val="00FE580D"/>
    <w:rsid w:val="00FE5821"/>
    <w:rsid w:val="00FE5887"/>
    <w:rsid w:val="00FE5B6A"/>
    <w:rsid w:val="00FE5E6A"/>
    <w:rsid w:val="00FE6352"/>
    <w:rsid w:val="00FE63C4"/>
    <w:rsid w:val="00FE659C"/>
    <w:rsid w:val="00FE67AC"/>
    <w:rsid w:val="00FE6831"/>
    <w:rsid w:val="00FE6A15"/>
    <w:rsid w:val="00FE6BA0"/>
    <w:rsid w:val="00FE6D23"/>
    <w:rsid w:val="00FE6D90"/>
    <w:rsid w:val="00FE700A"/>
    <w:rsid w:val="00FE7016"/>
    <w:rsid w:val="00FE714A"/>
    <w:rsid w:val="00FE7236"/>
    <w:rsid w:val="00FE7488"/>
    <w:rsid w:val="00FE74C2"/>
    <w:rsid w:val="00FE7600"/>
    <w:rsid w:val="00FE79A4"/>
    <w:rsid w:val="00FE7BDE"/>
    <w:rsid w:val="00FE7C32"/>
    <w:rsid w:val="00FE7CCD"/>
    <w:rsid w:val="00FE7D2C"/>
    <w:rsid w:val="00FE7D85"/>
    <w:rsid w:val="00FE7DB5"/>
    <w:rsid w:val="00FE7DB6"/>
    <w:rsid w:val="00FE7F18"/>
    <w:rsid w:val="00FF03AF"/>
    <w:rsid w:val="00FF045C"/>
    <w:rsid w:val="00FF04CD"/>
    <w:rsid w:val="00FF0538"/>
    <w:rsid w:val="00FF05A9"/>
    <w:rsid w:val="00FF0869"/>
    <w:rsid w:val="00FF0875"/>
    <w:rsid w:val="00FF0BC5"/>
    <w:rsid w:val="00FF0C96"/>
    <w:rsid w:val="00FF0E1D"/>
    <w:rsid w:val="00FF10E4"/>
    <w:rsid w:val="00FF1525"/>
    <w:rsid w:val="00FF1885"/>
    <w:rsid w:val="00FF1940"/>
    <w:rsid w:val="00FF1965"/>
    <w:rsid w:val="00FF1A2D"/>
    <w:rsid w:val="00FF1AE7"/>
    <w:rsid w:val="00FF1B05"/>
    <w:rsid w:val="00FF1C1C"/>
    <w:rsid w:val="00FF1CB4"/>
    <w:rsid w:val="00FF1E90"/>
    <w:rsid w:val="00FF1F44"/>
    <w:rsid w:val="00FF21D6"/>
    <w:rsid w:val="00FF22B0"/>
    <w:rsid w:val="00FF24C3"/>
    <w:rsid w:val="00FF2723"/>
    <w:rsid w:val="00FF2A5A"/>
    <w:rsid w:val="00FF2BF0"/>
    <w:rsid w:val="00FF2C6D"/>
    <w:rsid w:val="00FF2D77"/>
    <w:rsid w:val="00FF2FD5"/>
    <w:rsid w:val="00FF33CB"/>
    <w:rsid w:val="00FF3613"/>
    <w:rsid w:val="00FF373D"/>
    <w:rsid w:val="00FF37C3"/>
    <w:rsid w:val="00FF3A49"/>
    <w:rsid w:val="00FF3CB9"/>
    <w:rsid w:val="00FF3D93"/>
    <w:rsid w:val="00FF3DB5"/>
    <w:rsid w:val="00FF3DE5"/>
    <w:rsid w:val="00FF4059"/>
    <w:rsid w:val="00FF40FF"/>
    <w:rsid w:val="00FF4217"/>
    <w:rsid w:val="00FF423B"/>
    <w:rsid w:val="00FF4336"/>
    <w:rsid w:val="00FF455A"/>
    <w:rsid w:val="00FF46D2"/>
    <w:rsid w:val="00FF473E"/>
    <w:rsid w:val="00FF48B8"/>
    <w:rsid w:val="00FF4ADD"/>
    <w:rsid w:val="00FF4AF0"/>
    <w:rsid w:val="00FF4B1D"/>
    <w:rsid w:val="00FF4D86"/>
    <w:rsid w:val="00FF4E59"/>
    <w:rsid w:val="00FF4EFF"/>
    <w:rsid w:val="00FF4F41"/>
    <w:rsid w:val="00FF50A1"/>
    <w:rsid w:val="00FF53F0"/>
    <w:rsid w:val="00FF5575"/>
    <w:rsid w:val="00FF55F0"/>
    <w:rsid w:val="00FF589B"/>
    <w:rsid w:val="00FF58FD"/>
    <w:rsid w:val="00FF5BBD"/>
    <w:rsid w:val="00FF5D5E"/>
    <w:rsid w:val="00FF5E14"/>
    <w:rsid w:val="00FF5F1E"/>
    <w:rsid w:val="00FF5F2E"/>
    <w:rsid w:val="00FF608B"/>
    <w:rsid w:val="00FF615B"/>
    <w:rsid w:val="00FF6223"/>
    <w:rsid w:val="00FF6273"/>
    <w:rsid w:val="00FF6403"/>
    <w:rsid w:val="00FF6496"/>
    <w:rsid w:val="00FF66E0"/>
    <w:rsid w:val="00FF6752"/>
    <w:rsid w:val="00FF6A09"/>
    <w:rsid w:val="00FF6B8D"/>
    <w:rsid w:val="00FF6D22"/>
    <w:rsid w:val="00FF71E4"/>
    <w:rsid w:val="00FF7208"/>
    <w:rsid w:val="00FF73EA"/>
    <w:rsid w:val="00FF74AC"/>
    <w:rsid w:val="00FF7551"/>
    <w:rsid w:val="00FF75E4"/>
    <w:rsid w:val="00FF7725"/>
    <w:rsid w:val="00FF77E3"/>
    <w:rsid w:val="00FF7842"/>
    <w:rsid w:val="00FF7AB2"/>
    <w:rsid w:val="00FF7B2F"/>
    <w:rsid w:val="00FF7C30"/>
    <w:rsid w:val="00FF7D2B"/>
    <w:rsid w:val="06E19D7B"/>
    <w:rsid w:val="077BF14F"/>
    <w:rsid w:val="09E6A70C"/>
    <w:rsid w:val="0D12E426"/>
    <w:rsid w:val="0DEA1679"/>
    <w:rsid w:val="0E1E9BAA"/>
    <w:rsid w:val="0EEEA4F0"/>
    <w:rsid w:val="101F779F"/>
    <w:rsid w:val="1057F8CE"/>
    <w:rsid w:val="1108E658"/>
    <w:rsid w:val="11BD2ECA"/>
    <w:rsid w:val="12A3F386"/>
    <w:rsid w:val="13222BA3"/>
    <w:rsid w:val="163A33C5"/>
    <w:rsid w:val="1652C54F"/>
    <w:rsid w:val="166C226D"/>
    <w:rsid w:val="1778AE4A"/>
    <w:rsid w:val="178DC993"/>
    <w:rsid w:val="190FE09D"/>
    <w:rsid w:val="192999F4"/>
    <w:rsid w:val="194B8264"/>
    <w:rsid w:val="1982FD16"/>
    <w:rsid w:val="1C6BE621"/>
    <w:rsid w:val="1D63F99A"/>
    <w:rsid w:val="1EC95ABE"/>
    <w:rsid w:val="1ECBAF03"/>
    <w:rsid w:val="1EE8A8D8"/>
    <w:rsid w:val="208692EA"/>
    <w:rsid w:val="209697E5"/>
    <w:rsid w:val="20F90610"/>
    <w:rsid w:val="21619F9C"/>
    <w:rsid w:val="2367E91F"/>
    <w:rsid w:val="288686C2"/>
    <w:rsid w:val="29D30E8A"/>
    <w:rsid w:val="2BAD3676"/>
    <w:rsid w:val="2C70C9E1"/>
    <w:rsid w:val="2ECB64CE"/>
    <w:rsid w:val="2FAD75F2"/>
    <w:rsid w:val="31ECCF70"/>
    <w:rsid w:val="325C91F8"/>
    <w:rsid w:val="350854EB"/>
    <w:rsid w:val="36C60A8A"/>
    <w:rsid w:val="37606F1C"/>
    <w:rsid w:val="37F70457"/>
    <w:rsid w:val="38395AA5"/>
    <w:rsid w:val="38557788"/>
    <w:rsid w:val="398F769D"/>
    <w:rsid w:val="39B048D2"/>
    <w:rsid w:val="39CBAD03"/>
    <w:rsid w:val="39E7685A"/>
    <w:rsid w:val="3A44C306"/>
    <w:rsid w:val="3A750E66"/>
    <w:rsid w:val="3C341B5A"/>
    <w:rsid w:val="3D74827D"/>
    <w:rsid w:val="3E9FF109"/>
    <w:rsid w:val="3EF0B98D"/>
    <w:rsid w:val="3F06EA12"/>
    <w:rsid w:val="405EC5BC"/>
    <w:rsid w:val="41A36DD1"/>
    <w:rsid w:val="41F2C0D1"/>
    <w:rsid w:val="42C1746C"/>
    <w:rsid w:val="444DC22D"/>
    <w:rsid w:val="4489E94B"/>
    <w:rsid w:val="44FAC031"/>
    <w:rsid w:val="4533BED3"/>
    <w:rsid w:val="49E3BA2F"/>
    <w:rsid w:val="4A8B240E"/>
    <w:rsid w:val="4D121E40"/>
    <w:rsid w:val="4D316E35"/>
    <w:rsid w:val="4D75487B"/>
    <w:rsid w:val="4D7DC247"/>
    <w:rsid w:val="4E478694"/>
    <w:rsid w:val="4FCF731B"/>
    <w:rsid w:val="504E94E6"/>
    <w:rsid w:val="505F34F0"/>
    <w:rsid w:val="5595D3DF"/>
    <w:rsid w:val="576395D6"/>
    <w:rsid w:val="57968EEA"/>
    <w:rsid w:val="58696E68"/>
    <w:rsid w:val="5AAAE69C"/>
    <w:rsid w:val="5B2A6EF7"/>
    <w:rsid w:val="5C6491B8"/>
    <w:rsid w:val="5C74705E"/>
    <w:rsid w:val="5CE1A8C1"/>
    <w:rsid w:val="5E0934C6"/>
    <w:rsid w:val="5E0CE5A5"/>
    <w:rsid w:val="60E4DC6D"/>
    <w:rsid w:val="62A5CA4D"/>
    <w:rsid w:val="64E3E2FC"/>
    <w:rsid w:val="672BC848"/>
    <w:rsid w:val="67694CB3"/>
    <w:rsid w:val="67CF4887"/>
    <w:rsid w:val="67E9806D"/>
    <w:rsid w:val="683CCD88"/>
    <w:rsid w:val="69AB6BFC"/>
    <w:rsid w:val="6A9CE25F"/>
    <w:rsid w:val="6B775B51"/>
    <w:rsid w:val="6C10E2C1"/>
    <w:rsid w:val="6C1A249E"/>
    <w:rsid w:val="6CA1DE0E"/>
    <w:rsid w:val="6D87DAB4"/>
    <w:rsid w:val="6F304047"/>
    <w:rsid w:val="6FD08429"/>
    <w:rsid w:val="70B24320"/>
    <w:rsid w:val="72A91A42"/>
    <w:rsid w:val="7482F126"/>
    <w:rsid w:val="75994E0A"/>
    <w:rsid w:val="75DA3BDB"/>
    <w:rsid w:val="797133CC"/>
    <w:rsid w:val="7A307DFE"/>
    <w:rsid w:val="7B6A9BE6"/>
    <w:rsid w:val="7B878F5A"/>
    <w:rsid w:val="7D245A50"/>
    <w:rsid w:val="7EA843E7"/>
    <w:rsid w:val="7EB17F30"/>
    <w:rsid w:val="7F47978E"/>
    <w:rsid w:val="7FBD273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F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47"/>
    <w:pPr>
      <w:spacing w:before="120" w:after="120" w:line="240" w:lineRule="auto"/>
    </w:pPr>
    <w:rPr>
      <w:rFonts w:ascii="Calibri Light" w:eastAsia="Times New Roman" w:hAnsi="Calibri Light" w:cs="Times New Roman"/>
      <w:szCs w:val="20"/>
      <w:lang w:eastAsia="en-AU"/>
    </w:rPr>
  </w:style>
  <w:style w:type="paragraph" w:styleId="Heading1">
    <w:name w:val="heading 1"/>
    <w:basedOn w:val="HeadingBase"/>
    <w:next w:val="Normal"/>
    <w:link w:val="Heading1Char"/>
    <w:qFormat/>
    <w:rsid w:val="00DD1172"/>
    <w:pPr>
      <w:spacing w:after="240" w:line="460" w:lineRule="exact"/>
      <w:outlineLvl w:val="0"/>
    </w:pPr>
    <w:rPr>
      <w:b/>
      <w:bCs w:val="0"/>
      <w:color w:val="5D779D" w:themeColor="accent3"/>
      <w:sz w:val="44"/>
    </w:rPr>
  </w:style>
  <w:style w:type="paragraph" w:styleId="Heading2">
    <w:name w:val="heading 2"/>
    <w:basedOn w:val="HeadingBase"/>
    <w:next w:val="Normal"/>
    <w:link w:val="Heading2Char"/>
    <w:qFormat/>
    <w:rsid w:val="009C378E"/>
    <w:pPr>
      <w:spacing w:before="240" w:line="460" w:lineRule="exact"/>
      <w:outlineLvl w:val="1"/>
    </w:pPr>
    <w:rPr>
      <w:bCs w:val="0"/>
      <w:iCs/>
      <w:color w:val="2C384A"/>
      <w:sz w:val="36"/>
      <w:szCs w:val="28"/>
    </w:rPr>
  </w:style>
  <w:style w:type="paragraph" w:styleId="Heading3">
    <w:name w:val="heading 3"/>
    <w:basedOn w:val="HeadingBase"/>
    <w:next w:val="Normal"/>
    <w:link w:val="Heading3Char"/>
    <w:qFormat/>
    <w:rsid w:val="00393142"/>
    <w:pPr>
      <w:spacing w:before="120" w:after="0" w:line="276" w:lineRule="auto"/>
      <w:outlineLvl w:val="2"/>
    </w:pPr>
    <w:rPr>
      <w:b/>
      <w:bCs w:val="0"/>
      <w:color w:val="4D7861" w:themeColor="accent2"/>
      <w:sz w:val="28"/>
      <w:szCs w:val="26"/>
    </w:rPr>
  </w:style>
  <w:style w:type="paragraph" w:styleId="Heading4">
    <w:name w:val="heading 4"/>
    <w:basedOn w:val="HeadingBase"/>
    <w:next w:val="Normal"/>
    <w:link w:val="Heading4Char"/>
    <w:qFormat/>
    <w:rsid w:val="009A6CCF"/>
    <w:pPr>
      <w:spacing w:before="120" w:after="0"/>
      <w:outlineLvl w:val="3"/>
    </w:pPr>
    <w:rPr>
      <w:rFonts w:ascii="Calibri Light" w:hAnsi="Calibri Light"/>
      <w:bCs w:val="0"/>
      <w:color w:val="4D7861" w:themeColor="accent2"/>
      <w:sz w:val="24"/>
      <w:szCs w:val="26"/>
    </w:rPr>
  </w:style>
  <w:style w:type="paragraph" w:styleId="Heading5">
    <w:name w:val="heading 5"/>
    <w:basedOn w:val="HeadingBase"/>
    <w:next w:val="Normal"/>
    <w:link w:val="Heading5Char"/>
    <w:rsid w:val="008043EA"/>
    <w:pPr>
      <w:spacing w:before="240" w:after="0" w:line="276" w:lineRule="auto"/>
      <w:outlineLvl w:val="4"/>
    </w:pPr>
    <w:rPr>
      <w:rFonts w:asciiTheme="majorHAnsi" w:hAnsiTheme="majorHAnsi"/>
      <w:b/>
      <w:bCs w:val="0"/>
      <w:iCs/>
      <w:color w:val="000000" w:themeColor="text1"/>
      <w:sz w:val="22"/>
    </w:rPr>
  </w:style>
  <w:style w:type="paragraph" w:styleId="Heading6">
    <w:name w:val="heading 6"/>
    <w:basedOn w:val="HeadingBase"/>
    <w:next w:val="Normal"/>
    <w:link w:val="Heading6Char"/>
    <w:rsid w:val="008043EA"/>
    <w:pPr>
      <w:spacing w:before="120" w:after="0" w:line="276" w:lineRule="auto"/>
      <w:outlineLvl w:val="5"/>
    </w:pPr>
    <w:rPr>
      <w:rFonts w:ascii="Calibri Light" w:hAnsi="Calibri Light"/>
      <w:bCs w:val="0"/>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3EA"/>
    <w:rPr>
      <w:rFonts w:ascii="Calibri" w:eastAsia="Times New Roman" w:hAnsi="Calibri" w:cs="Arial"/>
      <w:b/>
      <w:color w:val="5D779D" w:themeColor="accent3"/>
      <w:kern w:val="32"/>
      <w:sz w:val="44"/>
      <w:szCs w:val="36"/>
      <w:lang w:eastAsia="en-AU"/>
    </w:rPr>
  </w:style>
  <w:style w:type="character" w:customStyle="1" w:styleId="Heading2Char">
    <w:name w:val="Heading 2 Char"/>
    <w:basedOn w:val="DefaultParagraphFont"/>
    <w:link w:val="Heading2"/>
    <w:rsid w:val="008043EA"/>
    <w:rPr>
      <w:rFonts w:ascii="Calibri" w:eastAsia="Times New Roman" w:hAnsi="Calibri" w:cs="Arial"/>
      <w:iCs/>
      <w:color w:val="2C384A"/>
      <w:kern w:val="32"/>
      <w:sz w:val="36"/>
      <w:szCs w:val="28"/>
      <w:lang w:eastAsia="en-AU"/>
    </w:rPr>
  </w:style>
  <w:style w:type="character" w:customStyle="1" w:styleId="Heading3Char">
    <w:name w:val="Heading 3 Char"/>
    <w:basedOn w:val="DefaultParagraphFont"/>
    <w:link w:val="Heading3"/>
    <w:rsid w:val="008043EA"/>
    <w:rPr>
      <w:rFonts w:ascii="Calibri" w:eastAsia="Times New Roman" w:hAnsi="Calibri" w:cs="Arial"/>
      <w:b/>
      <w:color w:val="4D7861" w:themeColor="accent2"/>
      <w:kern w:val="32"/>
      <w:sz w:val="28"/>
      <w:szCs w:val="26"/>
      <w:lang w:eastAsia="en-AU"/>
    </w:rPr>
  </w:style>
  <w:style w:type="character" w:customStyle="1" w:styleId="Heading4Char">
    <w:name w:val="Heading 4 Char"/>
    <w:basedOn w:val="DefaultParagraphFont"/>
    <w:link w:val="Heading4"/>
    <w:rsid w:val="008043EA"/>
    <w:rPr>
      <w:rFonts w:ascii="Calibri Light" w:eastAsia="Times New Roman" w:hAnsi="Calibri Light" w:cs="Arial"/>
      <w:color w:val="4D7861" w:themeColor="accent2"/>
      <w:kern w:val="32"/>
      <w:sz w:val="24"/>
      <w:szCs w:val="26"/>
      <w:lang w:eastAsia="en-AU"/>
    </w:rPr>
  </w:style>
  <w:style w:type="character" w:customStyle="1" w:styleId="Heading5Char">
    <w:name w:val="Heading 5 Char"/>
    <w:basedOn w:val="DefaultParagraphFont"/>
    <w:link w:val="Heading5"/>
    <w:rsid w:val="008043EA"/>
    <w:rPr>
      <w:rFonts w:asciiTheme="majorHAnsi" w:eastAsia="Times New Roman" w:hAnsiTheme="majorHAnsi" w:cs="Arial"/>
      <w:b/>
      <w:iCs/>
      <w:color w:val="000000" w:themeColor="text1"/>
      <w:kern w:val="32"/>
      <w:szCs w:val="36"/>
      <w:lang w:eastAsia="en-AU"/>
    </w:rPr>
  </w:style>
  <w:style w:type="character" w:customStyle="1" w:styleId="Heading6Char">
    <w:name w:val="Heading 6 Char"/>
    <w:basedOn w:val="DefaultParagraphFont"/>
    <w:link w:val="Heading6"/>
    <w:rsid w:val="008043EA"/>
    <w:rPr>
      <w:rFonts w:ascii="Calibri Light" w:eastAsia="Times New Roman" w:hAnsi="Calibri Light" w:cs="Arial"/>
      <w:color w:val="000000" w:themeColor="text1"/>
      <w:kern w:val="32"/>
      <w:lang w:eastAsia="en-AU"/>
    </w:rPr>
  </w:style>
  <w:style w:type="paragraph" w:customStyle="1" w:styleId="ChartGraphic">
    <w:name w:val="Chart Graphic"/>
    <w:basedOn w:val="Normal"/>
    <w:next w:val="Normal"/>
    <w:rsid w:val="008043EA"/>
    <w:pPr>
      <w:keepNext/>
      <w:spacing w:before="0" w:after="0"/>
      <w:jc w:val="center"/>
    </w:pPr>
    <w:rPr>
      <w:color w:val="004A7F"/>
      <w:sz w:val="20"/>
    </w:rPr>
  </w:style>
  <w:style w:type="paragraph" w:customStyle="1" w:styleId="AlphaParagraph">
    <w:name w:val="Alpha Paragraph"/>
    <w:basedOn w:val="Normal"/>
    <w:rsid w:val="008043EA"/>
    <w:pPr>
      <w:numPr>
        <w:ilvl w:val="1"/>
        <w:numId w:val="9"/>
      </w:numPr>
      <w:spacing w:before="0"/>
    </w:pPr>
  </w:style>
  <w:style w:type="table" w:styleId="TableGridLight">
    <w:name w:val="Grid Table Light"/>
    <w:basedOn w:val="TableNormal"/>
    <w:uiPriority w:val="40"/>
    <w:rsid w:val="00313D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xHeading">
    <w:name w:val="Box Heading"/>
    <w:basedOn w:val="Normal"/>
    <w:next w:val="Normal"/>
    <w:link w:val="BoxHeadingChar"/>
    <w:qFormat/>
    <w:rsid w:val="006016A6"/>
    <w:pPr>
      <w:keepNext/>
      <w:spacing w:before="240"/>
    </w:pPr>
    <w:rPr>
      <w:b/>
      <w:color w:val="2C384A" w:themeColor="accent1"/>
      <w:sz w:val="28"/>
      <w:szCs w:val="26"/>
    </w:rPr>
  </w:style>
  <w:style w:type="paragraph" w:customStyle="1" w:styleId="BoxText">
    <w:name w:val="Box Text"/>
    <w:basedOn w:val="Normal"/>
    <w:link w:val="BoxTextChar"/>
    <w:rsid w:val="008043EA"/>
  </w:style>
  <w:style w:type="paragraph" w:customStyle="1" w:styleId="Bullet">
    <w:name w:val="Bullet"/>
    <w:aliases w:val="Body,Bullet + line,b,b + line,b1,level 1"/>
    <w:basedOn w:val="Normal"/>
    <w:link w:val="BulletChar"/>
    <w:qFormat/>
    <w:rsid w:val="008043EA"/>
    <w:pPr>
      <w:numPr>
        <w:numId w:val="6"/>
      </w:numPr>
      <w:tabs>
        <w:tab w:val="left" w:pos="720"/>
      </w:tabs>
      <w:spacing w:after="0" w:line="276" w:lineRule="auto"/>
    </w:pPr>
  </w:style>
  <w:style w:type="paragraph" w:customStyle="1" w:styleId="ChartandTableFootnoteAlpha">
    <w:name w:val="Chart and Table Footnote Alpha"/>
    <w:rsid w:val="008043EA"/>
    <w:pPr>
      <w:numPr>
        <w:numId w:val="5"/>
      </w:numPr>
      <w:spacing w:after="0" w:line="240" w:lineRule="auto"/>
      <w:jc w:val="both"/>
    </w:pPr>
    <w:rPr>
      <w:rFonts w:ascii="Calibri" w:eastAsia="Times New Roman" w:hAnsi="Calibri" w:cs="Times New Roman"/>
      <w:color w:val="000000"/>
      <w:sz w:val="18"/>
      <w:szCs w:val="16"/>
      <w:lang w:eastAsia="en-AU"/>
    </w:rPr>
  </w:style>
  <w:style w:type="paragraph" w:customStyle="1" w:styleId="ChartMainHeading">
    <w:name w:val="Chart Main Heading"/>
    <w:basedOn w:val="TableMainHeading"/>
    <w:next w:val="ChartGraphic"/>
    <w:qFormat/>
    <w:rsid w:val="0062031B"/>
  </w:style>
  <w:style w:type="paragraph" w:customStyle="1" w:styleId="ChartorTableNote">
    <w:name w:val="Chart or Table Note"/>
    <w:next w:val="Normal"/>
    <w:qFormat/>
    <w:rsid w:val="008043EA"/>
    <w:pPr>
      <w:spacing w:after="0" w:line="240" w:lineRule="auto"/>
      <w:jc w:val="both"/>
    </w:pPr>
    <w:rPr>
      <w:rFonts w:ascii="Calibri" w:eastAsia="Times New Roman" w:hAnsi="Calibri" w:cs="Times New Roman"/>
      <w:color w:val="000000"/>
      <w:sz w:val="18"/>
      <w:szCs w:val="20"/>
      <w:lang w:eastAsia="en-AU"/>
    </w:rPr>
  </w:style>
  <w:style w:type="paragraph" w:customStyle="1" w:styleId="ChartSecondHeading">
    <w:name w:val="Chart Second Heading"/>
    <w:basedOn w:val="TableSecondHeading"/>
    <w:next w:val="ChartGraphic"/>
    <w:rsid w:val="008043EA"/>
    <w:pPr>
      <w:jc w:val="center"/>
    </w:pPr>
    <w:rPr>
      <w:b w:val="0"/>
      <w:bCs/>
    </w:rPr>
  </w:style>
  <w:style w:type="paragraph" w:customStyle="1" w:styleId="ReportDate">
    <w:name w:val="Report Date"/>
    <w:basedOn w:val="Normal"/>
    <w:link w:val="ReportDateChar"/>
    <w:rsid w:val="00082FC2"/>
    <w:pPr>
      <w:keepNext/>
      <w:spacing w:before="0" w:after="360"/>
    </w:pPr>
    <w:rPr>
      <w:color w:val="2C384A" w:themeColor="accent1"/>
      <w:sz w:val="32"/>
    </w:rPr>
  </w:style>
  <w:style w:type="paragraph" w:customStyle="1" w:styleId="Dash">
    <w:name w:val="Dash"/>
    <w:basedOn w:val="Normal"/>
    <w:link w:val="DashChar"/>
    <w:qFormat/>
    <w:rsid w:val="008043EA"/>
    <w:pPr>
      <w:numPr>
        <w:ilvl w:val="1"/>
        <w:numId w:val="7"/>
      </w:numPr>
      <w:spacing w:before="0"/>
    </w:pPr>
  </w:style>
  <w:style w:type="paragraph" w:customStyle="1" w:styleId="DoubleDot">
    <w:name w:val="Double Dot"/>
    <w:basedOn w:val="Normal"/>
    <w:link w:val="DoubleDotChar"/>
    <w:qFormat/>
    <w:rsid w:val="008043EA"/>
    <w:pPr>
      <w:numPr>
        <w:ilvl w:val="2"/>
        <w:numId w:val="7"/>
      </w:numPr>
      <w:spacing w:before="0"/>
    </w:pPr>
  </w:style>
  <w:style w:type="paragraph" w:customStyle="1" w:styleId="TableMainHeading">
    <w:name w:val="Table Main Heading"/>
    <w:basedOn w:val="Heading3"/>
    <w:next w:val="Normal"/>
    <w:qFormat/>
    <w:rsid w:val="008043EA"/>
    <w:rPr>
      <w:b w:val="0"/>
      <w:sz w:val="26"/>
    </w:rPr>
  </w:style>
  <w:style w:type="paragraph" w:customStyle="1" w:styleId="FooterEven">
    <w:name w:val="Footer Even"/>
    <w:basedOn w:val="Footer"/>
    <w:rsid w:val="00E81A40"/>
    <w:pPr>
      <w:tabs>
        <w:tab w:val="clear" w:pos="9072"/>
      </w:tabs>
      <w:jc w:val="left"/>
    </w:pPr>
  </w:style>
  <w:style w:type="paragraph" w:customStyle="1" w:styleId="FooterOdd">
    <w:name w:val="Footer Odd"/>
    <w:basedOn w:val="Footer"/>
    <w:rsid w:val="00E81A40"/>
    <w:pPr>
      <w:tabs>
        <w:tab w:val="clear" w:pos="9072"/>
      </w:tabs>
    </w:pPr>
    <w:rPr>
      <w:noProof w:val="0"/>
    </w:rPr>
  </w:style>
  <w:style w:type="character" w:styleId="Hyperlink">
    <w:name w:val="Hyperlink"/>
    <w:basedOn w:val="DefaultParagraphFont"/>
    <w:uiPriority w:val="99"/>
    <w:rsid w:val="00823A66"/>
    <w:rPr>
      <w:color w:val="3A6FAF"/>
      <w:u w:val="single"/>
    </w:rPr>
  </w:style>
  <w:style w:type="paragraph" w:customStyle="1" w:styleId="OutlineNumbered1">
    <w:name w:val="Outline Numbered 1"/>
    <w:basedOn w:val="Normal"/>
    <w:rsid w:val="008043EA"/>
    <w:pPr>
      <w:numPr>
        <w:numId w:val="11"/>
      </w:numPr>
      <w:tabs>
        <w:tab w:val="num" w:pos="851"/>
      </w:tabs>
      <w:spacing w:before="0"/>
    </w:pPr>
  </w:style>
  <w:style w:type="paragraph" w:customStyle="1" w:styleId="OneLevelNumberedParagraph">
    <w:name w:val="One Level Numbered Paragraph"/>
    <w:basedOn w:val="Normal"/>
    <w:rsid w:val="008043EA"/>
    <w:pPr>
      <w:tabs>
        <w:tab w:val="num" w:pos="360"/>
      </w:tabs>
      <w:spacing w:before="0"/>
      <w:ind w:left="284" w:hanging="284"/>
    </w:pPr>
  </w:style>
  <w:style w:type="paragraph" w:customStyle="1" w:styleId="OutlineNumbered2">
    <w:name w:val="Outline Numbered 2"/>
    <w:basedOn w:val="Normal"/>
    <w:rsid w:val="008043EA"/>
    <w:pPr>
      <w:numPr>
        <w:ilvl w:val="1"/>
        <w:numId w:val="11"/>
      </w:numPr>
      <w:tabs>
        <w:tab w:val="num" w:pos="1134"/>
      </w:tabs>
      <w:spacing w:before="0"/>
    </w:pPr>
  </w:style>
  <w:style w:type="paragraph" w:customStyle="1" w:styleId="OutlineNumbered3">
    <w:name w:val="Outline Numbered 3"/>
    <w:basedOn w:val="Normal"/>
    <w:rsid w:val="008043EA"/>
    <w:pPr>
      <w:numPr>
        <w:ilvl w:val="2"/>
        <w:numId w:val="11"/>
      </w:numPr>
      <w:spacing w:before="0"/>
    </w:pPr>
  </w:style>
  <w:style w:type="paragraph" w:customStyle="1" w:styleId="SingleParagraph">
    <w:name w:val="Single Paragraph"/>
    <w:basedOn w:val="Normal"/>
    <w:link w:val="SingleParagraphChar"/>
    <w:rsid w:val="008043EA"/>
    <w:pPr>
      <w:spacing w:before="0" w:after="0"/>
    </w:pPr>
  </w:style>
  <w:style w:type="paragraph" w:customStyle="1" w:styleId="TableSecondHeading">
    <w:name w:val="Table Second Heading"/>
    <w:basedOn w:val="Normal"/>
    <w:next w:val="Normal"/>
    <w:rsid w:val="008043EA"/>
    <w:pPr>
      <w:keepNext/>
      <w:spacing w:before="0" w:after="20"/>
    </w:pPr>
    <w:rPr>
      <w:b/>
      <w:color w:val="004A7F"/>
    </w:rPr>
  </w:style>
  <w:style w:type="paragraph" w:customStyle="1" w:styleId="TableColumnHeadingCentred">
    <w:name w:val="Table Column Heading Centred"/>
    <w:basedOn w:val="TableTextLeft"/>
    <w:rsid w:val="00AB6791"/>
    <w:pPr>
      <w:jc w:val="center"/>
    </w:pPr>
    <w:rPr>
      <w:b/>
      <w:color w:val="2C384A" w:themeColor="accent1"/>
      <w:sz w:val="20"/>
    </w:rPr>
  </w:style>
  <w:style w:type="paragraph" w:customStyle="1" w:styleId="TableColumnHeadingLeft">
    <w:name w:val="Table Column Heading Left"/>
    <w:basedOn w:val="TableTextLeft"/>
    <w:rsid w:val="00AB6791"/>
    <w:rPr>
      <w:b/>
      <w:color w:val="2C384A" w:themeColor="accent1"/>
      <w:sz w:val="20"/>
    </w:rPr>
  </w:style>
  <w:style w:type="paragraph" w:customStyle="1" w:styleId="TableColumnHeadingRight">
    <w:name w:val="Table Column Heading Right"/>
    <w:basedOn w:val="TableTextLeft"/>
    <w:rsid w:val="00AB6791"/>
    <w:pPr>
      <w:jc w:val="right"/>
    </w:pPr>
    <w:rPr>
      <w:b/>
      <w:color w:val="2C384A" w:themeColor="accent1"/>
      <w:sz w:val="20"/>
    </w:rPr>
  </w:style>
  <w:style w:type="table" w:styleId="TableGrid">
    <w:name w:val="Table Grid"/>
    <w:basedOn w:val="TableNormal"/>
    <w:rsid w:val="00AB6791"/>
    <w:pPr>
      <w:spacing w:before="40" w:after="40" w:line="240" w:lineRule="auto"/>
    </w:pPr>
    <w:rPr>
      <w:rFonts w:ascii="Calibri Light" w:eastAsia="Times New Roman" w:hAnsi="Calibri Light" w:cs="Times New Roman"/>
      <w:sz w:val="20"/>
      <w:szCs w:val="20"/>
      <w:lang w:eastAsia="en-AU"/>
    </w:rPr>
    <w:tblPr/>
    <w:tcPr>
      <w:shd w:val="clear" w:color="auto" w:fill="auto"/>
    </w:tcPr>
    <w:tblStylePr w:type="firstRow">
      <w:pPr>
        <w:wordWrap/>
        <w:spacing w:beforeLines="40" w:before="40" w:beforeAutospacing="0" w:afterLines="40" w:after="40" w:afterAutospacing="0" w:line="240" w:lineRule="auto"/>
        <w:jc w:val="left"/>
      </w:pPr>
      <w:rPr>
        <w:rFonts w:ascii="Calibri Light" w:hAnsi="Calibri Light"/>
        <w:b/>
        <w:color w:val="2C384A" w:themeColor="accent1"/>
        <w:sz w:val="20"/>
      </w:rPr>
      <w:tblPr/>
      <w:tcPr>
        <w:shd w:val="clear" w:color="auto" w:fill="EEEEEE" w:themeFill="background2"/>
      </w:tcPr>
    </w:tblStylePr>
  </w:style>
  <w:style w:type="paragraph" w:customStyle="1" w:styleId="TableTextCentered">
    <w:name w:val="Table Text Centered"/>
    <w:basedOn w:val="TableTextRight"/>
    <w:rsid w:val="008043EA"/>
    <w:pPr>
      <w:jc w:val="center"/>
    </w:pPr>
  </w:style>
  <w:style w:type="paragraph" w:customStyle="1" w:styleId="TableTextLeft">
    <w:name w:val="Table Text Left"/>
    <w:basedOn w:val="TableTextRight"/>
    <w:rsid w:val="008043EA"/>
    <w:pPr>
      <w:jc w:val="left"/>
    </w:pPr>
  </w:style>
  <w:style w:type="paragraph" w:customStyle="1" w:styleId="TableTextRight">
    <w:name w:val="Table Text Right"/>
    <w:basedOn w:val="Normal"/>
    <w:rsid w:val="008043EA"/>
    <w:pPr>
      <w:spacing w:before="40" w:after="40"/>
      <w:jc w:val="right"/>
    </w:pPr>
    <w:rPr>
      <w:color w:val="000000"/>
      <w:sz w:val="18"/>
    </w:rPr>
  </w:style>
  <w:style w:type="paragraph" w:styleId="TOC1">
    <w:name w:val="toc 1"/>
    <w:basedOn w:val="Normal"/>
    <w:next w:val="Normal"/>
    <w:uiPriority w:val="39"/>
    <w:rsid w:val="008043EA"/>
    <w:pPr>
      <w:keepNext/>
      <w:tabs>
        <w:tab w:val="right" w:leader="dot" w:pos="9072"/>
      </w:tabs>
      <w:spacing w:before="180" w:after="0"/>
      <w:ind w:right="-2"/>
    </w:pPr>
    <w:rPr>
      <w:b/>
      <w:noProof/>
      <w:color w:val="002C4A"/>
      <w:szCs w:val="22"/>
    </w:rPr>
  </w:style>
  <w:style w:type="paragraph" w:styleId="TOC2">
    <w:name w:val="toc 2"/>
    <w:basedOn w:val="Normal"/>
    <w:next w:val="Normal"/>
    <w:uiPriority w:val="39"/>
    <w:rsid w:val="008043EA"/>
    <w:pPr>
      <w:keepNext/>
      <w:tabs>
        <w:tab w:val="right" w:leader="dot" w:pos="9072"/>
      </w:tabs>
      <w:spacing w:before="40" w:after="20"/>
      <w:ind w:right="-2"/>
    </w:pPr>
    <w:rPr>
      <w:noProof/>
      <w:color w:val="004A7F"/>
    </w:rPr>
  </w:style>
  <w:style w:type="paragraph" w:styleId="TOC3">
    <w:name w:val="toc 3"/>
    <w:basedOn w:val="Normal"/>
    <w:next w:val="Normal"/>
    <w:uiPriority w:val="39"/>
    <w:rsid w:val="008043EA"/>
    <w:pPr>
      <w:tabs>
        <w:tab w:val="right" w:leader="dot" w:pos="9072"/>
      </w:tabs>
      <w:spacing w:before="20" w:after="0"/>
      <w:ind w:left="284" w:right="-2"/>
    </w:pPr>
    <w:rPr>
      <w:rFonts w:cs="Calibri"/>
      <w:noProof/>
    </w:rPr>
  </w:style>
  <w:style w:type="numbering" w:customStyle="1" w:styleId="OutlineList">
    <w:name w:val="OutlineList"/>
    <w:uiPriority w:val="99"/>
    <w:rsid w:val="008043EA"/>
    <w:pPr>
      <w:numPr>
        <w:numId w:val="4"/>
      </w:numPr>
    </w:pPr>
  </w:style>
  <w:style w:type="numbering" w:customStyle="1" w:styleId="BulletedList">
    <w:name w:val="Bulleted List"/>
    <w:uiPriority w:val="99"/>
    <w:rsid w:val="008043EA"/>
    <w:pPr>
      <w:numPr>
        <w:numId w:val="1"/>
      </w:numPr>
    </w:pPr>
  </w:style>
  <w:style w:type="numbering" w:customStyle="1" w:styleId="BoxBulletedList">
    <w:name w:val="Box Bulleted List"/>
    <w:uiPriority w:val="99"/>
    <w:rsid w:val="008043EA"/>
    <w:pPr>
      <w:numPr>
        <w:numId w:val="2"/>
      </w:numPr>
    </w:pPr>
  </w:style>
  <w:style w:type="numbering" w:customStyle="1" w:styleId="OneLevelList">
    <w:name w:val="OneLevelList"/>
    <w:uiPriority w:val="99"/>
    <w:rsid w:val="008043EA"/>
    <w:pPr>
      <w:numPr>
        <w:numId w:val="3"/>
      </w:numPr>
    </w:pPr>
  </w:style>
  <w:style w:type="numbering" w:customStyle="1" w:styleId="ChartandTableFootnoteAlphaList">
    <w:name w:val="ChartandTableFootnoteAlphaList"/>
    <w:uiPriority w:val="99"/>
    <w:rsid w:val="008043EA"/>
    <w:pPr>
      <w:numPr>
        <w:numId w:val="5"/>
      </w:numPr>
    </w:pPr>
  </w:style>
  <w:style w:type="paragraph" w:customStyle="1" w:styleId="Heading1Numbered">
    <w:name w:val="Heading 1 Numbered"/>
    <w:basedOn w:val="Heading1"/>
    <w:next w:val="Normal"/>
    <w:rsid w:val="008043EA"/>
    <w:pPr>
      <w:numPr>
        <w:numId w:val="8"/>
      </w:numPr>
    </w:pPr>
  </w:style>
  <w:style w:type="character" w:customStyle="1" w:styleId="SingleParagraphChar">
    <w:name w:val="Single Paragraph Char"/>
    <w:basedOn w:val="DefaultParagraphFont"/>
    <w:link w:val="SingleParagraph"/>
    <w:rsid w:val="008043EA"/>
    <w:rPr>
      <w:rFonts w:ascii="Calibri Light" w:eastAsia="Times New Roman" w:hAnsi="Calibri Light" w:cs="Times New Roman"/>
      <w:szCs w:val="20"/>
      <w:lang w:eastAsia="en-AU"/>
    </w:rPr>
  </w:style>
  <w:style w:type="paragraph" w:customStyle="1" w:styleId="Heading2Numbered">
    <w:name w:val="Heading 2 Numbered"/>
    <w:basedOn w:val="Heading2"/>
    <w:next w:val="Normal"/>
    <w:rsid w:val="008043EA"/>
    <w:pPr>
      <w:numPr>
        <w:ilvl w:val="1"/>
        <w:numId w:val="8"/>
      </w:numPr>
    </w:pPr>
  </w:style>
  <w:style w:type="paragraph" w:customStyle="1" w:styleId="Heading3Numbered">
    <w:name w:val="Heading 3 Numbered"/>
    <w:basedOn w:val="Heading3"/>
    <w:rsid w:val="008043EA"/>
    <w:pPr>
      <w:numPr>
        <w:ilvl w:val="2"/>
        <w:numId w:val="8"/>
      </w:numPr>
    </w:pPr>
  </w:style>
  <w:style w:type="paragraph" w:styleId="Title">
    <w:name w:val="Title"/>
    <w:basedOn w:val="Normal"/>
    <w:next w:val="Normal"/>
    <w:link w:val="TitleChar"/>
    <w:uiPriority w:val="10"/>
    <w:rsid w:val="00082FC2"/>
    <w:pPr>
      <w:spacing w:before="0"/>
      <w:contextualSpacing/>
    </w:pPr>
    <w:rPr>
      <w:rFonts w:eastAsiaTheme="majorEastAsia" w:cstheme="majorBidi"/>
      <w:b/>
      <w:color w:val="2C384A" w:themeColor="accent1"/>
      <w:spacing w:val="5"/>
      <w:kern w:val="28"/>
      <w:sz w:val="72"/>
      <w:szCs w:val="52"/>
    </w:rPr>
  </w:style>
  <w:style w:type="character" w:customStyle="1" w:styleId="TitleChar">
    <w:name w:val="Title Char"/>
    <w:basedOn w:val="DefaultParagraphFont"/>
    <w:link w:val="Title"/>
    <w:uiPriority w:val="10"/>
    <w:rsid w:val="00082FC2"/>
    <w:rPr>
      <w:rFonts w:ascii="Calibri Light" w:eastAsiaTheme="majorEastAsia" w:hAnsi="Calibri Light" w:cstheme="majorBidi"/>
      <w:b/>
      <w:color w:val="2C384A" w:themeColor="accent1"/>
      <w:spacing w:val="5"/>
      <w:kern w:val="28"/>
      <w:sz w:val="72"/>
      <w:szCs w:val="52"/>
      <w:lang w:eastAsia="en-AU"/>
    </w:rPr>
  </w:style>
  <w:style w:type="paragraph" w:styleId="Subtitle">
    <w:name w:val="Subtitle"/>
    <w:basedOn w:val="Normal"/>
    <w:next w:val="Normal"/>
    <w:link w:val="SubtitleChar"/>
    <w:uiPriority w:val="11"/>
    <w:rsid w:val="00082FC2"/>
    <w:pPr>
      <w:numPr>
        <w:ilvl w:val="1"/>
      </w:numPr>
      <w:spacing w:after="360"/>
    </w:pPr>
    <w:rPr>
      <w:rFonts w:eastAsiaTheme="majorEastAsia" w:cstheme="majorBidi"/>
      <w:iCs/>
      <w:color w:val="5D779D" w:themeColor="accent3"/>
      <w:sz w:val="44"/>
      <w:szCs w:val="44"/>
    </w:rPr>
  </w:style>
  <w:style w:type="character" w:customStyle="1" w:styleId="SubtitleChar">
    <w:name w:val="Subtitle Char"/>
    <w:basedOn w:val="DefaultParagraphFont"/>
    <w:link w:val="Subtitle"/>
    <w:uiPriority w:val="11"/>
    <w:rsid w:val="00082FC2"/>
    <w:rPr>
      <w:rFonts w:ascii="Calibri Light" w:eastAsiaTheme="majorEastAsia" w:hAnsi="Calibri Light" w:cstheme="majorBidi"/>
      <w:iCs/>
      <w:color w:val="5D779D" w:themeColor="accent3"/>
      <w:sz w:val="44"/>
      <w:szCs w:val="44"/>
      <w:lang w:eastAsia="en-AU"/>
    </w:rPr>
  </w:style>
  <w:style w:type="character" w:styleId="SubtleEmphasis">
    <w:name w:val="Subtle Emphasis"/>
    <w:basedOn w:val="DefaultParagraphFont"/>
    <w:uiPriority w:val="19"/>
    <w:rsid w:val="008043EA"/>
    <w:rPr>
      <w:i/>
      <w:iCs/>
      <w:color w:val="808080" w:themeColor="text1" w:themeTint="7F"/>
    </w:rPr>
  </w:style>
  <w:style w:type="paragraph" w:styleId="Header">
    <w:name w:val="header"/>
    <w:basedOn w:val="Normal"/>
    <w:link w:val="HeaderChar"/>
    <w:uiPriority w:val="99"/>
    <w:unhideWhenUsed/>
    <w:rsid w:val="008043EA"/>
    <w:pPr>
      <w:keepNext/>
      <w:spacing w:before="0" w:after="0"/>
      <w:jc w:val="right"/>
    </w:pPr>
    <w:rPr>
      <w:color w:val="004A7F"/>
      <w:sz w:val="20"/>
    </w:rPr>
  </w:style>
  <w:style w:type="character" w:customStyle="1" w:styleId="HeaderChar">
    <w:name w:val="Header Char"/>
    <w:basedOn w:val="DefaultParagraphFont"/>
    <w:link w:val="Header"/>
    <w:uiPriority w:val="99"/>
    <w:rsid w:val="008043EA"/>
    <w:rPr>
      <w:rFonts w:ascii="Calibri Light" w:eastAsia="Times New Roman" w:hAnsi="Calibri Light" w:cs="Times New Roman"/>
      <w:color w:val="004A7F"/>
      <w:sz w:val="20"/>
      <w:szCs w:val="20"/>
      <w:lang w:eastAsia="en-AU"/>
    </w:rPr>
  </w:style>
  <w:style w:type="character" w:styleId="PlaceholderText">
    <w:name w:val="Placeholder Text"/>
    <w:basedOn w:val="DefaultParagraphFont"/>
    <w:uiPriority w:val="99"/>
    <w:semiHidden/>
    <w:rsid w:val="008043EA"/>
    <w:rPr>
      <w:color w:val="808080"/>
    </w:rPr>
  </w:style>
  <w:style w:type="paragraph" w:customStyle="1" w:styleId="HeadingBase">
    <w:name w:val="Heading Base"/>
    <w:rsid w:val="008043EA"/>
    <w:pPr>
      <w:keepNext/>
      <w:spacing w:after="120" w:line="240" w:lineRule="auto"/>
    </w:pPr>
    <w:rPr>
      <w:rFonts w:ascii="Calibri" w:eastAsia="Times New Roman" w:hAnsi="Calibri" w:cs="Arial"/>
      <w:bCs/>
      <w:color w:val="002C4A"/>
      <w:kern w:val="32"/>
      <w:sz w:val="48"/>
      <w:szCs w:val="36"/>
      <w:lang w:eastAsia="en-AU"/>
    </w:rPr>
  </w:style>
  <w:style w:type="character" w:customStyle="1" w:styleId="ReportDateChar">
    <w:name w:val="Report Date Char"/>
    <w:basedOn w:val="DefaultParagraphFont"/>
    <w:link w:val="ReportDate"/>
    <w:rsid w:val="00082FC2"/>
    <w:rPr>
      <w:rFonts w:ascii="Calibri Light" w:eastAsia="Times New Roman" w:hAnsi="Calibri Light" w:cs="Times New Roman"/>
      <w:color w:val="2C384A" w:themeColor="accent1"/>
      <w:sz w:val="32"/>
      <w:szCs w:val="20"/>
      <w:lang w:eastAsia="en-AU"/>
    </w:rPr>
  </w:style>
  <w:style w:type="paragraph" w:customStyle="1" w:styleId="TableTextIndented">
    <w:name w:val="Table Text Indented"/>
    <w:basedOn w:val="TableTextLeft"/>
    <w:rsid w:val="008043EA"/>
    <w:pPr>
      <w:ind w:left="284"/>
    </w:pPr>
  </w:style>
  <w:style w:type="paragraph" w:customStyle="1" w:styleId="TableHeadingContinued">
    <w:name w:val="Table Heading Continued"/>
    <w:basedOn w:val="TableMainHeading"/>
    <w:next w:val="TableGraphic"/>
    <w:rsid w:val="008043EA"/>
  </w:style>
  <w:style w:type="paragraph" w:customStyle="1" w:styleId="TableGraphic">
    <w:name w:val="Table Graphic"/>
    <w:basedOn w:val="HeadingBase"/>
    <w:next w:val="Normal"/>
    <w:rsid w:val="008043EA"/>
    <w:pPr>
      <w:spacing w:after="0"/>
    </w:pPr>
  </w:style>
  <w:style w:type="character" w:styleId="FootnoteReference">
    <w:name w:val="footnote reference"/>
    <w:basedOn w:val="DefaultParagraphFont"/>
    <w:uiPriority w:val="99"/>
    <w:rsid w:val="00EE323D"/>
    <w:rPr>
      <w:sz w:val="18"/>
      <w:vertAlign w:val="superscript"/>
    </w:rPr>
  </w:style>
  <w:style w:type="paragraph" w:styleId="FootnoteText">
    <w:name w:val="footnote text"/>
    <w:basedOn w:val="Normal"/>
    <w:link w:val="FootnoteTextChar"/>
    <w:uiPriority w:val="99"/>
    <w:qFormat/>
    <w:rsid w:val="008043EA"/>
    <w:pPr>
      <w:spacing w:before="0" w:after="0"/>
      <w:ind w:left="397" w:hanging="397"/>
    </w:pPr>
    <w:rPr>
      <w:sz w:val="20"/>
    </w:rPr>
  </w:style>
  <w:style w:type="character" w:customStyle="1" w:styleId="FootnoteTextChar">
    <w:name w:val="Footnote Text Char"/>
    <w:basedOn w:val="DefaultParagraphFont"/>
    <w:link w:val="FootnoteText"/>
    <w:uiPriority w:val="99"/>
    <w:rsid w:val="008043EA"/>
    <w:rPr>
      <w:rFonts w:ascii="Calibri Light" w:eastAsia="Times New Roman" w:hAnsi="Calibri Light" w:cs="Times New Roman"/>
      <w:sz w:val="20"/>
      <w:szCs w:val="20"/>
      <w:lang w:eastAsia="en-AU"/>
    </w:rPr>
  </w:style>
  <w:style w:type="paragraph" w:customStyle="1" w:styleId="Heading3noTOC">
    <w:name w:val="Heading 3 no TOC"/>
    <w:basedOn w:val="Heading3"/>
    <w:rsid w:val="00257AEE"/>
    <w:rPr>
      <w:rFonts w:cs="Calibri"/>
    </w:rPr>
  </w:style>
  <w:style w:type="paragraph" w:styleId="BalloonText">
    <w:name w:val="Balloon Text"/>
    <w:basedOn w:val="Normal"/>
    <w:link w:val="BalloonTextChar"/>
    <w:uiPriority w:val="99"/>
    <w:semiHidden/>
    <w:unhideWhenUsed/>
    <w:rsid w:val="008043E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3EA"/>
    <w:rPr>
      <w:rFonts w:ascii="Tahoma" w:eastAsia="Times New Roman" w:hAnsi="Tahoma" w:cs="Tahoma"/>
      <w:sz w:val="16"/>
      <w:szCs w:val="16"/>
      <w:lang w:eastAsia="en-AU"/>
    </w:rPr>
  </w:style>
  <w:style w:type="character" w:customStyle="1" w:styleId="BulletChar">
    <w:name w:val="Bullet Char"/>
    <w:aliases w:val="Body Char,Bullet + line Char,b + line Char,b + line Char Char,b Char,b Char Char,b1 Char,level 1 Char"/>
    <w:basedOn w:val="DefaultParagraphFont"/>
    <w:link w:val="Bullet"/>
    <w:locked/>
    <w:rsid w:val="008043EA"/>
    <w:rPr>
      <w:rFonts w:ascii="Calibri Light" w:eastAsia="Times New Roman" w:hAnsi="Calibri Light" w:cs="Times New Roman"/>
      <w:szCs w:val="20"/>
      <w:lang w:eastAsia="en-AU"/>
    </w:rPr>
  </w:style>
  <w:style w:type="paragraph" w:customStyle="1" w:styleId="Boxbullet">
    <w:name w:val="Box bullet"/>
    <w:basedOn w:val="Bullet"/>
    <w:rsid w:val="008043EA"/>
    <w:pPr>
      <w:tabs>
        <w:tab w:val="num" w:pos="284"/>
      </w:tabs>
      <w:spacing w:before="60"/>
      <w:ind w:left="170" w:hanging="170"/>
    </w:pPr>
    <w:rPr>
      <w:color w:val="0D0D0D" w:themeColor="text1" w:themeTint="F2"/>
    </w:rPr>
  </w:style>
  <w:style w:type="character" w:customStyle="1" w:styleId="DashChar">
    <w:name w:val="Dash Char"/>
    <w:basedOn w:val="DefaultParagraphFont"/>
    <w:link w:val="Dash"/>
    <w:locked/>
    <w:rsid w:val="008043EA"/>
    <w:rPr>
      <w:rFonts w:ascii="Calibri Light" w:eastAsia="Times New Roman" w:hAnsi="Calibri Light" w:cs="Times New Roman"/>
      <w:szCs w:val="20"/>
      <w:lang w:eastAsia="en-AU"/>
    </w:rPr>
  </w:style>
  <w:style w:type="paragraph" w:customStyle="1" w:styleId="Boxdash">
    <w:name w:val="Box dash"/>
    <w:basedOn w:val="Dash"/>
    <w:rsid w:val="008043EA"/>
    <w:pPr>
      <w:tabs>
        <w:tab w:val="clear" w:pos="567"/>
        <w:tab w:val="num" w:pos="1040"/>
      </w:tabs>
      <w:spacing w:before="60" w:after="0" w:line="276" w:lineRule="auto"/>
      <w:ind w:left="454" w:hanging="170"/>
    </w:pPr>
    <w:rPr>
      <w:rFonts w:eastAsiaTheme="minorHAnsi"/>
      <w:color w:val="0D0D0D" w:themeColor="text1" w:themeTint="F2"/>
      <w:lang w:eastAsia="en-US"/>
    </w:rPr>
  </w:style>
  <w:style w:type="character" w:customStyle="1" w:styleId="DoubleDotChar">
    <w:name w:val="Double Dot Char"/>
    <w:basedOn w:val="DefaultParagraphFont"/>
    <w:link w:val="DoubleDot"/>
    <w:locked/>
    <w:rsid w:val="008043EA"/>
    <w:rPr>
      <w:rFonts w:ascii="Calibri Light" w:eastAsia="Times New Roman" w:hAnsi="Calibri Light" w:cs="Times New Roman"/>
      <w:szCs w:val="20"/>
      <w:lang w:eastAsia="en-AU"/>
    </w:rPr>
  </w:style>
  <w:style w:type="paragraph" w:customStyle="1" w:styleId="Boxdoubledot">
    <w:name w:val="Box double dot"/>
    <w:basedOn w:val="DoubleDot"/>
    <w:rsid w:val="008043EA"/>
    <w:pPr>
      <w:tabs>
        <w:tab w:val="clear" w:pos="850"/>
        <w:tab w:val="left" w:pos="567"/>
        <w:tab w:val="num" w:pos="1560"/>
      </w:tabs>
      <w:spacing w:before="60" w:after="0" w:line="276" w:lineRule="auto"/>
      <w:ind w:left="567" w:hanging="142"/>
    </w:pPr>
    <w:rPr>
      <w:rFonts w:eastAsiaTheme="minorHAnsi"/>
      <w:color w:val="0D0D0D" w:themeColor="text1" w:themeTint="F2"/>
      <w:lang w:eastAsia="en-US"/>
    </w:rPr>
  </w:style>
  <w:style w:type="character" w:customStyle="1" w:styleId="BoxTextChar">
    <w:name w:val="Box Text Char"/>
    <w:basedOn w:val="DefaultParagraphFont"/>
    <w:link w:val="BoxText"/>
    <w:locked/>
    <w:rsid w:val="008043EA"/>
    <w:rPr>
      <w:rFonts w:ascii="Calibri Light" w:eastAsia="Times New Roman" w:hAnsi="Calibri Light" w:cs="Times New Roman"/>
      <w:szCs w:val="20"/>
      <w:lang w:eastAsia="en-AU"/>
    </w:rPr>
  </w:style>
  <w:style w:type="character" w:styleId="Strong">
    <w:name w:val="Strong"/>
    <w:basedOn w:val="DefaultParagraphFont"/>
    <w:rsid w:val="00555D14"/>
    <w:rPr>
      <w:b/>
      <w:bCs/>
    </w:rPr>
  </w:style>
  <w:style w:type="paragraph" w:customStyle="1" w:styleId="Instructions">
    <w:name w:val="Instructions"/>
    <w:basedOn w:val="Normal"/>
    <w:uiPriority w:val="1"/>
    <w:rsid w:val="00555D14"/>
    <w:pPr>
      <w:shd w:val="clear" w:color="auto" w:fill="FFFF00"/>
      <w:ind w:left="170" w:hanging="170"/>
    </w:pPr>
    <w:rPr>
      <w:rFonts w:asciiTheme="minorHAnsi" w:hAnsiTheme="minorHAnsi"/>
      <w:sz w:val="20"/>
      <w:szCs w:val="24"/>
    </w:rPr>
  </w:style>
  <w:style w:type="character" w:styleId="UnresolvedMention">
    <w:name w:val="Unresolved Mention"/>
    <w:basedOn w:val="DefaultParagraphFont"/>
    <w:uiPriority w:val="99"/>
    <w:unhideWhenUsed/>
    <w:rsid w:val="00F347A4"/>
    <w:rPr>
      <w:color w:val="605E5C"/>
      <w:shd w:val="clear" w:color="auto" w:fill="E1DFDD"/>
    </w:rPr>
  </w:style>
  <w:style w:type="paragraph" w:styleId="Footer">
    <w:name w:val="footer"/>
    <w:basedOn w:val="Normal"/>
    <w:link w:val="FooterChar"/>
    <w:unhideWhenUsed/>
    <w:rsid w:val="00E13E90"/>
    <w:pPr>
      <w:keepNext/>
      <w:tabs>
        <w:tab w:val="center" w:pos="9072"/>
      </w:tabs>
      <w:spacing w:before="0" w:after="0"/>
      <w:jc w:val="right"/>
    </w:pPr>
    <w:rPr>
      <w:noProof/>
      <w:color w:val="2C384A" w:themeColor="accent1"/>
      <w:sz w:val="20"/>
    </w:rPr>
  </w:style>
  <w:style w:type="character" w:customStyle="1" w:styleId="FooterChar">
    <w:name w:val="Footer Char"/>
    <w:basedOn w:val="DefaultParagraphFont"/>
    <w:link w:val="Footer"/>
    <w:rsid w:val="00E13E90"/>
    <w:rPr>
      <w:rFonts w:ascii="Calibri Light" w:eastAsia="Times New Roman" w:hAnsi="Calibri Light" w:cs="Times New Roman"/>
      <w:noProof/>
      <w:color w:val="2C384A" w:themeColor="accent1"/>
      <w:sz w:val="20"/>
      <w:szCs w:val="20"/>
      <w:lang w:eastAsia="en-AU"/>
    </w:rPr>
  </w:style>
  <w:style w:type="character" w:styleId="CommentReference">
    <w:name w:val="annotation reference"/>
    <w:basedOn w:val="DefaultParagraphFont"/>
    <w:uiPriority w:val="99"/>
    <w:semiHidden/>
    <w:unhideWhenUsed/>
    <w:rsid w:val="006A1512"/>
    <w:rPr>
      <w:sz w:val="16"/>
      <w:szCs w:val="16"/>
    </w:rPr>
  </w:style>
  <w:style w:type="paragraph" w:styleId="CommentText">
    <w:name w:val="annotation text"/>
    <w:basedOn w:val="Normal"/>
    <w:link w:val="CommentTextChar"/>
    <w:uiPriority w:val="99"/>
    <w:unhideWhenUsed/>
    <w:rsid w:val="006A1512"/>
    <w:rPr>
      <w:sz w:val="20"/>
    </w:rPr>
  </w:style>
  <w:style w:type="character" w:customStyle="1" w:styleId="CommentTextChar">
    <w:name w:val="Comment Text Char"/>
    <w:basedOn w:val="DefaultParagraphFont"/>
    <w:link w:val="CommentText"/>
    <w:uiPriority w:val="99"/>
    <w:rsid w:val="006A1512"/>
    <w:rPr>
      <w:rFonts w:ascii="Calibri Light" w:eastAsia="Times New Roman" w:hAnsi="Calibri Ligh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A1512"/>
    <w:rPr>
      <w:b/>
      <w:bCs/>
    </w:rPr>
  </w:style>
  <w:style w:type="character" w:customStyle="1" w:styleId="CommentSubjectChar">
    <w:name w:val="Comment Subject Char"/>
    <w:basedOn w:val="CommentTextChar"/>
    <w:link w:val="CommentSubject"/>
    <w:uiPriority w:val="99"/>
    <w:semiHidden/>
    <w:rsid w:val="006A1512"/>
    <w:rPr>
      <w:rFonts w:ascii="Calibri Light" w:eastAsia="Times New Roman" w:hAnsi="Calibri Light" w:cs="Times New Roman"/>
      <w:b/>
      <w:bCs/>
      <w:sz w:val="20"/>
      <w:szCs w:val="20"/>
      <w:lang w:eastAsia="en-AU"/>
    </w:rPr>
  </w:style>
  <w:style w:type="paragraph" w:customStyle="1" w:styleId="CABNETParagraph">
    <w:name w:val="CABNET Paragraph."/>
    <w:basedOn w:val="Normal"/>
    <w:link w:val="CABNETParagraphChar"/>
    <w:uiPriority w:val="98"/>
    <w:qFormat/>
    <w:rsid w:val="00E7225C"/>
    <w:rPr>
      <w:rFonts w:ascii="Arial" w:eastAsiaTheme="minorHAnsi" w:hAnsi="Arial" w:cstheme="minorHAnsi"/>
      <w:szCs w:val="22"/>
      <w:lang w:eastAsia="en-US"/>
    </w:rPr>
  </w:style>
  <w:style w:type="character" w:customStyle="1" w:styleId="CABNETParagraphChar">
    <w:name w:val="CABNET Paragraph. Char"/>
    <w:basedOn w:val="DefaultParagraphFont"/>
    <w:link w:val="CABNETParagraph"/>
    <w:uiPriority w:val="98"/>
    <w:rsid w:val="00E7225C"/>
    <w:rPr>
      <w:rFonts w:ascii="Arial" w:hAnsi="Arial" w:cstheme="minorHAnsi"/>
    </w:rPr>
  </w:style>
  <w:style w:type="paragraph" w:styleId="BodyText">
    <w:name w:val="Body Text"/>
    <w:aliases w:val="Body Text Cab,CAB - Body Text,CAB Body Text"/>
    <w:link w:val="BodyTextChar"/>
    <w:qFormat/>
    <w:rsid w:val="009C378E"/>
    <w:pPr>
      <w:spacing w:before="120" w:after="0" w:line="276" w:lineRule="auto"/>
    </w:pPr>
    <w:rPr>
      <w:rFonts w:ascii="Calibri Light" w:hAnsi="Calibri Light"/>
    </w:rPr>
  </w:style>
  <w:style w:type="character" w:customStyle="1" w:styleId="BodyTextChar">
    <w:name w:val="Body Text Char"/>
    <w:aliases w:val="Body Text Cab Char,CAB - Body Text Char,CAB Body Text Char"/>
    <w:basedOn w:val="DefaultParagraphFont"/>
    <w:link w:val="BodyText"/>
    <w:rsid w:val="000B50C7"/>
    <w:rPr>
      <w:rFonts w:ascii="Calibri Light" w:hAnsi="Calibri Light"/>
    </w:rPr>
  </w:style>
  <w:style w:type="paragraph" w:styleId="ListParagraph">
    <w:name w:val="List Paragraph"/>
    <w:aliases w:val="Bullet point,Bullet text,Bulleted Para,Bullets,CV text,Dot pt,F5 List Paragraph,FooterText,L,List Bullet Cab,List Paragraph1,List Paragraph11,List Paragraph111,List Paragraph2,Medium Grid 1 - Accent 21,NFP GP Bulleted List,Recommendation"/>
    <w:basedOn w:val="Normal"/>
    <w:link w:val="ListParagraphChar"/>
    <w:uiPriority w:val="34"/>
    <w:qFormat/>
    <w:rsid w:val="00E03E4C"/>
    <w:pPr>
      <w:ind w:left="720"/>
      <w:contextualSpacing/>
    </w:pPr>
  </w:style>
  <w:style w:type="character" w:customStyle="1" w:styleId="BoxHeadingChar">
    <w:name w:val="Box Heading Char"/>
    <w:basedOn w:val="DefaultParagraphFont"/>
    <w:link w:val="BoxHeading"/>
    <w:rsid w:val="002A2217"/>
    <w:rPr>
      <w:rFonts w:ascii="Calibri Light" w:eastAsia="Times New Roman" w:hAnsi="Calibri Light" w:cs="Times New Roman"/>
      <w:b/>
      <w:color w:val="2C384A" w:themeColor="accent1"/>
      <w:sz w:val="28"/>
      <w:szCs w:val="26"/>
      <w:lang w:eastAsia="en-AU"/>
    </w:rPr>
  </w:style>
  <w:style w:type="character" w:styleId="Mention">
    <w:name w:val="Mention"/>
    <w:basedOn w:val="DefaultParagraphFont"/>
    <w:uiPriority w:val="99"/>
    <w:unhideWhenUsed/>
    <w:rsid w:val="00E11F61"/>
    <w:rPr>
      <w:color w:val="2B579A"/>
      <w:shd w:val="clear" w:color="auto" w:fill="E1DFDD"/>
    </w:rPr>
  </w:style>
  <w:style w:type="paragraph" w:styleId="Revision">
    <w:name w:val="Revision"/>
    <w:hidden/>
    <w:uiPriority w:val="99"/>
    <w:semiHidden/>
    <w:rsid w:val="002F4FF0"/>
    <w:pPr>
      <w:spacing w:after="0" w:line="240" w:lineRule="auto"/>
    </w:pPr>
    <w:rPr>
      <w:rFonts w:ascii="Calibri Light" w:eastAsia="Times New Roman" w:hAnsi="Calibri Light" w:cs="Times New Roman"/>
      <w:szCs w:val="20"/>
      <w:lang w:eastAsia="en-AU"/>
    </w:rPr>
  </w:style>
  <w:style w:type="paragraph" w:styleId="NormalWeb">
    <w:name w:val="Normal (Web)"/>
    <w:basedOn w:val="Normal"/>
    <w:uiPriority w:val="99"/>
    <w:semiHidden/>
    <w:unhideWhenUsed/>
    <w:rsid w:val="004842A0"/>
    <w:pPr>
      <w:spacing w:before="100" w:beforeAutospacing="1" w:after="100" w:afterAutospacing="1"/>
    </w:pPr>
    <w:rPr>
      <w:rFonts w:ascii="Times New Roman" w:hAnsi="Times New Roman"/>
      <w:sz w:val="24"/>
      <w:szCs w:val="24"/>
    </w:rPr>
  </w:style>
  <w:style w:type="table" w:styleId="GridTable1Light">
    <w:name w:val="Grid Table 1 Light"/>
    <w:basedOn w:val="TableNormal"/>
    <w:uiPriority w:val="46"/>
    <w:rsid w:val="004842A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Bullet point Char,Bullet text Char,Bulleted Para Char,Bullets Char,CV text Char,Dot pt Char,F5 List Paragraph Char,FooterText Char,L Char,List Bullet Cab Char,List Paragraph1 Char,List Paragraph11 Char,List Paragraph111 Char"/>
    <w:basedOn w:val="DefaultParagraphFont"/>
    <w:link w:val="ListParagraph"/>
    <w:uiPriority w:val="34"/>
    <w:qFormat/>
    <w:locked/>
    <w:rsid w:val="00C5524C"/>
    <w:rPr>
      <w:rFonts w:ascii="Calibri Light" w:eastAsia="Times New Roman" w:hAnsi="Calibri Light" w:cs="Times New Roman"/>
      <w:szCs w:val="20"/>
      <w:lang w:eastAsia="en-AU"/>
    </w:rPr>
  </w:style>
  <w:style w:type="paragraph" w:styleId="TOCHeading">
    <w:name w:val="TOC Heading"/>
    <w:basedOn w:val="Heading1"/>
    <w:next w:val="Normal"/>
    <w:uiPriority w:val="39"/>
    <w:unhideWhenUsed/>
    <w:qFormat/>
    <w:rsid w:val="00EC54CE"/>
    <w:pPr>
      <w:keepLines/>
      <w:spacing w:before="240" w:after="0" w:line="259" w:lineRule="auto"/>
      <w:outlineLvl w:val="9"/>
    </w:pPr>
    <w:rPr>
      <w:rFonts w:asciiTheme="majorHAnsi" w:eastAsiaTheme="majorEastAsia" w:hAnsiTheme="majorHAnsi" w:cstheme="majorBidi"/>
      <w:b w:val="0"/>
      <w:color w:val="212937" w:themeColor="accent1" w:themeShade="BF"/>
      <w:kern w:val="0"/>
      <w:sz w:val="32"/>
      <w:szCs w:val="32"/>
      <w:lang w:val="en-US" w:eastAsia="en-US"/>
    </w:rPr>
  </w:style>
  <w:style w:type="paragraph" w:customStyle="1" w:styleId="NumberedListlvl1">
    <w:name w:val="Numbered List lvl1"/>
    <w:basedOn w:val="ListParagraph"/>
    <w:uiPriority w:val="9"/>
    <w:qFormat/>
    <w:rsid w:val="00EB4B18"/>
    <w:pPr>
      <w:numPr>
        <w:numId w:val="13"/>
      </w:numPr>
      <w:spacing w:before="0" w:after="0" w:line="264" w:lineRule="auto"/>
      <w:contextualSpacing w:val="0"/>
    </w:pPr>
    <w:rPr>
      <w:rFonts w:asciiTheme="minorHAnsi" w:eastAsiaTheme="minorHAnsi" w:hAnsiTheme="minorHAnsi" w:cstheme="minorBidi"/>
      <w:color w:val="262626" w:themeColor="text1" w:themeTint="D9"/>
      <w:lang w:eastAsia="en-US"/>
    </w:rPr>
  </w:style>
  <w:style w:type="paragraph" w:customStyle="1" w:styleId="NumberedListlvl2">
    <w:name w:val="Numbered List lvl2"/>
    <w:basedOn w:val="NumberedListlvl1"/>
    <w:uiPriority w:val="9"/>
    <w:rsid w:val="00EB4B18"/>
    <w:pPr>
      <w:numPr>
        <w:ilvl w:val="1"/>
      </w:numPr>
    </w:pPr>
  </w:style>
  <w:style w:type="paragraph" w:customStyle="1" w:styleId="NumberedListlvl3">
    <w:name w:val="Numbered List lvl3"/>
    <w:basedOn w:val="NumberedListlvl1"/>
    <w:uiPriority w:val="9"/>
    <w:rsid w:val="00EB4B18"/>
    <w:pPr>
      <w:numPr>
        <w:ilvl w:val="2"/>
      </w:numPr>
    </w:pPr>
  </w:style>
  <w:style w:type="paragraph" w:customStyle="1" w:styleId="Default">
    <w:name w:val="Default"/>
    <w:rsid w:val="00764FE8"/>
    <w:pPr>
      <w:autoSpaceDE w:val="0"/>
      <w:autoSpaceDN w:val="0"/>
      <w:adjustRightInd w:val="0"/>
      <w:spacing w:after="0" w:line="240" w:lineRule="auto"/>
    </w:pPr>
    <w:rPr>
      <w:rFonts w:ascii="Calibri" w:hAnsi="Calibri" w:cs="Calibri"/>
      <w:color w:val="000000"/>
      <w:sz w:val="24"/>
      <w:szCs w:val="24"/>
    </w:rPr>
  </w:style>
  <w:style w:type="table" w:customStyle="1" w:styleId="PMCDefaultTableStyle">
    <w:name w:val="PMC Default Table Style"/>
    <w:basedOn w:val="TableNormal"/>
    <w:uiPriority w:val="99"/>
    <w:rsid w:val="006176AB"/>
    <w:pPr>
      <w:spacing w:before="60" w:after="60" w:line="264" w:lineRule="auto"/>
    </w:pPr>
    <w:rPr>
      <w:color w:val="262626" w:themeColor="text1" w:themeTint="D9"/>
      <w:sz w:val="18"/>
      <w:szCs w:val="20"/>
    </w:rPr>
    <w:tblPr>
      <w:tblStyleRowBandSize w:val="1"/>
      <w:tblBorders>
        <w:bottom w:val="single" w:sz="18" w:space="0" w:color="EEEEEE" w:themeColor="background2"/>
        <w:insideH w:val="single" w:sz="4" w:space="0" w:color="EEEEEE"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EEEEEE"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customStyle="1" w:styleId="Numberpoints">
    <w:name w:val="Number points"/>
    <w:basedOn w:val="Bullet"/>
    <w:link w:val="NumberpointsChar"/>
    <w:qFormat/>
    <w:rsid w:val="00CD4405"/>
    <w:pPr>
      <w:numPr>
        <w:numId w:val="21"/>
      </w:numPr>
    </w:pPr>
  </w:style>
  <w:style w:type="character" w:customStyle="1" w:styleId="NumberpointsChar">
    <w:name w:val="Number points Char"/>
    <w:basedOn w:val="BulletChar"/>
    <w:link w:val="Numberpoints"/>
    <w:rsid w:val="000442EA"/>
    <w:rPr>
      <w:rFonts w:ascii="Calibri Light" w:eastAsia="Times New Roman" w:hAnsi="Calibri Light" w:cs="Times New Roman"/>
      <w:szCs w:val="20"/>
      <w:lang w:eastAsia="en-AU"/>
    </w:rPr>
  </w:style>
  <w:style w:type="table" w:styleId="GridTable1Light-Accent1">
    <w:name w:val="Grid Table 1 Light Accent 1"/>
    <w:basedOn w:val="TableNormal"/>
    <w:uiPriority w:val="46"/>
    <w:rsid w:val="00382FC5"/>
    <w:pPr>
      <w:spacing w:after="0" w:line="240" w:lineRule="auto"/>
    </w:pPr>
    <w:tblPr>
      <w:tblStyleRowBandSize w:val="1"/>
      <w:tblStyleColBandSize w:val="1"/>
      <w:tblBorders>
        <w:top w:val="single" w:sz="4" w:space="0" w:color="9CACC4" w:themeColor="accent1" w:themeTint="66"/>
        <w:left w:val="single" w:sz="4" w:space="0" w:color="9CACC4" w:themeColor="accent1" w:themeTint="66"/>
        <w:bottom w:val="single" w:sz="4" w:space="0" w:color="9CACC4" w:themeColor="accent1" w:themeTint="66"/>
        <w:right w:val="single" w:sz="4" w:space="0" w:color="9CACC4" w:themeColor="accent1" w:themeTint="66"/>
        <w:insideH w:val="single" w:sz="4" w:space="0" w:color="9CACC4" w:themeColor="accent1" w:themeTint="66"/>
        <w:insideV w:val="single" w:sz="4" w:space="0" w:color="9CACC4" w:themeColor="accent1" w:themeTint="66"/>
      </w:tblBorders>
    </w:tblPr>
    <w:tblStylePr w:type="firstRow">
      <w:rPr>
        <w:b/>
        <w:bCs/>
      </w:rPr>
      <w:tblPr/>
      <w:tcPr>
        <w:tcBorders>
          <w:bottom w:val="single" w:sz="12" w:space="0" w:color="6B83A7" w:themeColor="accent1" w:themeTint="99"/>
        </w:tcBorders>
      </w:tcPr>
    </w:tblStylePr>
    <w:tblStylePr w:type="lastRow">
      <w:rPr>
        <w:b/>
        <w:bCs/>
      </w:rPr>
      <w:tblPr/>
      <w:tcPr>
        <w:tcBorders>
          <w:top w:val="double" w:sz="2" w:space="0" w:color="6B83A7"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B2043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58683D"/>
    <w:pPr>
      <w:spacing w:after="0" w:line="240" w:lineRule="auto"/>
    </w:pPr>
    <w:rPr>
      <w:color w:val="262626" w:themeColor="text1" w:themeTint="D9"/>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5A6E78"/>
    <w:rPr>
      <w:color w:val="844D9E" w:themeColor="followedHyperlink"/>
      <w:u w:val="single"/>
    </w:rPr>
  </w:style>
  <w:style w:type="paragraph" w:customStyle="1" w:styleId="pf0">
    <w:name w:val="pf0"/>
    <w:basedOn w:val="Normal"/>
    <w:rsid w:val="007E3B4C"/>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7E3B4C"/>
    <w:rPr>
      <w:rFonts w:ascii="Segoe UI" w:hAnsi="Segoe UI" w:cs="Segoe UI" w:hint="default"/>
      <w:sz w:val="18"/>
      <w:szCs w:val="18"/>
    </w:rPr>
  </w:style>
  <w:style w:type="character" w:customStyle="1" w:styleId="ui-provider">
    <w:name w:val="ui-provider"/>
    <w:basedOn w:val="DefaultParagraphFont"/>
    <w:rsid w:val="00C42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65545">
      <w:bodyDiv w:val="1"/>
      <w:marLeft w:val="0"/>
      <w:marRight w:val="0"/>
      <w:marTop w:val="0"/>
      <w:marBottom w:val="0"/>
      <w:divBdr>
        <w:top w:val="none" w:sz="0" w:space="0" w:color="auto"/>
        <w:left w:val="none" w:sz="0" w:space="0" w:color="auto"/>
        <w:bottom w:val="none" w:sz="0" w:space="0" w:color="auto"/>
        <w:right w:val="none" w:sz="0" w:space="0" w:color="auto"/>
      </w:divBdr>
      <w:divsChild>
        <w:div w:id="1484199030">
          <w:marLeft w:val="547"/>
          <w:marRight w:val="0"/>
          <w:marTop w:val="0"/>
          <w:marBottom w:val="0"/>
          <w:divBdr>
            <w:top w:val="none" w:sz="0" w:space="0" w:color="auto"/>
            <w:left w:val="none" w:sz="0" w:space="0" w:color="auto"/>
            <w:bottom w:val="none" w:sz="0" w:space="0" w:color="auto"/>
            <w:right w:val="none" w:sz="0" w:space="0" w:color="auto"/>
          </w:divBdr>
        </w:div>
      </w:divsChild>
    </w:div>
    <w:div w:id="243614305">
      <w:bodyDiv w:val="1"/>
      <w:marLeft w:val="0"/>
      <w:marRight w:val="0"/>
      <w:marTop w:val="0"/>
      <w:marBottom w:val="0"/>
      <w:divBdr>
        <w:top w:val="none" w:sz="0" w:space="0" w:color="auto"/>
        <w:left w:val="none" w:sz="0" w:space="0" w:color="auto"/>
        <w:bottom w:val="none" w:sz="0" w:space="0" w:color="auto"/>
        <w:right w:val="none" w:sz="0" w:space="0" w:color="auto"/>
      </w:divBdr>
    </w:div>
    <w:div w:id="279843414">
      <w:bodyDiv w:val="1"/>
      <w:marLeft w:val="0"/>
      <w:marRight w:val="0"/>
      <w:marTop w:val="0"/>
      <w:marBottom w:val="0"/>
      <w:divBdr>
        <w:top w:val="none" w:sz="0" w:space="0" w:color="auto"/>
        <w:left w:val="none" w:sz="0" w:space="0" w:color="auto"/>
        <w:bottom w:val="none" w:sz="0" w:space="0" w:color="auto"/>
        <w:right w:val="none" w:sz="0" w:space="0" w:color="auto"/>
      </w:divBdr>
    </w:div>
    <w:div w:id="563026846">
      <w:bodyDiv w:val="1"/>
      <w:marLeft w:val="0"/>
      <w:marRight w:val="0"/>
      <w:marTop w:val="0"/>
      <w:marBottom w:val="0"/>
      <w:divBdr>
        <w:top w:val="none" w:sz="0" w:space="0" w:color="auto"/>
        <w:left w:val="none" w:sz="0" w:space="0" w:color="auto"/>
        <w:bottom w:val="none" w:sz="0" w:space="0" w:color="auto"/>
        <w:right w:val="none" w:sz="0" w:space="0" w:color="auto"/>
      </w:divBdr>
    </w:div>
    <w:div w:id="646789529">
      <w:bodyDiv w:val="1"/>
      <w:marLeft w:val="0"/>
      <w:marRight w:val="0"/>
      <w:marTop w:val="0"/>
      <w:marBottom w:val="0"/>
      <w:divBdr>
        <w:top w:val="none" w:sz="0" w:space="0" w:color="auto"/>
        <w:left w:val="none" w:sz="0" w:space="0" w:color="auto"/>
        <w:bottom w:val="none" w:sz="0" w:space="0" w:color="auto"/>
        <w:right w:val="none" w:sz="0" w:space="0" w:color="auto"/>
      </w:divBdr>
    </w:div>
    <w:div w:id="801926267">
      <w:bodyDiv w:val="1"/>
      <w:marLeft w:val="0"/>
      <w:marRight w:val="0"/>
      <w:marTop w:val="0"/>
      <w:marBottom w:val="0"/>
      <w:divBdr>
        <w:top w:val="none" w:sz="0" w:space="0" w:color="auto"/>
        <w:left w:val="none" w:sz="0" w:space="0" w:color="auto"/>
        <w:bottom w:val="none" w:sz="0" w:space="0" w:color="auto"/>
        <w:right w:val="none" w:sz="0" w:space="0" w:color="auto"/>
      </w:divBdr>
    </w:div>
    <w:div w:id="821502870">
      <w:bodyDiv w:val="1"/>
      <w:marLeft w:val="0"/>
      <w:marRight w:val="0"/>
      <w:marTop w:val="0"/>
      <w:marBottom w:val="0"/>
      <w:divBdr>
        <w:top w:val="none" w:sz="0" w:space="0" w:color="auto"/>
        <w:left w:val="none" w:sz="0" w:space="0" w:color="auto"/>
        <w:bottom w:val="none" w:sz="0" w:space="0" w:color="auto"/>
        <w:right w:val="none" w:sz="0" w:space="0" w:color="auto"/>
      </w:divBdr>
    </w:div>
    <w:div w:id="872956425">
      <w:bodyDiv w:val="1"/>
      <w:marLeft w:val="0"/>
      <w:marRight w:val="0"/>
      <w:marTop w:val="0"/>
      <w:marBottom w:val="0"/>
      <w:divBdr>
        <w:top w:val="none" w:sz="0" w:space="0" w:color="auto"/>
        <w:left w:val="none" w:sz="0" w:space="0" w:color="auto"/>
        <w:bottom w:val="none" w:sz="0" w:space="0" w:color="auto"/>
        <w:right w:val="none" w:sz="0" w:space="0" w:color="auto"/>
      </w:divBdr>
    </w:div>
    <w:div w:id="1006790602">
      <w:bodyDiv w:val="1"/>
      <w:marLeft w:val="0"/>
      <w:marRight w:val="0"/>
      <w:marTop w:val="0"/>
      <w:marBottom w:val="0"/>
      <w:divBdr>
        <w:top w:val="none" w:sz="0" w:space="0" w:color="auto"/>
        <w:left w:val="none" w:sz="0" w:space="0" w:color="auto"/>
        <w:bottom w:val="none" w:sz="0" w:space="0" w:color="auto"/>
        <w:right w:val="none" w:sz="0" w:space="0" w:color="auto"/>
      </w:divBdr>
    </w:div>
    <w:div w:id="1229803861">
      <w:bodyDiv w:val="1"/>
      <w:marLeft w:val="0"/>
      <w:marRight w:val="0"/>
      <w:marTop w:val="0"/>
      <w:marBottom w:val="0"/>
      <w:divBdr>
        <w:top w:val="none" w:sz="0" w:space="0" w:color="auto"/>
        <w:left w:val="none" w:sz="0" w:space="0" w:color="auto"/>
        <w:bottom w:val="none" w:sz="0" w:space="0" w:color="auto"/>
        <w:right w:val="none" w:sz="0" w:space="0" w:color="auto"/>
      </w:divBdr>
    </w:div>
    <w:div w:id="1564829177">
      <w:bodyDiv w:val="1"/>
      <w:marLeft w:val="0"/>
      <w:marRight w:val="0"/>
      <w:marTop w:val="0"/>
      <w:marBottom w:val="0"/>
      <w:divBdr>
        <w:top w:val="none" w:sz="0" w:space="0" w:color="auto"/>
        <w:left w:val="none" w:sz="0" w:space="0" w:color="auto"/>
        <w:bottom w:val="none" w:sz="0" w:space="0" w:color="auto"/>
        <w:right w:val="none" w:sz="0" w:space="0" w:color="auto"/>
      </w:divBdr>
    </w:div>
    <w:div w:id="1610621140">
      <w:bodyDiv w:val="1"/>
      <w:marLeft w:val="0"/>
      <w:marRight w:val="0"/>
      <w:marTop w:val="0"/>
      <w:marBottom w:val="0"/>
      <w:divBdr>
        <w:top w:val="none" w:sz="0" w:space="0" w:color="auto"/>
        <w:left w:val="none" w:sz="0" w:space="0" w:color="auto"/>
        <w:bottom w:val="none" w:sz="0" w:space="0" w:color="auto"/>
        <w:right w:val="none" w:sz="0" w:space="0" w:color="auto"/>
      </w:divBdr>
    </w:div>
    <w:div w:id="1761099199">
      <w:bodyDiv w:val="1"/>
      <w:marLeft w:val="0"/>
      <w:marRight w:val="0"/>
      <w:marTop w:val="0"/>
      <w:marBottom w:val="0"/>
      <w:divBdr>
        <w:top w:val="none" w:sz="0" w:space="0" w:color="auto"/>
        <w:left w:val="none" w:sz="0" w:space="0" w:color="auto"/>
        <w:bottom w:val="none" w:sz="0" w:space="0" w:color="auto"/>
        <w:right w:val="none" w:sz="0" w:space="0" w:color="auto"/>
      </w:divBdr>
    </w:div>
    <w:div w:id="1764764118">
      <w:bodyDiv w:val="1"/>
      <w:marLeft w:val="0"/>
      <w:marRight w:val="0"/>
      <w:marTop w:val="0"/>
      <w:marBottom w:val="0"/>
      <w:divBdr>
        <w:top w:val="none" w:sz="0" w:space="0" w:color="auto"/>
        <w:left w:val="none" w:sz="0" w:space="0" w:color="auto"/>
        <w:bottom w:val="none" w:sz="0" w:space="0" w:color="auto"/>
        <w:right w:val="none" w:sz="0" w:space="0" w:color="auto"/>
      </w:divBdr>
    </w:div>
    <w:div w:id="1815635498">
      <w:bodyDiv w:val="1"/>
      <w:marLeft w:val="0"/>
      <w:marRight w:val="0"/>
      <w:marTop w:val="0"/>
      <w:marBottom w:val="0"/>
      <w:divBdr>
        <w:top w:val="none" w:sz="0" w:space="0" w:color="auto"/>
        <w:left w:val="none" w:sz="0" w:space="0" w:color="auto"/>
        <w:bottom w:val="none" w:sz="0" w:space="0" w:color="auto"/>
        <w:right w:val="none" w:sz="0" w:space="0" w:color="auto"/>
      </w:divBdr>
    </w:div>
    <w:div w:id="184177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mc.gov.au/government/commonwealth-coat-arms" TargetMode="External"/><Relationship Id="rId18" Type="http://schemas.openxmlformats.org/officeDocument/2006/relationships/footer" Target="footer2.xml"/><Relationship Id="rId26" Type="http://schemas.openxmlformats.org/officeDocument/2006/relationships/header" Target="header5.xml"/><Relationship Id="rId21" Type="http://schemas.openxmlformats.org/officeDocument/2006/relationships/chart" Target="charts/chart1.xml"/><Relationship Id="rId34"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superannuation@treasury.gov.au" TargetMode="External"/><Relationship Id="rId29" Type="http://schemas.openxmlformats.org/officeDocument/2006/relationships/hyperlink" Target="mailto:paydaysuper@treasury.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32" Type="http://schemas.openxmlformats.org/officeDocument/2006/relationships/diagramQuickStyle" Target="diagrams/quickStyle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https://ministers.treasury.gov.au/email-subscription" TargetMode="External"/><Relationship Id="rId36" Type="http://schemas.openxmlformats.org/officeDocument/2006/relationships/fontTable" Target="fontTable.xml"/><Relationship Id="rId10" Type="http://schemas.openxmlformats.org/officeDocument/2006/relationships/hyperlink" Target="http://creativecommons.org/licenses/by/3.0/au/legalcode" TargetMode="External"/><Relationship Id="rId19" Type="http://schemas.openxmlformats.org/officeDocument/2006/relationships/hyperlink" Target="mailto:superannuation@treasury.gov.au" TargetMode="External"/><Relationship Id="rId31"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hyperlink" Target="http://creativecommons.org/licenses/by/3.0/au/deed.en" TargetMode="External"/><Relationship Id="rId14" Type="http://schemas.openxmlformats.org/officeDocument/2006/relationships/hyperlink" Target="mailto:media@treasury.gov.au"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diagramData" Target="diagrams/data1.xml"/><Relationship Id="rId35" Type="http://schemas.openxmlformats.org/officeDocument/2006/relationships/footer" Target="footer6.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treasury.gov.au/consultation/c2022-313936"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oleObject" Target="https://austreasury.sharepoint.com/sites/sat-function/SG/230428%20-%20SG%20gap%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xMode val="edge"/>
          <c:yMode val="edge"/>
          <c:x val="9.1039426523297495E-3"/>
          <c:y val="4.6977430555555554E-2"/>
          <c:w val="0.98367697132616483"/>
          <c:h val="0.8703767361111111"/>
        </c:manualLayout>
      </c:layout>
      <c:barChart>
        <c:barDir val="col"/>
        <c:grouping val="clustered"/>
        <c:varyColors val="0"/>
        <c:ser>
          <c:idx val="0"/>
          <c:order val="0"/>
          <c:tx>
            <c:strRef>
              <c:f>Sheet1!$B$5</c:f>
              <c:strCache>
                <c:ptCount val="1"/>
                <c:pt idx="0">
                  <c:v>Gross gap ($m)</c:v>
                </c:pt>
              </c:strCache>
            </c:strRef>
          </c:tx>
          <c:spPr>
            <a:solidFill>
              <a:schemeClr val="accent1"/>
            </a:solidFill>
            <a:ln>
              <a:noFill/>
            </a:ln>
            <a:effectLst/>
          </c:spPr>
          <c:invertIfNegative val="0"/>
          <c:cat>
            <c:strRef>
              <c:f>Sheet1!$C$4:$H$4</c:f>
              <c:strCache>
                <c:ptCount val="6"/>
                <c:pt idx="0">
                  <c:v>2014–15</c:v>
                </c:pt>
                <c:pt idx="1">
                  <c:v>2015–16</c:v>
                </c:pt>
                <c:pt idx="2">
                  <c:v>2016–17</c:v>
                </c:pt>
                <c:pt idx="3">
                  <c:v>2017–18</c:v>
                </c:pt>
                <c:pt idx="4">
                  <c:v>2018–19</c:v>
                </c:pt>
                <c:pt idx="5">
                  <c:v>2019–20</c:v>
                </c:pt>
              </c:strCache>
            </c:strRef>
          </c:cat>
          <c:val>
            <c:numRef>
              <c:f>Sheet1!$C$5:$H$5</c:f>
              <c:numCache>
                <c:formatCode>#,##0</c:formatCode>
                <c:ptCount val="6"/>
                <c:pt idx="0">
                  <c:v>3901</c:v>
                </c:pt>
                <c:pt idx="1">
                  <c:v>3885</c:v>
                </c:pt>
                <c:pt idx="2">
                  <c:v>3519</c:v>
                </c:pt>
                <c:pt idx="3">
                  <c:v>3968</c:v>
                </c:pt>
                <c:pt idx="4">
                  <c:v>4198</c:v>
                </c:pt>
                <c:pt idx="5">
                  <c:v>4045</c:v>
                </c:pt>
              </c:numCache>
            </c:numRef>
          </c:val>
          <c:extLst>
            <c:ext xmlns:c16="http://schemas.microsoft.com/office/drawing/2014/chart" uri="{C3380CC4-5D6E-409C-BE32-E72D297353CC}">
              <c16:uniqueId val="{00000000-D6D7-48FF-988D-38B8CE3939B9}"/>
            </c:ext>
          </c:extLst>
        </c:ser>
        <c:ser>
          <c:idx val="1"/>
          <c:order val="1"/>
          <c:tx>
            <c:strRef>
              <c:f>Sheet1!$B$6</c:f>
              <c:strCache>
                <c:ptCount val="1"/>
                <c:pt idx="0">
                  <c:v>Net gap ($m)</c:v>
                </c:pt>
              </c:strCache>
            </c:strRef>
          </c:tx>
          <c:spPr>
            <a:solidFill>
              <a:schemeClr val="accent2"/>
            </a:solidFill>
            <a:ln>
              <a:noFill/>
            </a:ln>
            <a:effectLst/>
          </c:spPr>
          <c:invertIfNegative val="0"/>
          <c:cat>
            <c:strRef>
              <c:f>Sheet1!$C$4:$H$4</c:f>
              <c:strCache>
                <c:ptCount val="6"/>
                <c:pt idx="0">
                  <c:v>2014–15</c:v>
                </c:pt>
                <c:pt idx="1">
                  <c:v>2015–16</c:v>
                </c:pt>
                <c:pt idx="2">
                  <c:v>2016–17</c:v>
                </c:pt>
                <c:pt idx="3">
                  <c:v>2017–18</c:v>
                </c:pt>
                <c:pt idx="4">
                  <c:v>2018–19</c:v>
                </c:pt>
                <c:pt idx="5">
                  <c:v>2019–20</c:v>
                </c:pt>
              </c:strCache>
            </c:strRef>
          </c:cat>
          <c:val>
            <c:numRef>
              <c:f>Sheet1!$C$6:$H$6</c:f>
              <c:numCache>
                <c:formatCode>#,##0</c:formatCode>
                <c:ptCount val="6"/>
                <c:pt idx="0">
                  <c:v>3385</c:v>
                </c:pt>
                <c:pt idx="1">
                  <c:v>3308</c:v>
                </c:pt>
                <c:pt idx="2">
                  <c:v>2775</c:v>
                </c:pt>
                <c:pt idx="3">
                  <c:v>3110</c:v>
                </c:pt>
                <c:pt idx="4">
                  <c:v>3348</c:v>
                </c:pt>
                <c:pt idx="5">
                  <c:v>3374</c:v>
                </c:pt>
              </c:numCache>
            </c:numRef>
          </c:val>
          <c:extLst>
            <c:ext xmlns:c16="http://schemas.microsoft.com/office/drawing/2014/chart" uri="{C3380CC4-5D6E-409C-BE32-E72D297353CC}">
              <c16:uniqueId val="{00000001-D6D7-48FF-988D-38B8CE3939B9}"/>
            </c:ext>
          </c:extLst>
        </c:ser>
        <c:dLbls>
          <c:showLegendKey val="0"/>
          <c:showVal val="0"/>
          <c:showCatName val="0"/>
          <c:showSerName val="0"/>
          <c:showPercent val="0"/>
          <c:showBubbleSize val="0"/>
        </c:dLbls>
        <c:gapWidth val="50"/>
        <c:axId val="683767672"/>
        <c:axId val="683766360"/>
      </c:barChart>
      <c:lineChart>
        <c:grouping val="standard"/>
        <c:varyColors val="0"/>
        <c:ser>
          <c:idx val="2"/>
          <c:order val="2"/>
          <c:tx>
            <c:strRef>
              <c:f>Sheet1!$B$7</c:f>
              <c:strCache>
                <c:ptCount val="1"/>
                <c:pt idx="0">
                  <c:v>Gross gap (%)</c:v>
                </c:pt>
              </c:strCache>
            </c:strRef>
          </c:tx>
          <c:spPr>
            <a:ln w="28575" cap="rnd">
              <a:solidFill>
                <a:schemeClr val="accent3"/>
              </a:solidFill>
              <a:round/>
            </a:ln>
            <a:effectLst/>
          </c:spPr>
          <c:marker>
            <c:symbol val="none"/>
          </c:marker>
          <c:cat>
            <c:strRef>
              <c:f>Sheet1!$C$4:$H$4</c:f>
              <c:strCache>
                <c:ptCount val="6"/>
                <c:pt idx="0">
                  <c:v>2014–15</c:v>
                </c:pt>
                <c:pt idx="1">
                  <c:v>2015–16</c:v>
                </c:pt>
                <c:pt idx="2">
                  <c:v>2016–17</c:v>
                </c:pt>
                <c:pt idx="3">
                  <c:v>2017–18</c:v>
                </c:pt>
                <c:pt idx="4">
                  <c:v>2018–19</c:v>
                </c:pt>
                <c:pt idx="5">
                  <c:v>2019–20</c:v>
                </c:pt>
              </c:strCache>
            </c:strRef>
          </c:cat>
          <c:val>
            <c:numRef>
              <c:f>Sheet1!$C$7:$H$7</c:f>
              <c:numCache>
                <c:formatCode>General</c:formatCode>
                <c:ptCount val="6"/>
                <c:pt idx="0">
                  <c:v>6.9</c:v>
                </c:pt>
                <c:pt idx="1">
                  <c:v>6.7</c:v>
                </c:pt>
                <c:pt idx="2">
                  <c:v>5.9</c:v>
                </c:pt>
                <c:pt idx="3">
                  <c:v>6.4</c:v>
                </c:pt>
                <c:pt idx="4">
                  <c:v>6.4</c:v>
                </c:pt>
                <c:pt idx="5">
                  <c:v>5.9</c:v>
                </c:pt>
              </c:numCache>
            </c:numRef>
          </c:val>
          <c:smooth val="0"/>
          <c:extLst>
            <c:ext xmlns:c16="http://schemas.microsoft.com/office/drawing/2014/chart" uri="{C3380CC4-5D6E-409C-BE32-E72D297353CC}">
              <c16:uniqueId val="{00000002-D6D7-48FF-988D-38B8CE3939B9}"/>
            </c:ext>
          </c:extLst>
        </c:ser>
        <c:ser>
          <c:idx val="3"/>
          <c:order val="3"/>
          <c:tx>
            <c:strRef>
              <c:f>Sheet1!$B$8</c:f>
              <c:strCache>
                <c:ptCount val="1"/>
                <c:pt idx="0">
                  <c:v>Net gap (%)</c:v>
                </c:pt>
              </c:strCache>
            </c:strRef>
          </c:tx>
          <c:spPr>
            <a:ln w="28575" cap="rnd">
              <a:solidFill>
                <a:schemeClr val="accent4"/>
              </a:solidFill>
              <a:round/>
            </a:ln>
            <a:effectLst/>
          </c:spPr>
          <c:marker>
            <c:symbol val="none"/>
          </c:marker>
          <c:cat>
            <c:strRef>
              <c:f>Sheet1!$C$4:$H$4</c:f>
              <c:strCache>
                <c:ptCount val="6"/>
                <c:pt idx="0">
                  <c:v>2014–15</c:v>
                </c:pt>
                <c:pt idx="1">
                  <c:v>2015–16</c:v>
                </c:pt>
                <c:pt idx="2">
                  <c:v>2016–17</c:v>
                </c:pt>
                <c:pt idx="3">
                  <c:v>2017–18</c:v>
                </c:pt>
                <c:pt idx="4">
                  <c:v>2018–19</c:v>
                </c:pt>
                <c:pt idx="5">
                  <c:v>2019–20</c:v>
                </c:pt>
              </c:strCache>
            </c:strRef>
          </c:cat>
          <c:val>
            <c:numRef>
              <c:f>Sheet1!$C$8:$H$8</c:f>
              <c:numCache>
                <c:formatCode>General</c:formatCode>
                <c:ptCount val="6"/>
                <c:pt idx="0">
                  <c:v>6</c:v>
                </c:pt>
                <c:pt idx="1">
                  <c:v>5.7</c:v>
                </c:pt>
                <c:pt idx="2">
                  <c:v>4.7</c:v>
                </c:pt>
                <c:pt idx="3">
                  <c:v>5</c:v>
                </c:pt>
                <c:pt idx="4">
                  <c:v>5.0999999999999996</c:v>
                </c:pt>
                <c:pt idx="5">
                  <c:v>4.9000000000000004</c:v>
                </c:pt>
              </c:numCache>
            </c:numRef>
          </c:val>
          <c:smooth val="0"/>
          <c:extLst>
            <c:ext xmlns:c16="http://schemas.microsoft.com/office/drawing/2014/chart" uri="{C3380CC4-5D6E-409C-BE32-E72D297353CC}">
              <c16:uniqueId val="{00000003-D6D7-48FF-988D-38B8CE3939B9}"/>
            </c:ext>
          </c:extLst>
        </c:ser>
        <c:dLbls>
          <c:showLegendKey val="0"/>
          <c:showVal val="0"/>
          <c:showCatName val="0"/>
          <c:showSerName val="0"/>
          <c:showPercent val="0"/>
          <c:showBubbleSize val="0"/>
        </c:dLbls>
        <c:marker val="1"/>
        <c:smooth val="0"/>
        <c:axId val="683812280"/>
        <c:axId val="683807032"/>
      </c:lineChart>
      <c:catAx>
        <c:axId val="683767672"/>
        <c:scaling>
          <c:orientation val="minMax"/>
        </c:scaling>
        <c:delete val="0"/>
        <c:axPos val="b"/>
        <c:numFmt formatCode="General" sourceLinked="1"/>
        <c:majorTickMark val="out"/>
        <c:minorTickMark val="none"/>
        <c:tickLblPos val="low"/>
        <c:spPr>
          <a:noFill/>
          <a:ln w="12700" cap="flat" cmpd="sng" algn="ctr">
            <a:solidFill>
              <a:srgbClr val="808080"/>
            </a:solidFill>
            <a:prstDash val="solid"/>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3766360"/>
        <c:crosses val="autoZero"/>
        <c:auto val="1"/>
        <c:lblAlgn val="ctr"/>
        <c:lblOffset val="100"/>
        <c:noMultiLvlLbl val="0"/>
      </c:catAx>
      <c:valAx>
        <c:axId val="683766360"/>
        <c:scaling>
          <c:orientation val="minMax"/>
        </c:scaling>
        <c:delete val="0"/>
        <c:axPos val="l"/>
        <c:majorGridlines>
          <c:spPr>
            <a:ln w="25400" cap="flat" cmpd="sng" algn="ctr">
              <a:noFill/>
              <a:round/>
            </a:ln>
            <a:effectLst/>
          </c:spPr>
        </c:majorGridlines>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AU"/>
                  <a:t>$ billions</a:t>
                </a:r>
              </a:p>
            </c:rich>
          </c:tx>
          <c:layout>
            <c:manualLayout>
              <c:xMode val="edge"/>
              <c:yMode val="edge"/>
              <c:x val="3.9792655613933979E-5"/>
              <c:y val="0"/>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3767672"/>
        <c:crosses val="autoZero"/>
        <c:crossBetween val="between"/>
      </c:valAx>
      <c:valAx>
        <c:axId val="683807032"/>
        <c:scaling>
          <c:orientation val="minMax"/>
          <c:max val="8"/>
          <c:min val="0"/>
        </c:scaling>
        <c:delete val="0"/>
        <c:axPos val="r"/>
        <c:title>
          <c:tx>
            <c:rich>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r>
                  <a:rPr lang="en-AU"/>
                  <a:t>Per cent</a:t>
                </a:r>
              </a:p>
            </c:rich>
          </c:tx>
          <c:layout>
            <c:manualLayout>
              <c:xMode val="edge"/>
              <c:yMode val="edge"/>
              <c:x val="0.91851971326164872"/>
              <c:y val="0"/>
            </c:manualLayout>
          </c:layout>
          <c:overlay val="0"/>
          <c:spPr>
            <a:noFill/>
            <a:ln>
              <a:noFill/>
            </a:ln>
            <a:effectLst/>
          </c:spPr>
          <c:txPr>
            <a:bodyPr rot="0" spcFirstLastPara="1" vertOverflow="ellipsis"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0.0" sourceLinked="0"/>
        <c:majorTickMark val="in"/>
        <c:minorTickMark val="none"/>
        <c:tickLblPos val="nextTo"/>
        <c:spPr>
          <a:noFill/>
          <a:ln w="12700">
            <a:solidFill>
              <a:srgbClr val="808080"/>
            </a:solidFill>
            <a:prstDash val="soli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683812280"/>
        <c:crosses val="max"/>
        <c:crossBetween val="between"/>
        <c:minorUnit val="1"/>
      </c:valAx>
      <c:catAx>
        <c:axId val="683812280"/>
        <c:scaling>
          <c:orientation val="minMax"/>
        </c:scaling>
        <c:delete val="1"/>
        <c:axPos val="b"/>
        <c:numFmt formatCode="General" sourceLinked="1"/>
        <c:majorTickMark val="out"/>
        <c:minorTickMark val="none"/>
        <c:tickLblPos val="nextTo"/>
        <c:crossAx val="683807032"/>
        <c:crossesAt val="0"/>
        <c:auto val="1"/>
        <c:lblAlgn val="ctr"/>
        <c:lblOffset val="100"/>
        <c:noMultiLvlLbl val="0"/>
      </c:catAx>
      <c:spPr>
        <a:noFill/>
        <a:ln w="25400">
          <a:noFill/>
        </a:ln>
        <a:effectLst/>
        <a:extLst>
          <a:ext uri="{909E8E84-426E-40DD-AFC4-6F175D3DCCD1}">
            <a14:hiddenFill xmlns:a14="http://schemas.microsoft.com/office/drawing/2010/main">
              <a:noFill/>
            </a14:hiddenFill>
          </a:ext>
        </a:extLst>
      </c:spPr>
    </c:plotArea>
    <c:legend>
      <c:legendPos val="b"/>
      <c:overlay val="0"/>
      <c:spPr>
        <a:noFill/>
        <a:ln w="25400">
          <a:noFill/>
        </a:ln>
        <a:effectLst/>
        <a:extLst>
          <a:ext uri="{909E8E84-426E-40DD-AFC4-6F175D3DCCD1}">
            <a14:hiddenFill xmlns:a14="http://schemas.microsoft.com/office/drawing/2010/main">
              <a:noFill/>
            </a14:hiddenFill>
          </a:ext>
        </a:ex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25400" cap="flat" cmpd="sng" algn="ctr">
      <a:noFill/>
      <a:round/>
    </a:ln>
    <a:effectLst/>
    <a:extLst>
      <a:ext uri="{909E8E84-426E-40DD-AFC4-6F175D3DCCD1}">
        <a14:hiddenFill xmlns:a14="http://schemas.microsoft.com/office/drawing/2010/main">
          <a:solidFill>
            <a:sysClr val="window" lastClr="FFFFFF"/>
          </a:solidFill>
        </a14:hiddenFill>
      </a:ext>
    </a:extLst>
  </c:spPr>
  <c:txPr>
    <a:bodyPr/>
    <a:lstStyle/>
    <a:p>
      <a:pPr>
        <a:defRPr>
          <a:solidFill>
            <a:sysClr val="windowText" lastClr="000000"/>
          </a:solidFill>
          <a:latin typeface="+mn-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7B7320-CD0C-4C84-92BD-286BDB64441A}"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F40F99D7-2076-4D9B-81A9-81624DC2F4E1}">
      <dgm:prSet phldrT="[Text]" custT="1"/>
      <dgm:spPr/>
      <dgm:t>
        <a:bodyPr/>
        <a:lstStyle/>
        <a:p>
          <a:r>
            <a:rPr lang="en-AU" sz="1050"/>
            <a:t>SG shortfall</a:t>
          </a:r>
        </a:p>
      </dgm:t>
    </dgm:pt>
    <dgm:pt modelId="{CFCD560F-6821-4CA8-9B76-D931747DF7CC}" type="parTrans" cxnId="{8D512711-F49F-4416-80E8-3F4005085742}">
      <dgm:prSet/>
      <dgm:spPr/>
      <dgm:t>
        <a:bodyPr/>
        <a:lstStyle/>
        <a:p>
          <a:endParaRPr lang="en-AU" sz="1050"/>
        </a:p>
      </dgm:t>
    </dgm:pt>
    <dgm:pt modelId="{CCC9CD81-D3CA-40AC-AA77-8F0A2535C498}" type="sibTrans" cxnId="{8D512711-F49F-4416-80E8-3F4005085742}">
      <dgm:prSet custT="1"/>
      <dgm:spPr/>
      <dgm:t>
        <a:bodyPr/>
        <a:lstStyle/>
        <a:p>
          <a:endParaRPr lang="en-AU" sz="1050"/>
        </a:p>
      </dgm:t>
    </dgm:pt>
    <dgm:pt modelId="{853C0926-AA53-4D31-B695-CA8EDE794272}">
      <dgm:prSet phldrT="[Text]" custT="1"/>
      <dgm:spPr/>
      <dgm:t>
        <a:bodyPr/>
        <a:lstStyle/>
        <a:p>
          <a:r>
            <a:rPr lang="en-AU" sz="1050"/>
            <a:t>Nominal interest</a:t>
          </a:r>
        </a:p>
      </dgm:t>
    </dgm:pt>
    <dgm:pt modelId="{B588B624-CC31-4196-A48A-F422935C4CD0}" type="parTrans" cxnId="{5CD4D828-4058-4FE8-B024-6C0453FB7E2C}">
      <dgm:prSet/>
      <dgm:spPr/>
      <dgm:t>
        <a:bodyPr/>
        <a:lstStyle/>
        <a:p>
          <a:endParaRPr lang="en-AU" sz="1050"/>
        </a:p>
      </dgm:t>
    </dgm:pt>
    <dgm:pt modelId="{43CC55E2-34C9-407F-A231-AD9666CDA971}" type="sibTrans" cxnId="{5CD4D828-4058-4FE8-B024-6C0453FB7E2C}">
      <dgm:prSet custT="1"/>
      <dgm:spPr/>
      <dgm:t>
        <a:bodyPr/>
        <a:lstStyle/>
        <a:p>
          <a:endParaRPr lang="en-AU" sz="1050"/>
        </a:p>
      </dgm:t>
    </dgm:pt>
    <dgm:pt modelId="{DDCA0B02-FDAD-4834-89AD-730A029B0392}">
      <dgm:prSet custT="1"/>
      <dgm:spPr>
        <a:solidFill>
          <a:schemeClr val="accent5"/>
        </a:solidFill>
      </dgm:spPr>
      <dgm:t>
        <a:bodyPr/>
        <a:lstStyle/>
        <a:p>
          <a:r>
            <a:rPr lang="en-AU" sz="1050"/>
            <a:t>SG charge</a:t>
          </a:r>
        </a:p>
      </dgm:t>
    </dgm:pt>
    <dgm:pt modelId="{F0B4BEF5-736C-4EA5-B8F7-7087CEE26C30}" type="parTrans" cxnId="{39F2DA4B-2F84-48CD-9F39-86378BBC8EC0}">
      <dgm:prSet/>
      <dgm:spPr/>
      <dgm:t>
        <a:bodyPr/>
        <a:lstStyle/>
        <a:p>
          <a:endParaRPr lang="en-AU" sz="1050"/>
        </a:p>
      </dgm:t>
    </dgm:pt>
    <dgm:pt modelId="{17AD4EBB-47C7-4B07-BE5D-5E1297BDFD19}" type="sibTrans" cxnId="{39F2DA4B-2F84-48CD-9F39-86378BBC8EC0}">
      <dgm:prSet/>
      <dgm:spPr/>
      <dgm:t>
        <a:bodyPr/>
        <a:lstStyle/>
        <a:p>
          <a:endParaRPr lang="en-AU" sz="1050"/>
        </a:p>
      </dgm:t>
    </dgm:pt>
    <dgm:pt modelId="{69983FB7-F57F-4727-8D9D-CD34F1B20493}">
      <dgm:prSet phldrT="[Text]" custT="1"/>
      <dgm:spPr/>
      <dgm:t>
        <a:bodyPr/>
        <a:lstStyle/>
        <a:p>
          <a:r>
            <a:rPr lang="en-AU" sz="1050"/>
            <a:t>Admin fee</a:t>
          </a:r>
        </a:p>
      </dgm:t>
    </dgm:pt>
    <dgm:pt modelId="{BC6C5FFE-F357-4C12-8E05-F255200263E5}" type="parTrans" cxnId="{ECD23C15-DBBE-498D-A1E0-65B18D5DB301}">
      <dgm:prSet/>
      <dgm:spPr/>
      <dgm:t>
        <a:bodyPr/>
        <a:lstStyle/>
        <a:p>
          <a:endParaRPr lang="en-AU" sz="1050"/>
        </a:p>
      </dgm:t>
    </dgm:pt>
    <dgm:pt modelId="{947E9772-0DAB-4A07-8826-2D3BB278DAAF}" type="sibTrans" cxnId="{ECD23C15-DBBE-498D-A1E0-65B18D5DB301}">
      <dgm:prSet custT="1"/>
      <dgm:spPr/>
      <dgm:t>
        <a:bodyPr/>
        <a:lstStyle/>
        <a:p>
          <a:endParaRPr lang="en-AU" sz="1050"/>
        </a:p>
      </dgm:t>
    </dgm:pt>
    <dgm:pt modelId="{BBAFF3D5-2454-470D-A744-7C2FD486CCB0}" type="pres">
      <dgm:prSet presAssocID="{617B7320-CD0C-4C84-92BD-286BDB64441A}" presName="linearFlow" presStyleCnt="0">
        <dgm:presLayoutVars>
          <dgm:dir/>
          <dgm:resizeHandles val="exact"/>
        </dgm:presLayoutVars>
      </dgm:prSet>
      <dgm:spPr/>
    </dgm:pt>
    <dgm:pt modelId="{41155A0F-83D7-4F3B-84FB-35C2DE292F6E}" type="pres">
      <dgm:prSet presAssocID="{F40F99D7-2076-4D9B-81A9-81624DC2F4E1}" presName="node" presStyleLbl="node1" presStyleIdx="0" presStyleCnt="4">
        <dgm:presLayoutVars>
          <dgm:bulletEnabled val="1"/>
        </dgm:presLayoutVars>
      </dgm:prSet>
      <dgm:spPr/>
    </dgm:pt>
    <dgm:pt modelId="{1996F4D8-3A1C-4B82-A3AC-8F56A22BC137}" type="pres">
      <dgm:prSet presAssocID="{CCC9CD81-D3CA-40AC-AA77-8F0A2535C498}" presName="spacerL" presStyleCnt="0"/>
      <dgm:spPr/>
    </dgm:pt>
    <dgm:pt modelId="{A85E2FE6-B26A-4BBB-A981-84DA6B99ACE4}" type="pres">
      <dgm:prSet presAssocID="{CCC9CD81-D3CA-40AC-AA77-8F0A2535C498}" presName="sibTrans" presStyleLbl="sibTrans2D1" presStyleIdx="0" presStyleCnt="3"/>
      <dgm:spPr/>
    </dgm:pt>
    <dgm:pt modelId="{A3B9A4CD-7111-42A1-A0C2-964B0AD96118}" type="pres">
      <dgm:prSet presAssocID="{CCC9CD81-D3CA-40AC-AA77-8F0A2535C498}" presName="spacerR" presStyleCnt="0"/>
      <dgm:spPr/>
    </dgm:pt>
    <dgm:pt modelId="{37AE42E0-EC69-44F2-AE30-96C175FDB1ED}" type="pres">
      <dgm:prSet presAssocID="{853C0926-AA53-4D31-B695-CA8EDE794272}" presName="node" presStyleLbl="node1" presStyleIdx="1" presStyleCnt="4">
        <dgm:presLayoutVars>
          <dgm:bulletEnabled val="1"/>
        </dgm:presLayoutVars>
      </dgm:prSet>
      <dgm:spPr/>
    </dgm:pt>
    <dgm:pt modelId="{0C6598B3-FB48-49B0-BA05-B571CC25284A}" type="pres">
      <dgm:prSet presAssocID="{43CC55E2-34C9-407F-A231-AD9666CDA971}" presName="spacerL" presStyleCnt="0"/>
      <dgm:spPr/>
    </dgm:pt>
    <dgm:pt modelId="{3564A43D-29CC-4BFB-B3AF-084DDC11A95B}" type="pres">
      <dgm:prSet presAssocID="{43CC55E2-34C9-407F-A231-AD9666CDA971}" presName="sibTrans" presStyleLbl="sibTrans2D1" presStyleIdx="1" presStyleCnt="3"/>
      <dgm:spPr/>
    </dgm:pt>
    <dgm:pt modelId="{0FE24291-4E7E-4526-81FC-5C949C57478B}" type="pres">
      <dgm:prSet presAssocID="{43CC55E2-34C9-407F-A231-AD9666CDA971}" presName="spacerR" presStyleCnt="0"/>
      <dgm:spPr/>
    </dgm:pt>
    <dgm:pt modelId="{2F0B9B02-7E49-48DE-8A24-ACD698686B61}" type="pres">
      <dgm:prSet presAssocID="{69983FB7-F57F-4727-8D9D-CD34F1B20493}" presName="node" presStyleLbl="node1" presStyleIdx="2" presStyleCnt="4">
        <dgm:presLayoutVars>
          <dgm:bulletEnabled val="1"/>
        </dgm:presLayoutVars>
      </dgm:prSet>
      <dgm:spPr/>
    </dgm:pt>
    <dgm:pt modelId="{C7A207BC-C963-4E29-BDBB-96FD83E8110D}" type="pres">
      <dgm:prSet presAssocID="{947E9772-0DAB-4A07-8826-2D3BB278DAAF}" presName="spacerL" presStyleCnt="0"/>
      <dgm:spPr/>
    </dgm:pt>
    <dgm:pt modelId="{58CCD951-6E12-490A-BA2F-DAE55F4CA019}" type="pres">
      <dgm:prSet presAssocID="{947E9772-0DAB-4A07-8826-2D3BB278DAAF}" presName="sibTrans" presStyleLbl="sibTrans2D1" presStyleIdx="2" presStyleCnt="3"/>
      <dgm:spPr/>
    </dgm:pt>
    <dgm:pt modelId="{FD059B07-6F4E-43BF-AE43-74B8BB5EB4D0}" type="pres">
      <dgm:prSet presAssocID="{947E9772-0DAB-4A07-8826-2D3BB278DAAF}" presName="spacerR" presStyleCnt="0"/>
      <dgm:spPr/>
    </dgm:pt>
    <dgm:pt modelId="{846E9E19-0DF9-45ED-BE56-C63CF3A4442B}" type="pres">
      <dgm:prSet presAssocID="{DDCA0B02-FDAD-4834-89AD-730A029B0392}" presName="node" presStyleLbl="node1" presStyleIdx="3" presStyleCnt="4">
        <dgm:presLayoutVars>
          <dgm:bulletEnabled val="1"/>
        </dgm:presLayoutVars>
      </dgm:prSet>
      <dgm:spPr/>
    </dgm:pt>
  </dgm:ptLst>
  <dgm:cxnLst>
    <dgm:cxn modelId="{FF900003-40D3-48F0-A41C-445B70CF503E}" type="presOf" srcId="{43CC55E2-34C9-407F-A231-AD9666CDA971}" destId="{3564A43D-29CC-4BFB-B3AF-084DDC11A95B}" srcOrd="0" destOrd="0" presId="urn:microsoft.com/office/officeart/2005/8/layout/equation1"/>
    <dgm:cxn modelId="{83A00511-8644-43D0-9C04-B4F234BEEFC3}" type="presOf" srcId="{853C0926-AA53-4D31-B695-CA8EDE794272}" destId="{37AE42E0-EC69-44F2-AE30-96C175FDB1ED}" srcOrd="0" destOrd="0" presId="urn:microsoft.com/office/officeart/2005/8/layout/equation1"/>
    <dgm:cxn modelId="{8D512711-F49F-4416-80E8-3F4005085742}" srcId="{617B7320-CD0C-4C84-92BD-286BDB64441A}" destId="{F40F99D7-2076-4D9B-81A9-81624DC2F4E1}" srcOrd="0" destOrd="0" parTransId="{CFCD560F-6821-4CA8-9B76-D931747DF7CC}" sibTransId="{CCC9CD81-D3CA-40AC-AA77-8F0A2535C498}"/>
    <dgm:cxn modelId="{ECD23C15-DBBE-498D-A1E0-65B18D5DB301}" srcId="{617B7320-CD0C-4C84-92BD-286BDB64441A}" destId="{69983FB7-F57F-4727-8D9D-CD34F1B20493}" srcOrd="2" destOrd="0" parTransId="{BC6C5FFE-F357-4C12-8E05-F255200263E5}" sibTransId="{947E9772-0DAB-4A07-8826-2D3BB278DAAF}"/>
    <dgm:cxn modelId="{5CD4D828-4058-4FE8-B024-6C0453FB7E2C}" srcId="{617B7320-CD0C-4C84-92BD-286BDB64441A}" destId="{853C0926-AA53-4D31-B695-CA8EDE794272}" srcOrd="1" destOrd="0" parTransId="{B588B624-CC31-4196-A48A-F422935C4CD0}" sibTransId="{43CC55E2-34C9-407F-A231-AD9666CDA971}"/>
    <dgm:cxn modelId="{9F83293B-4E61-4A92-A444-957E746DF6FB}" type="presOf" srcId="{F40F99D7-2076-4D9B-81A9-81624DC2F4E1}" destId="{41155A0F-83D7-4F3B-84FB-35C2DE292F6E}" srcOrd="0" destOrd="0" presId="urn:microsoft.com/office/officeart/2005/8/layout/equation1"/>
    <dgm:cxn modelId="{2694DE5B-6BCE-461F-8FAC-DF85CDD1EA0D}" type="presOf" srcId="{69983FB7-F57F-4727-8D9D-CD34F1B20493}" destId="{2F0B9B02-7E49-48DE-8A24-ACD698686B61}" srcOrd="0" destOrd="0" presId="urn:microsoft.com/office/officeart/2005/8/layout/equation1"/>
    <dgm:cxn modelId="{770E1369-71E5-49BF-8385-F57D2E032D28}" type="presOf" srcId="{CCC9CD81-D3CA-40AC-AA77-8F0A2535C498}" destId="{A85E2FE6-B26A-4BBB-A981-84DA6B99ACE4}" srcOrd="0" destOrd="0" presId="urn:microsoft.com/office/officeart/2005/8/layout/equation1"/>
    <dgm:cxn modelId="{39F2DA4B-2F84-48CD-9F39-86378BBC8EC0}" srcId="{617B7320-CD0C-4C84-92BD-286BDB64441A}" destId="{DDCA0B02-FDAD-4834-89AD-730A029B0392}" srcOrd="3" destOrd="0" parTransId="{F0B4BEF5-736C-4EA5-B8F7-7087CEE26C30}" sibTransId="{17AD4EBB-47C7-4B07-BE5D-5E1297BDFD19}"/>
    <dgm:cxn modelId="{ECA793A9-A87F-4A4E-BBBB-638602B531BF}" type="presOf" srcId="{947E9772-0DAB-4A07-8826-2D3BB278DAAF}" destId="{58CCD951-6E12-490A-BA2F-DAE55F4CA019}" srcOrd="0" destOrd="0" presId="urn:microsoft.com/office/officeart/2005/8/layout/equation1"/>
    <dgm:cxn modelId="{10B33CC6-B77A-4655-9B1D-2AF9C5509A2A}" type="presOf" srcId="{617B7320-CD0C-4C84-92BD-286BDB64441A}" destId="{BBAFF3D5-2454-470D-A744-7C2FD486CCB0}" srcOrd="0" destOrd="0" presId="urn:microsoft.com/office/officeart/2005/8/layout/equation1"/>
    <dgm:cxn modelId="{E33F77F9-4D55-4834-B5A9-0168B3F21A21}" type="presOf" srcId="{DDCA0B02-FDAD-4834-89AD-730A029B0392}" destId="{846E9E19-0DF9-45ED-BE56-C63CF3A4442B}" srcOrd="0" destOrd="0" presId="urn:microsoft.com/office/officeart/2005/8/layout/equation1"/>
    <dgm:cxn modelId="{1FFD9ED0-1E56-433B-A16D-78A70B2B3052}" type="presParOf" srcId="{BBAFF3D5-2454-470D-A744-7C2FD486CCB0}" destId="{41155A0F-83D7-4F3B-84FB-35C2DE292F6E}" srcOrd="0" destOrd="0" presId="urn:microsoft.com/office/officeart/2005/8/layout/equation1"/>
    <dgm:cxn modelId="{186909C1-1969-45B0-9DF9-2110320FB9D1}" type="presParOf" srcId="{BBAFF3D5-2454-470D-A744-7C2FD486CCB0}" destId="{1996F4D8-3A1C-4B82-A3AC-8F56A22BC137}" srcOrd="1" destOrd="0" presId="urn:microsoft.com/office/officeart/2005/8/layout/equation1"/>
    <dgm:cxn modelId="{61C975BD-C199-4689-A8A7-2D9727F61A5E}" type="presParOf" srcId="{BBAFF3D5-2454-470D-A744-7C2FD486CCB0}" destId="{A85E2FE6-B26A-4BBB-A981-84DA6B99ACE4}" srcOrd="2" destOrd="0" presId="urn:microsoft.com/office/officeart/2005/8/layout/equation1"/>
    <dgm:cxn modelId="{0A04BFED-BCA8-4C22-A41C-F1F990BC83AC}" type="presParOf" srcId="{BBAFF3D5-2454-470D-A744-7C2FD486CCB0}" destId="{A3B9A4CD-7111-42A1-A0C2-964B0AD96118}" srcOrd="3" destOrd="0" presId="urn:microsoft.com/office/officeart/2005/8/layout/equation1"/>
    <dgm:cxn modelId="{A2D8AB98-EE08-4DB2-BE53-D7AE068E611B}" type="presParOf" srcId="{BBAFF3D5-2454-470D-A744-7C2FD486CCB0}" destId="{37AE42E0-EC69-44F2-AE30-96C175FDB1ED}" srcOrd="4" destOrd="0" presId="urn:microsoft.com/office/officeart/2005/8/layout/equation1"/>
    <dgm:cxn modelId="{17254C03-022D-4F69-A559-5941A1AF181C}" type="presParOf" srcId="{BBAFF3D5-2454-470D-A744-7C2FD486CCB0}" destId="{0C6598B3-FB48-49B0-BA05-B571CC25284A}" srcOrd="5" destOrd="0" presId="urn:microsoft.com/office/officeart/2005/8/layout/equation1"/>
    <dgm:cxn modelId="{35A40374-8D5D-4B8A-B4FB-D7BCA3243D0D}" type="presParOf" srcId="{BBAFF3D5-2454-470D-A744-7C2FD486CCB0}" destId="{3564A43D-29CC-4BFB-B3AF-084DDC11A95B}" srcOrd="6" destOrd="0" presId="urn:microsoft.com/office/officeart/2005/8/layout/equation1"/>
    <dgm:cxn modelId="{DC9BA293-2E4D-4E05-9F27-E6EC2B6A70BD}" type="presParOf" srcId="{BBAFF3D5-2454-470D-A744-7C2FD486CCB0}" destId="{0FE24291-4E7E-4526-81FC-5C949C57478B}" srcOrd="7" destOrd="0" presId="urn:microsoft.com/office/officeart/2005/8/layout/equation1"/>
    <dgm:cxn modelId="{D4B891E7-51C8-4688-AA5C-FDFD99CF5B2C}" type="presParOf" srcId="{BBAFF3D5-2454-470D-A744-7C2FD486CCB0}" destId="{2F0B9B02-7E49-48DE-8A24-ACD698686B61}" srcOrd="8" destOrd="0" presId="urn:microsoft.com/office/officeart/2005/8/layout/equation1"/>
    <dgm:cxn modelId="{782E0C76-4ABF-47FA-8AA0-0CAF9714173B}" type="presParOf" srcId="{BBAFF3D5-2454-470D-A744-7C2FD486CCB0}" destId="{C7A207BC-C963-4E29-BDBB-96FD83E8110D}" srcOrd="9" destOrd="0" presId="urn:microsoft.com/office/officeart/2005/8/layout/equation1"/>
    <dgm:cxn modelId="{AFA9224F-6590-4F76-8844-8C84BAE3745B}" type="presParOf" srcId="{BBAFF3D5-2454-470D-A744-7C2FD486CCB0}" destId="{58CCD951-6E12-490A-BA2F-DAE55F4CA019}" srcOrd="10" destOrd="0" presId="urn:microsoft.com/office/officeart/2005/8/layout/equation1"/>
    <dgm:cxn modelId="{B4FCD7A2-50F7-4985-B814-06F68C3F958C}" type="presParOf" srcId="{BBAFF3D5-2454-470D-A744-7C2FD486CCB0}" destId="{FD059B07-6F4E-43BF-AE43-74B8BB5EB4D0}" srcOrd="11" destOrd="0" presId="urn:microsoft.com/office/officeart/2005/8/layout/equation1"/>
    <dgm:cxn modelId="{2DC8DB9B-99F1-42DE-9B82-161BF64D1557}" type="presParOf" srcId="{BBAFF3D5-2454-470D-A744-7C2FD486CCB0}" destId="{846E9E19-0DF9-45ED-BE56-C63CF3A4442B}" srcOrd="12" destOrd="0" presId="urn:microsoft.com/office/officeart/2005/8/layout/equation1"/>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155A0F-83D7-4F3B-84FB-35C2DE292F6E}">
      <dsp:nvSpPr>
        <dsp:cNvPr id="0" name=""/>
        <dsp:cNvSpPr/>
      </dsp:nvSpPr>
      <dsp:spPr>
        <a:xfrm>
          <a:off x="3167" y="36854"/>
          <a:ext cx="880020" cy="8800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AU" sz="1050" kern="1200"/>
            <a:t>SG shortfall</a:t>
          </a:r>
        </a:p>
      </dsp:txBody>
      <dsp:txXfrm>
        <a:off x="132043" y="165730"/>
        <a:ext cx="622268" cy="622268"/>
      </dsp:txXfrm>
    </dsp:sp>
    <dsp:sp modelId="{A85E2FE6-B26A-4BBB-A981-84DA6B99ACE4}">
      <dsp:nvSpPr>
        <dsp:cNvPr id="0" name=""/>
        <dsp:cNvSpPr/>
      </dsp:nvSpPr>
      <dsp:spPr>
        <a:xfrm>
          <a:off x="954645" y="221658"/>
          <a:ext cx="510412" cy="510412"/>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AU" sz="1050" kern="1200"/>
        </a:p>
      </dsp:txBody>
      <dsp:txXfrm>
        <a:off x="1022300" y="416840"/>
        <a:ext cx="375102" cy="120048"/>
      </dsp:txXfrm>
    </dsp:sp>
    <dsp:sp modelId="{37AE42E0-EC69-44F2-AE30-96C175FDB1ED}">
      <dsp:nvSpPr>
        <dsp:cNvPr id="0" name=""/>
        <dsp:cNvSpPr/>
      </dsp:nvSpPr>
      <dsp:spPr>
        <a:xfrm>
          <a:off x="1536515" y="36854"/>
          <a:ext cx="880020" cy="8800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AU" sz="1050" kern="1200"/>
            <a:t>Nominal interest</a:t>
          </a:r>
        </a:p>
      </dsp:txBody>
      <dsp:txXfrm>
        <a:off x="1665391" y="165730"/>
        <a:ext cx="622268" cy="622268"/>
      </dsp:txXfrm>
    </dsp:sp>
    <dsp:sp modelId="{3564A43D-29CC-4BFB-B3AF-084DDC11A95B}">
      <dsp:nvSpPr>
        <dsp:cNvPr id="0" name=""/>
        <dsp:cNvSpPr/>
      </dsp:nvSpPr>
      <dsp:spPr>
        <a:xfrm>
          <a:off x="2487993" y="221658"/>
          <a:ext cx="510412" cy="510412"/>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AU" sz="1050" kern="1200"/>
        </a:p>
      </dsp:txBody>
      <dsp:txXfrm>
        <a:off x="2555648" y="416840"/>
        <a:ext cx="375102" cy="120048"/>
      </dsp:txXfrm>
    </dsp:sp>
    <dsp:sp modelId="{2F0B9B02-7E49-48DE-8A24-ACD698686B61}">
      <dsp:nvSpPr>
        <dsp:cNvPr id="0" name=""/>
        <dsp:cNvSpPr/>
      </dsp:nvSpPr>
      <dsp:spPr>
        <a:xfrm>
          <a:off x="3069863" y="36854"/>
          <a:ext cx="880020" cy="8800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AU" sz="1050" kern="1200"/>
            <a:t>Admin fee</a:t>
          </a:r>
        </a:p>
      </dsp:txBody>
      <dsp:txXfrm>
        <a:off x="3198739" y="165730"/>
        <a:ext cx="622268" cy="622268"/>
      </dsp:txXfrm>
    </dsp:sp>
    <dsp:sp modelId="{58CCD951-6E12-490A-BA2F-DAE55F4CA019}">
      <dsp:nvSpPr>
        <dsp:cNvPr id="0" name=""/>
        <dsp:cNvSpPr/>
      </dsp:nvSpPr>
      <dsp:spPr>
        <a:xfrm>
          <a:off x="4021342" y="221658"/>
          <a:ext cx="510412" cy="510412"/>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66725">
            <a:lnSpc>
              <a:spcPct val="90000"/>
            </a:lnSpc>
            <a:spcBef>
              <a:spcPct val="0"/>
            </a:spcBef>
            <a:spcAft>
              <a:spcPct val="35000"/>
            </a:spcAft>
            <a:buNone/>
          </a:pPr>
          <a:endParaRPr lang="en-AU" sz="1050" kern="1200"/>
        </a:p>
      </dsp:txBody>
      <dsp:txXfrm>
        <a:off x="4088997" y="326803"/>
        <a:ext cx="375102" cy="300122"/>
      </dsp:txXfrm>
    </dsp:sp>
    <dsp:sp modelId="{846E9E19-0DF9-45ED-BE56-C63CF3A4442B}">
      <dsp:nvSpPr>
        <dsp:cNvPr id="0" name=""/>
        <dsp:cNvSpPr/>
      </dsp:nvSpPr>
      <dsp:spPr>
        <a:xfrm>
          <a:off x="4603211" y="36854"/>
          <a:ext cx="880020" cy="880020"/>
        </a:xfrm>
        <a:prstGeom prst="ellipse">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AU" sz="1050" kern="1200"/>
            <a:t>SG charge</a:t>
          </a:r>
        </a:p>
      </dsp:txBody>
      <dsp:txXfrm>
        <a:off x="4732087" y="165730"/>
        <a:ext cx="622268" cy="622268"/>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SY Corporate">
  <a:themeElements>
    <a:clrScheme name="TSY Corporate">
      <a:dk1>
        <a:sysClr val="windowText" lastClr="000000"/>
      </a:dk1>
      <a:lt1>
        <a:sysClr val="window" lastClr="FFFFFF"/>
      </a:lt1>
      <a:dk2>
        <a:srgbClr val="5F5F5F"/>
      </a:dk2>
      <a:lt2>
        <a:srgbClr val="EEEEEE"/>
      </a:lt2>
      <a:accent1>
        <a:srgbClr val="2C384A"/>
      </a:accent1>
      <a:accent2>
        <a:srgbClr val="4D7861"/>
      </a:accent2>
      <a:accent3>
        <a:srgbClr val="5D779D"/>
      </a:accent3>
      <a:accent4>
        <a:srgbClr val="B1F0CF"/>
      </a:accent4>
      <a:accent5>
        <a:srgbClr val="90B6F0"/>
      </a:accent5>
      <a:accent6>
        <a:srgbClr val="F0AE81"/>
      </a:accent6>
      <a:hlink>
        <a:srgbClr val="3A6FAF"/>
      </a:hlink>
      <a:folHlink>
        <a:srgbClr val="844D9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ABC14A-321F-4C8A-82B8-B4D997F73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12588</Words>
  <Characters>68112</Characters>
  <Application>Microsoft Office Word</Application>
  <DocSecurity>0</DocSecurity>
  <Lines>1287</Lines>
  <Paragraphs>605</Paragraphs>
  <ScaleCrop>false</ScaleCrop>
  <HeadingPairs>
    <vt:vector size="2" baseType="variant">
      <vt:variant>
        <vt:lpstr>Title</vt:lpstr>
      </vt:variant>
      <vt:variant>
        <vt:i4>1</vt:i4>
      </vt:variant>
    </vt:vector>
  </HeadingPairs>
  <TitlesOfParts>
    <vt:vector size="1" baseType="lpstr">
      <vt:lpstr>Securing Australians’ Superannuation Budget 2023-24 - consultation paper</vt:lpstr>
    </vt:vector>
  </TitlesOfParts>
  <Company/>
  <LinksUpToDate>false</LinksUpToDate>
  <CharactersWithSpaces>80412</CharactersWithSpaces>
  <SharedDoc>false</SharedDoc>
  <HLinks>
    <vt:vector size="366" baseType="variant">
      <vt:variant>
        <vt:i4>7405577</vt:i4>
      </vt:variant>
      <vt:variant>
        <vt:i4>333</vt:i4>
      </vt:variant>
      <vt:variant>
        <vt:i4>0</vt:i4>
      </vt:variant>
      <vt:variant>
        <vt:i4>5</vt:i4>
      </vt:variant>
      <vt:variant>
        <vt:lpwstr>mailto:paydaysuper@treasury.gov.au</vt:lpwstr>
      </vt:variant>
      <vt:variant>
        <vt:lpwstr/>
      </vt:variant>
      <vt:variant>
        <vt:i4>5439556</vt:i4>
      </vt:variant>
      <vt:variant>
        <vt:i4>330</vt:i4>
      </vt:variant>
      <vt:variant>
        <vt:i4>0</vt:i4>
      </vt:variant>
      <vt:variant>
        <vt:i4>5</vt:i4>
      </vt:variant>
      <vt:variant>
        <vt:lpwstr>https://ministers.treasury.gov.au/email-subscription</vt:lpwstr>
      </vt:variant>
      <vt:variant>
        <vt:lpwstr/>
      </vt:variant>
      <vt:variant>
        <vt:i4>3932236</vt:i4>
      </vt:variant>
      <vt:variant>
        <vt:i4>327</vt:i4>
      </vt:variant>
      <vt:variant>
        <vt:i4>0</vt:i4>
      </vt:variant>
      <vt:variant>
        <vt:i4>5</vt:i4>
      </vt:variant>
      <vt:variant>
        <vt:lpwstr>mailto:superannuation@treasury.gov.au</vt:lpwstr>
      </vt:variant>
      <vt:variant>
        <vt:lpwstr/>
      </vt:variant>
      <vt:variant>
        <vt:i4>3932236</vt:i4>
      </vt:variant>
      <vt:variant>
        <vt:i4>324</vt:i4>
      </vt:variant>
      <vt:variant>
        <vt:i4>0</vt:i4>
      </vt:variant>
      <vt:variant>
        <vt:i4>5</vt:i4>
      </vt:variant>
      <vt:variant>
        <vt:lpwstr>mailto:superannuation@treasury.gov.au</vt:lpwstr>
      </vt:variant>
      <vt:variant>
        <vt:lpwstr/>
      </vt:variant>
      <vt:variant>
        <vt:i4>1966132</vt:i4>
      </vt:variant>
      <vt:variant>
        <vt:i4>317</vt:i4>
      </vt:variant>
      <vt:variant>
        <vt:i4>0</vt:i4>
      </vt:variant>
      <vt:variant>
        <vt:i4>5</vt:i4>
      </vt:variant>
      <vt:variant>
        <vt:lpwstr/>
      </vt:variant>
      <vt:variant>
        <vt:lpwstr>_Toc147500288</vt:lpwstr>
      </vt:variant>
      <vt:variant>
        <vt:i4>1966132</vt:i4>
      </vt:variant>
      <vt:variant>
        <vt:i4>311</vt:i4>
      </vt:variant>
      <vt:variant>
        <vt:i4>0</vt:i4>
      </vt:variant>
      <vt:variant>
        <vt:i4>5</vt:i4>
      </vt:variant>
      <vt:variant>
        <vt:lpwstr/>
      </vt:variant>
      <vt:variant>
        <vt:lpwstr>_Toc147500287</vt:lpwstr>
      </vt:variant>
      <vt:variant>
        <vt:i4>1966132</vt:i4>
      </vt:variant>
      <vt:variant>
        <vt:i4>305</vt:i4>
      </vt:variant>
      <vt:variant>
        <vt:i4>0</vt:i4>
      </vt:variant>
      <vt:variant>
        <vt:i4>5</vt:i4>
      </vt:variant>
      <vt:variant>
        <vt:lpwstr/>
      </vt:variant>
      <vt:variant>
        <vt:lpwstr>_Toc147500286</vt:lpwstr>
      </vt:variant>
      <vt:variant>
        <vt:i4>1966132</vt:i4>
      </vt:variant>
      <vt:variant>
        <vt:i4>299</vt:i4>
      </vt:variant>
      <vt:variant>
        <vt:i4>0</vt:i4>
      </vt:variant>
      <vt:variant>
        <vt:i4>5</vt:i4>
      </vt:variant>
      <vt:variant>
        <vt:lpwstr/>
      </vt:variant>
      <vt:variant>
        <vt:lpwstr>_Toc147500285</vt:lpwstr>
      </vt:variant>
      <vt:variant>
        <vt:i4>1966132</vt:i4>
      </vt:variant>
      <vt:variant>
        <vt:i4>293</vt:i4>
      </vt:variant>
      <vt:variant>
        <vt:i4>0</vt:i4>
      </vt:variant>
      <vt:variant>
        <vt:i4>5</vt:i4>
      </vt:variant>
      <vt:variant>
        <vt:lpwstr/>
      </vt:variant>
      <vt:variant>
        <vt:lpwstr>_Toc147500284</vt:lpwstr>
      </vt:variant>
      <vt:variant>
        <vt:i4>1966132</vt:i4>
      </vt:variant>
      <vt:variant>
        <vt:i4>287</vt:i4>
      </vt:variant>
      <vt:variant>
        <vt:i4>0</vt:i4>
      </vt:variant>
      <vt:variant>
        <vt:i4>5</vt:i4>
      </vt:variant>
      <vt:variant>
        <vt:lpwstr/>
      </vt:variant>
      <vt:variant>
        <vt:lpwstr>_Toc147500283</vt:lpwstr>
      </vt:variant>
      <vt:variant>
        <vt:i4>1966132</vt:i4>
      </vt:variant>
      <vt:variant>
        <vt:i4>281</vt:i4>
      </vt:variant>
      <vt:variant>
        <vt:i4>0</vt:i4>
      </vt:variant>
      <vt:variant>
        <vt:i4>5</vt:i4>
      </vt:variant>
      <vt:variant>
        <vt:lpwstr/>
      </vt:variant>
      <vt:variant>
        <vt:lpwstr>_Toc147500282</vt:lpwstr>
      </vt:variant>
      <vt:variant>
        <vt:i4>1966132</vt:i4>
      </vt:variant>
      <vt:variant>
        <vt:i4>275</vt:i4>
      </vt:variant>
      <vt:variant>
        <vt:i4>0</vt:i4>
      </vt:variant>
      <vt:variant>
        <vt:i4>5</vt:i4>
      </vt:variant>
      <vt:variant>
        <vt:lpwstr/>
      </vt:variant>
      <vt:variant>
        <vt:lpwstr>_Toc147500281</vt:lpwstr>
      </vt:variant>
      <vt:variant>
        <vt:i4>1966132</vt:i4>
      </vt:variant>
      <vt:variant>
        <vt:i4>269</vt:i4>
      </vt:variant>
      <vt:variant>
        <vt:i4>0</vt:i4>
      </vt:variant>
      <vt:variant>
        <vt:i4>5</vt:i4>
      </vt:variant>
      <vt:variant>
        <vt:lpwstr/>
      </vt:variant>
      <vt:variant>
        <vt:lpwstr>_Toc147500280</vt:lpwstr>
      </vt:variant>
      <vt:variant>
        <vt:i4>1114164</vt:i4>
      </vt:variant>
      <vt:variant>
        <vt:i4>263</vt:i4>
      </vt:variant>
      <vt:variant>
        <vt:i4>0</vt:i4>
      </vt:variant>
      <vt:variant>
        <vt:i4>5</vt:i4>
      </vt:variant>
      <vt:variant>
        <vt:lpwstr/>
      </vt:variant>
      <vt:variant>
        <vt:lpwstr>_Toc147500279</vt:lpwstr>
      </vt:variant>
      <vt:variant>
        <vt:i4>1114164</vt:i4>
      </vt:variant>
      <vt:variant>
        <vt:i4>257</vt:i4>
      </vt:variant>
      <vt:variant>
        <vt:i4>0</vt:i4>
      </vt:variant>
      <vt:variant>
        <vt:i4>5</vt:i4>
      </vt:variant>
      <vt:variant>
        <vt:lpwstr/>
      </vt:variant>
      <vt:variant>
        <vt:lpwstr>_Toc147500278</vt:lpwstr>
      </vt:variant>
      <vt:variant>
        <vt:i4>1114164</vt:i4>
      </vt:variant>
      <vt:variant>
        <vt:i4>251</vt:i4>
      </vt:variant>
      <vt:variant>
        <vt:i4>0</vt:i4>
      </vt:variant>
      <vt:variant>
        <vt:i4>5</vt:i4>
      </vt:variant>
      <vt:variant>
        <vt:lpwstr/>
      </vt:variant>
      <vt:variant>
        <vt:lpwstr>_Toc147500277</vt:lpwstr>
      </vt:variant>
      <vt:variant>
        <vt:i4>1114164</vt:i4>
      </vt:variant>
      <vt:variant>
        <vt:i4>245</vt:i4>
      </vt:variant>
      <vt:variant>
        <vt:i4>0</vt:i4>
      </vt:variant>
      <vt:variant>
        <vt:i4>5</vt:i4>
      </vt:variant>
      <vt:variant>
        <vt:lpwstr/>
      </vt:variant>
      <vt:variant>
        <vt:lpwstr>_Toc147500276</vt:lpwstr>
      </vt:variant>
      <vt:variant>
        <vt:i4>1114164</vt:i4>
      </vt:variant>
      <vt:variant>
        <vt:i4>239</vt:i4>
      </vt:variant>
      <vt:variant>
        <vt:i4>0</vt:i4>
      </vt:variant>
      <vt:variant>
        <vt:i4>5</vt:i4>
      </vt:variant>
      <vt:variant>
        <vt:lpwstr/>
      </vt:variant>
      <vt:variant>
        <vt:lpwstr>_Toc147500275</vt:lpwstr>
      </vt:variant>
      <vt:variant>
        <vt:i4>1114164</vt:i4>
      </vt:variant>
      <vt:variant>
        <vt:i4>233</vt:i4>
      </vt:variant>
      <vt:variant>
        <vt:i4>0</vt:i4>
      </vt:variant>
      <vt:variant>
        <vt:i4>5</vt:i4>
      </vt:variant>
      <vt:variant>
        <vt:lpwstr/>
      </vt:variant>
      <vt:variant>
        <vt:lpwstr>_Toc147500274</vt:lpwstr>
      </vt:variant>
      <vt:variant>
        <vt:i4>1114164</vt:i4>
      </vt:variant>
      <vt:variant>
        <vt:i4>227</vt:i4>
      </vt:variant>
      <vt:variant>
        <vt:i4>0</vt:i4>
      </vt:variant>
      <vt:variant>
        <vt:i4>5</vt:i4>
      </vt:variant>
      <vt:variant>
        <vt:lpwstr/>
      </vt:variant>
      <vt:variant>
        <vt:lpwstr>_Toc147500273</vt:lpwstr>
      </vt:variant>
      <vt:variant>
        <vt:i4>1114164</vt:i4>
      </vt:variant>
      <vt:variant>
        <vt:i4>221</vt:i4>
      </vt:variant>
      <vt:variant>
        <vt:i4>0</vt:i4>
      </vt:variant>
      <vt:variant>
        <vt:i4>5</vt:i4>
      </vt:variant>
      <vt:variant>
        <vt:lpwstr/>
      </vt:variant>
      <vt:variant>
        <vt:lpwstr>_Toc147500272</vt:lpwstr>
      </vt:variant>
      <vt:variant>
        <vt:i4>1114164</vt:i4>
      </vt:variant>
      <vt:variant>
        <vt:i4>215</vt:i4>
      </vt:variant>
      <vt:variant>
        <vt:i4>0</vt:i4>
      </vt:variant>
      <vt:variant>
        <vt:i4>5</vt:i4>
      </vt:variant>
      <vt:variant>
        <vt:lpwstr/>
      </vt:variant>
      <vt:variant>
        <vt:lpwstr>_Toc147500271</vt:lpwstr>
      </vt:variant>
      <vt:variant>
        <vt:i4>1114164</vt:i4>
      </vt:variant>
      <vt:variant>
        <vt:i4>209</vt:i4>
      </vt:variant>
      <vt:variant>
        <vt:i4>0</vt:i4>
      </vt:variant>
      <vt:variant>
        <vt:i4>5</vt:i4>
      </vt:variant>
      <vt:variant>
        <vt:lpwstr/>
      </vt:variant>
      <vt:variant>
        <vt:lpwstr>_Toc147500270</vt:lpwstr>
      </vt:variant>
      <vt:variant>
        <vt:i4>1048628</vt:i4>
      </vt:variant>
      <vt:variant>
        <vt:i4>203</vt:i4>
      </vt:variant>
      <vt:variant>
        <vt:i4>0</vt:i4>
      </vt:variant>
      <vt:variant>
        <vt:i4>5</vt:i4>
      </vt:variant>
      <vt:variant>
        <vt:lpwstr/>
      </vt:variant>
      <vt:variant>
        <vt:lpwstr>_Toc147500269</vt:lpwstr>
      </vt:variant>
      <vt:variant>
        <vt:i4>1048628</vt:i4>
      </vt:variant>
      <vt:variant>
        <vt:i4>197</vt:i4>
      </vt:variant>
      <vt:variant>
        <vt:i4>0</vt:i4>
      </vt:variant>
      <vt:variant>
        <vt:i4>5</vt:i4>
      </vt:variant>
      <vt:variant>
        <vt:lpwstr/>
      </vt:variant>
      <vt:variant>
        <vt:lpwstr>_Toc147500268</vt:lpwstr>
      </vt:variant>
      <vt:variant>
        <vt:i4>1048628</vt:i4>
      </vt:variant>
      <vt:variant>
        <vt:i4>191</vt:i4>
      </vt:variant>
      <vt:variant>
        <vt:i4>0</vt:i4>
      </vt:variant>
      <vt:variant>
        <vt:i4>5</vt:i4>
      </vt:variant>
      <vt:variant>
        <vt:lpwstr/>
      </vt:variant>
      <vt:variant>
        <vt:lpwstr>_Toc147500267</vt:lpwstr>
      </vt:variant>
      <vt:variant>
        <vt:i4>1048628</vt:i4>
      </vt:variant>
      <vt:variant>
        <vt:i4>185</vt:i4>
      </vt:variant>
      <vt:variant>
        <vt:i4>0</vt:i4>
      </vt:variant>
      <vt:variant>
        <vt:i4>5</vt:i4>
      </vt:variant>
      <vt:variant>
        <vt:lpwstr/>
      </vt:variant>
      <vt:variant>
        <vt:lpwstr>_Toc147500266</vt:lpwstr>
      </vt:variant>
      <vt:variant>
        <vt:i4>1048628</vt:i4>
      </vt:variant>
      <vt:variant>
        <vt:i4>179</vt:i4>
      </vt:variant>
      <vt:variant>
        <vt:i4>0</vt:i4>
      </vt:variant>
      <vt:variant>
        <vt:i4>5</vt:i4>
      </vt:variant>
      <vt:variant>
        <vt:lpwstr/>
      </vt:variant>
      <vt:variant>
        <vt:lpwstr>_Toc147500265</vt:lpwstr>
      </vt:variant>
      <vt:variant>
        <vt:i4>1048628</vt:i4>
      </vt:variant>
      <vt:variant>
        <vt:i4>173</vt:i4>
      </vt:variant>
      <vt:variant>
        <vt:i4>0</vt:i4>
      </vt:variant>
      <vt:variant>
        <vt:i4>5</vt:i4>
      </vt:variant>
      <vt:variant>
        <vt:lpwstr/>
      </vt:variant>
      <vt:variant>
        <vt:lpwstr>_Toc147500264</vt:lpwstr>
      </vt:variant>
      <vt:variant>
        <vt:i4>1048628</vt:i4>
      </vt:variant>
      <vt:variant>
        <vt:i4>167</vt:i4>
      </vt:variant>
      <vt:variant>
        <vt:i4>0</vt:i4>
      </vt:variant>
      <vt:variant>
        <vt:i4>5</vt:i4>
      </vt:variant>
      <vt:variant>
        <vt:lpwstr/>
      </vt:variant>
      <vt:variant>
        <vt:lpwstr>_Toc147500263</vt:lpwstr>
      </vt:variant>
      <vt:variant>
        <vt:i4>1048628</vt:i4>
      </vt:variant>
      <vt:variant>
        <vt:i4>161</vt:i4>
      </vt:variant>
      <vt:variant>
        <vt:i4>0</vt:i4>
      </vt:variant>
      <vt:variant>
        <vt:i4>5</vt:i4>
      </vt:variant>
      <vt:variant>
        <vt:lpwstr/>
      </vt:variant>
      <vt:variant>
        <vt:lpwstr>_Toc147500262</vt:lpwstr>
      </vt:variant>
      <vt:variant>
        <vt:i4>1048628</vt:i4>
      </vt:variant>
      <vt:variant>
        <vt:i4>155</vt:i4>
      </vt:variant>
      <vt:variant>
        <vt:i4>0</vt:i4>
      </vt:variant>
      <vt:variant>
        <vt:i4>5</vt:i4>
      </vt:variant>
      <vt:variant>
        <vt:lpwstr/>
      </vt:variant>
      <vt:variant>
        <vt:lpwstr>_Toc147500261</vt:lpwstr>
      </vt:variant>
      <vt:variant>
        <vt:i4>1048628</vt:i4>
      </vt:variant>
      <vt:variant>
        <vt:i4>149</vt:i4>
      </vt:variant>
      <vt:variant>
        <vt:i4>0</vt:i4>
      </vt:variant>
      <vt:variant>
        <vt:i4>5</vt:i4>
      </vt:variant>
      <vt:variant>
        <vt:lpwstr/>
      </vt:variant>
      <vt:variant>
        <vt:lpwstr>_Toc147500260</vt:lpwstr>
      </vt:variant>
      <vt:variant>
        <vt:i4>1245236</vt:i4>
      </vt:variant>
      <vt:variant>
        <vt:i4>143</vt:i4>
      </vt:variant>
      <vt:variant>
        <vt:i4>0</vt:i4>
      </vt:variant>
      <vt:variant>
        <vt:i4>5</vt:i4>
      </vt:variant>
      <vt:variant>
        <vt:lpwstr/>
      </vt:variant>
      <vt:variant>
        <vt:lpwstr>_Toc147500259</vt:lpwstr>
      </vt:variant>
      <vt:variant>
        <vt:i4>1245236</vt:i4>
      </vt:variant>
      <vt:variant>
        <vt:i4>137</vt:i4>
      </vt:variant>
      <vt:variant>
        <vt:i4>0</vt:i4>
      </vt:variant>
      <vt:variant>
        <vt:i4>5</vt:i4>
      </vt:variant>
      <vt:variant>
        <vt:lpwstr/>
      </vt:variant>
      <vt:variant>
        <vt:lpwstr>_Toc147500258</vt:lpwstr>
      </vt:variant>
      <vt:variant>
        <vt:i4>1245236</vt:i4>
      </vt:variant>
      <vt:variant>
        <vt:i4>131</vt:i4>
      </vt:variant>
      <vt:variant>
        <vt:i4>0</vt:i4>
      </vt:variant>
      <vt:variant>
        <vt:i4>5</vt:i4>
      </vt:variant>
      <vt:variant>
        <vt:lpwstr/>
      </vt:variant>
      <vt:variant>
        <vt:lpwstr>_Toc147500257</vt:lpwstr>
      </vt:variant>
      <vt:variant>
        <vt:i4>1245236</vt:i4>
      </vt:variant>
      <vt:variant>
        <vt:i4>125</vt:i4>
      </vt:variant>
      <vt:variant>
        <vt:i4>0</vt:i4>
      </vt:variant>
      <vt:variant>
        <vt:i4>5</vt:i4>
      </vt:variant>
      <vt:variant>
        <vt:lpwstr/>
      </vt:variant>
      <vt:variant>
        <vt:lpwstr>_Toc147500256</vt:lpwstr>
      </vt:variant>
      <vt:variant>
        <vt:i4>1245236</vt:i4>
      </vt:variant>
      <vt:variant>
        <vt:i4>119</vt:i4>
      </vt:variant>
      <vt:variant>
        <vt:i4>0</vt:i4>
      </vt:variant>
      <vt:variant>
        <vt:i4>5</vt:i4>
      </vt:variant>
      <vt:variant>
        <vt:lpwstr/>
      </vt:variant>
      <vt:variant>
        <vt:lpwstr>_Toc147500255</vt:lpwstr>
      </vt:variant>
      <vt:variant>
        <vt:i4>1245236</vt:i4>
      </vt:variant>
      <vt:variant>
        <vt:i4>113</vt:i4>
      </vt:variant>
      <vt:variant>
        <vt:i4>0</vt:i4>
      </vt:variant>
      <vt:variant>
        <vt:i4>5</vt:i4>
      </vt:variant>
      <vt:variant>
        <vt:lpwstr/>
      </vt:variant>
      <vt:variant>
        <vt:lpwstr>_Toc147500254</vt:lpwstr>
      </vt:variant>
      <vt:variant>
        <vt:i4>1245236</vt:i4>
      </vt:variant>
      <vt:variant>
        <vt:i4>107</vt:i4>
      </vt:variant>
      <vt:variant>
        <vt:i4>0</vt:i4>
      </vt:variant>
      <vt:variant>
        <vt:i4>5</vt:i4>
      </vt:variant>
      <vt:variant>
        <vt:lpwstr/>
      </vt:variant>
      <vt:variant>
        <vt:lpwstr>_Toc147500253</vt:lpwstr>
      </vt:variant>
      <vt:variant>
        <vt:i4>1245236</vt:i4>
      </vt:variant>
      <vt:variant>
        <vt:i4>101</vt:i4>
      </vt:variant>
      <vt:variant>
        <vt:i4>0</vt:i4>
      </vt:variant>
      <vt:variant>
        <vt:i4>5</vt:i4>
      </vt:variant>
      <vt:variant>
        <vt:lpwstr/>
      </vt:variant>
      <vt:variant>
        <vt:lpwstr>_Toc147500252</vt:lpwstr>
      </vt:variant>
      <vt:variant>
        <vt:i4>1245236</vt:i4>
      </vt:variant>
      <vt:variant>
        <vt:i4>95</vt:i4>
      </vt:variant>
      <vt:variant>
        <vt:i4>0</vt:i4>
      </vt:variant>
      <vt:variant>
        <vt:i4>5</vt:i4>
      </vt:variant>
      <vt:variant>
        <vt:lpwstr/>
      </vt:variant>
      <vt:variant>
        <vt:lpwstr>_Toc147500251</vt:lpwstr>
      </vt:variant>
      <vt:variant>
        <vt:i4>1245236</vt:i4>
      </vt:variant>
      <vt:variant>
        <vt:i4>89</vt:i4>
      </vt:variant>
      <vt:variant>
        <vt:i4>0</vt:i4>
      </vt:variant>
      <vt:variant>
        <vt:i4>5</vt:i4>
      </vt:variant>
      <vt:variant>
        <vt:lpwstr/>
      </vt:variant>
      <vt:variant>
        <vt:lpwstr>_Toc147500250</vt:lpwstr>
      </vt:variant>
      <vt:variant>
        <vt:i4>1179700</vt:i4>
      </vt:variant>
      <vt:variant>
        <vt:i4>83</vt:i4>
      </vt:variant>
      <vt:variant>
        <vt:i4>0</vt:i4>
      </vt:variant>
      <vt:variant>
        <vt:i4>5</vt:i4>
      </vt:variant>
      <vt:variant>
        <vt:lpwstr/>
      </vt:variant>
      <vt:variant>
        <vt:lpwstr>_Toc147500249</vt:lpwstr>
      </vt:variant>
      <vt:variant>
        <vt:i4>1179700</vt:i4>
      </vt:variant>
      <vt:variant>
        <vt:i4>77</vt:i4>
      </vt:variant>
      <vt:variant>
        <vt:i4>0</vt:i4>
      </vt:variant>
      <vt:variant>
        <vt:i4>5</vt:i4>
      </vt:variant>
      <vt:variant>
        <vt:lpwstr/>
      </vt:variant>
      <vt:variant>
        <vt:lpwstr>_Toc147500248</vt:lpwstr>
      </vt:variant>
      <vt:variant>
        <vt:i4>1179700</vt:i4>
      </vt:variant>
      <vt:variant>
        <vt:i4>71</vt:i4>
      </vt:variant>
      <vt:variant>
        <vt:i4>0</vt:i4>
      </vt:variant>
      <vt:variant>
        <vt:i4>5</vt:i4>
      </vt:variant>
      <vt:variant>
        <vt:lpwstr/>
      </vt:variant>
      <vt:variant>
        <vt:lpwstr>_Toc147500247</vt:lpwstr>
      </vt:variant>
      <vt:variant>
        <vt:i4>1179700</vt:i4>
      </vt:variant>
      <vt:variant>
        <vt:i4>65</vt:i4>
      </vt:variant>
      <vt:variant>
        <vt:i4>0</vt:i4>
      </vt:variant>
      <vt:variant>
        <vt:i4>5</vt:i4>
      </vt:variant>
      <vt:variant>
        <vt:lpwstr/>
      </vt:variant>
      <vt:variant>
        <vt:lpwstr>_Toc147500246</vt:lpwstr>
      </vt:variant>
      <vt:variant>
        <vt:i4>1179700</vt:i4>
      </vt:variant>
      <vt:variant>
        <vt:i4>59</vt:i4>
      </vt:variant>
      <vt:variant>
        <vt:i4>0</vt:i4>
      </vt:variant>
      <vt:variant>
        <vt:i4>5</vt:i4>
      </vt:variant>
      <vt:variant>
        <vt:lpwstr/>
      </vt:variant>
      <vt:variant>
        <vt:lpwstr>_Toc147500245</vt:lpwstr>
      </vt:variant>
      <vt:variant>
        <vt:i4>1179700</vt:i4>
      </vt:variant>
      <vt:variant>
        <vt:i4>53</vt:i4>
      </vt:variant>
      <vt:variant>
        <vt:i4>0</vt:i4>
      </vt:variant>
      <vt:variant>
        <vt:i4>5</vt:i4>
      </vt:variant>
      <vt:variant>
        <vt:lpwstr/>
      </vt:variant>
      <vt:variant>
        <vt:lpwstr>_Toc147500244</vt:lpwstr>
      </vt:variant>
      <vt:variant>
        <vt:i4>1179700</vt:i4>
      </vt:variant>
      <vt:variant>
        <vt:i4>47</vt:i4>
      </vt:variant>
      <vt:variant>
        <vt:i4>0</vt:i4>
      </vt:variant>
      <vt:variant>
        <vt:i4>5</vt:i4>
      </vt:variant>
      <vt:variant>
        <vt:lpwstr/>
      </vt:variant>
      <vt:variant>
        <vt:lpwstr>_Toc147500243</vt:lpwstr>
      </vt:variant>
      <vt:variant>
        <vt:i4>1179700</vt:i4>
      </vt:variant>
      <vt:variant>
        <vt:i4>41</vt:i4>
      </vt:variant>
      <vt:variant>
        <vt:i4>0</vt:i4>
      </vt:variant>
      <vt:variant>
        <vt:i4>5</vt:i4>
      </vt:variant>
      <vt:variant>
        <vt:lpwstr/>
      </vt:variant>
      <vt:variant>
        <vt:lpwstr>_Toc147500242</vt:lpwstr>
      </vt:variant>
      <vt:variant>
        <vt:i4>1179700</vt:i4>
      </vt:variant>
      <vt:variant>
        <vt:i4>35</vt:i4>
      </vt:variant>
      <vt:variant>
        <vt:i4>0</vt:i4>
      </vt:variant>
      <vt:variant>
        <vt:i4>5</vt:i4>
      </vt:variant>
      <vt:variant>
        <vt:lpwstr/>
      </vt:variant>
      <vt:variant>
        <vt:lpwstr>_Toc147500241</vt:lpwstr>
      </vt:variant>
      <vt:variant>
        <vt:i4>1179700</vt:i4>
      </vt:variant>
      <vt:variant>
        <vt:i4>29</vt:i4>
      </vt:variant>
      <vt:variant>
        <vt:i4>0</vt:i4>
      </vt:variant>
      <vt:variant>
        <vt:i4>5</vt:i4>
      </vt:variant>
      <vt:variant>
        <vt:lpwstr/>
      </vt:variant>
      <vt:variant>
        <vt:lpwstr>_Toc147500240</vt:lpwstr>
      </vt:variant>
      <vt:variant>
        <vt:i4>1376308</vt:i4>
      </vt:variant>
      <vt:variant>
        <vt:i4>23</vt:i4>
      </vt:variant>
      <vt:variant>
        <vt:i4>0</vt:i4>
      </vt:variant>
      <vt:variant>
        <vt:i4>5</vt:i4>
      </vt:variant>
      <vt:variant>
        <vt:lpwstr/>
      </vt:variant>
      <vt:variant>
        <vt:lpwstr>_Toc147500239</vt:lpwstr>
      </vt:variant>
      <vt:variant>
        <vt:i4>1376308</vt:i4>
      </vt:variant>
      <vt:variant>
        <vt:i4>17</vt:i4>
      </vt:variant>
      <vt:variant>
        <vt:i4>0</vt:i4>
      </vt:variant>
      <vt:variant>
        <vt:i4>5</vt:i4>
      </vt:variant>
      <vt:variant>
        <vt:lpwstr/>
      </vt:variant>
      <vt:variant>
        <vt:lpwstr>_Toc147500238</vt:lpwstr>
      </vt:variant>
      <vt:variant>
        <vt:i4>105</vt:i4>
      </vt:variant>
      <vt:variant>
        <vt:i4>12</vt:i4>
      </vt:variant>
      <vt:variant>
        <vt:i4>0</vt:i4>
      </vt:variant>
      <vt:variant>
        <vt:i4>5</vt:i4>
      </vt:variant>
      <vt:variant>
        <vt:lpwstr>mailto:media@treasury.gov.au</vt:lpwstr>
      </vt:variant>
      <vt:variant>
        <vt:lpwstr/>
      </vt:variant>
      <vt:variant>
        <vt:i4>2818104</vt:i4>
      </vt:variant>
      <vt:variant>
        <vt:i4>9</vt:i4>
      </vt:variant>
      <vt:variant>
        <vt:i4>0</vt:i4>
      </vt:variant>
      <vt:variant>
        <vt:i4>5</vt:i4>
      </vt:variant>
      <vt:variant>
        <vt:lpwstr>http://www.pmc.gov.au/government/commonwealth-coat-arms</vt:lpwstr>
      </vt:variant>
      <vt:variant>
        <vt:lpwstr/>
      </vt:variant>
      <vt:variant>
        <vt:i4>5111827</vt:i4>
      </vt:variant>
      <vt:variant>
        <vt:i4>6</vt:i4>
      </vt:variant>
      <vt:variant>
        <vt:i4>0</vt:i4>
      </vt:variant>
      <vt:variant>
        <vt:i4>5</vt:i4>
      </vt:variant>
      <vt:variant>
        <vt:lpwstr>http://creativecommons.org/licenses/by/3.0/au/deed.en</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ariant>
        <vt:i4>1376343</vt:i4>
      </vt:variant>
      <vt:variant>
        <vt:i4>0</vt:i4>
      </vt:variant>
      <vt:variant>
        <vt:i4>0</vt:i4>
      </vt:variant>
      <vt:variant>
        <vt:i4>5</vt:i4>
      </vt:variant>
      <vt:variant>
        <vt:lpwstr>https://treasury.gov.au/consultation/c2022-313936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Securing Australians’ Superannuation Budget 2023-24 - consultation paper</dc:title>
  <dc:subject/>
  <dc:creator/>
  <cp:keywords/>
  <dc:description/>
  <cp:lastModifiedBy/>
  <cp:revision>1</cp:revision>
  <dcterms:created xsi:type="dcterms:W3CDTF">2023-10-08T21:50:00Z</dcterms:created>
  <dcterms:modified xsi:type="dcterms:W3CDTF">2023-10-08T21:51:00Z</dcterms:modified>
  <cp:category/>
</cp:coreProperties>
</file>